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295927A7" w14:textId="45012BA7">
      <w:pPr>
        <w:jc w:val="right"/>
        <w:rPr>
          <w:b/>
          <w:szCs w:val="22"/>
        </w:rPr>
      </w:pPr>
      <w:r w:rsidRPr="00143796">
        <w:rPr>
          <w:b/>
          <w:szCs w:val="22"/>
        </w:rPr>
        <w:t>DA 2</w:t>
      </w:r>
      <w:r w:rsidRPr="00143796" w:rsidR="00165F87">
        <w:rPr>
          <w:b/>
          <w:szCs w:val="22"/>
        </w:rPr>
        <w:t>1</w:t>
      </w:r>
      <w:r w:rsidRPr="00143796">
        <w:rPr>
          <w:b/>
          <w:szCs w:val="22"/>
        </w:rPr>
        <w:t>-</w:t>
      </w:r>
      <w:r w:rsidR="00091317">
        <w:rPr>
          <w:b/>
          <w:szCs w:val="22"/>
        </w:rPr>
        <w:t>755</w:t>
      </w:r>
    </w:p>
    <w:p w:rsidR="00334AD5" w:rsidRPr="0029562D" w:rsidP="00334AD5" w14:paraId="5C52EFC8" w14:textId="195C3C1B">
      <w:pPr>
        <w:spacing w:before="60"/>
        <w:jc w:val="right"/>
        <w:rPr>
          <w:b/>
          <w:szCs w:val="22"/>
        </w:rPr>
      </w:pPr>
      <w:r w:rsidRPr="00CA3425">
        <w:rPr>
          <w:b/>
          <w:szCs w:val="22"/>
        </w:rPr>
        <w:t xml:space="preserve">Released: </w:t>
      </w:r>
      <w:r w:rsidR="00091317">
        <w:rPr>
          <w:b/>
          <w:szCs w:val="22"/>
        </w:rPr>
        <w:t>June 25,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7F960F3B">
      <w:pPr>
        <w:jc w:val="center"/>
        <w:rPr>
          <w:b/>
          <w:szCs w:val="22"/>
        </w:rPr>
      </w:pPr>
      <w:r w:rsidRPr="008B54CB">
        <w:rPr>
          <w:b/>
          <w:szCs w:val="22"/>
        </w:rPr>
        <w:t xml:space="preserve">BY </w:t>
      </w:r>
      <w:r w:rsidRPr="00194E04" w:rsidR="00194E04">
        <w:rPr>
          <w:b/>
          <w:bCs/>
        </w:rPr>
        <w:t>PERFECT PITCH TECHNOLOGY, LLC</w:t>
      </w:r>
      <w:r w:rsidR="00194E04">
        <w:rPr>
          <w:b/>
          <w:bCs/>
        </w:rPr>
        <w:t xml:space="preserve"> </w:t>
      </w:r>
      <w:r>
        <w:rPr>
          <w:b/>
          <w:szCs w:val="22"/>
        </w:rPr>
        <w:t>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1F1F8D" w14:paraId="2A4626E4" w14:textId="5BD42999">
      <w:pPr>
        <w:jc w:val="center"/>
        <w:rPr>
          <w:b/>
          <w:szCs w:val="22"/>
        </w:rPr>
      </w:pPr>
      <w:r w:rsidRPr="0029562D">
        <w:rPr>
          <w:b/>
          <w:szCs w:val="22"/>
        </w:rPr>
        <w:t>WC Docket No</w:t>
      </w:r>
      <w:r w:rsidRPr="001C06E1">
        <w:rPr>
          <w:b/>
          <w:szCs w:val="22"/>
        </w:rPr>
        <w:t xml:space="preserve">. </w:t>
      </w:r>
      <w:r w:rsidR="00551DD4">
        <w:rPr>
          <w:b/>
          <w:szCs w:val="22"/>
        </w:rPr>
        <w:t>21</w:t>
      </w:r>
      <w:r w:rsidR="001F1F8D">
        <w:rPr>
          <w:b/>
          <w:szCs w:val="22"/>
        </w:rPr>
        <w:t>-</w:t>
      </w:r>
      <w:r w:rsidR="008C23C4">
        <w:rPr>
          <w:b/>
          <w:szCs w:val="22"/>
        </w:rPr>
        <w:t>175</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4135293F">
      <w:pPr>
        <w:pStyle w:val="NoSpacing"/>
        <w:rPr>
          <w:b/>
          <w:szCs w:val="22"/>
        </w:rPr>
      </w:pPr>
      <w:r w:rsidRPr="00CA3425">
        <w:rPr>
          <w:b/>
          <w:szCs w:val="22"/>
        </w:rPr>
        <w:t xml:space="preserve">Comments Due: </w:t>
      </w:r>
      <w:r w:rsidR="00091317">
        <w:rPr>
          <w:b/>
          <w:szCs w:val="22"/>
        </w:rPr>
        <w:t>July 12, 2021</w:t>
      </w:r>
    </w:p>
    <w:p w:rsidR="00334AD5" w:rsidRPr="0069551B" w:rsidP="00334AD5" w14:paraId="74A871CE" w14:textId="77777777">
      <w:pPr>
        <w:pStyle w:val="NoSpacing"/>
        <w:rPr>
          <w:b/>
          <w:szCs w:val="22"/>
        </w:rPr>
      </w:pPr>
    </w:p>
    <w:p w:rsidR="00334AD5" w:rsidRPr="00452866" w:rsidP="00B96CAE" w14:paraId="7D22E18B" w14:textId="2B376735">
      <w:pPr>
        <w:autoSpaceDE w:val="0"/>
        <w:autoSpaceDN w:val="0"/>
        <w:adjustRightInd w:val="0"/>
        <w:ind w:firstLine="720"/>
        <w:rPr>
          <w:szCs w:val="22"/>
        </w:rPr>
      </w:pPr>
      <w:r w:rsidRPr="00194E04">
        <w:t xml:space="preserve">Perfect Pitch Technology, LLC </w:t>
      </w:r>
      <w:r w:rsidRPr="00452866">
        <w:rPr>
          <w:szCs w:val="22"/>
        </w:rPr>
        <w:t>(</w:t>
      </w:r>
      <w:r>
        <w:rPr>
          <w:szCs w:val="22"/>
        </w:rPr>
        <w:t>Perfect Pitch</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Perfect Pitch</w:t>
      </w:r>
      <w:r w:rsidR="00F303C9">
        <w:rPr>
          <w:szCs w:val="22"/>
        </w:rPr>
        <w:t xml:space="preserve"> </w:t>
      </w:r>
      <w:r w:rsidR="00165F87">
        <w:rPr>
          <w:szCs w:val="22"/>
        </w:rPr>
        <w:t>indicates that it intends to initially request numbers in</w:t>
      </w:r>
      <w:r w:rsidR="00B12CB4">
        <w:rPr>
          <w:szCs w:val="22"/>
        </w:rPr>
        <w:t xml:space="preserve"> </w:t>
      </w:r>
      <w:r w:rsidR="0035145A">
        <w:rPr>
          <w:szCs w:val="22"/>
        </w:rPr>
        <w:t>Utah</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5B2F7C1B">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r w:rsidR="00551DD4">
        <w:rPr>
          <w:szCs w:val="22"/>
        </w:rPr>
        <w:t xml:space="preserve"> </w:t>
      </w:r>
      <w:r w:rsidR="00194E04">
        <w:rPr>
          <w:szCs w:val="22"/>
        </w:rPr>
        <w:t>Perfect Pitch</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194E04">
        <w:rPr>
          <w:szCs w:val="22"/>
        </w:rPr>
        <w:t>Perfect Pitch</w:t>
      </w:r>
      <w:r w:rsidRPr="00452866" w:rsidR="00F303C9">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194E04">
        <w:rPr>
          <w:szCs w:val="22"/>
        </w:rPr>
        <w:t>Perfect Pitch</w:t>
      </w:r>
      <w:r w:rsidR="00551DD4">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194E04">
        <w:rPr>
          <w:szCs w:val="22"/>
        </w:rPr>
        <w:t>Perfect Pitch</w:t>
      </w:r>
      <w:r w:rsidRPr="00452866" w:rsidR="00F303C9">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194E04">
        <w:rPr>
          <w:szCs w:val="22"/>
        </w:rPr>
        <w:t>Perfect Pitch</w:t>
      </w:r>
      <w:r w:rsidR="00F303C9">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w:t>
      </w:r>
      <w:r w:rsidRPr="00452866">
        <w:rPr>
          <w:szCs w:val="22"/>
        </w:rPr>
        <w:t>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194E04">
        <w:rPr>
          <w:szCs w:val="22"/>
        </w:rPr>
        <w:t>Perfect Pitch</w:t>
      </w:r>
      <w:r w:rsidR="00F303C9">
        <w:rPr>
          <w:szCs w:val="22"/>
        </w:rPr>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27FE795B">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551DD4">
        <w:rPr>
          <w:szCs w:val="22"/>
        </w:rPr>
        <w:t>21-</w:t>
      </w:r>
      <w:r w:rsidR="008C23C4">
        <w:rPr>
          <w:szCs w:val="22"/>
        </w:rPr>
        <w:t>175</w:t>
      </w:r>
      <w:r w:rsidR="005321BE">
        <w:rPr>
          <w:szCs w:val="22"/>
        </w:rPr>
        <w:t xml:space="preserve"> </w:t>
      </w:r>
      <w:r w:rsidRPr="007E63F9">
        <w:rPr>
          <w:b/>
          <w:szCs w:val="22"/>
        </w:rPr>
        <w:t>on or before</w:t>
      </w:r>
      <w:r w:rsidR="00091317">
        <w:rPr>
          <w:b/>
          <w:szCs w:val="22"/>
        </w:rPr>
        <w:t xml:space="preserve"> July 12, 2021</w:t>
      </w:r>
      <w:r>
        <w:rPr>
          <w:rStyle w:val="FootnoteReference"/>
          <w:szCs w:val="22"/>
        </w:rPr>
        <w:footnoteReference w:id="12"/>
      </w:r>
      <w:r w:rsidRPr="00452866">
        <w:rPr>
          <w:szCs w:val="22"/>
        </w:rPr>
        <w:t xml:space="preserve">  Commenters must serve a copy of comments on </w:t>
      </w:r>
      <w:r w:rsidR="00194E04">
        <w:rPr>
          <w:szCs w:val="22"/>
        </w:rPr>
        <w:t>Perfect Pitch</w:t>
      </w:r>
      <w:r w:rsidRPr="00452866" w:rsidR="00F303C9">
        <w:rPr>
          <w:szCs w:val="22"/>
        </w:rPr>
        <w:t xml:space="preserve"> </w:t>
      </w:r>
      <w:r w:rsidRPr="00452866">
        <w:rPr>
          <w:szCs w:val="22"/>
        </w:rPr>
        <w:t xml:space="preserve">no later than the above comment filing date.  Unless otherwise notified by the Commission, </w:t>
      </w:r>
      <w:r w:rsidR="00194E04">
        <w:rPr>
          <w:szCs w:val="22"/>
        </w:rPr>
        <w:t>Perfect Pitch</w:t>
      </w:r>
      <w:r w:rsidRPr="00452866" w:rsidR="00F303C9">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8443C7" w:rsidP="00334AD5" w14:paraId="25623552" w14:textId="2C803C40">
      <w:pPr>
        <w:widowControl/>
        <w:numPr>
          <w:ilvl w:val="0"/>
          <w:numId w:val="7"/>
        </w:numPr>
        <w:rPr>
          <w:szCs w:val="22"/>
        </w:rPr>
      </w:pPr>
      <w:hyperlink r:id="rId6" w:history="1">
        <w:r w:rsidRPr="00D45FDD">
          <w:rPr>
            <w:rStyle w:val="Hyperlink"/>
            <w:szCs w:val="22"/>
          </w:rPr>
          <w:t>DAA@fcc.gov</w:t>
        </w:r>
      </w:hyperlink>
      <w:r>
        <w:rPr>
          <w:szCs w:val="22"/>
        </w:rPr>
        <w:t xml:space="preserve">; </w:t>
      </w:r>
    </w:p>
    <w:p w:rsidR="008443C7" w:rsidP="008443C7" w14:paraId="4E941EF8" w14:textId="77777777">
      <w:pPr>
        <w:widowControl/>
        <w:ind w:left="720"/>
        <w:rPr>
          <w:szCs w:val="22"/>
        </w:rPr>
      </w:pPr>
    </w:p>
    <w:p w:rsidR="00334AD5" w:rsidP="00334AD5" w14:paraId="1E8DC6C2" w14:textId="69DEDA1B">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21E42B33">
      <w:pPr>
        <w:ind w:firstLine="720"/>
        <w:rPr>
          <w:szCs w:val="22"/>
        </w:rPr>
      </w:pPr>
      <w:r w:rsidRPr="00452866">
        <w:rPr>
          <w:szCs w:val="22"/>
        </w:rPr>
        <w:t>People with Disabilities:  To request materials in accessible form</w:t>
      </w:r>
      <w:r w:rsidR="00906445">
        <w:rPr>
          <w:szCs w:val="22"/>
        </w:rPr>
        <w:t>ats</w:t>
      </w:r>
      <w:r w:rsidRPr="00452866">
        <w:rPr>
          <w:szCs w:val="22"/>
        </w:rPr>
        <w:t xml:space="preserve">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w:t>
      </w:r>
      <w:r w:rsidRPr="00452866">
        <w:rPr>
          <w:szCs w:val="22"/>
        </w:rPr>
        <w:t xml:space="preserve">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458E616E">
      <w:pPr>
        <w:rPr>
          <w:szCs w:val="22"/>
        </w:rPr>
      </w:pPr>
      <w:r w:rsidRPr="00452866">
        <w:rPr>
          <w:szCs w:val="22"/>
        </w:rPr>
        <w:tab/>
      </w:r>
      <w:r w:rsidRPr="00452866" w:rsidR="00771312">
        <w:rPr>
          <w:szCs w:val="22"/>
        </w:rPr>
        <w:t>For further information, please contact</w:t>
      </w:r>
      <w:r w:rsidR="00771312">
        <w:rPr>
          <w:szCs w:val="22"/>
        </w:rPr>
        <w:t xml:space="preserve"> </w:t>
      </w:r>
      <w:r w:rsidRPr="008443C7" w:rsidR="008443C7">
        <w:rPr>
          <w:szCs w:val="22"/>
        </w:rPr>
        <w:t>DAA@fcc.gov</w:t>
      </w:r>
      <w:r w:rsidR="008443C7">
        <w:rPr>
          <w:szCs w:val="22"/>
        </w:rPr>
        <w:t xml:space="preserve">, </w:t>
      </w:r>
      <w:r w:rsidR="00771312">
        <w:rPr>
          <w:szCs w:val="22"/>
        </w:rPr>
        <w:t xml:space="preserve">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150F125B">
      <w:pPr>
        <w:pStyle w:val="FootnoteText"/>
      </w:pPr>
      <w:r w:rsidRPr="00442FF5">
        <w:rPr>
          <w:rStyle w:val="FootnoteReference"/>
          <w:sz w:val="20"/>
        </w:rPr>
        <w:footnoteRef/>
      </w:r>
      <w:r w:rsidRPr="00442FF5">
        <w:t xml:space="preserve"> We assign WC Docket No. </w:t>
      </w:r>
      <w:r w:rsidR="00551DD4">
        <w:t>21-</w:t>
      </w:r>
      <w:r w:rsidR="008C23C4">
        <w:t>175</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7770E0B8">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194E04">
        <w:rPr>
          <w:szCs w:val="22"/>
        </w:rPr>
        <w:t>Perfect Pitch</w:t>
      </w:r>
      <w:r w:rsidRPr="00442FF5" w:rsidR="00F303C9">
        <w:t xml:space="preserve"> </w:t>
      </w:r>
      <w:r w:rsidRPr="00442FF5" w:rsidR="00165F87">
        <w:t xml:space="preserve">for Authorization to Obtain Numbering Resources, WC Docket No. </w:t>
      </w:r>
      <w:r w:rsidR="00551DD4">
        <w:t>21-</w:t>
      </w:r>
      <w:r w:rsidR="008C23C4">
        <w:t>175</w:t>
      </w:r>
      <w:r w:rsidR="00DE2192">
        <w:t xml:space="preserve"> </w:t>
      </w:r>
      <w:r w:rsidRPr="00442FF5" w:rsidR="00165F87">
        <w:t>(</w:t>
      </w:r>
      <w:r w:rsidR="001F1F8D">
        <w:t xml:space="preserve">April </w:t>
      </w:r>
      <w:r w:rsidR="00194E04">
        <w:t>15</w:t>
      </w:r>
      <w:r w:rsidR="00551DD4">
        <w:t>, 2021</w:t>
      </w:r>
      <w:r w:rsidRPr="00442FF5" w:rsidR="00165F87">
        <w:t xml:space="preserve">), </w:t>
      </w:r>
      <w:hyperlink r:id="rId1" w:history="1"/>
      <w:r w:rsidRPr="0032450E" w:rsidR="0032450E">
        <w:t xml:space="preserve"> </w:t>
      </w:r>
      <w:hyperlink r:id="rId2" w:history="1">
        <w:r w:rsidRPr="00280C50" w:rsidR="00194E04">
          <w:rPr>
            <w:rStyle w:val="Hyperlink"/>
          </w:rPr>
          <w:t>https://www.fcc.gov/ecfs/filing/10415255142409</w:t>
        </w:r>
      </w:hyperlink>
      <w:r w:rsidR="00194E04">
        <w:t xml:space="preserve"> </w:t>
      </w:r>
      <w:r w:rsidRPr="00442FF5" w:rsidR="00165F87">
        <w:t>(</w:t>
      </w:r>
      <w:r w:rsidR="00194E04">
        <w:rPr>
          <w:szCs w:val="22"/>
        </w:rPr>
        <w:t>Perfect Pitch</w:t>
      </w:r>
      <w:r w:rsidRPr="00442FF5" w:rsidR="00F303C9">
        <w:t xml:space="preserve"> </w:t>
      </w:r>
      <w:r w:rsidRPr="00442FF5" w:rsidR="00165F87">
        <w:t>Application</w:t>
      </w:r>
      <w:r w:rsidR="0035145A">
        <w:t xml:space="preserve">);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08D83302">
      <w:pPr>
        <w:pStyle w:val="FootnoteText"/>
      </w:pPr>
      <w:r w:rsidRPr="00442FF5">
        <w:rPr>
          <w:rStyle w:val="FootnoteReference"/>
          <w:sz w:val="20"/>
        </w:rPr>
        <w:footnoteRef/>
      </w:r>
      <w:r w:rsidRPr="00442FF5">
        <w:t xml:space="preserve"> </w:t>
      </w:r>
      <w:r w:rsidR="00194E04">
        <w:rPr>
          <w:szCs w:val="22"/>
        </w:rPr>
        <w:t>Perfect Pitch</w:t>
      </w:r>
      <w:r w:rsidRPr="00442FF5" w:rsidR="00F303C9">
        <w:t xml:space="preserve"> </w:t>
      </w:r>
      <w:r w:rsidRPr="00442FF5" w:rsidR="004971A4">
        <w:t>Application</w:t>
      </w:r>
      <w:r w:rsidRPr="00442FF5" w:rsidR="00EC58FD">
        <w:t xml:space="preserve"> at </w:t>
      </w:r>
      <w:r w:rsidR="00194E04">
        <w:t>2</w:t>
      </w:r>
      <w:r w:rsidRPr="00442FF5" w:rsidR="00EC58FD">
        <w:t>.</w:t>
      </w:r>
      <w:r w:rsidR="00F74BD6">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3C3BFE12">
      <w:pPr>
        <w:pStyle w:val="FootnoteText"/>
      </w:pPr>
      <w:r w:rsidRPr="00442FF5">
        <w:rPr>
          <w:rStyle w:val="FootnoteReference"/>
          <w:sz w:val="20"/>
        </w:rPr>
        <w:footnoteRef/>
      </w:r>
      <w:r w:rsidRPr="00442FF5">
        <w:t xml:space="preserve"> </w:t>
      </w:r>
      <w:r w:rsidR="00194E04">
        <w:rPr>
          <w:szCs w:val="22"/>
        </w:rPr>
        <w:t>Perfect Pitch</w:t>
      </w:r>
      <w:r w:rsidRPr="00442FF5" w:rsidR="00F303C9">
        <w:t xml:space="preserve"> </w:t>
      </w:r>
      <w:r w:rsidRPr="00442FF5" w:rsidR="00EC58FD">
        <w:t>Application at</w:t>
      </w:r>
      <w:r w:rsidR="009103A9">
        <w:t xml:space="preserve"> </w:t>
      </w:r>
      <w:r w:rsidR="00194E04">
        <w:t>1-4</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2491C238">
      <w:pPr>
        <w:pStyle w:val="FootnoteText"/>
      </w:pPr>
      <w:r w:rsidRPr="00442FF5">
        <w:rPr>
          <w:rStyle w:val="FootnoteReference"/>
          <w:sz w:val="20"/>
        </w:rPr>
        <w:footnoteRef/>
      </w:r>
      <w:r w:rsidRPr="00442FF5">
        <w:t xml:space="preserve"> </w:t>
      </w:r>
      <w:r w:rsidR="00194E04">
        <w:rPr>
          <w:szCs w:val="22"/>
        </w:rPr>
        <w:t>Perfect Pitch</w:t>
      </w:r>
      <w:r w:rsidRPr="00442FF5" w:rsidR="00F303C9">
        <w:t xml:space="preserve"> </w:t>
      </w:r>
      <w:r w:rsidRPr="00442FF5" w:rsidR="00EC58FD">
        <w:t xml:space="preserve">Application at </w:t>
      </w:r>
      <w:r w:rsidR="00194E04">
        <w:t>2-3</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648EBD06">
      <w:pPr>
        <w:pStyle w:val="FootnoteText"/>
      </w:pPr>
      <w:r w:rsidRPr="00442FF5">
        <w:rPr>
          <w:rStyle w:val="FootnoteReference"/>
          <w:sz w:val="20"/>
        </w:rPr>
        <w:footnoteRef/>
      </w:r>
      <w:r w:rsidRPr="00442FF5">
        <w:t xml:space="preserve"> </w:t>
      </w:r>
      <w:r w:rsidR="00194E04">
        <w:rPr>
          <w:szCs w:val="22"/>
        </w:rPr>
        <w:t>Perfect Pitch</w:t>
      </w:r>
      <w:r w:rsidRPr="00442FF5" w:rsidR="00F303C9">
        <w:t xml:space="preserve"> </w:t>
      </w:r>
      <w:r w:rsidRPr="00442FF5" w:rsidR="00EC58FD">
        <w:t xml:space="preserve">Application at </w:t>
      </w:r>
      <w:r w:rsidR="00850D0A">
        <w:t>3</w:t>
      </w:r>
      <w:r w:rsidR="0035145A">
        <w:t>;</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237361EC">
      <w:pPr>
        <w:pStyle w:val="FootnoteText"/>
      </w:pPr>
      <w:r w:rsidRPr="00442FF5">
        <w:rPr>
          <w:rStyle w:val="FootnoteReference"/>
          <w:sz w:val="20"/>
        </w:rPr>
        <w:footnoteRef/>
      </w:r>
      <w:r w:rsidR="00450C0B">
        <w:t xml:space="preserve"> </w:t>
      </w:r>
      <w:r w:rsidR="00194E04">
        <w:rPr>
          <w:szCs w:val="22"/>
        </w:rPr>
        <w:t>Perfect Pitch</w:t>
      </w:r>
      <w:r w:rsidRPr="00442FF5" w:rsidR="00F303C9">
        <w:t xml:space="preserve"> </w:t>
      </w:r>
      <w:r w:rsidRPr="00442FF5" w:rsidR="00EC58FD">
        <w:t xml:space="preserve">Application at </w:t>
      </w:r>
      <w:r w:rsidR="00850D0A">
        <w:t>4</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3F6076D2">
      <w:pPr>
        <w:pStyle w:val="FootnoteText"/>
      </w:pPr>
      <w:r w:rsidRPr="005321BE">
        <w:rPr>
          <w:rStyle w:val="FootnoteReference"/>
          <w:sz w:val="20"/>
        </w:rPr>
        <w:footnoteRef/>
      </w:r>
      <w:r w:rsidRPr="005321BE">
        <w:t xml:space="preserve"> </w:t>
      </w:r>
      <w:r w:rsidR="00194E04">
        <w:rPr>
          <w:szCs w:val="22"/>
        </w:rPr>
        <w:t>Perfect Pitch</w:t>
      </w:r>
      <w:r w:rsidR="00F303C9">
        <w:rPr>
          <w:szCs w:val="22"/>
        </w:rPr>
        <w:t xml:space="preserve"> </w:t>
      </w:r>
      <w:r w:rsidR="00450C0B">
        <w:rPr>
          <w:szCs w:val="22"/>
        </w:rPr>
        <w:t xml:space="preserve">Application </w:t>
      </w:r>
      <w:r w:rsidR="00EC58FD">
        <w:t>at</w:t>
      </w:r>
      <w:r w:rsidR="0065217C">
        <w:t xml:space="preserve"> </w:t>
      </w:r>
      <w:r w:rsidR="00850D0A">
        <w:t>4</w:t>
      </w:r>
      <w:r w:rsidR="00FC4956">
        <w:t>;</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4243E868">
    <w:pPr>
      <w:tabs>
        <w:tab w:val="center" w:pos="4680"/>
        <w:tab w:val="right" w:pos="9360"/>
      </w:tabs>
    </w:pPr>
    <w:r w:rsidRPr="009838BC">
      <w:rPr>
        <w:b/>
      </w:rPr>
      <w:tab/>
      <w:t>Federal Communications Commission</w:t>
    </w:r>
    <w:r w:rsidRPr="009838BC">
      <w:rPr>
        <w:b/>
      </w:rPr>
      <w:tab/>
    </w:r>
    <w:r w:rsidR="00091317">
      <w:rPr>
        <w:b/>
      </w:rPr>
      <w:t>DA 21-755</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27EA0"/>
    <w:rsid w:val="00036039"/>
    <w:rsid w:val="00036560"/>
    <w:rsid w:val="00037F90"/>
    <w:rsid w:val="0006255C"/>
    <w:rsid w:val="000875BF"/>
    <w:rsid w:val="00087F1A"/>
    <w:rsid w:val="00091317"/>
    <w:rsid w:val="00091E51"/>
    <w:rsid w:val="00096D8C"/>
    <w:rsid w:val="000A4F31"/>
    <w:rsid w:val="000B2479"/>
    <w:rsid w:val="000C0B65"/>
    <w:rsid w:val="000E3D42"/>
    <w:rsid w:val="000E5884"/>
    <w:rsid w:val="000F43D1"/>
    <w:rsid w:val="00103469"/>
    <w:rsid w:val="00122BD5"/>
    <w:rsid w:val="0013352D"/>
    <w:rsid w:val="00143796"/>
    <w:rsid w:val="001539B4"/>
    <w:rsid w:val="00165C6D"/>
    <w:rsid w:val="00165F87"/>
    <w:rsid w:val="0017199B"/>
    <w:rsid w:val="00194E04"/>
    <w:rsid w:val="001979D9"/>
    <w:rsid w:val="001A6026"/>
    <w:rsid w:val="001C06E1"/>
    <w:rsid w:val="001D1F22"/>
    <w:rsid w:val="001D6BCF"/>
    <w:rsid w:val="001E01CA"/>
    <w:rsid w:val="001F1F8D"/>
    <w:rsid w:val="002060D9"/>
    <w:rsid w:val="00210F21"/>
    <w:rsid w:val="00226822"/>
    <w:rsid w:val="00230197"/>
    <w:rsid w:val="00243CE0"/>
    <w:rsid w:val="00260594"/>
    <w:rsid w:val="00264B52"/>
    <w:rsid w:val="00280C50"/>
    <w:rsid w:val="00285017"/>
    <w:rsid w:val="0029223C"/>
    <w:rsid w:val="00293241"/>
    <w:rsid w:val="00293E74"/>
    <w:rsid w:val="0029562D"/>
    <w:rsid w:val="002A1235"/>
    <w:rsid w:val="002A2D2E"/>
    <w:rsid w:val="0032450E"/>
    <w:rsid w:val="003255EB"/>
    <w:rsid w:val="00334AD5"/>
    <w:rsid w:val="00335690"/>
    <w:rsid w:val="00343749"/>
    <w:rsid w:val="0035145A"/>
    <w:rsid w:val="00357D50"/>
    <w:rsid w:val="00371EC1"/>
    <w:rsid w:val="003872F5"/>
    <w:rsid w:val="003925DC"/>
    <w:rsid w:val="00394035"/>
    <w:rsid w:val="003A72C7"/>
    <w:rsid w:val="003A7D37"/>
    <w:rsid w:val="003B0550"/>
    <w:rsid w:val="003B4E73"/>
    <w:rsid w:val="003B694F"/>
    <w:rsid w:val="003C5F2C"/>
    <w:rsid w:val="003D4940"/>
    <w:rsid w:val="003D66F8"/>
    <w:rsid w:val="003F171C"/>
    <w:rsid w:val="003F2D9F"/>
    <w:rsid w:val="004045A6"/>
    <w:rsid w:val="00405106"/>
    <w:rsid w:val="00412FC5"/>
    <w:rsid w:val="004220BE"/>
    <w:rsid w:val="00422276"/>
    <w:rsid w:val="004242F1"/>
    <w:rsid w:val="004306C9"/>
    <w:rsid w:val="00442FF5"/>
    <w:rsid w:val="00445A00"/>
    <w:rsid w:val="00450C0B"/>
    <w:rsid w:val="00451B0F"/>
    <w:rsid w:val="00452866"/>
    <w:rsid w:val="0046125F"/>
    <w:rsid w:val="00484052"/>
    <w:rsid w:val="0048612D"/>
    <w:rsid w:val="00487524"/>
    <w:rsid w:val="00496106"/>
    <w:rsid w:val="004971A4"/>
    <w:rsid w:val="004C12D0"/>
    <w:rsid w:val="004C2EE3"/>
    <w:rsid w:val="004E0884"/>
    <w:rsid w:val="004E486D"/>
    <w:rsid w:val="004E4A22"/>
    <w:rsid w:val="004E7213"/>
    <w:rsid w:val="00511968"/>
    <w:rsid w:val="005321BE"/>
    <w:rsid w:val="005329E9"/>
    <w:rsid w:val="0054053D"/>
    <w:rsid w:val="00551DD4"/>
    <w:rsid w:val="0055614C"/>
    <w:rsid w:val="00572047"/>
    <w:rsid w:val="00572CDD"/>
    <w:rsid w:val="00583C37"/>
    <w:rsid w:val="0059197D"/>
    <w:rsid w:val="005E7F13"/>
    <w:rsid w:val="00607BA5"/>
    <w:rsid w:val="006148B3"/>
    <w:rsid w:val="00626EB6"/>
    <w:rsid w:val="006353A3"/>
    <w:rsid w:val="0065217C"/>
    <w:rsid w:val="00652A86"/>
    <w:rsid w:val="00655D03"/>
    <w:rsid w:val="0067029D"/>
    <w:rsid w:val="00681E7F"/>
    <w:rsid w:val="00683F84"/>
    <w:rsid w:val="0069551B"/>
    <w:rsid w:val="00697FC9"/>
    <w:rsid w:val="006A34B1"/>
    <w:rsid w:val="006A6A81"/>
    <w:rsid w:val="006D106E"/>
    <w:rsid w:val="006E26AF"/>
    <w:rsid w:val="006E2DB9"/>
    <w:rsid w:val="006F7393"/>
    <w:rsid w:val="0070224F"/>
    <w:rsid w:val="007115F7"/>
    <w:rsid w:val="00730661"/>
    <w:rsid w:val="00771312"/>
    <w:rsid w:val="00785689"/>
    <w:rsid w:val="0079754B"/>
    <w:rsid w:val="007A16B7"/>
    <w:rsid w:val="007A1E6D"/>
    <w:rsid w:val="007B7D37"/>
    <w:rsid w:val="007D65A8"/>
    <w:rsid w:val="007E07A7"/>
    <w:rsid w:val="007E12F7"/>
    <w:rsid w:val="007E63F9"/>
    <w:rsid w:val="00801BD0"/>
    <w:rsid w:val="00811E19"/>
    <w:rsid w:val="00816348"/>
    <w:rsid w:val="00817212"/>
    <w:rsid w:val="00821385"/>
    <w:rsid w:val="00822CE0"/>
    <w:rsid w:val="00837C62"/>
    <w:rsid w:val="00841AB1"/>
    <w:rsid w:val="008443C7"/>
    <w:rsid w:val="00850D0A"/>
    <w:rsid w:val="0086073F"/>
    <w:rsid w:val="0088358F"/>
    <w:rsid w:val="008A4031"/>
    <w:rsid w:val="008B54CB"/>
    <w:rsid w:val="008B7B6C"/>
    <w:rsid w:val="008C22FD"/>
    <w:rsid w:val="008C23C4"/>
    <w:rsid w:val="008F4C4F"/>
    <w:rsid w:val="00904EE6"/>
    <w:rsid w:val="00906445"/>
    <w:rsid w:val="009103A9"/>
    <w:rsid w:val="00910F12"/>
    <w:rsid w:val="00926503"/>
    <w:rsid w:val="00930ECF"/>
    <w:rsid w:val="00931735"/>
    <w:rsid w:val="00940190"/>
    <w:rsid w:val="00953D2D"/>
    <w:rsid w:val="00974746"/>
    <w:rsid w:val="009838BC"/>
    <w:rsid w:val="009A5BDC"/>
    <w:rsid w:val="009B1B73"/>
    <w:rsid w:val="009C0AE2"/>
    <w:rsid w:val="009F6627"/>
    <w:rsid w:val="00A0456B"/>
    <w:rsid w:val="00A4546C"/>
    <w:rsid w:val="00A45F4F"/>
    <w:rsid w:val="00A600A9"/>
    <w:rsid w:val="00A80584"/>
    <w:rsid w:val="00A866AC"/>
    <w:rsid w:val="00A97488"/>
    <w:rsid w:val="00AA3FAE"/>
    <w:rsid w:val="00AA55B7"/>
    <w:rsid w:val="00AA5B9E"/>
    <w:rsid w:val="00AB14FF"/>
    <w:rsid w:val="00AB2407"/>
    <w:rsid w:val="00AB496D"/>
    <w:rsid w:val="00AB53DF"/>
    <w:rsid w:val="00AC71A9"/>
    <w:rsid w:val="00AD6BF4"/>
    <w:rsid w:val="00AE73E0"/>
    <w:rsid w:val="00AF4646"/>
    <w:rsid w:val="00B07E5C"/>
    <w:rsid w:val="00B12CB4"/>
    <w:rsid w:val="00B16755"/>
    <w:rsid w:val="00B326E3"/>
    <w:rsid w:val="00B3546F"/>
    <w:rsid w:val="00B36D8D"/>
    <w:rsid w:val="00B376F7"/>
    <w:rsid w:val="00B50DCA"/>
    <w:rsid w:val="00B609D6"/>
    <w:rsid w:val="00B811F7"/>
    <w:rsid w:val="00B96CAE"/>
    <w:rsid w:val="00BA5DC6"/>
    <w:rsid w:val="00BA6196"/>
    <w:rsid w:val="00BB4CA6"/>
    <w:rsid w:val="00BC6D8C"/>
    <w:rsid w:val="00C16AF2"/>
    <w:rsid w:val="00C20DDC"/>
    <w:rsid w:val="00C2448D"/>
    <w:rsid w:val="00C27144"/>
    <w:rsid w:val="00C31E69"/>
    <w:rsid w:val="00C34006"/>
    <w:rsid w:val="00C426B1"/>
    <w:rsid w:val="00C52028"/>
    <w:rsid w:val="00C82B6B"/>
    <w:rsid w:val="00C8396D"/>
    <w:rsid w:val="00C90D6A"/>
    <w:rsid w:val="00CA3425"/>
    <w:rsid w:val="00CC72B6"/>
    <w:rsid w:val="00CD4954"/>
    <w:rsid w:val="00D0218D"/>
    <w:rsid w:val="00D024C4"/>
    <w:rsid w:val="00D055A9"/>
    <w:rsid w:val="00D216CD"/>
    <w:rsid w:val="00D45FDD"/>
    <w:rsid w:val="00D51DD5"/>
    <w:rsid w:val="00D53750"/>
    <w:rsid w:val="00D74217"/>
    <w:rsid w:val="00D76D42"/>
    <w:rsid w:val="00DA2529"/>
    <w:rsid w:val="00DB09C5"/>
    <w:rsid w:val="00DB130A"/>
    <w:rsid w:val="00DC10A1"/>
    <w:rsid w:val="00DC655F"/>
    <w:rsid w:val="00DD7EBD"/>
    <w:rsid w:val="00DE2192"/>
    <w:rsid w:val="00DF62B6"/>
    <w:rsid w:val="00E07225"/>
    <w:rsid w:val="00E155B7"/>
    <w:rsid w:val="00E46A77"/>
    <w:rsid w:val="00E5409F"/>
    <w:rsid w:val="00E548AC"/>
    <w:rsid w:val="00E61548"/>
    <w:rsid w:val="00E90579"/>
    <w:rsid w:val="00E92EE1"/>
    <w:rsid w:val="00EB748E"/>
    <w:rsid w:val="00EC0185"/>
    <w:rsid w:val="00EC58FD"/>
    <w:rsid w:val="00ED037E"/>
    <w:rsid w:val="00ED28FB"/>
    <w:rsid w:val="00EF31E3"/>
    <w:rsid w:val="00F021FA"/>
    <w:rsid w:val="00F0255C"/>
    <w:rsid w:val="00F16F14"/>
    <w:rsid w:val="00F303C9"/>
    <w:rsid w:val="00F57ACA"/>
    <w:rsid w:val="00F60919"/>
    <w:rsid w:val="00F62E97"/>
    <w:rsid w:val="00F64209"/>
    <w:rsid w:val="00F74BD6"/>
    <w:rsid w:val="00F93BF5"/>
    <w:rsid w:val="00F96F63"/>
    <w:rsid w:val="00FB3B6F"/>
    <w:rsid w:val="00FC49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A@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415255142409"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