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013A8B" w:rsidRPr="006A7EC3" w:rsidP="00013A8B" w14:paraId="51C3FD77" w14:textId="5389E0DE">
      <w:pPr>
        <w:jc w:val="right"/>
        <w:rPr>
          <w:b/>
          <w:sz w:val="24"/>
        </w:rPr>
      </w:pPr>
      <w:bookmarkStart w:id="0" w:name="_Hlk70346788"/>
      <w:r w:rsidRPr="006A7EC3">
        <w:rPr>
          <w:b/>
          <w:sz w:val="24"/>
        </w:rPr>
        <w:t>DA 2</w:t>
      </w:r>
      <w:r w:rsidR="00AF5B25">
        <w:rPr>
          <w:b/>
          <w:sz w:val="24"/>
        </w:rPr>
        <w:t>1-</w:t>
      </w:r>
      <w:r w:rsidR="00032D0C">
        <w:rPr>
          <w:b/>
          <w:sz w:val="24"/>
        </w:rPr>
        <w:t>758</w:t>
      </w:r>
    </w:p>
    <w:p w:rsidR="00013A8B" w:rsidRPr="00B20363" w:rsidP="00013A8B" w14:paraId="66DFA09C" w14:textId="3C206415">
      <w:pPr>
        <w:spacing w:before="60"/>
        <w:jc w:val="right"/>
        <w:rPr>
          <w:b/>
          <w:sz w:val="24"/>
        </w:rPr>
      </w:pPr>
      <w:r w:rsidRPr="006A7EC3">
        <w:rPr>
          <w:b/>
          <w:sz w:val="24"/>
        </w:rPr>
        <w:t xml:space="preserve">Released:  </w:t>
      </w:r>
      <w:r w:rsidR="007B1E13">
        <w:rPr>
          <w:b/>
          <w:sz w:val="24"/>
        </w:rPr>
        <w:t>June 28</w:t>
      </w:r>
      <w:r w:rsidRPr="006A7EC3" w:rsidR="00E11DFF">
        <w:rPr>
          <w:b/>
          <w:sz w:val="24"/>
        </w:rPr>
        <w:t>, 202</w:t>
      </w:r>
      <w:r w:rsidR="00AF5B25">
        <w:rPr>
          <w:b/>
          <w:sz w:val="24"/>
        </w:rPr>
        <w:t>1</w:t>
      </w:r>
    </w:p>
    <w:p w:rsidR="00013A8B" w:rsidP="00013A8B" w14:paraId="2C216D78" w14:textId="77777777">
      <w:pPr>
        <w:jc w:val="right"/>
        <w:rPr>
          <w:sz w:val="24"/>
        </w:rPr>
      </w:pPr>
    </w:p>
    <w:p w:rsidR="00013A8B" w:rsidP="004C6934" w14:paraId="1971648B" w14:textId="5611A6CB">
      <w:pPr>
        <w:spacing w:after="240"/>
        <w:jc w:val="center"/>
        <w:rPr>
          <w:b/>
          <w:sz w:val="24"/>
        </w:rPr>
      </w:pPr>
      <w:bookmarkStart w:id="1" w:name="_Hlk48284810"/>
      <w:r>
        <w:rPr>
          <w:rFonts w:ascii="Times New Roman Bold" w:hAnsi="Times New Roman Bold"/>
          <w:b/>
          <w:sz w:val="24"/>
        </w:rPr>
        <w:t xml:space="preserve">WIRELINE COMPETITION BUREAU UPDATES LIST OF FIXED COMPETITIVE ELIGIBLE </w:t>
      </w:r>
      <w:r w:rsidRPr="00100ED3">
        <w:rPr>
          <w:rFonts w:ascii="Times New Roman Bold" w:hAnsi="Times New Roman Bold"/>
          <w:b/>
          <w:sz w:val="24"/>
        </w:rPr>
        <w:t xml:space="preserve">TELECOMMUNICATIONS </w:t>
      </w:r>
      <w:r>
        <w:rPr>
          <w:rFonts w:ascii="Times New Roman Bold" w:hAnsi="Times New Roman Bold"/>
          <w:b/>
          <w:sz w:val="24"/>
        </w:rPr>
        <w:t>CARRIERS RECEIVING PHASE-DOWN SUPPORT</w:t>
      </w:r>
    </w:p>
    <w:bookmarkEnd w:id="1"/>
    <w:p w:rsidR="00013A8B" w:rsidRPr="00100ED3" w:rsidP="00013A8B" w14:paraId="2E2AFB12" w14:textId="77777777">
      <w:pPr>
        <w:jc w:val="center"/>
        <w:rPr>
          <w:b/>
          <w:szCs w:val="22"/>
        </w:rPr>
      </w:pPr>
      <w:r w:rsidRPr="00100ED3">
        <w:rPr>
          <w:b/>
          <w:szCs w:val="22"/>
        </w:rPr>
        <w:t>WC Docket No. 10-90</w:t>
      </w:r>
    </w:p>
    <w:p w:rsidR="00F96F63" w:rsidRPr="00100ED3" w:rsidP="00F96F63" w14:paraId="41EE9B75" w14:textId="77777777">
      <w:pPr>
        <w:rPr>
          <w:szCs w:val="22"/>
        </w:rPr>
      </w:pPr>
      <w:bookmarkStart w:id="2" w:name="TOChere"/>
      <w:bookmarkEnd w:id="0"/>
    </w:p>
    <w:bookmarkEnd w:id="2"/>
    <w:p w:rsidR="00F96F63" w:rsidRPr="00100ED3" w:rsidP="00B43A6A" w14:paraId="79CEC100" w14:textId="77777777">
      <w:pPr>
        <w:spacing w:after="120"/>
        <w:rPr>
          <w:szCs w:val="22"/>
        </w:rPr>
      </w:pPr>
      <w:r w:rsidRPr="00100ED3">
        <w:rPr>
          <w:szCs w:val="22"/>
        </w:rPr>
        <w:tab/>
        <w:t xml:space="preserve">With this Public Notice, the Wireline Competition Bureau </w:t>
      </w:r>
      <w:bookmarkStart w:id="3" w:name="_Hlk48284931"/>
      <w:r w:rsidRPr="00100ED3">
        <w:rPr>
          <w:szCs w:val="22"/>
        </w:rPr>
        <w:t xml:space="preserve">provides an updated report showing the legacy support amounts associated with competitive eligible telecommunications carriers (competitive ETCs) offering service to fixed locations.  </w:t>
      </w:r>
      <w:bookmarkEnd w:id="3"/>
      <w:r w:rsidRPr="00100ED3">
        <w:rPr>
          <w:szCs w:val="22"/>
        </w:rPr>
        <w:t>As of June 1, 2019,</w:t>
      </w:r>
      <w:r>
        <w:rPr>
          <w:rStyle w:val="FootnoteReference"/>
          <w:szCs w:val="22"/>
        </w:rPr>
        <w:footnoteReference w:id="3"/>
      </w:r>
      <w:r w:rsidRPr="00100ED3">
        <w:rPr>
          <w:szCs w:val="22"/>
        </w:rPr>
        <w:t xml:space="preserve"> fixed competitive ETCs began receiving legacy support at a reduced level</w:t>
      </w:r>
      <w:r w:rsidRPr="00100ED3" w:rsidR="0009581D">
        <w:rPr>
          <w:szCs w:val="22"/>
        </w:rPr>
        <w:t>.</w:t>
      </w:r>
      <w:r w:rsidRPr="00100ED3">
        <w:rPr>
          <w:szCs w:val="22"/>
        </w:rPr>
        <w:t xml:space="preserve">  </w:t>
      </w:r>
      <w:r w:rsidR="00BD5AD0">
        <w:rPr>
          <w:szCs w:val="22"/>
        </w:rPr>
        <w:t>In previous versions of the report, o</w:t>
      </w:r>
      <w:r w:rsidRPr="00100ED3" w:rsidR="0009581D">
        <w:rPr>
          <w:szCs w:val="22"/>
        </w:rPr>
        <w:t>ne such fixed competitive ETC</w:t>
      </w:r>
      <w:r w:rsidRPr="00100ED3" w:rsidR="00562F9B">
        <w:rPr>
          <w:szCs w:val="22"/>
        </w:rPr>
        <w:t xml:space="preserve">, </w:t>
      </w:r>
      <w:r w:rsidR="004D01D7">
        <w:rPr>
          <w:szCs w:val="22"/>
        </w:rPr>
        <w:t>Mid-Rivers</w:t>
      </w:r>
      <w:r w:rsidR="00EF4AB1">
        <w:rPr>
          <w:szCs w:val="22"/>
        </w:rPr>
        <w:t xml:space="preserve"> Telephone Cooperative, Inc. (Mid-Rivers)</w:t>
      </w:r>
      <w:r w:rsidR="004D01D7">
        <w:rPr>
          <w:szCs w:val="22"/>
        </w:rPr>
        <w:t xml:space="preserve"> (SAC 489001) </w:t>
      </w:r>
      <w:r w:rsidR="00BD5AD0">
        <w:rPr>
          <w:szCs w:val="22"/>
        </w:rPr>
        <w:t>in Montana</w:t>
      </w:r>
      <w:r w:rsidR="00AF5B25">
        <w:rPr>
          <w:szCs w:val="22"/>
        </w:rPr>
        <w:t>,</w:t>
      </w:r>
      <w:r w:rsidR="00BD5AD0">
        <w:rPr>
          <w:szCs w:val="22"/>
        </w:rPr>
        <w:t xml:space="preserve"> </w:t>
      </w:r>
      <w:r w:rsidR="004D01D7">
        <w:rPr>
          <w:szCs w:val="22"/>
        </w:rPr>
        <w:t>was inadvertently identified as Mid-</w:t>
      </w:r>
      <w:r w:rsidR="004D01D7">
        <w:rPr>
          <w:szCs w:val="22"/>
        </w:rPr>
        <w:t>Rivers’s</w:t>
      </w:r>
      <w:r w:rsidR="004D01D7">
        <w:rPr>
          <w:szCs w:val="22"/>
        </w:rPr>
        <w:t xml:space="preserve"> mobile </w:t>
      </w:r>
      <w:r w:rsidR="00AF5B25">
        <w:rPr>
          <w:szCs w:val="22"/>
        </w:rPr>
        <w:t xml:space="preserve">competitive </w:t>
      </w:r>
      <w:r w:rsidR="004D01D7">
        <w:rPr>
          <w:szCs w:val="22"/>
        </w:rPr>
        <w:t>ETC (SAC 489005)</w:t>
      </w:r>
      <w:r w:rsidR="00BD5AD0">
        <w:rPr>
          <w:szCs w:val="22"/>
        </w:rPr>
        <w:t>, which has since relinquished its ETC designation.</w:t>
      </w:r>
      <w:r>
        <w:rPr>
          <w:rStyle w:val="FootnoteReference"/>
          <w:szCs w:val="22"/>
        </w:rPr>
        <w:footnoteReference w:id="4"/>
      </w:r>
      <w:r w:rsidR="00BD5AD0">
        <w:rPr>
          <w:szCs w:val="22"/>
        </w:rPr>
        <w:t xml:space="preserve">  T</w:t>
      </w:r>
      <w:r w:rsidRPr="00100ED3" w:rsidR="0009581D">
        <w:rPr>
          <w:szCs w:val="22"/>
        </w:rPr>
        <w:t xml:space="preserve">he </w:t>
      </w:r>
      <w:r w:rsidR="00BD5AD0">
        <w:rPr>
          <w:szCs w:val="22"/>
        </w:rPr>
        <w:t xml:space="preserve">corrected </w:t>
      </w:r>
      <w:r w:rsidRPr="00100ED3" w:rsidR="0009581D">
        <w:rPr>
          <w:szCs w:val="22"/>
        </w:rPr>
        <w:t xml:space="preserve">report </w:t>
      </w:r>
      <w:r w:rsidR="00BD5AD0">
        <w:rPr>
          <w:szCs w:val="22"/>
        </w:rPr>
        <w:t xml:space="preserve">is </w:t>
      </w:r>
      <w:r w:rsidRPr="00100ED3" w:rsidR="0009581D">
        <w:rPr>
          <w:szCs w:val="22"/>
        </w:rPr>
        <w:t xml:space="preserve">available at </w:t>
      </w:r>
      <w:hyperlink r:id="rId5" w:history="1">
        <w:r w:rsidRPr="00100ED3" w:rsidR="00A13848">
          <w:rPr>
            <w:rStyle w:val="Hyperlink"/>
            <w:szCs w:val="22"/>
          </w:rPr>
          <w:t>https://docs.fcc.gov/publ</w:t>
        </w:r>
        <w:r w:rsidRPr="00100ED3" w:rsidR="00A13848">
          <w:rPr>
            <w:rStyle w:val="Hyperlink"/>
            <w:szCs w:val="22"/>
          </w:rPr>
          <w:t>ic/attachments/DOC-357433A1.xlsx</w:t>
        </w:r>
      </w:hyperlink>
      <w:r w:rsidRPr="00100ED3" w:rsidR="0009581D">
        <w:rPr>
          <w:szCs w:val="22"/>
        </w:rPr>
        <w:t>.</w:t>
      </w:r>
      <w:r>
        <w:rPr>
          <w:rStyle w:val="FootnoteReference"/>
          <w:szCs w:val="22"/>
        </w:rPr>
        <w:footnoteReference w:id="5"/>
      </w:r>
    </w:p>
    <w:p w:rsidR="00542839" w:rsidP="00B43A6A" w14:paraId="22303631" w14:textId="31285B1E">
      <w:pPr>
        <w:spacing w:after="120"/>
        <w:rPr>
          <w:szCs w:val="22"/>
        </w:rPr>
      </w:pPr>
      <w:r w:rsidRPr="00100ED3">
        <w:rPr>
          <w:szCs w:val="22"/>
        </w:rPr>
        <w:tab/>
        <w:t xml:space="preserve">For further information, please contact Stephen Wang, Telecommunications Access Policy Division, Wireline Competition Bureau, at (202) 418-7400 or via email at </w:t>
      </w:r>
      <w:hyperlink r:id="rId6" w:history="1">
        <w:r w:rsidRPr="00100ED3">
          <w:rPr>
            <w:rStyle w:val="Hyperlink"/>
            <w:szCs w:val="22"/>
          </w:rPr>
          <w:t>Stephen.Wang@fcc.gov</w:t>
        </w:r>
      </w:hyperlink>
      <w:r w:rsidRPr="00100ED3">
        <w:rPr>
          <w:szCs w:val="22"/>
        </w:rPr>
        <w:t>.</w:t>
      </w:r>
    </w:p>
    <w:p w:rsidR="00100ED3" w:rsidP="00F96F63" w14:paraId="2E9BCC92" w14:textId="77777777">
      <w:pPr>
        <w:rPr>
          <w:szCs w:val="22"/>
        </w:rPr>
      </w:pPr>
    </w:p>
    <w:p w:rsidR="00100ED3" w:rsidRPr="00100ED3" w:rsidP="00100ED3" w14:paraId="2A03BD8E" w14:textId="77777777">
      <w:pPr>
        <w:jc w:val="center"/>
        <w:rPr>
          <w:b/>
          <w:bCs/>
          <w:szCs w:val="22"/>
        </w:rPr>
      </w:pPr>
      <w:r w:rsidRPr="00100ED3">
        <w:rPr>
          <w:b/>
          <w:bCs/>
          <w:szCs w:val="22"/>
        </w:rPr>
        <w:t xml:space="preserve">– FCC – </w:t>
      </w:r>
    </w:p>
    <w:p w:rsidR="00542839" w:rsidRPr="00100ED3" w:rsidP="00F96F63" w14:paraId="6C8BB31F" w14:textId="77777777">
      <w:pPr>
        <w:rPr>
          <w:szCs w:val="22"/>
        </w:rPr>
      </w:pP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99DF9D9"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C86C8E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B21A30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6DDC02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03259" w14:paraId="368D7E47" w14:textId="77777777">
      <w:r>
        <w:separator/>
      </w:r>
    </w:p>
  </w:footnote>
  <w:footnote w:type="continuationSeparator" w:id="1">
    <w:p w:rsidR="00603259" w14:paraId="3A6DE5A4" w14:textId="77777777">
      <w:pPr>
        <w:rPr>
          <w:sz w:val="20"/>
        </w:rPr>
      </w:pPr>
      <w:r>
        <w:rPr>
          <w:sz w:val="20"/>
        </w:rPr>
        <w:t xml:space="preserve">(Continued from previous page)  </w:t>
      </w:r>
      <w:r>
        <w:rPr>
          <w:sz w:val="20"/>
        </w:rPr>
        <w:separator/>
      </w:r>
    </w:p>
  </w:footnote>
  <w:footnote w:type="continuationNotice" w:id="2">
    <w:p w:rsidR="00603259" w:rsidP="00910F12" w14:paraId="5F8E6AF6" w14:textId="77777777">
      <w:pPr>
        <w:jc w:val="right"/>
        <w:rPr>
          <w:sz w:val="20"/>
        </w:rPr>
      </w:pPr>
      <w:r>
        <w:rPr>
          <w:sz w:val="20"/>
        </w:rPr>
        <w:t>(continued….)</w:t>
      </w:r>
    </w:p>
  </w:footnote>
  <w:footnote w:id="3">
    <w:p w:rsidR="004C6934" w:rsidRPr="0009581D" w14:paraId="2AF3C3F5" w14:textId="77777777">
      <w:pPr>
        <w:pStyle w:val="FootnoteText"/>
      </w:pPr>
      <w:r>
        <w:rPr>
          <w:rStyle w:val="FootnoteReference"/>
        </w:rPr>
        <w:footnoteRef/>
      </w:r>
      <w:r>
        <w:t xml:space="preserve"> </w:t>
      </w:r>
      <w:r w:rsidR="0009581D">
        <w:t xml:space="preserve">June 2019 was the first month after the first authorization of any Connect America Fund (CAF) Phase II auction support nationwide.  </w:t>
      </w:r>
      <w:r w:rsidR="000015E6">
        <w:rPr>
          <w:i/>
        </w:rPr>
        <w:t>Wireline Competition Bureau Announces Beginning of Phase Down of Legacy Support for Price Cap Carriers and Fixed Competitive Eligible Telecommunications Carriers After Authorization of Connect America Fund Phase II Auction Support</w:t>
      </w:r>
      <w:r w:rsidR="000015E6">
        <w:t>, WC Docket No. 10-90,</w:t>
      </w:r>
      <w:r w:rsidR="003A41AE">
        <w:t xml:space="preserve"> Public Notice,</w:t>
      </w:r>
      <w:r w:rsidR="000015E6">
        <w:t xml:space="preserve"> </w:t>
      </w:r>
      <w:r w:rsidR="003A41AE">
        <w:t>34 FCC Rcd 3173, 3174 (WCB 2019)</w:t>
      </w:r>
      <w:r w:rsidR="0009581D">
        <w:t xml:space="preserve"> (citing </w:t>
      </w:r>
      <w:r w:rsidR="003A41AE">
        <w:rPr>
          <w:i/>
        </w:rPr>
        <w:t>Connect America Fund</w:t>
      </w:r>
      <w:r w:rsidR="003A41AE">
        <w:t xml:space="preserve">, WC Docket No. 10-90, Report and Order, </w:t>
      </w:r>
      <w:r w:rsidR="00E51282">
        <w:t>34 FCC Rcd 807</w:t>
      </w:r>
      <w:r w:rsidR="00897642">
        <w:t>, 812</w:t>
      </w:r>
      <w:r w:rsidR="00A13848">
        <w:t>, para. 17</w:t>
      </w:r>
      <w:r w:rsidR="00897642">
        <w:t xml:space="preserve"> (</w:t>
      </w:r>
      <w:r w:rsidR="00A13848">
        <w:t>2019)</w:t>
      </w:r>
      <w:r w:rsidR="00C422C7">
        <w:t xml:space="preserve"> (</w:t>
      </w:r>
      <w:r w:rsidR="00C422C7">
        <w:rPr>
          <w:i/>
        </w:rPr>
        <w:t>Phase II Transitions Order</w:t>
      </w:r>
      <w:r w:rsidR="00C422C7">
        <w:t>)</w:t>
      </w:r>
      <w:r w:rsidR="0009581D">
        <w:t xml:space="preserve">; </w:t>
      </w:r>
      <w:r w:rsidR="00A13848">
        <w:rPr>
          <w:i/>
        </w:rPr>
        <w:t>Connect America Fund Phase II Auction Support Authorized for 459 Winning Bids</w:t>
      </w:r>
      <w:r w:rsidR="00A13848">
        <w:t>, AU Docket No. 17-182, WC Docket No. 10-90, Public Notice, 34 FCC Rcd 3142 (WCB 2019))</w:t>
      </w:r>
      <w:r w:rsidR="004D01D7">
        <w:t xml:space="preserve">; </w:t>
      </w:r>
      <w:r w:rsidRPr="00BD5AD0" w:rsidR="00BD5AD0">
        <w:rPr>
          <w:i/>
          <w:iCs/>
        </w:rPr>
        <w:t xml:space="preserve">see also </w:t>
      </w:r>
      <w:r w:rsidRPr="00BA6EA9" w:rsidR="004D01D7">
        <w:rPr>
          <w:i/>
          <w:iCs/>
        </w:rPr>
        <w:t>Wireline Competition Bureau Updates List of Fixed Competitive Eligible Telecommunications Carriers Receiving Phase-Down Support</w:t>
      </w:r>
      <w:r w:rsidRPr="00BA6EA9" w:rsidR="004D01D7">
        <w:t>, WC Docket No. 10-90, Public Notice, 35 FCC Rcd 6543 (WCB 2020)</w:t>
      </w:r>
      <w:r w:rsidR="0009581D">
        <w:t>.</w:t>
      </w:r>
    </w:p>
  </w:footnote>
  <w:footnote w:id="4">
    <w:p w:rsidR="00BD5AD0" w14:paraId="64B1484C" w14:textId="77777777">
      <w:pPr>
        <w:pStyle w:val="FootnoteText"/>
      </w:pPr>
      <w:r>
        <w:rPr>
          <w:rStyle w:val="FootnoteReference"/>
        </w:rPr>
        <w:footnoteRef/>
      </w:r>
      <w:r>
        <w:t xml:space="preserve"> </w:t>
      </w:r>
      <w:r w:rsidR="00AF5B25">
        <w:t xml:space="preserve">Montana </w:t>
      </w:r>
      <w:r w:rsidRPr="0047453F" w:rsidR="00AF5B25">
        <w:t xml:space="preserve">Public Service Commission, </w:t>
      </w:r>
      <w:r w:rsidRPr="00AF5B25" w:rsidR="00AF5B25">
        <w:rPr>
          <w:i/>
          <w:iCs/>
        </w:rPr>
        <w:t>In the Matter of the Relinquishment of Cable and Cellular Communications as an Eligible Telecommunications Carrier</w:t>
      </w:r>
      <w:r w:rsidRPr="0047453F" w:rsidR="00AF5B25">
        <w:t>, Docket N</w:t>
      </w:r>
      <w:r w:rsidR="00AF5B25">
        <w:t>o</w:t>
      </w:r>
      <w:r w:rsidRPr="0047453F" w:rsidR="00AF5B25">
        <w:t>. 2019.06.037, Notice of Commission Action (Aug. 14, 2019)</w:t>
      </w:r>
      <w:r w:rsidR="00AF5B25">
        <w:t>.</w:t>
      </w:r>
    </w:p>
  </w:footnote>
  <w:footnote w:id="5">
    <w:p w:rsidR="002A3A27" w:rsidRPr="00C422C7" w14:paraId="002F7197" w14:textId="77777777">
      <w:pPr>
        <w:pStyle w:val="FootnoteText"/>
      </w:pPr>
      <w:r>
        <w:rPr>
          <w:rStyle w:val="FootnoteReference"/>
        </w:rPr>
        <w:footnoteRef/>
      </w:r>
      <w:r>
        <w:t xml:space="preserve"> </w:t>
      </w:r>
      <w:r w:rsidR="00067BB8">
        <w:t xml:space="preserve">The list of fixed competitive ETCs subject to the phase-down of their legacy support now properly includes </w:t>
      </w:r>
      <w:r w:rsidR="00BD5AD0">
        <w:rPr>
          <w:szCs w:val="22"/>
        </w:rPr>
        <w:t>Mid-Rivers (SAC 489001)</w:t>
      </w:r>
      <w:r w:rsidR="00F8419D">
        <w:t xml:space="preserve"> in </w:t>
      </w:r>
      <w:r w:rsidR="00BD5AD0">
        <w:t>Montana</w:t>
      </w:r>
      <w:r w:rsidR="00067BB8">
        <w:t xml:space="preserve">.  </w:t>
      </w:r>
      <w:r>
        <w:t xml:space="preserve">We therefore direct USAC to </w:t>
      </w:r>
      <w:r w:rsidR="00AF5B25">
        <w:t xml:space="preserve">correct </w:t>
      </w:r>
      <w:r w:rsidR="008A41DA">
        <w:t>the amount</w:t>
      </w:r>
      <w:r w:rsidR="00AF5B25">
        <w:t>s</w:t>
      </w:r>
      <w:r w:rsidR="008A41DA">
        <w:t xml:space="preserve"> of support </w:t>
      </w:r>
      <w:r w:rsidR="00AF5B25">
        <w:t>SAC 489001 and 489005 should have received had they been properly identified</w:t>
      </w:r>
      <w:r w:rsidR="00C422C7">
        <w:t xml:space="preserve">, effective June 1, 2019.  </w:t>
      </w:r>
      <w:r w:rsidR="00C422C7">
        <w:rPr>
          <w:i/>
        </w:rPr>
        <w:t>See Phase II Transitions Order</w:t>
      </w:r>
      <w:r w:rsidR="00F8419D">
        <w:t>, 34 FCC Rcd</w:t>
      </w:r>
      <w:r w:rsidR="00C422C7">
        <w:t xml:space="preserve"> at </w:t>
      </w:r>
      <w:r w:rsidR="00F8419D">
        <w:t>812-13</w:t>
      </w:r>
      <w:r w:rsidR="00C422C7">
        <w:t>, paras. 17-18.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2E478C47"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09DD3B5D"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073B21C6"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D62C520"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314D1D75" w14:textId="77777777">
                <w:pPr>
                  <w:rPr>
                    <w:rFonts w:ascii="Arial" w:hAnsi="Arial"/>
                    <w:b/>
                  </w:rPr>
                </w:pPr>
                <w:r>
                  <w:rPr>
                    <w:rFonts w:ascii="Arial" w:hAnsi="Arial"/>
                    <w:b/>
                  </w:rPr>
                  <w:t>Federal Communications Commission</w:t>
                </w:r>
              </w:p>
              <w:p w:rsidR="009838BC" w:rsidP="009838BC" w14:paraId="766FDE14" w14:textId="73CB4007">
                <w:pPr>
                  <w:rPr>
                    <w:rFonts w:ascii="Arial" w:hAnsi="Arial"/>
                    <w:b/>
                  </w:rPr>
                </w:pPr>
                <w:r>
                  <w:rPr>
                    <w:rFonts w:ascii="Arial" w:hAnsi="Arial"/>
                    <w:b/>
                  </w:rPr>
                  <w:t>45 L Street, NE</w:t>
                </w:r>
              </w:p>
              <w:p w:rsidR="009838BC" w:rsidP="009838BC" w14:paraId="3CA79788"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71312F31"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1261.6pt,56.7pt" to="1729.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6801004C" w14:textId="77777777">
                <w:pPr>
                  <w:spacing w:before="40"/>
                  <w:jc w:val="right"/>
                  <w:rPr>
                    <w:rFonts w:ascii="Arial" w:hAnsi="Arial"/>
                    <w:b/>
                    <w:sz w:val="16"/>
                  </w:rPr>
                </w:pPr>
                <w:r>
                  <w:rPr>
                    <w:rFonts w:ascii="Arial" w:hAnsi="Arial"/>
                    <w:b/>
                    <w:sz w:val="16"/>
                  </w:rPr>
                  <w:t>News Media Information 202 / 418-0500</w:t>
                </w:r>
              </w:p>
              <w:p w:rsidR="009838BC" w:rsidP="009838BC" w14:paraId="09755B20"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paraId="7635833C" w14:textId="77777777">
                <w:pPr>
                  <w:jc w:val="right"/>
                </w:pPr>
                <w:r>
                  <w:rPr>
                    <w:rFonts w:ascii="Arial" w:hAnsi="Arial"/>
                    <w:b/>
                    <w:sz w:val="16"/>
                  </w:rPr>
                  <w:t>TTY: 1-888-835-5322</w:t>
                </w:r>
              </w:p>
            </w:txbxContent>
          </v:textbox>
        </v:shape>
      </w:pict>
    </w:r>
  </w:p>
  <w:p w:rsidR="006F7393" w:rsidRPr="009838BC" w:rsidP="009838BC" w14:paraId="06EC717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DFF"/>
    <w:rsid w:val="000015E6"/>
    <w:rsid w:val="000072CE"/>
    <w:rsid w:val="00013A8B"/>
    <w:rsid w:val="00021445"/>
    <w:rsid w:val="00032D0C"/>
    <w:rsid w:val="00036039"/>
    <w:rsid w:val="00037F90"/>
    <w:rsid w:val="00067BB8"/>
    <w:rsid w:val="000875BF"/>
    <w:rsid w:val="0009581D"/>
    <w:rsid w:val="00096D8C"/>
    <w:rsid w:val="000C0B65"/>
    <w:rsid w:val="000D157D"/>
    <w:rsid w:val="000E3D42"/>
    <w:rsid w:val="000E5884"/>
    <w:rsid w:val="00100ED3"/>
    <w:rsid w:val="00122BD5"/>
    <w:rsid w:val="001625EB"/>
    <w:rsid w:val="001979D9"/>
    <w:rsid w:val="001D023F"/>
    <w:rsid w:val="001D6BCF"/>
    <w:rsid w:val="001E01CA"/>
    <w:rsid w:val="002060D9"/>
    <w:rsid w:val="00226822"/>
    <w:rsid w:val="00260594"/>
    <w:rsid w:val="00285017"/>
    <w:rsid w:val="002A2D2E"/>
    <w:rsid w:val="002A3A27"/>
    <w:rsid w:val="002F52B8"/>
    <w:rsid w:val="00343749"/>
    <w:rsid w:val="00357D50"/>
    <w:rsid w:val="003925DC"/>
    <w:rsid w:val="003A41AE"/>
    <w:rsid w:val="003B0550"/>
    <w:rsid w:val="003B694F"/>
    <w:rsid w:val="003F171C"/>
    <w:rsid w:val="00412FC5"/>
    <w:rsid w:val="00422276"/>
    <w:rsid w:val="004242F1"/>
    <w:rsid w:val="00445A00"/>
    <w:rsid w:val="00451B0F"/>
    <w:rsid w:val="00455798"/>
    <w:rsid w:val="0046125F"/>
    <w:rsid w:val="0047453F"/>
    <w:rsid w:val="00487524"/>
    <w:rsid w:val="00496106"/>
    <w:rsid w:val="004C12D0"/>
    <w:rsid w:val="004C2EE3"/>
    <w:rsid w:val="004C6934"/>
    <w:rsid w:val="004D01D7"/>
    <w:rsid w:val="004D6D6E"/>
    <w:rsid w:val="004E4A22"/>
    <w:rsid w:val="00510FA2"/>
    <w:rsid w:val="00511968"/>
    <w:rsid w:val="00513185"/>
    <w:rsid w:val="00542839"/>
    <w:rsid w:val="0055614C"/>
    <w:rsid w:val="00562F9B"/>
    <w:rsid w:val="00601B84"/>
    <w:rsid w:val="00603259"/>
    <w:rsid w:val="00607BA5"/>
    <w:rsid w:val="00626EB6"/>
    <w:rsid w:val="006353A3"/>
    <w:rsid w:val="00655D03"/>
    <w:rsid w:val="00683F84"/>
    <w:rsid w:val="006A6A81"/>
    <w:rsid w:val="006A7EC3"/>
    <w:rsid w:val="006E26AF"/>
    <w:rsid w:val="006F7393"/>
    <w:rsid w:val="0070224F"/>
    <w:rsid w:val="007115F7"/>
    <w:rsid w:val="00724CBD"/>
    <w:rsid w:val="00785689"/>
    <w:rsid w:val="0079754B"/>
    <w:rsid w:val="007A1E6D"/>
    <w:rsid w:val="007B1E13"/>
    <w:rsid w:val="00822CE0"/>
    <w:rsid w:val="00826C39"/>
    <w:rsid w:val="00837C62"/>
    <w:rsid w:val="00841AB1"/>
    <w:rsid w:val="00897642"/>
    <w:rsid w:val="008A41DA"/>
    <w:rsid w:val="008C22FD"/>
    <w:rsid w:val="008C3A7F"/>
    <w:rsid w:val="00910F12"/>
    <w:rsid w:val="00926503"/>
    <w:rsid w:val="00930ECF"/>
    <w:rsid w:val="009838BC"/>
    <w:rsid w:val="00A1236F"/>
    <w:rsid w:val="00A13848"/>
    <w:rsid w:val="00A45F4F"/>
    <w:rsid w:val="00A550E5"/>
    <w:rsid w:val="00A600A9"/>
    <w:rsid w:val="00A866AC"/>
    <w:rsid w:val="00AA55B7"/>
    <w:rsid w:val="00AA5B9E"/>
    <w:rsid w:val="00AA7AF7"/>
    <w:rsid w:val="00AB2407"/>
    <w:rsid w:val="00AB53DF"/>
    <w:rsid w:val="00AF5B25"/>
    <w:rsid w:val="00AF6AEE"/>
    <w:rsid w:val="00B07E5C"/>
    <w:rsid w:val="00B20363"/>
    <w:rsid w:val="00B326E3"/>
    <w:rsid w:val="00B43A6A"/>
    <w:rsid w:val="00B811F7"/>
    <w:rsid w:val="00B90C7A"/>
    <w:rsid w:val="00B96415"/>
    <w:rsid w:val="00BA5DC6"/>
    <w:rsid w:val="00BA6196"/>
    <w:rsid w:val="00BA6EA9"/>
    <w:rsid w:val="00BC6D8C"/>
    <w:rsid w:val="00BD5AD0"/>
    <w:rsid w:val="00C16AF2"/>
    <w:rsid w:val="00C34006"/>
    <w:rsid w:val="00C422C7"/>
    <w:rsid w:val="00C426B1"/>
    <w:rsid w:val="00C82B6B"/>
    <w:rsid w:val="00C90D6A"/>
    <w:rsid w:val="00CA61F0"/>
    <w:rsid w:val="00CC72B6"/>
    <w:rsid w:val="00D0218D"/>
    <w:rsid w:val="00D216CD"/>
    <w:rsid w:val="00DA2529"/>
    <w:rsid w:val="00DB130A"/>
    <w:rsid w:val="00DC10A1"/>
    <w:rsid w:val="00DC655F"/>
    <w:rsid w:val="00DD7EBD"/>
    <w:rsid w:val="00DF62B6"/>
    <w:rsid w:val="00E07225"/>
    <w:rsid w:val="00E11DFF"/>
    <w:rsid w:val="00E155B7"/>
    <w:rsid w:val="00E47922"/>
    <w:rsid w:val="00E51282"/>
    <w:rsid w:val="00E5409F"/>
    <w:rsid w:val="00E8482E"/>
    <w:rsid w:val="00EC0185"/>
    <w:rsid w:val="00EF4AB1"/>
    <w:rsid w:val="00F021FA"/>
    <w:rsid w:val="00F06AC3"/>
    <w:rsid w:val="00F57ACA"/>
    <w:rsid w:val="00F62E97"/>
    <w:rsid w:val="00F64209"/>
    <w:rsid w:val="00F8419D"/>
    <w:rsid w:val="00F93BF5"/>
    <w:rsid w:val="00F96F63"/>
    <w:rsid w:val="00FC3AD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BA9152F"/>
  <w15:chartTrackingRefBased/>
  <w15:docId w15:val="{31F000E1-51DC-4E65-89C3-C0EAB7AA9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13"/>
    <w:pPr>
      <w:widowControl w:val="0"/>
    </w:pPr>
    <w:rPr>
      <w:snapToGrid w:val="0"/>
      <w:kern w:val="28"/>
      <w:sz w:val="22"/>
    </w:rPr>
  </w:style>
  <w:style w:type="paragraph" w:styleId="Heading1">
    <w:name w:val="heading 1"/>
    <w:basedOn w:val="Normal"/>
    <w:next w:val="ParaNum"/>
    <w:qFormat/>
    <w:rsid w:val="007B1E1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B1E13"/>
    <w:pPr>
      <w:keepNext/>
      <w:numPr>
        <w:ilvl w:val="1"/>
        <w:numId w:val="3"/>
      </w:numPr>
      <w:spacing w:after="120"/>
      <w:outlineLvl w:val="1"/>
    </w:pPr>
    <w:rPr>
      <w:b/>
    </w:rPr>
  </w:style>
  <w:style w:type="paragraph" w:styleId="Heading3">
    <w:name w:val="heading 3"/>
    <w:basedOn w:val="Normal"/>
    <w:next w:val="ParaNum"/>
    <w:qFormat/>
    <w:rsid w:val="007B1E13"/>
    <w:pPr>
      <w:keepNext/>
      <w:numPr>
        <w:ilvl w:val="2"/>
        <w:numId w:val="3"/>
      </w:numPr>
      <w:tabs>
        <w:tab w:val="left" w:pos="2160"/>
      </w:tabs>
      <w:spacing w:after="120"/>
      <w:outlineLvl w:val="2"/>
    </w:pPr>
    <w:rPr>
      <w:b/>
    </w:rPr>
  </w:style>
  <w:style w:type="paragraph" w:styleId="Heading4">
    <w:name w:val="heading 4"/>
    <w:basedOn w:val="Normal"/>
    <w:next w:val="ParaNum"/>
    <w:qFormat/>
    <w:rsid w:val="007B1E13"/>
    <w:pPr>
      <w:keepNext/>
      <w:numPr>
        <w:ilvl w:val="3"/>
        <w:numId w:val="3"/>
      </w:numPr>
      <w:tabs>
        <w:tab w:val="left" w:pos="2880"/>
      </w:tabs>
      <w:spacing w:after="120"/>
      <w:outlineLvl w:val="3"/>
    </w:pPr>
    <w:rPr>
      <w:b/>
    </w:rPr>
  </w:style>
  <w:style w:type="paragraph" w:styleId="Heading5">
    <w:name w:val="heading 5"/>
    <w:basedOn w:val="Normal"/>
    <w:next w:val="ParaNum"/>
    <w:qFormat/>
    <w:rsid w:val="007B1E1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B1E13"/>
    <w:pPr>
      <w:numPr>
        <w:ilvl w:val="5"/>
        <w:numId w:val="3"/>
      </w:numPr>
      <w:tabs>
        <w:tab w:val="left" w:pos="4320"/>
      </w:tabs>
      <w:spacing w:after="120"/>
      <w:outlineLvl w:val="5"/>
    </w:pPr>
    <w:rPr>
      <w:b/>
    </w:rPr>
  </w:style>
  <w:style w:type="paragraph" w:styleId="Heading7">
    <w:name w:val="heading 7"/>
    <w:basedOn w:val="Normal"/>
    <w:next w:val="ParaNum"/>
    <w:qFormat/>
    <w:rsid w:val="007B1E1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B1E1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B1E1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7B1E1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7B1E13"/>
  </w:style>
  <w:style w:type="paragraph" w:customStyle="1" w:styleId="ParaNum">
    <w:name w:val="ParaNum"/>
    <w:basedOn w:val="Normal"/>
    <w:rsid w:val="007B1E13"/>
    <w:pPr>
      <w:numPr>
        <w:numId w:val="2"/>
      </w:numPr>
      <w:tabs>
        <w:tab w:val="clear" w:pos="1080"/>
        <w:tab w:val="num" w:pos="1440"/>
      </w:tabs>
      <w:spacing w:after="120"/>
    </w:pPr>
  </w:style>
  <w:style w:type="paragraph" w:styleId="EndnoteText">
    <w:name w:val="endnote text"/>
    <w:basedOn w:val="Normal"/>
    <w:semiHidden/>
    <w:rsid w:val="007B1E13"/>
    <w:rPr>
      <w:sz w:val="20"/>
    </w:rPr>
  </w:style>
  <w:style w:type="character" w:styleId="EndnoteReference">
    <w:name w:val="endnote reference"/>
    <w:semiHidden/>
    <w:rsid w:val="007B1E13"/>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fn Char1"/>
    <w:link w:val="FootnoteTextChar2"/>
    <w:rsid w:val="007B1E13"/>
    <w:pPr>
      <w:spacing w:after="120"/>
    </w:pPr>
  </w:style>
  <w:style w:type="character" w:styleId="FootnoteReference">
    <w:name w:val="footnote reference"/>
    <w:aliases w:val="(NECG) Footnote Reference,Appel note de bas de p,FR,Footnote Reference/,Style 12,Style 124,Style 13,Style 17,Style 3,Style 6,Style 7,fr,o"/>
    <w:rsid w:val="007B1E13"/>
    <w:rPr>
      <w:rFonts w:ascii="Times New Roman" w:hAnsi="Times New Roman"/>
      <w:dstrike w:val="0"/>
      <w:color w:val="auto"/>
      <w:sz w:val="22"/>
      <w:vertAlign w:val="superscript"/>
    </w:rPr>
  </w:style>
  <w:style w:type="paragraph" w:styleId="TOC1">
    <w:name w:val="toc 1"/>
    <w:basedOn w:val="Normal"/>
    <w:next w:val="Normal"/>
    <w:uiPriority w:val="39"/>
    <w:rsid w:val="007B1E1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B1E13"/>
    <w:pPr>
      <w:tabs>
        <w:tab w:val="left" w:pos="720"/>
        <w:tab w:val="right" w:leader="dot" w:pos="9360"/>
      </w:tabs>
      <w:suppressAutoHyphens/>
      <w:ind w:left="720" w:right="720" w:hanging="360"/>
    </w:pPr>
    <w:rPr>
      <w:noProof/>
    </w:rPr>
  </w:style>
  <w:style w:type="paragraph" w:styleId="TOC3">
    <w:name w:val="toc 3"/>
    <w:basedOn w:val="Normal"/>
    <w:next w:val="Normal"/>
    <w:semiHidden/>
    <w:rsid w:val="007B1E1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B1E1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B1E1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B1E1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B1E1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B1E1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B1E1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B1E13"/>
    <w:pPr>
      <w:tabs>
        <w:tab w:val="right" w:pos="9360"/>
      </w:tabs>
      <w:suppressAutoHyphens/>
    </w:pPr>
  </w:style>
  <w:style w:type="character" w:customStyle="1" w:styleId="EquationCaption">
    <w:name w:val="_Equation Caption"/>
    <w:rsid w:val="007B1E13"/>
  </w:style>
  <w:style w:type="paragraph" w:styleId="Header">
    <w:name w:val="header"/>
    <w:basedOn w:val="Normal"/>
    <w:autoRedefine/>
    <w:rsid w:val="007B1E13"/>
    <w:pPr>
      <w:tabs>
        <w:tab w:val="center" w:pos="4680"/>
        <w:tab w:val="right" w:pos="9360"/>
      </w:tabs>
    </w:pPr>
    <w:rPr>
      <w:rFonts w:ascii="Arial" w:hAnsi="Arial" w:cs="Arial"/>
      <w:b/>
      <w:sz w:val="96"/>
      <w:szCs w:val="96"/>
    </w:rPr>
  </w:style>
  <w:style w:type="paragraph" w:styleId="Footer">
    <w:name w:val="footer"/>
    <w:basedOn w:val="Normal"/>
    <w:link w:val="FooterChar"/>
    <w:uiPriority w:val="99"/>
    <w:rsid w:val="007B1E13"/>
    <w:pPr>
      <w:tabs>
        <w:tab w:val="center" w:pos="4320"/>
        <w:tab w:val="right" w:pos="8640"/>
      </w:tabs>
    </w:pPr>
  </w:style>
  <w:style w:type="character" w:styleId="PageNumber">
    <w:name w:val="page number"/>
    <w:basedOn w:val="DefaultParagraphFont"/>
    <w:rsid w:val="007B1E13"/>
  </w:style>
  <w:style w:type="paragraph" w:styleId="BlockText">
    <w:name w:val="Block Text"/>
    <w:basedOn w:val="Normal"/>
    <w:rsid w:val="007B1E13"/>
    <w:pPr>
      <w:spacing w:after="240"/>
      <w:ind w:left="1440" w:right="1440"/>
    </w:pPr>
  </w:style>
  <w:style w:type="paragraph" w:customStyle="1" w:styleId="Paratitle">
    <w:name w:val="Para title"/>
    <w:basedOn w:val="Normal"/>
    <w:rsid w:val="007B1E13"/>
    <w:pPr>
      <w:tabs>
        <w:tab w:val="center" w:pos="9270"/>
      </w:tabs>
      <w:spacing w:after="240"/>
    </w:pPr>
    <w:rPr>
      <w:spacing w:val="-2"/>
    </w:rPr>
  </w:style>
  <w:style w:type="paragraph" w:customStyle="1" w:styleId="Bullet">
    <w:name w:val="Bullet"/>
    <w:basedOn w:val="Normal"/>
    <w:rsid w:val="007B1E13"/>
    <w:pPr>
      <w:numPr>
        <w:numId w:val="1"/>
      </w:numPr>
      <w:tabs>
        <w:tab w:val="clear" w:pos="360"/>
        <w:tab w:val="left" w:pos="2160"/>
      </w:tabs>
      <w:spacing w:after="220"/>
      <w:ind w:left="2160" w:hanging="720"/>
    </w:pPr>
  </w:style>
  <w:style w:type="paragraph" w:customStyle="1" w:styleId="TableFormat">
    <w:name w:val="TableFormat"/>
    <w:basedOn w:val="Bullet"/>
    <w:rsid w:val="007B1E13"/>
    <w:pPr>
      <w:numPr>
        <w:numId w:val="0"/>
      </w:numPr>
      <w:tabs>
        <w:tab w:val="clear" w:pos="2160"/>
        <w:tab w:val="left" w:pos="5040"/>
      </w:tabs>
      <w:ind w:left="5040" w:hanging="3600"/>
    </w:pPr>
  </w:style>
  <w:style w:type="paragraph" w:customStyle="1" w:styleId="TOCTitle">
    <w:name w:val="TOC Title"/>
    <w:basedOn w:val="Normal"/>
    <w:rsid w:val="007B1E1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B1E13"/>
    <w:pPr>
      <w:jc w:val="center"/>
    </w:pPr>
    <w:rPr>
      <w:rFonts w:ascii="Times New Roman Bold" w:hAnsi="Times New Roman Bold"/>
      <w:b/>
      <w:bCs/>
      <w:caps/>
      <w:szCs w:val="22"/>
    </w:rPr>
  </w:style>
  <w:style w:type="character" w:styleId="Hyperlink">
    <w:name w:val="Hyperlink"/>
    <w:rsid w:val="007B1E13"/>
    <w:rPr>
      <w:color w:val="0000FF"/>
      <w:u w:val="single"/>
    </w:rPr>
  </w:style>
  <w:style w:type="character" w:customStyle="1" w:styleId="FooterChar">
    <w:name w:val="Footer Char"/>
    <w:link w:val="Footer"/>
    <w:uiPriority w:val="99"/>
    <w:rsid w:val="007B1E13"/>
    <w:rPr>
      <w:snapToGrid w:val="0"/>
      <w:kern w:val="28"/>
      <w:sz w:val="22"/>
    </w:rPr>
  </w:style>
  <w:style w:type="character" w:customStyle="1" w:styleId="UnresolvedMention">
    <w:name w:val="Unresolved Mention"/>
    <w:uiPriority w:val="99"/>
    <w:unhideWhenUsed/>
    <w:rsid w:val="007B1E13"/>
    <w:rPr>
      <w:color w:val="605E5C"/>
      <w:shd w:val="clear" w:color="auto" w:fill="E1DFDD"/>
    </w:rPr>
  </w:style>
  <w:style w:type="paragraph" w:customStyle="1" w:styleId="paragraph">
    <w:name w:val="paragraph"/>
    <w:basedOn w:val="Normal"/>
    <w:rsid w:val="00E8482E"/>
    <w:pPr>
      <w:widowControl/>
    </w:pPr>
    <w:rPr>
      <w:snapToGrid/>
      <w:kern w:val="0"/>
      <w:sz w:val="24"/>
      <w:szCs w:val="24"/>
    </w:rPr>
  </w:style>
  <w:style w:type="character" w:customStyle="1" w:styleId="normaltextrun">
    <w:name w:val="normaltextrun"/>
    <w:rsid w:val="00E8482E"/>
  </w:style>
  <w:style w:type="character" w:customStyle="1" w:styleId="FootnoteTextChar2">
    <w:name w:val="Footnote Text Char2"/>
    <w:aliases w:val="ALTS FOOTNOTE Char Char Char,ALTS FOOTNOTE Char Char Char Char Char,Footnote Text Char Char Char,Footnote Text Char Char Char Char Char,Footnote Text Char Char1,Footnote Text Char1 Char,Footnote Text Char1 Char Char Char,f Char"/>
    <w:link w:val="FootnoteText"/>
    <w:locked/>
    <w:rsid w:val="00E8482E"/>
  </w:style>
  <w:style w:type="character" w:styleId="FollowedHyperlink">
    <w:name w:val="FollowedHyperlink"/>
    <w:uiPriority w:val="99"/>
    <w:semiHidden/>
    <w:unhideWhenUsed/>
    <w:rsid w:val="00EF4AB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docs.fcc.gov/public/attachments/DOC-357433A1.xlsx" TargetMode="External" /><Relationship Id="rId6" Type="http://schemas.openxmlformats.org/officeDocument/2006/relationships/hyperlink" Target="mailto:Stephen.Wang@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