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05B95C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48E7E7E" w14:textId="77777777">
      <w:pPr>
        <w:pStyle w:val="StyleBoldCentered"/>
      </w:pPr>
      <w:r>
        <w:t>F</w:t>
      </w:r>
      <w:r>
        <w:rPr>
          <w:caps w:val="0"/>
        </w:rPr>
        <w:t>ederal Communications Commission</w:t>
      </w:r>
    </w:p>
    <w:p w:rsidR="004C2EE3" w:rsidP="00096D8C" w14:paraId="6997510F" w14:textId="77777777">
      <w:pPr>
        <w:pStyle w:val="StyleBoldCentered"/>
      </w:pPr>
      <w:r>
        <w:rPr>
          <w:caps w:val="0"/>
        </w:rPr>
        <w:t>Washington, D.C. 20554</w:t>
      </w:r>
    </w:p>
    <w:p w:rsidR="004C2EE3" w:rsidP="0070224F" w14:paraId="6D0D8982" w14:textId="77777777"/>
    <w:p w:rsidR="004C2EE3" w:rsidP="0070224F" w14:paraId="3B6130FF" w14:textId="77777777"/>
    <w:tbl>
      <w:tblPr>
        <w:tblW w:w="0" w:type="auto"/>
        <w:tblLayout w:type="fixed"/>
        <w:tblLook w:val="0000"/>
      </w:tblPr>
      <w:tblGrid>
        <w:gridCol w:w="4698"/>
        <w:gridCol w:w="630"/>
        <w:gridCol w:w="4248"/>
      </w:tblGrid>
      <w:tr w14:paraId="4A7BD2E1" w14:textId="77777777">
        <w:tblPrEx>
          <w:tblW w:w="0" w:type="auto"/>
          <w:tblLayout w:type="fixed"/>
          <w:tblLook w:val="0000"/>
        </w:tblPrEx>
        <w:tc>
          <w:tcPr>
            <w:tcW w:w="4698" w:type="dxa"/>
          </w:tcPr>
          <w:p w:rsidR="004C2EE3" w14:paraId="1AA1685A" w14:textId="77777777">
            <w:pPr>
              <w:tabs>
                <w:tab w:val="center" w:pos="4680"/>
              </w:tabs>
              <w:suppressAutoHyphens/>
              <w:rPr>
                <w:spacing w:val="-2"/>
              </w:rPr>
            </w:pPr>
            <w:r>
              <w:rPr>
                <w:spacing w:val="-2"/>
              </w:rPr>
              <w:t>In the Matter of</w:t>
            </w:r>
          </w:p>
          <w:p w:rsidR="004C2EE3" w14:paraId="3D2D03A3" w14:textId="77777777">
            <w:pPr>
              <w:tabs>
                <w:tab w:val="center" w:pos="4680"/>
              </w:tabs>
              <w:suppressAutoHyphens/>
              <w:rPr>
                <w:spacing w:val="-2"/>
              </w:rPr>
            </w:pPr>
          </w:p>
          <w:p w:rsidR="004C2EE3" w:rsidP="007115F7" w14:paraId="02F14DE0" w14:textId="18FCBDFE">
            <w:pPr>
              <w:tabs>
                <w:tab w:val="center" w:pos="4680"/>
              </w:tabs>
              <w:suppressAutoHyphens/>
              <w:rPr>
                <w:spacing w:val="-2"/>
              </w:rPr>
            </w:pPr>
            <w:r>
              <w:rPr>
                <w:spacing w:val="-2"/>
              </w:rPr>
              <w:t>YOCHA DEHE WINTUN NATION</w:t>
            </w:r>
          </w:p>
          <w:p w:rsidR="00D747E7" w:rsidP="007115F7" w14:paraId="7E452CB0" w14:textId="77777777">
            <w:pPr>
              <w:tabs>
                <w:tab w:val="center" w:pos="4680"/>
              </w:tabs>
              <w:suppressAutoHyphens/>
              <w:rPr>
                <w:spacing w:val="-2"/>
              </w:rPr>
            </w:pPr>
          </w:p>
          <w:p w:rsidR="00D747E7" w:rsidRPr="00D747E7" w:rsidP="00D747E7" w14:paraId="3ED0637C" w14:textId="33A863F7">
            <w:r>
              <w:t xml:space="preserve">Request for Waiver </w:t>
            </w:r>
            <w:r w:rsidR="00F31D37">
              <w:t>of Tribal Land</w:t>
            </w:r>
            <w:r w:rsidR="004058C5">
              <w:t>s</w:t>
            </w:r>
            <w:r w:rsidR="00F31D37">
              <w:t xml:space="preserve"> Definition</w:t>
            </w:r>
            <w:r>
              <w:t xml:space="preserve"> in the 2.5 GHz Tribal Priority Window</w:t>
            </w:r>
          </w:p>
        </w:tc>
        <w:tc>
          <w:tcPr>
            <w:tcW w:w="630" w:type="dxa"/>
          </w:tcPr>
          <w:p w:rsidR="004C2EE3" w14:paraId="5B856D14" w14:textId="77777777">
            <w:pPr>
              <w:tabs>
                <w:tab w:val="center" w:pos="4680"/>
              </w:tabs>
              <w:suppressAutoHyphens/>
              <w:rPr>
                <w:b/>
                <w:spacing w:val="-2"/>
              </w:rPr>
            </w:pPr>
            <w:r>
              <w:rPr>
                <w:b/>
                <w:spacing w:val="-2"/>
              </w:rPr>
              <w:t>)</w:t>
            </w:r>
          </w:p>
          <w:p w:rsidR="004C2EE3" w14:paraId="28B67AB9" w14:textId="77777777">
            <w:pPr>
              <w:tabs>
                <w:tab w:val="center" w:pos="4680"/>
              </w:tabs>
              <w:suppressAutoHyphens/>
              <w:rPr>
                <w:b/>
                <w:spacing w:val="-2"/>
              </w:rPr>
            </w:pPr>
            <w:r>
              <w:rPr>
                <w:b/>
                <w:spacing w:val="-2"/>
              </w:rPr>
              <w:t>)</w:t>
            </w:r>
          </w:p>
          <w:p w:rsidR="004C2EE3" w14:paraId="7B8ED89B" w14:textId="77777777">
            <w:pPr>
              <w:tabs>
                <w:tab w:val="center" w:pos="4680"/>
              </w:tabs>
              <w:suppressAutoHyphens/>
              <w:rPr>
                <w:b/>
                <w:spacing w:val="-2"/>
              </w:rPr>
            </w:pPr>
            <w:r>
              <w:rPr>
                <w:b/>
                <w:spacing w:val="-2"/>
              </w:rPr>
              <w:t>)</w:t>
            </w:r>
          </w:p>
          <w:p w:rsidR="004C2EE3" w14:paraId="3218A480" w14:textId="77777777">
            <w:pPr>
              <w:tabs>
                <w:tab w:val="center" w:pos="4680"/>
              </w:tabs>
              <w:suppressAutoHyphens/>
              <w:rPr>
                <w:b/>
                <w:spacing w:val="-2"/>
              </w:rPr>
            </w:pPr>
            <w:r>
              <w:rPr>
                <w:b/>
                <w:spacing w:val="-2"/>
              </w:rPr>
              <w:t>)</w:t>
            </w:r>
          </w:p>
          <w:p w:rsidR="004C2EE3" w14:paraId="766B9571" w14:textId="77777777">
            <w:pPr>
              <w:tabs>
                <w:tab w:val="center" w:pos="4680"/>
              </w:tabs>
              <w:suppressAutoHyphens/>
              <w:rPr>
                <w:b/>
                <w:spacing w:val="-2"/>
              </w:rPr>
            </w:pPr>
            <w:r>
              <w:rPr>
                <w:b/>
                <w:spacing w:val="-2"/>
              </w:rPr>
              <w:t>)</w:t>
            </w:r>
          </w:p>
          <w:p w:rsidR="004C2EE3" w14:paraId="1851132E" w14:textId="77777777">
            <w:pPr>
              <w:tabs>
                <w:tab w:val="center" w:pos="4680"/>
              </w:tabs>
              <w:suppressAutoHyphens/>
              <w:rPr>
                <w:b/>
                <w:spacing w:val="-2"/>
              </w:rPr>
            </w:pPr>
            <w:r>
              <w:rPr>
                <w:b/>
                <w:spacing w:val="-2"/>
              </w:rPr>
              <w:t>)</w:t>
            </w:r>
          </w:p>
          <w:p w:rsidR="004C2EE3" w14:paraId="733560B5" w14:textId="36DF7AB0">
            <w:pPr>
              <w:tabs>
                <w:tab w:val="center" w:pos="4680"/>
              </w:tabs>
              <w:suppressAutoHyphens/>
              <w:rPr>
                <w:spacing w:val="-2"/>
              </w:rPr>
            </w:pPr>
          </w:p>
        </w:tc>
        <w:tc>
          <w:tcPr>
            <w:tcW w:w="4248" w:type="dxa"/>
          </w:tcPr>
          <w:p w:rsidR="004C2EE3" w14:paraId="61CBEA60" w14:textId="77777777">
            <w:pPr>
              <w:tabs>
                <w:tab w:val="center" w:pos="4680"/>
              </w:tabs>
              <w:suppressAutoHyphens/>
              <w:rPr>
                <w:spacing w:val="-2"/>
              </w:rPr>
            </w:pPr>
          </w:p>
          <w:p w:rsidR="004C2EE3" w14:paraId="66EB50FF" w14:textId="77777777">
            <w:pPr>
              <w:pStyle w:val="TOAHeading"/>
              <w:tabs>
                <w:tab w:val="center" w:pos="4680"/>
                <w:tab w:val="clear" w:pos="9360"/>
              </w:tabs>
              <w:rPr>
                <w:spacing w:val="-2"/>
              </w:rPr>
            </w:pPr>
          </w:p>
          <w:p w:rsidR="004C2EE3" w14:paraId="6C8F2498" w14:textId="74DBA0DC">
            <w:pPr>
              <w:tabs>
                <w:tab w:val="center" w:pos="4680"/>
              </w:tabs>
              <w:suppressAutoHyphens/>
              <w:rPr>
                <w:spacing w:val="-2"/>
              </w:rPr>
            </w:pPr>
            <w:r>
              <w:rPr>
                <w:spacing w:val="-2"/>
              </w:rPr>
              <w:t>ULS File No.</w:t>
            </w:r>
            <w:r w:rsidR="00C231C9">
              <w:rPr>
                <w:spacing w:val="-2"/>
              </w:rPr>
              <w:t xml:space="preserve"> </w:t>
            </w:r>
            <w:r w:rsidRPr="00F31D37" w:rsidR="00F31D37">
              <w:rPr>
                <w:spacing w:val="-2"/>
              </w:rPr>
              <w:t>0009158592 </w:t>
            </w:r>
          </w:p>
        </w:tc>
      </w:tr>
    </w:tbl>
    <w:p w:rsidR="004C2EE3" w:rsidP="0070224F" w14:paraId="0B55DEBA" w14:textId="77777777"/>
    <w:p w:rsidR="00841AB1" w:rsidP="00F021FA" w14:paraId="784E4901" w14:textId="77777777">
      <w:pPr>
        <w:pStyle w:val="StyleBoldCentered"/>
      </w:pPr>
      <w:r>
        <w:t>Memorandum Opinion and Order</w:t>
      </w:r>
    </w:p>
    <w:p w:rsidR="004C2EE3" w14:paraId="6E53977B" w14:textId="77777777">
      <w:pPr>
        <w:tabs>
          <w:tab w:val="left" w:pos="-720"/>
        </w:tabs>
        <w:suppressAutoHyphens/>
        <w:spacing w:line="227" w:lineRule="auto"/>
        <w:rPr>
          <w:spacing w:val="-2"/>
        </w:rPr>
      </w:pPr>
    </w:p>
    <w:p w:rsidR="004C2EE3" w:rsidP="00133F79" w14:paraId="17E74E16" w14:textId="5E46CDF9">
      <w:pPr>
        <w:tabs>
          <w:tab w:val="left" w:pos="720"/>
          <w:tab w:val="right" w:pos="9360"/>
        </w:tabs>
        <w:suppressAutoHyphens/>
        <w:spacing w:line="227" w:lineRule="auto"/>
        <w:rPr>
          <w:spacing w:val="-2"/>
        </w:rPr>
      </w:pPr>
      <w:r>
        <w:rPr>
          <w:b/>
          <w:spacing w:val="-2"/>
        </w:rPr>
        <w:t xml:space="preserve">Adopted:  </w:t>
      </w:r>
      <w:r w:rsidR="000F352C">
        <w:rPr>
          <w:b/>
          <w:spacing w:val="-2"/>
        </w:rPr>
        <w:t xml:space="preserve">January </w:t>
      </w:r>
      <w:r w:rsidR="00DF5C28">
        <w:rPr>
          <w:b/>
          <w:spacing w:val="-2"/>
        </w:rPr>
        <w:t>19</w:t>
      </w:r>
      <w:r w:rsidR="00585301">
        <w:rPr>
          <w:b/>
          <w:spacing w:val="-2"/>
        </w:rPr>
        <w:t>, 202</w:t>
      </w:r>
      <w:r w:rsidR="000F352C">
        <w:rPr>
          <w:b/>
          <w:spacing w:val="-2"/>
        </w:rPr>
        <w:t>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F352C">
        <w:rPr>
          <w:b/>
          <w:spacing w:val="-2"/>
        </w:rPr>
        <w:t xml:space="preserve">January </w:t>
      </w:r>
      <w:r w:rsidR="00DF5C28">
        <w:rPr>
          <w:b/>
          <w:spacing w:val="-2"/>
        </w:rPr>
        <w:t>19</w:t>
      </w:r>
      <w:r w:rsidRPr="0084013F" w:rsidR="00585301">
        <w:rPr>
          <w:b/>
          <w:spacing w:val="-2"/>
        </w:rPr>
        <w:t>,</w:t>
      </w:r>
      <w:r w:rsidR="00585301">
        <w:rPr>
          <w:b/>
          <w:spacing w:val="-2"/>
        </w:rPr>
        <w:t xml:space="preserve"> 202</w:t>
      </w:r>
      <w:r w:rsidR="000F352C">
        <w:rPr>
          <w:b/>
          <w:spacing w:val="-2"/>
        </w:rPr>
        <w:t>1</w:t>
      </w:r>
    </w:p>
    <w:p w:rsidR="00822CE0" w14:paraId="1FAB53F9" w14:textId="77777777"/>
    <w:p w:rsidR="004C2EE3" w14:paraId="0AC130DB" w14:textId="77777777">
      <w:pPr>
        <w:rPr>
          <w:spacing w:val="-2"/>
        </w:rPr>
      </w:pPr>
      <w:r>
        <w:t xml:space="preserve">By </w:t>
      </w:r>
      <w:r w:rsidR="004E4A22">
        <w:t>the</w:t>
      </w:r>
      <w:r w:rsidR="002A2D2E">
        <w:t xml:space="preserve"> </w:t>
      </w:r>
      <w:r w:rsidR="001077D3">
        <w:rPr>
          <w:spacing w:val="-2"/>
        </w:rPr>
        <w:t>Chief, Wireless Telecommunications Bureau</w:t>
      </w:r>
      <w:r>
        <w:rPr>
          <w:spacing w:val="-2"/>
        </w:rPr>
        <w:t>:</w:t>
      </w:r>
    </w:p>
    <w:p w:rsidR="00822CE0" w14:paraId="307BFA48" w14:textId="77777777">
      <w:pPr>
        <w:rPr>
          <w:spacing w:val="-2"/>
        </w:rPr>
      </w:pPr>
    </w:p>
    <w:p w:rsidR="00412FC5" w:rsidP="00C36B4C" w14:paraId="1F3D62E4" w14:textId="77777777">
      <w:pPr>
        <w:pStyle w:val="Heading1"/>
      </w:pPr>
      <w:r>
        <w:t>Introduction</w:t>
      </w:r>
    </w:p>
    <w:p w:rsidR="005B0BF6" w:rsidP="005B0BF6" w14:paraId="11078A4A" w14:textId="1BC0920A">
      <w:pPr>
        <w:pStyle w:val="ParaNum"/>
      </w:pPr>
      <w:r>
        <w:t xml:space="preserve">On </w:t>
      </w:r>
      <w:r w:rsidR="000F352C">
        <w:t>July 24</w:t>
      </w:r>
      <w:r>
        <w:t xml:space="preserve">, 2020, the </w:t>
      </w:r>
      <w:r w:rsidR="000F352C">
        <w:t>Yocha Dehe Wintun Nation (Yocha Dehe</w:t>
      </w:r>
      <w:r w:rsidR="00E40631">
        <w:t xml:space="preserve"> or “the Tribe”</w:t>
      </w:r>
      <w:r w:rsidR="000F352C">
        <w:t>)</w:t>
      </w:r>
      <w:r w:rsidR="00A36044">
        <w:t xml:space="preserve"> submitted</w:t>
      </w:r>
      <w:r w:rsidR="009862E0">
        <w:t xml:space="preserve"> a </w:t>
      </w:r>
      <w:r w:rsidR="000F352C">
        <w:t xml:space="preserve">request </w:t>
      </w:r>
      <w:r w:rsidR="009862E0">
        <w:t xml:space="preserve">for </w:t>
      </w:r>
      <w:r w:rsidR="000F352C">
        <w:rPr>
          <w:szCs w:val="22"/>
        </w:rPr>
        <w:t xml:space="preserve">waiver </w:t>
      </w:r>
      <w:r w:rsidRPr="0063040D" w:rsidR="000F352C">
        <w:rPr>
          <w:szCs w:val="22"/>
        </w:rPr>
        <w:t xml:space="preserve">of </w:t>
      </w:r>
      <w:r w:rsidR="00344F69">
        <w:rPr>
          <w:szCs w:val="22"/>
        </w:rPr>
        <w:t>s</w:t>
      </w:r>
      <w:r w:rsidRPr="0063040D" w:rsidR="000F352C">
        <w:rPr>
          <w:szCs w:val="22"/>
        </w:rPr>
        <w:t>ection 27.1204(b)(2) of the Commission’s rules</w:t>
      </w:r>
      <w:r w:rsidR="000F352C">
        <w:rPr>
          <w:szCs w:val="22"/>
        </w:rPr>
        <w:t>,</w:t>
      </w:r>
      <w:r>
        <w:rPr>
          <w:rStyle w:val="FootnoteReference"/>
          <w:szCs w:val="22"/>
        </w:rPr>
        <w:footnoteReference w:id="3"/>
      </w:r>
      <w:r w:rsidR="000F352C">
        <w:rPr>
          <w:szCs w:val="22"/>
        </w:rPr>
        <w:t xml:space="preserve"> which</w:t>
      </w:r>
      <w:r w:rsidRPr="0063040D" w:rsidR="000F352C">
        <w:rPr>
          <w:szCs w:val="22"/>
        </w:rPr>
        <w:t xml:space="preserve"> defin</w:t>
      </w:r>
      <w:r w:rsidR="000F352C">
        <w:rPr>
          <w:szCs w:val="22"/>
        </w:rPr>
        <w:t>es</w:t>
      </w:r>
      <w:r w:rsidRPr="0063040D" w:rsidR="000F352C">
        <w:rPr>
          <w:szCs w:val="22"/>
        </w:rPr>
        <w:t xml:space="preserve"> eligible Tribal lands for purposes of the </w:t>
      </w:r>
      <w:r w:rsidR="00D9073C">
        <w:rPr>
          <w:szCs w:val="22"/>
        </w:rPr>
        <w:t xml:space="preserve">2.5 GHz Rural Tribal Priority </w:t>
      </w:r>
      <w:r w:rsidRPr="0063040D" w:rsidR="000F352C">
        <w:rPr>
          <w:szCs w:val="22"/>
        </w:rPr>
        <w:t xml:space="preserve">Window </w:t>
      </w:r>
      <w:r w:rsidR="00D9073C">
        <w:rPr>
          <w:szCs w:val="22"/>
        </w:rPr>
        <w:t>(</w:t>
      </w:r>
      <w:r w:rsidR="00C43CF2">
        <w:rPr>
          <w:szCs w:val="22"/>
        </w:rPr>
        <w:t xml:space="preserve">Tribal </w:t>
      </w:r>
      <w:r w:rsidR="00D9073C">
        <w:rPr>
          <w:szCs w:val="22"/>
        </w:rPr>
        <w:t xml:space="preserve">Window) </w:t>
      </w:r>
      <w:r w:rsidR="000F352C">
        <w:rPr>
          <w:szCs w:val="22"/>
        </w:rPr>
        <w:t xml:space="preserve">in relevant part </w:t>
      </w:r>
      <w:r w:rsidRPr="0063040D" w:rsidR="000F352C">
        <w:rPr>
          <w:szCs w:val="22"/>
        </w:rPr>
        <w:t>as</w:t>
      </w:r>
      <w:r w:rsidRPr="00212B92" w:rsidR="000F352C">
        <w:rPr>
          <w:szCs w:val="22"/>
        </w:rPr>
        <w:t xml:space="preserve"> </w:t>
      </w:r>
      <w:r w:rsidR="000F352C">
        <w:rPr>
          <w:szCs w:val="22"/>
        </w:rPr>
        <w:t>“</w:t>
      </w:r>
      <w:r w:rsidRPr="00212B92" w:rsidR="000F352C">
        <w:rPr>
          <w:szCs w:val="22"/>
        </w:rPr>
        <w:t>any federally recognized Indian Tribe’s reservation, pueblo or colony, including former reservations in Oklahoma, Alaska Native regions established pursuant to the Alaska Native Claims Settlement Act (85 Stat. 688) and Indian Allotments, see §54.400(e) of this chapter, as well as Hawaiian Home Lands—areas held in trust for native Hawaiians by the State of Hawai’i, pursuant to the Hawaiian Homes Commission Act, 1920, July 9, 1921, 42 Stat 108, et seq., as amended.”</w:t>
      </w:r>
      <w:r>
        <w:rPr>
          <w:rStyle w:val="FootnoteReference"/>
          <w:szCs w:val="22"/>
        </w:rPr>
        <w:footnoteReference w:id="4"/>
      </w:r>
      <w:r w:rsidR="000F352C">
        <w:rPr>
          <w:szCs w:val="22"/>
        </w:rPr>
        <w:t xml:space="preserve">  </w:t>
      </w:r>
      <w:r w:rsidR="00563780">
        <w:t xml:space="preserve">In this </w:t>
      </w:r>
      <w:r w:rsidR="00563780">
        <w:rPr>
          <w:i/>
          <w:iCs/>
        </w:rPr>
        <w:t>Memorandum Opinion and Order</w:t>
      </w:r>
      <w:r w:rsidR="00563780">
        <w:t xml:space="preserve">, we </w:t>
      </w:r>
      <w:r w:rsidR="000F352C">
        <w:t xml:space="preserve">grant Yocha Dehe’s </w:t>
      </w:r>
      <w:r w:rsidR="00C43CF2">
        <w:t>w</w:t>
      </w:r>
      <w:r w:rsidR="000F352C">
        <w:t xml:space="preserve">aiver </w:t>
      </w:r>
      <w:r w:rsidR="00C43CF2">
        <w:t>r</w:t>
      </w:r>
      <w:r w:rsidR="000F352C">
        <w:t xml:space="preserve">equest </w:t>
      </w:r>
      <w:r w:rsidR="00B220B6">
        <w:t xml:space="preserve">because it </w:t>
      </w:r>
      <w:r w:rsidR="00A36044">
        <w:t>meet</w:t>
      </w:r>
      <w:r w:rsidR="000F352C">
        <w:t>s</w:t>
      </w:r>
      <w:r w:rsidR="00A36044">
        <w:t xml:space="preserve"> the Commission’s waiver standard.</w:t>
      </w:r>
      <w:r>
        <w:rPr>
          <w:rStyle w:val="FootnoteReference"/>
        </w:rPr>
        <w:footnoteReference w:id="5"/>
      </w:r>
      <w:r w:rsidR="00A36044">
        <w:t xml:space="preserve"> </w:t>
      </w:r>
      <w:r w:rsidR="001B728F">
        <w:t xml:space="preserve"> </w:t>
      </w:r>
    </w:p>
    <w:p w:rsidR="00C1480C" w:rsidP="00C1480C" w14:paraId="6950FAF8" w14:textId="77777777">
      <w:pPr>
        <w:pStyle w:val="Heading1"/>
      </w:pPr>
      <w:r>
        <w:t>Background</w:t>
      </w:r>
    </w:p>
    <w:p w:rsidR="001101B9" w:rsidP="002949DD" w14:paraId="62B8DDE0" w14:textId="576CCE04">
      <w:pPr>
        <w:pStyle w:val="ParaNum"/>
      </w:pPr>
      <w:r>
        <w:t>In July 2019, the Commission approved an order modernizing the portion of the 2.5 GHz band</w:t>
      </w:r>
      <w:r w:rsidR="00E03C17">
        <w:t xml:space="preserve"> formerly</w:t>
      </w:r>
      <w:r>
        <w:t xml:space="preserve"> known as the Educational Broadband Service.</w:t>
      </w:r>
      <w:r>
        <w:rPr>
          <w:rStyle w:val="FootnoteReference"/>
        </w:rPr>
        <w:footnoteReference w:id="6"/>
      </w:r>
      <w:r w:rsidR="00782BE3">
        <w:t xml:space="preserve"> </w:t>
      </w:r>
      <w:r>
        <w:t xml:space="preserve"> Among other things, the order created a</w:t>
      </w:r>
      <w:r w:rsidR="00782BE3">
        <w:t xml:space="preserve"> </w:t>
      </w:r>
      <w:r w:rsidR="001B728F">
        <w:t xml:space="preserve">Rural </w:t>
      </w:r>
      <w:r w:rsidR="00B1660A">
        <w:t>Tribal Priority Window</w:t>
      </w:r>
      <w:r>
        <w:t xml:space="preserve"> during which eligible Tribal entities </w:t>
      </w:r>
      <w:r w:rsidR="001D28CD">
        <w:t xml:space="preserve">could </w:t>
      </w:r>
      <w:r>
        <w:t xml:space="preserve">apply for licenses for currently unassigned </w:t>
      </w:r>
      <w:r w:rsidR="00A82B62">
        <w:t xml:space="preserve">2.5 GHz </w:t>
      </w:r>
      <w:r>
        <w:t xml:space="preserve">spectrum. </w:t>
      </w:r>
      <w:r w:rsidR="00E00466">
        <w:t xml:space="preserve"> </w:t>
      </w:r>
      <w:r>
        <w:t xml:space="preserve">To obtain a license in the </w:t>
      </w:r>
      <w:r w:rsidR="00E00466">
        <w:t xml:space="preserve">Rural </w:t>
      </w:r>
      <w:r w:rsidR="00B1660A">
        <w:t>Tribal Priority Window</w:t>
      </w:r>
      <w:r>
        <w:t xml:space="preserve">, an applicant must meet four requirements. </w:t>
      </w:r>
      <w:r w:rsidR="001B728F">
        <w:t xml:space="preserve"> </w:t>
      </w:r>
      <w:r>
        <w:t>First, the</w:t>
      </w:r>
      <w:r w:rsidR="00782BE3">
        <w:t xml:space="preserve"> </w:t>
      </w:r>
      <w:r>
        <w:t>applicant must be an eligible entity, which the rule defines as a “federally recognized American Indian</w:t>
      </w:r>
      <w:r w:rsidR="00782BE3">
        <w:t xml:space="preserve"> </w:t>
      </w:r>
      <w:r>
        <w:t>Tribe or Alaska Native Village; or an entity that is owned and controlled by a federally-recognized Tribe</w:t>
      </w:r>
      <w:r w:rsidR="003D6D8A">
        <w:t xml:space="preserve"> </w:t>
      </w:r>
      <w:r>
        <w:t>or a consortium of federally-recognized Tribes.”</w:t>
      </w:r>
      <w:r>
        <w:rPr>
          <w:rStyle w:val="FootnoteReference"/>
        </w:rPr>
        <w:footnoteReference w:id="7"/>
      </w:r>
      <w:r w:rsidR="003D6D8A">
        <w:t xml:space="preserve"> </w:t>
      </w:r>
      <w:r>
        <w:t xml:space="preserve"> Second, the applicant must apply for eligible Tribal</w:t>
      </w:r>
      <w:r w:rsidR="00D450E8">
        <w:t xml:space="preserve"> </w:t>
      </w:r>
      <w:r>
        <w:t xml:space="preserve">lands, </w:t>
      </w:r>
      <w:r w:rsidR="00550BB9">
        <w:t>as</w:t>
      </w:r>
      <w:r>
        <w:t xml:space="preserve"> defined</w:t>
      </w:r>
      <w:r w:rsidR="00550BB9">
        <w:t xml:space="preserve"> in </w:t>
      </w:r>
      <w:r w:rsidR="00344F69">
        <w:rPr>
          <w:szCs w:val="22"/>
        </w:rPr>
        <w:t>s</w:t>
      </w:r>
      <w:r w:rsidRPr="0063040D" w:rsidR="00550BB9">
        <w:rPr>
          <w:szCs w:val="22"/>
        </w:rPr>
        <w:t>ection 27.1204(b)(2) of the Commission’s rules</w:t>
      </w:r>
      <w:r w:rsidR="00550BB9">
        <w:rPr>
          <w:szCs w:val="22"/>
        </w:rPr>
        <w:t>.</w:t>
      </w:r>
      <w:r>
        <w:rPr>
          <w:rStyle w:val="FootnoteReference"/>
        </w:rPr>
        <w:footnoteReference w:id="8"/>
      </w:r>
      <w:r w:rsidR="006A20C0">
        <w:t xml:space="preserve"> </w:t>
      </w:r>
      <w:r w:rsidR="00A36044">
        <w:t xml:space="preserve"> </w:t>
      </w:r>
      <w:r w:rsidR="00284E94">
        <w:t>Third, the eligible Tribal land</w:t>
      </w:r>
      <w:r w:rsidR="0074703B">
        <w:t>s</w:t>
      </w:r>
      <w:r w:rsidR="00284E94">
        <w:t xml:space="preserve"> must be in a rural area, which is defined as </w:t>
      </w:r>
      <w:r w:rsidR="00E00466">
        <w:t>“</w:t>
      </w:r>
      <w:r w:rsidR="00284E94">
        <w:t xml:space="preserve">lands that are not part </w:t>
      </w:r>
      <w:r w:rsidR="00284E94">
        <w:t xml:space="preserve">of an </w:t>
      </w:r>
      <w:r w:rsidR="006A20C0">
        <w:t>urbanized area or urban cluster area with a population equal to or greater than 50,000.</w:t>
      </w:r>
      <w:r w:rsidR="00E00466">
        <w:t>”</w:t>
      </w:r>
      <w:r>
        <w:rPr>
          <w:rStyle w:val="FootnoteReference"/>
        </w:rPr>
        <w:footnoteReference w:id="9"/>
      </w:r>
      <w:r w:rsidR="006A20C0">
        <w:t xml:space="preserve"> </w:t>
      </w:r>
      <w:r w:rsidR="00E00466">
        <w:t xml:space="preserve"> </w:t>
      </w:r>
      <w:r w:rsidR="006A20C0">
        <w:t xml:space="preserve">Finally, the applicant must have a local presence on the </w:t>
      </w:r>
      <w:r w:rsidR="009F05B2">
        <w:t xml:space="preserve">eligible </w:t>
      </w:r>
      <w:r w:rsidR="006A20C0">
        <w:t xml:space="preserve">Tribal </w:t>
      </w:r>
      <w:r w:rsidR="009F05B2">
        <w:t>l</w:t>
      </w:r>
      <w:r w:rsidR="006A20C0">
        <w:t>and</w:t>
      </w:r>
      <w:r w:rsidR="0074703B">
        <w:t>s</w:t>
      </w:r>
      <w:r w:rsidR="006A20C0">
        <w:t xml:space="preserve"> for which </w:t>
      </w:r>
      <w:r w:rsidR="009463AD">
        <w:t>it is</w:t>
      </w:r>
      <w:r w:rsidR="006A20C0">
        <w:t xml:space="preserve"> applying.</w:t>
      </w:r>
      <w:r>
        <w:rPr>
          <w:rStyle w:val="FootnoteReference"/>
        </w:rPr>
        <w:footnoteReference w:id="10"/>
      </w:r>
      <w:r w:rsidR="000652F1">
        <w:t xml:space="preserve">  </w:t>
      </w:r>
    </w:p>
    <w:p w:rsidR="00346B72" w:rsidP="003A3EA7" w14:paraId="78938B3C" w14:textId="7A54A954">
      <w:pPr>
        <w:pStyle w:val="ParaNum"/>
      </w:pPr>
      <w:r>
        <w:t>Recently, the Commission denied a petition for reconsideration</w:t>
      </w:r>
      <w:r w:rsidR="00F00F16">
        <w:t xml:space="preserve"> seeking adoption of the </w:t>
      </w:r>
      <w:r w:rsidR="00446C4F">
        <w:t xml:space="preserve">broader </w:t>
      </w:r>
      <w:r w:rsidR="00F00F16">
        <w:t xml:space="preserve">definition of Tribal lands contained in </w:t>
      </w:r>
      <w:r w:rsidR="00344F69">
        <w:t>p</w:t>
      </w:r>
      <w:r w:rsidR="00F00F16">
        <w:t>art 73 of our rules, which includes off-reservation trust lands</w:t>
      </w:r>
      <w:r w:rsidR="00EC5F7E">
        <w:t xml:space="preserve">, </w:t>
      </w:r>
      <w:r w:rsidR="008126F5">
        <w:t xml:space="preserve">for purposes of </w:t>
      </w:r>
      <w:r w:rsidR="00EC5F7E">
        <w:t xml:space="preserve">the </w:t>
      </w:r>
      <w:r w:rsidR="008126F5">
        <w:t xml:space="preserve">Tribal </w:t>
      </w:r>
      <w:r w:rsidR="00EC5F7E">
        <w:t>Window</w:t>
      </w:r>
      <w:r w:rsidR="00F00F16">
        <w:t>.</w:t>
      </w:r>
      <w:r>
        <w:rPr>
          <w:rStyle w:val="FootnoteReference"/>
        </w:rPr>
        <w:footnoteReference w:id="11"/>
      </w:r>
      <w:r>
        <w:t xml:space="preserve">  </w:t>
      </w:r>
      <w:r w:rsidR="006716B7">
        <w:t xml:space="preserve">Specifically, “[t]he Commission </w:t>
      </w:r>
      <w:r w:rsidRPr="00344950" w:rsidR="006716B7">
        <w:rPr>
          <w:szCs w:val="22"/>
        </w:rPr>
        <w:t>required the direct participation of Tribal governments, or entities owned and controlled by such Tribes, in the 2.5 GHz context to ensure that licensees would have the requisite authority over the deployment of facilities and service on their rural Tribal lands.</w:t>
      </w:r>
      <w:r w:rsidR="00446C4F">
        <w:rPr>
          <w:szCs w:val="22"/>
        </w:rPr>
        <w:t>”</w:t>
      </w:r>
      <w:r>
        <w:rPr>
          <w:rStyle w:val="FootnoteReference"/>
          <w:szCs w:val="22"/>
        </w:rPr>
        <w:footnoteReference w:id="12"/>
      </w:r>
      <w:r w:rsidR="00446C4F">
        <w:rPr>
          <w:szCs w:val="22"/>
        </w:rPr>
        <w:t xml:space="preserve">  </w:t>
      </w:r>
      <w:r>
        <w:t xml:space="preserve">The Commission recognized, however, that there might be </w:t>
      </w:r>
      <w:r w:rsidR="00446C4F">
        <w:t xml:space="preserve">“exceptions to the general rule” </w:t>
      </w:r>
      <w:r>
        <w:t xml:space="preserve">where </w:t>
      </w:r>
      <w:r w:rsidR="00446C4F">
        <w:t xml:space="preserve">case-by-case </w:t>
      </w:r>
      <w:r>
        <w:t xml:space="preserve">waivers would be appropriate </w:t>
      </w:r>
      <w:r w:rsidRPr="00346B72">
        <w:rPr>
          <w:szCs w:val="22"/>
        </w:rPr>
        <w:t xml:space="preserve">allowing for the licensing of off-reservation lands in the </w:t>
      </w:r>
      <w:r w:rsidR="008D4A96">
        <w:rPr>
          <w:szCs w:val="22"/>
        </w:rPr>
        <w:t xml:space="preserve">Tribal </w:t>
      </w:r>
      <w:r w:rsidRPr="00346B72">
        <w:rPr>
          <w:szCs w:val="22"/>
        </w:rPr>
        <w:t>Window.</w:t>
      </w:r>
      <w:r>
        <w:rPr>
          <w:rStyle w:val="FootnoteReference"/>
          <w:szCs w:val="22"/>
        </w:rPr>
        <w:footnoteReference w:id="13"/>
      </w:r>
      <w:r>
        <w:t xml:space="preserve">  </w:t>
      </w:r>
    </w:p>
    <w:p w:rsidR="00C46CBA" w:rsidP="007067FF" w14:paraId="6924B5C9" w14:textId="1DFBF5B1">
      <w:pPr>
        <w:pStyle w:val="ParaNum"/>
      </w:pPr>
      <w:r>
        <w:t xml:space="preserve"> </w:t>
      </w:r>
      <w:r w:rsidR="00E40631">
        <w:t xml:space="preserve">The </w:t>
      </w:r>
      <w:r w:rsidR="00446C4F">
        <w:t>Yocha Dehe</w:t>
      </w:r>
      <w:r w:rsidR="0010294A">
        <w:t xml:space="preserve"> filed two applications </w:t>
      </w:r>
      <w:r w:rsidR="00C43CF2">
        <w:t>with</w:t>
      </w:r>
      <w:r w:rsidR="0010294A">
        <w:t xml:space="preserve">in the </w:t>
      </w:r>
      <w:r w:rsidR="00C43CF2">
        <w:t xml:space="preserve">Tribal </w:t>
      </w:r>
      <w:r w:rsidR="0010294A">
        <w:t>Window.  The first application sought a license for two parcels of land that constitute the Tribe’s reservation lands</w:t>
      </w:r>
      <w:r w:rsidR="00446C4F">
        <w:t xml:space="preserve"> in Northern California</w:t>
      </w:r>
      <w:r w:rsidR="0010294A">
        <w:t>.</w:t>
      </w:r>
      <w:r>
        <w:rPr>
          <w:rStyle w:val="FootnoteReference"/>
        </w:rPr>
        <w:footnoteReference w:id="14"/>
      </w:r>
      <w:r w:rsidR="0010294A">
        <w:t xml:space="preserve">  That application has been granted.</w:t>
      </w:r>
      <w:r>
        <w:rPr>
          <w:rStyle w:val="FootnoteReference"/>
        </w:rPr>
        <w:footnoteReference w:id="15"/>
      </w:r>
      <w:r w:rsidR="0010294A">
        <w:t xml:space="preserve">  The second application, which is</w:t>
      </w:r>
      <w:bookmarkStart w:id="0" w:name="_GoBack"/>
      <w:bookmarkEnd w:id="0"/>
      <w:r w:rsidR="0010294A">
        <w:t xml:space="preserve"> the subject of this</w:t>
      </w:r>
      <w:r w:rsidR="0003050A">
        <w:t xml:space="preserve"> </w:t>
      </w:r>
      <w:r w:rsidR="0003050A">
        <w:rPr>
          <w:i/>
          <w:iCs/>
        </w:rPr>
        <w:t>Memorandum Opinion and Order</w:t>
      </w:r>
      <w:r w:rsidR="0010294A">
        <w:t xml:space="preserve">, </w:t>
      </w:r>
      <w:r w:rsidR="00641DDA">
        <w:t xml:space="preserve">requests a waiver of the Tribal lands definition in order to obtain </w:t>
      </w:r>
      <w:r w:rsidR="003B734D">
        <w:t xml:space="preserve">a license for </w:t>
      </w:r>
      <w:r w:rsidR="00446C4F">
        <w:t xml:space="preserve">non-reservation </w:t>
      </w:r>
      <w:r w:rsidR="003B734D">
        <w:t>trust lands adjacent to one of the reservation parcels.</w:t>
      </w:r>
      <w:r>
        <w:rPr>
          <w:rStyle w:val="FootnoteReference"/>
        </w:rPr>
        <w:footnoteReference w:id="16"/>
      </w:r>
      <w:r w:rsidR="003B734D">
        <w:t xml:space="preserve"> </w:t>
      </w:r>
    </w:p>
    <w:p w:rsidR="003B734D" w:rsidP="007067FF" w14:paraId="163688B7" w14:textId="6F048A20">
      <w:pPr>
        <w:pStyle w:val="ParaNum"/>
      </w:pPr>
      <w:r>
        <w:t xml:space="preserve">As detailed in </w:t>
      </w:r>
      <w:r w:rsidR="00F52F2C">
        <w:t>its</w:t>
      </w:r>
      <w:r>
        <w:t xml:space="preserve"> Waiver Request, t</w:t>
      </w:r>
      <w:r>
        <w:t xml:space="preserve">he Yocha Dehe </w:t>
      </w:r>
      <w:r w:rsidR="00344F69">
        <w:t xml:space="preserve">are developing </w:t>
      </w:r>
      <w:r>
        <w:t>a new community on the trust lands for Tribal members</w:t>
      </w:r>
      <w:r w:rsidR="00344F69">
        <w:t xml:space="preserve">, including </w:t>
      </w:r>
      <w:r w:rsidR="00C43CF2">
        <w:t xml:space="preserve"> constructing </w:t>
      </w:r>
      <w:r>
        <w:t>homes</w:t>
      </w:r>
      <w:r w:rsidR="00C43CF2">
        <w:t>,</w:t>
      </w:r>
      <w:r>
        <w:t xml:space="preserve"> which are planned to be ready in 2021.</w:t>
      </w:r>
      <w:r>
        <w:rPr>
          <w:rStyle w:val="FootnoteReference"/>
        </w:rPr>
        <w:footnoteReference w:id="17"/>
      </w:r>
      <w:r w:rsidR="00771702">
        <w:t xml:space="preserve">  The Yocha Dehe </w:t>
      </w:r>
      <w:r w:rsidR="0074703B">
        <w:t xml:space="preserve">plan </w:t>
      </w:r>
      <w:r w:rsidR="00771702">
        <w:t xml:space="preserve">to provide services to these homes, including telephone and internet services.  If this application is granted, the Yocha Dehe intend to use the </w:t>
      </w:r>
      <w:r w:rsidR="00B62D8E">
        <w:t xml:space="preserve">resulting </w:t>
      </w:r>
      <w:r w:rsidR="00771702">
        <w:t xml:space="preserve">license to </w:t>
      </w:r>
      <w:r w:rsidRPr="00771702" w:rsidR="00771702">
        <w:t>deploy fixed wireless solutions to the new homes and community.</w:t>
      </w:r>
      <w:r>
        <w:rPr>
          <w:rStyle w:val="FootnoteReference"/>
        </w:rPr>
        <w:footnoteReference w:id="18"/>
      </w:r>
      <w:r w:rsidR="00771702">
        <w:t xml:space="preserve">  The Tribe, working with a deployment partner, intends to begin providing service in 2021 and </w:t>
      </w:r>
      <w:r w:rsidR="00C43CF2">
        <w:t xml:space="preserve">to </w:t>
      </w:r>
      <w:r w:rsidR="00771702">
        <w:t>provide service to the entire area by 2023.</w:t>
      </w:r>
      <w:r>
        <w:rPr>
          <w:rStyle w:val="FootnoteReference"/>
        </w:rPr>
        <w:footnoteReference w:id="19"/>
      </w:r>
    </w:p>
    <w:p w:rsidR="00513AB1" w:rsidP="007067FF" w14:paraId="296C8110" w14:textId="178E85AA">
      <w:pPr>
        <w:pStyle w:val="ParaNum"/>
      </w:pPr>
      <w:r>
        <w:t xml:space="preserve">The instant application was accepted for filing on </w:t>
      </w:r>
      <w:r w:rsidR="00B524AA">
        <w:t>November 10, 2020.</w:t>
      </w:r>
      <w:r>
        <w:rPr>
          <w:rStyle w:val="FootnoteReference"/>
        </w:rPr>
        <w:footnoteReference w:id="20"/>
      </w:r>
      <w:r w:rsidR="00CD2D5F">
        <w:t xml:space="preserve">  No petitions to deny or </w:t>
      </w:r>
      <w:r w:rsidR="001D7987">
        <w:t xml:space="preserve">oppositions </w:t>
      </w:r>
      <w:r w:rsidR="00CD2D5F">
        <w:t>were filed against the application.</w:t>
      </w:r>
    </w:p>
    <w:p w:rsidR="004058C5" w14:paraId="349E7C4F" w14:textId="77777777">
      <w:pPr>
        <w:widowControl/>
        <w:rPr>
          <w:rFonts w:ascii="Times New Roman Bold" w:hAnsi="Times New Roman Bold"/>
          <w:b/>
          <w:caps/>
        </w:rPr>
      </w:pPr>
      <w:r>
        <w:br w:type="page"/>
      </w:r>
    </w:p>
    <w:p w:rsidR="005A057D" w:rsidP="005A057D" w14:paraId="405ED0F0" w14:textId="3263AADC">
      <w:pPr>
        <w:pStyle w:val="Heading1"/>
      </w:pPr>
      <w:r>
        <w:t>Discussion</w:t>
      </w:r>
    </w:p>
    <w:p w:rsidR="00F40C8E" w:rsidP="00CE7D95" w14:paraId="55ACC11A" w14:textId="51AA9024">
      <w:pPr>
        <w:pStyle w:val="ParaNum"/>
      </w:pPr>
      <w:r>
        <w:t>The Commission may grant a request for a waiver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1"/>
      </w:r>
      <w:r w:rsidR="00376E52">
        <w:t xml:space="preserve">  Here, we </w:t>
      </w:r>
      <w:r w:rsidR="003E7714">
        <w:t xml:space="preserve">find that </w:t>
      </w:r>
      <w:r w:rsidR="00CD2D5F">
        <w:t xml:space="preserve">Yocha Dehe’s </w:t>
      </w:r>
      <w:r w:rsidR="003E7714">
        <w:t>showing</w:t>
      </w:r>
      <w:r w:rsidR="00BD3E61">
        <w:t xml:space="preserve"> </w:t>
      </w:r>
      <w:r w:rsidR="009E3520">
        <w:t>meet</w:t>
      </w:r>
      <w:r w:rsidR="00CD2D5F">
        <w:t>s the first</w:t>
      </w:r>
      <w:r w:rsidR="009E3520">
        <w:t xml:space="preserve"> </w:t>
      </w:r>
      <w:r w:rsidR="008247A2">
        <w:t xml:space="preserve">prong </w:t>
      </w:r>
      <w:r w:rsidR="009E3520">
        <w:t>of the Commission’s waiver standard</w:t>
      </w:r>
      <w:r w:rsidR="00CD2D5F">
        <w:t xml:space="preserve">.  Accordingly, we grant a waiver of </w:t>
      </w:r>
      <w:r w:rsidR="00B62D8E">
        <w:t>s</w:t>
      </w:r>
      <w:r w:rsidR="00CD2D5F">
        <w:t xml:space="preserve">ection 27.1204(b)(2) of the Commission’s rules to allow licensing of the </w:t>
      </w:r>
      <w:r w:rsidR="00F52F2C">
        <w:t xml:space="preserve">non-reservation </w:t>
      </w:r>
      <w:r w:rsidR="00CD2D5F">
        <w:t>trust lands specified in the application</w:t>
      </w:r>
      <w:r w:rsidR="00B92D1E">
        <w:t>.</w:t>
      </w:r>
    </w:p>
    <w:p w:rsidR="00D9073C" w:rsidP="008E710A" w14:paraId="2A0F2F76" w14:textId="1CF0FB92">
      <w:pPr>
        <w:pStyle w:val="ParaNum"/>
      </w:pPr>
      <w:r>
        <w:t>“The Commission established a Tribal Priority Window to address the acute problem of lack of access to wireless communications services in rural Tribal areas.”</w:t>
      </w:r>
      <w:r>
        <w:rPr>
          <w:rStyle w:val="FootnoteReference"/>
        </w:rPr>
        <w:footnoteReference w:id="22"/>
      </w:r>
      <w:r w:rsidR="00F40C8E">
        <w:t xml:space="preserve"> </w:t>
      </w:r>
      <w:r w:rsidR="009E3520">
        <w:t xml:space="preserve"> </w:t>
      </w:r>
      <w:r>
        <w:t>In this instance, we find that strictly applying the Tribal land</w:t>
      </w:r>
      <w:r w:rsidR="00B62D8E">
        <w:t>s</w:t>
      </w:r>
      <w:r>
        <w:t xml:space="preserve"> definition would be </w:t>
      </w:r>
      <w:r w:rsidR="008B462F">
        <w:t>in</w:t>
      </w:r>
      <w:r>
        <w:t xml:space="preserve">consistent with the </w:t>
      </w:r>
      <w:r w:rsidR="00C43CF2">
        <w:t xml:space="preserve">Tribal </w:t>
      </w:r>
      <w:r>
        <w:t>Window’s purpose of providing wireless communications services in rural Tribal areas.</w:t>
      </w:r>
      <w:r w:rsidR="009E3520">
        <w:t xml:space="preserve"> </w:t>
      </w:r>
      <w:r w:rsidR="008B462F">
        <w:t xml:space="preserve"> First, we find that the Yocha Dehe have shown </w:t>
      </w:r>
      <w:r w:rsidR="00B530E5">
        <w:t xml:space="preserve">that </w:t>
      </w:r>
      <w:r w:rsidR="008B462F">
        <w:t>the trust land</w:t>
      </w:r>
      <w:r w:rsidR="00B62D8E">
        <w:t>s</w:t>
      </w:r>
      <w:r w:rsidR="008B462F">
        <w:t xml:space="preserve"> in question</w:t>
      </w:r>
      <w:r w:rsidR="00B530E5">
        <w:t xml:space="preserve"> </w:t>
      </w:r>
      <w:r w:rsidR="00B62D8E">
        <w:t xml:space="preserve">are </w:t>
      </w:r>
      <w:r w:rsidR="00B530E5">
        <w:t xml:space="preserve">held for the specific benefit of the Tribe, and </w:t>
      </w:r>
      <w:r w:rsidR="00F059EC">
        <w:t xml:space="preserve">the </w:t>
      </w:r>
      <w:r w:rsidR="00B530E5">
        <w:t xml:space="preserve">Tribe’s </w:t>
      </w:r>
      <w:r w:rsidR="00F52F2C">
        <w:t>authority</w:t>
      </w:r>
      <w:r w:rsidR="009E0AD4">
        <w:t xml:space="preserve"> over the lands is adequately demonstrated by the fact </w:t>
      </w:r>
      <w:r w:rsidR="00F059EC">
        <w:t xml:space="preserve">that </w:t>
      </w:r>
      <w:r w:rsidR="00B530E5">
        <w:t>the Tribe is</w:t>
      </w:r>
      <w:r w:rsidR="008B462F">
        <w:t xml:space="preserve"> building a community for </w:t>
      </w:r>
      <w:r w:rsidR="00B530E5">
        <w:t xml:space="preserve">its </w:t>
      </w:r>
      <w:r w:rsidR="008B462F">
        <w:t xml:space="preserve">Tribal members.  </w:t>
      </w:r>
      <w:r w:rsidR="00F52F2C">
        <w:t>W</w:t>
      </w:r>
      <w:r w:rsidR="00B530E5">
        <w:t xml:space="preserve">e find </w:t>
      </w:r>
      <w:r w:rsidR="008B462F">
        <w:t xml:space="preserve">based upon the showing made by Yocha Dehe, </w:t>
      </w:r>
      <w:r w:rsidR="00C43CF2">
        <w:t>that</w:t>
      </w:r>
      <w:r w:rsidR="00B959BB">
        <w:t xml:space="preserve"> </w:t>
      </w:r>
      <w:r w:rsidR="008B462F">
        <w:t>treating th</w:t>
      </w:r>
      <w:r w:rsidR="00B62D8E">
        <w:t>e</w:t>
      </w:r>
      <w:r w:rsidR="001E23A8">
        <w:t>s</w:t>
      </w:r>
      <w:r w:rsidR="00B62D8E">
        <w:t>e</w:t>
      </w:r>
      <w:r w:rsidR="001E23A8">
        <w:t xml:space="preserve"> undisputedly rural</w:t>
      </w:r>
      <w:r w:rsidR="008B462F">
        <w:t xml:space="preserve"> land</w:t>
      </w:r>
      <w:r w:rsidR="00B62D8E">
        <w:t>s</w:t>
      </w:r>
      <w:r w:rsidR="001E23A8">
        <w:t xml:space="preserve"> </w:t>
      </w:r>
      <w:r w:rsidR="008B462F">
        <w:t xml:space="preserve">as </w:t>
      </w:r>
      <w:r w:rsidR="00F52F2C">
        <w:t xml:space="preserve">eligible </w:t>
      </w:r>
      <w:r w:rsidR="008B462F">
        <w:t>Tribal land</w:t>
      </w:r>
      <w:r w:rsidR="00B62D8E">
        <w:t>s</w:t>
      </w:r>
      <w:r w:rsidR="008B462F">
        <w:t xml:space="preserve"> </w:t>
      </w:r>
      <w:r>
        <w:t xml:space="preserve">under the </w:t>
      </w:r>
      <w:r w:rsidR="008D4A96">
        <w:t xml:space="preserve">Tribal </w:t>
      </w:r>
      <w:r>
        <w:t xml:space="preserve">Window </w:t>
      </w:r>
      <w:r w:rsidR="008B462F">
        <w:t xml:space="preserve">would be consistent </w:t>
      </w:r>
      <w:r w:rsidR="00E84997">
        <w:t xml:space="preserve">with the </w:t>
      </w:r>
      <w:r w:rsidR="00C43CF2">
        <w:t xml:space="preserve">Tribal </w:t>
      </w:r>
      <w:r w:rsidR="00E84997">
        <w:t>Window’s purpose.</w:t>
      </w:r>
      <w:r>
        <w:rPr>
          <w:rStyle w:val="FootnoteReference"/>
        </w:rPr>
        <w:footnoteReference w:id="23"/>
      </w:r>
      <w:r w:rsidR="00E84997">
        <w:t xml:space="preserve">  </w:t>
      </w:r>
      <w:r w:rsidR="005968F7">
        <w:t>We</w:t>
      </w:r>
      <w:r w:rsidR="009E0AD4">
        <w:t xml:space="preserve"> note that the lands in question are </w:t>
      </w:r>
      <w:r w:rsidR="005968F7">
        <w:t xml:space="preserve">areas within the Tribe’s </w:t>
      </w:r>
      <w:r w:rsidR="001E23A8">
        <w:t xml:space="preserve">current, demonstrated </w:t>
      </w:r>
      <w:r w:rsidR="005968F7">
        <w:t xml:space="preserve">authority and </w:t>
      </w:r>
      <w:r w:rsidR="001E23A8">
        <w:t xml:space="preserve">are </w:t>
      </w:r>
      <w:r w:rsidR="009E0AD4">
        <w:t xml:space="preserve">contiguous to part of the reservation lands for which we already have issued a license.  Granting a waiver </w:t>
      </w:r>
      <w:r w:rsidR="00EC3EFF">
        <w:t>under these particular facts and circumstances</w:t>
      </w:r>
      <w:r w:rsidR="009E0AD4">
        <w:t xml:space="preserve"> would</w:t>
      </w:r>
      <w:r w:rsidR="005968F7">
        <w:t xml:space="preserve"> </w:t>
      </w:r>
      <w:r w:rsidR="00EC3EFF">
        <w:t xml:space="preserve">facilitate service </w:t>
      </w:r>
      <w:r w:rsidR="009E0AD4">
        <w:t xml:space="preserve">on </w:t>
      </w:r>
      <w:r w:rsidR="005968F7">
        <w:t>the Tribe’s</w:t>
      </w:r>
      <w:r w:rsidR="009E0AD4">
        <w:t xml:space="preserve"> reservation by creating a larger contiguous service area covering both the reservation and adjoining trust land</w:t>
      </w:r>
      <w:r w:rsidR="00B62D8E">
        <w:t>s</w:t>
      </w:r>
      <w:r w:rsidR="00F059EC">
        <w:t xml:space="preserve"> held for the benefit of the Tribe.</w:t>
      </w:r>
      <w:r w:rsidR="009E0AD4">
        <w:t xml:space="preserve"> </w:t>
      </w:r>
      <w:r w:rsidR="00EC3EFF">
        <w:t xml:space="preserve"> </w:t>
      </w:r>
      <w:r w:rsidR="005968F7">
        <w:t>In particular</w:t>
      </w:r>
      <w:r w:rsidR="00E84997">
        <w:t xml:space="preserve">, </w:t>
      </w:r>
      <w:r w:rsidR="00116E19">
        <w:t xml:space="preserve">we find that a waiver would be in the public interest because </w:t>
      </w:r>
      <w:r w:rsidR="00E84997">
        <w:t xml:space="preserve">the Yocha Dehe have </w:t>
      </w:r>
      <w:r w:rsidR="00B530E5">
        <w:t xml:space="preserve">demonstrated </w:t>
      </w:r>
      <w:r w:rsidR="00E84997">
        <w:t>plan</w:t>
      </w:r>
      <w:r w:rsidR="005968F7">
        <w:t>s</w:t>
      </w:r>
      <w:r w:rsidR="00E84997">
        <w:t xml:space="preserve"> to use the spectrum </w:t>
      </w:r>
      <w:r w:rsidR="0074703B">
        <w:t xml:space="preserve">to provide fixed wireless service </w:t>
      </w:r>
      <w:r w:rsidR="00F059EC">
        <w:t xml:space="preserve">on </w:t>
      </w:r>
      <w:r w:rsidR="0074703B">
        <w:t xml:space="preserve">rural </w:t>
      </w:r>
      <w:r w:rsidR="00F059EC">
        <w:t>land</w:t>
      </w:r>
      <w:r w:rsidR="0074703B">
        <w:t>s</w:t>
      </w:r>
      <w:r w:rsidR="00F059EC">
        <w:t xml:space="preserve"> specifically held in trust for the Tribe</w:t>
      </w:r>
      <w:r w:rsidR="0074703B">
        <w:t>’s benefit</w:t>
      </w:r>
      <w:r w:rsidR="00F059EC">
        <w:t>.</w:t>
      </w:r>
      <w:r w:rsidR="00E84997">
        <w:t xml:space="preserve">  </w:t>
      </w:r>
      <w:r w:rsidR="00B530E5">
        <w:t xml:space="preserve">  </w:t>
      </w:r>
    </w:p>
    <w:p w:rsidR="001E7912" w:rsidP="008E710A" w14:paraId="0D74ACF6" w14:textId="23B83DF5">
      <w:pPr>
        <w:pStyle w:val="ParaNum"/>
      </w:pPr>
      <w:r>
        <w:rPr>
          <w:szCs w:val="22"/>
        </w:rPr>
        <w:t>We note that our decision here is limited to the suitability of the</w:t>
      </w:r>
      <w:r w:rsidR="001E23A8">
        <w:rPr>
          <w:szCs w:val="22"/>
        </w:rPr>
        <w:t>se specific</w:t>
      </w:r>
      <w:r>
        <w:rPr>
          <w:szCs w:val="22"/>
        </w:rPr>
        <w:t xml:space="preserve"> trust lands to be </w:t>
      </w:r>
      <w:r w:rsidR="001E23A8">
        <w:rPr>
          <w:szCs w:val="22"/>
        </w:rPr>
        <w:t>found as eligible Tribal land</w:t>
      </w:r>
      <w:r w:rsidR="00B62D8E">
        <w:rPr>
          <w:szCs w:val="22"/>
        </w:rPr>
        <w:t>s</w:t>
      </w:r>
      <w:r w:rsidR="001E23A8">
        <w:rPr>
          <w:szCs w:val="22"/>
        </w:rPr>
        <w:t xml:space="preserve"> </w:t>
      </w:r>
      <w:r>
        <w:rPr>
          <w:szCs w:val="22"/>
        </w:rPr>
        <w:t xml:space="preserve">under the </w:t>
      </w:r>
      <w:r w:rsidR="008D4A96">
        <w:rPr>
          <w:szCs w:val="22"/>
        </w:rPr>
        <w:t xml:space="preserve">Tribal </w:t>
      </w:r>
      <w:r>
        <w:rPr>
          <w:szCs w:val="22"/>
        </w:rPr>
        <w:t>Window.  We make no determination as to the status of the</w:t>
      </w:r>
      <w:r w:rsidR="001E23A8">
        <w:rPr>
          <w:szCs w:val="22"/>
        </w:rPr>
        <w:t xml:space="preserve">se </w:t>
      </w:r>
      <w:r>
        <w:rPr>
          <w:szCs w:val="22"/>
        </w:rPr>
        <w:t>trust lands with respect to other Commission rules or programs, nor for any other purpose.</w:t>
      </w:r>
      <w:r w:rsidR="008E710A">
        <w:t xml:space="preserve"> </w:t>
      </w:r>
      <w:r w:rsidR="0026338D">
        <w:t xml:space="preserve">  </w:t>
      </w:r>
    </w:p>
    <w:p w:rsidR="00F506B1" w:rsidP="00F506B1" w14:paraId="501C14DC" w14:textId="7812AA1C">
      <w:pPr>
        <w:pStyle w:val="Heading1"/>
      </w:pPr>
      <w:r>
        <w:t>Ordering Clause</w:t>
      </w:r>
      <w:r w:rsidR="000F69CC">
        <w:t>S</w:t>
      </w:r>
    </w:p>
    <w:p w:rsidR="00C15E8C" w:rsidP="00F506B1" w14:paraId="60591E4D" w14:textId="01736B94">
      <w:pPr>
        <w:pStyle w:val="ParaNum"/>
      </w:pPr>
      <w:r>
        <w:t>Accordingly, IT IS ORDERED, pursuant to Section</w:t>
      </w:r>
      <w:r w:rsidR="00BE268B">
        <w:t>s</w:t>
      </w:r>
      <w:r>
        <w:t xml:space="preserve"> 4(i)</w:t>
      </w:r>
      <w:r w:rsidR="00BE268B">
        <w:t xml:space="preserve">, </w:t>
      </w:r>
      <w:r w:rsidRPr="00DB4CC8" w:rsidR="00BE268B">
        <w:t>303(c), and 309(a)</w:t>
      </w:r>
      <w:r>
        <w:t xml:space="preserve"> of the </w:t>
      </w:r>
      <w:r w:rsidR="00B6739B">
        <w:t xml:space="preserve">Communications Act of 1934, as amended, 47 U.S.C. </w:t>
      </w:r>
      <w:r w:rsidR="00BE268B">
        <w:t>§</w:t>
      </w:r>
      <w:r w:rsidR="00B6739B">
        <w:t>§ 154(i</w:t>
      </w:r>
      <w:r w:rsidRPr="00DB4CC8" w:rsidR="00B6739B">
        <w:t xml:space="preserve">), </w:t>
      </w:r>
      <w:r w:rsidRPr="00DB4CC8" w:rsidR="00BE268B">
        <w:t>303(c), 309(a),</w:t>
      </w:r>
      <w:r w:rsidR="00BE268B">
        <w:t xml:space="preserve"> </w:t>
      </w:r>
      <w:r w:rsidR="00B6739B">
        <w:t>and Section 1.925(b)(3) of the Commission’s Rules, 47 CFR § 1.925(b)(3), that the waiver request filed by the</w:t>
      </w:r>
      <w:r w:rsidRPr="00DD481B" w:rsidR="00DD481B">
        <w:t xml:space="preserve"> </w:t>
      </w:r>
      <w:r w:rsidR="00022817">
        <w:t xml:space="preserve">Yocha Dehe Wintun Nation </w:t>
      </w:r>
      <w:r w:rsidR="00DD481B">
        <w:t xml:space="preserve">on </w:t>
      </w:r>
      <w:r w:rsidR="00590470">
        <w:t>July 24</w:t>
      </w:r>
      <w:r w:rsidR="00DD481B">
        <w:t>, 2020 IS</w:t>
      </w:r>
      <w:r w:rsidR="008E710A">
        <w:t xml:space="preserve"> GRANTED, and Section 27.1204(b)(2) of the Commission’s rules IS WAIVED to allow licensing of the land specified in the application</w:t>
      </w:r>
      <w:r w:rsidR="00D34AE4">
        <w:t>.</w:t>
      </w:r>
    </w:p>
    <w:p w:rsidR="00C15E8C" w14:paraId="43F2B3E1" w14:textId="77777777">
      <w:pPr>
        <w:widowControl/>
      </w:pPr>
      <w:r>
        <w:br w:type="page"/>
      </w:r>
    </w:p>
    <w:p w:rsidR="00A54C62" w:rsidP="00A54C62" w14:paraId="5A778E92" w14:textId="0208FB6C">
      <w:pPr>
        <w:pStyle w:val="ParaNum"/>
      </w:pPr>
      <w:r>
        <w:t xml:space="preserve">IT IS FURTHER ORDERED, pursuant to Sections 4(i) and 309 of the Communications Act of 1934, as amended, 47 U.S.C. §§ 154(i), 309, and Section 27.1204 of the Commission’s rules, 47 CFR § 27.1204, that the licensing staff of the Broadband Division SHALL PROCESS the application filed </w:t>
      </w:r>
      <w:r>
        <w:rPr>
          <w:szCs w:val="22"/>
        </w:rPr>
        <w:t>by the</w:t>
      </w:r>
      <w:r w:rsidRPr="00A54C62">
        <w:t xml:space="preserve"> </w:t>
      </w:r>
      <w:r>
        <w:t>Yocha Dehe Wintun Nation</w:t>
      </w:r>
      <w:r>
        <w:rPr>
          <w:szCs w:val="22"/>
        </w:rPr>
        <w:t xml:space="preserve"> </w:t>
      </w:r>
      <w:r>
        <w:t>for a new 2.5 GHz license (File No.</w:t>
      </w:r>
      <w:r w:rsidR="005B1154">
        <w:t xml:space="preserve"> </w:t>
      </w:r>
      <w:r w:rsidRPr="00F31D37" w:rsidR="005B1154">
        <w:rPr>
          <w:spacing w:val="-2"/>
        </w:rPr>
        <w:t>0009158592</w:t>
      </w:r>
      <w:r>
        <w:t xml:space="preserve">) in accordance with this </w:t>
      </w:r>
      <w:r>
        <w:rPr>
          <w:i/>
          <w:iCs/>
        </w:rPr>
        <w:t xml:space="preserve">Memorandum Opinion and Order </w:t>
      </w:r>
      <w:r>
        <w:t>and the Commission’s rules and policies.</w:t>
      </w:r>
    </w:p>
    <w:p w:rsidR="00D34AE4" w:rsidRPr="00F506B1" w:rsidP="00F506B1" w14:paraId="67AFC183" w14:textId="77777777">
      <w:pPr>
        <w:pStyle w:val="ParaNum"/>
      </w:pPr>
      <w:r>
        <w:t>This action is taken under delegated authority pursuant to Sections 0.131 and 0.331 of the Commission’s Rules, 47 CFR §§ 0.131, 0.331.</w:t>
      </w:r>
    </w:p>
    <w:p w:rsidR="008940B7" w:rsidP="00534983" w14:paraId="5C9FB786" w14:textId="77777777">
      <w:pPr>
        <w:rPr>
          <w:szCs w:val="22"/>
        </w:rPr>
      </w:pPr>
      <w:r>
        <w:rPr>
          <w:szCs w:val="22"/>
        </w:rPr>
        <w:tab/>
      </w:r>
      <w:r>
        <w:rPr>
          <w:szCs w:val="22"/>
        </w:rPr>
        <w:tab/>
      </w:r>
      <w:r>
        <w:rPr>
          <w:szCs w:val="22"/>
        </w:rPr>
        <w:tab/>
      </w:r>
      <w:r>
        <w:rPr>
          <w:szCs w:val="22"/>
        </w:rPr>
        <w:tab/>
      </w:r>
      <w:r>
        <w:rPr>
          <w:szCs w:val="22"/>
        </w:rPr>
        <w:tab/>
      </w:r>
    </w:p>
    <w:p w:rsidR="00534983" w:rsidP="008940B7" w14:paraId="76506FF6" w14:textId="77777777">
      <w:pPr>
        <w:ind w:left="2880" w:firstLine="720"/>
        <w:rPr>
          <w:szCs w:val="22"/>
        </w:rPr>
      </w:pPr>
      <w:r>
        <w:rPr>
          <w:szCs w:val="22"/>
        </w:rPr>
        <w:t>FEDERAL COMMUNICATIONS COMMISSION</w:t>
      </w:r>
    </w:p>
    <w:p w:rsidR="00534983" w:rsidP="00534983" w14:paraId="06E419DF" w14:textId="77777777">
      <w:pPr>
        <w:rPr>
          <w:szCs w:val="22"/>
        </w:rPr>
      </w:pPr>
    </w:p>
    <w:p w:rsidR="00534983" w:rsidP="00534983" w14:paraId="77C129E5" w14:textId="77777777">
      <w:pPr>
        <w:rPr>
          <w:szCs w:val="22"/>
        </w:rPr>
      </w:pPr>
      <w:r>
        <w:rPr>
          <w:szCs w:val="22"/>
        </w:rPr>
        <w:tab/>
      </w:r>
    </w:p>
    <w:p w:rsidR="00534983" w:rsidP="00534983" w14:paraId="487124A3" w14:textId="77777777">
      <w:pPr>
        <w:rPr>
          <w:szCs w:val="22"/>
        </w:rPr>
      </w:pPr>
    </w:p>
    <w:p w:rsidR="00534983" w:rsidP="00534983" w14:paraId="3797512A" w14:textId="77777777">
      <w:pPr>
        <w:rPr>
          <w:szCs w:val="22"/>
        </w:rPr>
      </w:pPr>
      <w:r>
        <w:rPr>
          <w:szCs w:val="22"/>
        </w:rPr>
        <w:tab/>
      </w:r>
      <w:r>
        <w:rPr>
          <w:szCs w:val="22"/>
        </w:rPr>
        <w:tab/>
      </w:r>
      <w:r>
        <w:rPr>
          <w:szCs w:val="22"/>
        </w:rPr>
        <w:tab/>
      </w:r>
      <w:r>
        <w:rPr>
          <w:szCs w:val="22"/>
        </w:rPr>
        <w:tab/>
      </w:r>
      <w:r>
        <w:rPr>
          <w:szCs w:val="22"/>
        </w:rPr>
        <w:tab/>
        <w:t>Donald K. Stockdale, Jr.</w:t>
      </w:r>
    </w:p>
    <w:p w:rsidR="006C3263" w:rsidRPr="009609DA" w:rsidP="009609DA" w14:paraId="2C75981C" w14:textId="302F3DE1">
      <w:pPr>
        <w:rPr>
          <w:szCs w:val="22"/>
        </w:rPr>
      </w:pPr>
      <w:r>
        <w:rPr>
          <w:szCs w:val="22"/>
        </w:rPr>
        <w:tab/>
      </w:r>
      <w:r>
        <w:rPr>
          <w:szCs w:val="22"/>
        </w:rPr>
        <w:tab/>
      </w:r>
      <w:r>
        <w:rPr>
          <w:szCs w:val="22"/>
        </w:rPr>
        <w:tab/>
      </w:r>
      <w:r>
        <w:rPr>
          <w:szCs w:val="22"/>
        </w:rPr>
        <w:tab/>
      </w:r>
      <w:r>
        <w:rPr>
          <w:szCs w:val="22"/>
        </w:rPr>
        <w:tab/>
        <w:t>Chief, Wireless Telecommunications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EF95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D3834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8FF3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682AA2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4B3CF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440E" w14:paraId="044EFFDB" w14:textId="77777777">
      <w:r>
        <w:separator/>
      </w:r>
    </w:p>
  </w:footnote>
  <w:footnote w:type="continuationSeparator" w:id="1">
    <w:p w:rsidR="00DE440E" w:rsidP="00C721AC" w14:paraId="2FDE471E" w14:textId="77777777">
      <w:pPr>
        <w:spacing w:before="120"/>
        <w:rPr>
          <w:sz w:val="20"/>
        </w:rPr>
      </w:pPr>
      <w:r>
        <w:rPr>
          <w:sz w:val="20"/>
        </w:rPr>
        <w:t xml:space="preserve">(Continued from previous page)  </w:t>
      </w:r>
      <w:r>
        <w:rPr>
          <w:sz w:val="20"/>
        </w:rPr>
        <w:separator/>
      </w:r>
    </w:p>
  </w:footnote>
  <w:footnote w:type="continuationNotice" w:id="2">
    <w:p w:rsidR="00DE440E" w:rsidP="00C721AC" w14:paraId="2B012C25" w14:textId="77777777">
      <w:pPr>
        <w:jc w:val="right"/>
        <w:rPr>
          <w:sz w:val="20"/>
        </w:rPr>
      </w:pPr>
      <w:r>
        <w:rPr>
          <w:sz w:val="20"/>
        </w:rPr>
        <w:t>(continued….)</w:t>
      </w:r>
    </w:p>
  </w:footnote>
  <w:footnote w:id="3">
    <w:p w:rsidR="000F352C" w:rsidP="000F352C" w14:paraId="398FF75A" w14:textId="7E201589">
      <w:pPr>
        <w:pStyle w:val="FootnoteText"/>
      </w:pPr>
      <w:r>
        <w:rPr>
          <w:rStyle w:val="FootnoteReference"/>
        </w:rPr>
        <w:footnoteRef/>
      </w:r>
      <w:r>
        <w:t xml:space="preserve"> File No. </w:t>
      </w:r>
      <w:r w:rsidRPr="00AE777F">
        <w:t>0009</w:t>
      </w:r>
      <w:r w:rsidR="00022817">
        <w:t>158592</w:t>
      </w:r>
      <w:r>
        <w:t xml:space="preserve"> </w:t>
      </w:r>
      <w:r w:rsidR="00022817">
        <w:t>Yocha Dehe Wintun Nation</w:t>
      </w:r>
      <w:r>
        <w:t xml:space="preserve">, </w:t>
      </w:r>
      <w:r w:rsidRPr="00022817" w:rsidR="00022817">
        <w:t xml:space="preserve">Waiver Application Information for Yocha Dehe Wintun Nation </w:t>
      </w:r>
      <w:r>
        <w:t>(Waiver Request).</w:t>
      </w:r>
    </w:p>
  </w:footnote>
  <w:footnote w:id="4">
    <w:p w:rsidR="000F352C" w:rsidP="000F352C" w14:paraId="631102C6" w14:textId="77777777">
      <w:pPr>
        <w:pStyle w:val="FootnoteText"/>
      </w:pPr>
      <w:r>
        <w:rPr>
          <w:rStyle w:val="FootnoteReference"/>
        </w:rPr>
        <w:footnoteRef/>
      </w:r>
      <w:r>
        <w:t xml:space="preserve"> </w:t>
      </w:r>
      <w:r>
        <w:rPr>
          <w:i/>
        </w:rPr>
        <w:t>See</w:t>
      </w:r>
      <w:r>
        <w:t xml:space="preserve"> 47 CFR § 27.1204(b)(2).</w:t>
      </w:r>
    </w:p>
  </w:footnote>
  <w:footnote w:id="5">
    <w:p w:rsidR="00B220B6" w:rsidRPr="00B220B6" w14:paraId="49D694C8" w14:textId="77777777">
      <w:pPr>
        <w:pStyle w:val="FootnoteText"/>
      </w:pPr>
      <w:r>
        <w:rPr>
          <w:rStyle w:val="FootnoteReference"/>
        </w:rPr>
        <w:footnoteRef/>
      </w:r>
      <w:r>
        <w:t xml:space="preserve"> </w:t>
      </w:r>
      <w:r>
        <w:rPr>
          <w:i/>
          <w:iCs/>
        </w:rPr>
        <w:t xml:space="preserve">See </w:t>
      </w:r>
      <w:r>
        <w:t>47 CFR § 1.925(b)(3).</w:t>
      </w:r>
    </w:p>
  </w:footnote>
  <w:footnote w:id="6">
    <w:p w:rsidR="00D04871" w14:paraId="4816A269" w14:textId="77777777">
      <w:pPr>
        <w:pStyle w:val="FootnoteText"/>
      </w:pPr>
      <w:r>
        <w:rPr>
          <w:rStyle w:val="FootnoteReference"/>
        </w:rPr>
        <w:footnoteRef/>
      </w:r>
      <w:r>
        <w:t xml:space="preserve"> </w:t>
      </w:r>
      <w:r w:rsidRPr="007F285E" w:rsidR="00782BE3">
        <w:rPr>
          <w:i/>
          <w:iCs/>
        </w:rPr>
        <w:t>Transforming the 2.5 GHz Band</w:t>
      </w:r>
      <w:r w:rsidR="00782BE3">
        <w:t>, Report &amp; Order, 34 FCC Rcd 5447 (2019) (</w:t>
      </w:r>
      <w:r w:rsidRPr="002D50BA" w:rsidR="009F05B2">
        <w:rPr>
          <w:i/>
          <w:iCs/>
        </w:rPr>
        <w:t>2.5 GHz</w:t>
      </w:r>
      <w:r w:rsidR="009F05B2">
        <w:t xml:space="preserve"> </w:t>
      </w:r>
      <w:r w:rsidRPr="007F285E" w:rsidR="00782BE3">
        <w:rPr>
          <w:i/>
          <w:iCs/>
        </w:rPr>
        <w:t>Report &amp; Order</w:t>
      </w:r>
      <w:r w:rsidR="00782BE3">
        <w:t>).</w:t>
      </w:r>
    </w:p>
  </w:footnote>
  <w:footnote w:id="7">
    <w:p w:rsidR="003D6D8A" w14:paraId="2761633F" w14:textId="77777777">
      <w:pPr>
        <w:pStyle w:val="FootnoteText"/>
      </w:pPr>
      <w:r>
        <w:rPr>
          <w:rStyle w:val="FootnoteReference"/>
        </w:rPr>
        <w:footnoteRef/>
      </w:r>
      <w:r>
        <w:t xml:space="preserve"> </w:t>
      </w:r>
      <w:r w:rsidRPr="007F285E">
        <w:rPr>
          <w:i/>
          <w:iCs/>
        </w:rPr>
        <w:t>See</w:t>
      </w:r>
      <w:r>
        <w:t xml:space="preserve"> 47 CFR § 27.1204(b)(1). </w:t>
      </w:r>
      <w:r w:rsidR="00E00466">
        <w:t xml:space="preserve"> </w:t>
      </w:r>
      <w:r>
        <w:t xml:space="preserve">This limitation to federally recognized Tribes is consistent with Commission precedent in other contexts. </w:t>
      </w:r>
      <w:r w:rsidR="00E00466">
        <w:t xml:space="preserve"> </w:t>
      </w:r>
      <w:r w:rsidRPr="00F92A7A">
        <w:rPr>
          <w:i/>
          <w:iCs/>
        </w:rPr>
        <w:t>See</w:t>
      </w:r>
      <w:r>
        <w:t xml:space="preserve"> </w:t>
      </w:r>
      <w:r w:rsidRPr="002D50BA" w:rsidR="009F05B2">
        <w:rPr>
          <w:i/>
          <w:iCs/>
        </w:rPr>
        <w:t xml:space="preserve">2.5 GHz </w:t>
      </w:r>
      <w:r w:rsidRPr="002D50BA">
        <w:rPr>
          <w:i/>
          <w:iCs/>
        </w:rPr>
        <w:t>Report &amp; Order</w:t>
      </w:r>
      <w:r>
        <w:t>, 34 FCC Rcd at 5464, para. 49.</w:t>
      </w:r>
      <w:r w:rsidR="00730ED4">
        <w:t xml:space="preserve">  </w:t>
      </w:r>
    </w:p>
  </w:footnote>
  <w:footnote w:id="8">
    <w:p w:rsidR="00167709" w14:paraId="5E293E34" w14:textId="77777777">
      <w:pPr>
        <w:pStyle w:val="FootnoteText"/>
      </w:pPr>
      <w:r>
        <w:rPr>
          <w:rStyle w:val="FootnoteReference"/>
        </w:rPr>
        <w:footnoteRef/>
      </w:r>
      <w:r>
        <w:t xml:space="preserve"> </w:t>
      </w:r>
      <w:r w:rsidRPr="00621BA8">
        <w:rPr>
          <w:i/>
          <w:iCs/>
        </w:rPr>
        <w:t>See</w:t>
      </w:r>
      <w:r>
        <w:t xml:space="preserve"> 47 CFR § 27.1204(b)(2).</w:t>
      </w:r>
    </w:p>
  </w:footnote>
  <w:footnote w:id="9">
    <w:p w:rsidR="00284E94" w14:paraId="6F443451" w14:textId="77777777">
      <w:pPr>
        <w:pStyle w:val="FootnoteText"/>
      </w:pPr>
      <w:r>
        <w:rPr>
          <w:rStyle w:val="FootnoteReference"/>
        </w:rPr>
        <w:footnoteRef/>
      </w:r>
      <w:r>
        <w:t xml:space="preserve"> </w:t>
      </w:r>
      <w:r w:rsidR="005A71F9">
        <w:t>47 CFR § 27.1204(b)(3).</w:t>
      </w:r>
    </w:p>
  </w:footnote>
  <w:footnote w:id="10">
    <w:p w:rsidR="005A71F9" w14:paraId="2698090E" w14:textId="62B2E10C">
      <w:pPr>
        <w:pStyle w:val="FootnoteText"/>
      </w:pPr>
      <w:r>
        <w:rPr>
          <w:rStyle w:val="FootnoteReference"/>
        </w:rPr>
        <w:footnoteRef/>
      </w:r>
      <w:r>
        <w:t xml:space="preserve"> </w:t>
      </w:r>
      <w:r w:rsidR="001548C2">
        <w:t>47 CFR § 27.1204(b)(4).</w:t>
      </w:r>
      <w:r w:rsidR="00853E61">
        <w:t xml:space="preserve">  On January 6, 2020, the </w:t>
      </w:r>
      <w:r w:rsidRPr="00EE144A" w:rsidR="00853E61">
        <w:t xml:space="preserve">Wireless Telecommunications Bureau (Bureau) released a Public Notice setting forth the process for submitting applications in the 2.5 GHz </w:t>
      </w:r>
      <w:r w:rsidR="00AF5B01">
        <w:t xml:space="preserve">Rural </w:t>
      </w:r>
      <w:r w:rsidRPr="00EE144A" w:rsidR="00853E61">
        <w:t xml:space="preserve">Tribal Priority Window, including details regarding </w:t>
      </w:r>
      <w:r w:rsidR="00C43CF2">
        <w:t xml:space="preserve">how applicants could demonstrate </w:t>
      </w:r>
      <w:r w:rsidRPr="00EE144A" w:rsidR="00853E61">
        <w:t xml:space="preserve">compliance with the eligibility requirements </w:t>
      </w:r>
      <w:r w:rsidR="00C43CF2">
        <w:t xml:space="preserve">or file </w:t>
      </w:r>
      <w:r w:rsidRPr="00EE144A" w:rsidR="00853E61">
        <w:t>requests for waiver.</w:t>
      </w:r>
      <w:r w:rsidR="00853E61">
        <w:t xml:space="preserve">  </w:t>
      </w:r>
      <w:r w:rsidRPr="00066C37" w:rsidR="00853E61">
        <w:rPr>
          <w:i/>
          <w:iCs/>
        </w:rPr>
        <w:t>Wireless Telecommunications Bureau Announces Procedures for 2.5 GHz Rural Tribal Priority Window</w:t>
      </w:r>
      <w:r w:rsidR="00853E61">
        <w:t>, Public Notice,</w:t>
      </w:r>
      <w:r w:rsidRPr="00A05089" w:rsidR="00853E61">
        <w:t xml:space="preserve"> 35 FCC Rcd 308</w:t>
      </w:r>
      <w:r w:rsidR="00853E61">
        <w:t xml:space="preserve"> (2020).</w:t>
      </w:r>
    </w:p>
  </w:footnote>
  <w:footnote w:id="11">
    <w:p w:rsidR="00F00F16" w:rsidRPr="00F00F16" w14:paraId="0C8B1DB4" w14:textId="221D11CC">
      <w:pPr>
        <w:pStyle w:val="FootnoteText"/>
      </w:pPr>
      <w:r>
        <w:rPr>
          <w:rStyle w:val="FootnoteReference"/>
        </w:rPr>
        <w:footnoteRef/>
      </w:r>
      <w:r>
        <w:t xml:space="preserve"> </w:t>
      </w:r>
      <w:r>
        <w:rPr>
          <w:i/>
          <w:iCs/>
        </w:rPr>
        <w:t>See Transforming the 2.5 GHz Band</w:t>
      </w:r>
      <w:r>
        <w:t>, Order on Reconsideration, FCC 20-183 (rel. Dec. 17, 2020) (</w:t>
      </w:r>
      <w:r>
        <w:rPr>
          <w:i/>
          <w:iCs/>
        </w:rPr>
        <w:t>Reconsideration Order</w:t>
      </w:r>
      <w:r>
        <w:t>)</w:t>
      </w:r>
      <w:r>
        <w:rPr>
          <w:i/>
          <w:iCs/>
        </w:rPr>
        <w:t xml:space="preserve"> </w:t>
      </w:r>
      <w:r>
        <w:t>at para. 22.</w:t>
      </w:r>
    </w:p>
  </w:footnote>
  <w:footnote w:id="12">
    <w:p w:rsidR="00446C4F" w14:paraId="1A147AF7" w14:textId="594A3E18">
      <w:pPr>
        <w:pStyle w:val="FootnoteText"/>
      </w:pPr>
      <w:r>
        <w:rPr>
          <w:rStyle w:val="FootnoteReference"/>
        </w:rPr>
        <w:footnoteRef/>
      </w:r>
      <w:r>
        <w:t xml:space="preserve"> </w:t>
      </w:r>
      <w:r w:rsidRPr="00641DDA">
        <w:rPr>
          <w:i/>
          <w:iCs/>
        </w:rPr>
        <w:t>Id</w:t>
      </w:r>
      <w:r>
        <w:t xml:space="preserve">. </w:t>
      </w:r>
    </w:p>
  </w:footnote>
  <w:footnote w:id="13">
    <w:p w:rsidR="00346B72" w:rsidRPr="00346B72" w14:paraId="1C91C16A" w14:textId="2A3365BB">
      <w:pPr>
        <w:pStyle w:val="FootnoteText"/>
      </w:pPr>
      <w:r>
        <w:rPr>
          <w:rStyle w:val="FootnoteReference"/>
        </w:rPr>
        <w:footnoteRef/>
      </w:r>
      <w:r>
        <w:t xml:space="preserve"> </w:t>
      </w:r>
      <w:r>
        <w:rPr>
          <w:i/>
          <w:iCs/>
        </w:rPr>
        <w:t>Id.</w:t>
      </w:r>
      <w:r>
        <w:t xml:space="preserve"> at para. 23.</w:t>
      </w:r>
    </w:p>
  </w:footnote>
  <w:footnote w:id="14">
    <w:p w:rsidR="0010294A" w14:paraId="2370A6B5" w14:textId="4ADD7D72">
      <w:pPr>
        <w:pStyle w:val="FootnoteText"/>
      </w:pPr>
      <w:r>
        <w:rPr>
          <w:rStyle w:val="FootnoteReference"/>
        </w:rPr>
        <w:footnoteRef/>
      </w:r>
      <w:r>
        <w:t xml:space="preserve"> File No. </w:t>
      </w:r>
      <w:r w:rsidRPr="0010294A">
        <w:t>0009136157</w:t>
      </w:r>
      <w:r>
        <w:t xml:space="preserve"> (filed July 6, 2020, amended July 24, 2020).</w:t>
      </w:r>
    </w:p>
  </w:footnote>
  <w:footnote w:id="15">
    <w:p w:rsidR="0010294A" w14:paraId="425754D0" w14:textId="795DD046">
      <w:pPr>
        <w:pStyle w:val="FootnoteText"/>
      </w:pPr>
      <w:r>
        <w:rPr>
          <w:rStyle w:val="FootnoteReference"/>
        </w:rPr>
        <w:footnoteRef/>
      </w:r>
      <w:r>
        <w:t xml:space="preserve"> File No. </w:t>
      </w:r>
      <w:r w:rsidRPr="0010294A">
        <w:t>0009136157</w:t>
      </w:r>
      <w:r>
        <w:t xml:space="preserve"> (granted Oct. 21, 2020).</w:t>
      </w:r>
    </w:p>
  </w:footnote>
  <w:footnote w:id="16">
    <w:p w:rsidR="003B734D" w:rsidRPr="003B734D" w14:paraId="5A5125DC" w14:textId="706DED4C">
      <w:pPr>
        <w:pStyle w:val="FootnoteText"/>
      </w:pPr>
      <w:r>
        <w:rPr>
          <w:rStyle w:val="FootnoteReference"/>
        </w:rPr>
        <w:footnoteRef/>
      </w:r>
      <w:r>
        <w:t xml:space="preserve"> Waiver Request at 1</w:t>
      </w:r>
      <w:r w:rsidR="00145175">
        <w:t xml:space="preserve"> (</w:t>
      </w:r>
      <w:r w:rsidRPr="00641DDA" w:rsidR="00145175">
        <w:t>citing</w:t>
      </w:r>
      <w:r w:rsidR="00145175">
        <w:rPr>
          <w:i/>
          <w:iCs/>
        </w:rPr>
        <w:t xml:space="preserve"> </w:t>
      </w:r>
      <w:r w:rsidRPr="00641DDA" w:rsidR="00641DDA">
        <w:t>letters from the</w:t>
      </w:r>
      <w:r w:rsidR="00641DDA">
        <w:rPr>
          <w:i/>
          <w:iCs/>
        </w:rPr>
        <w:t xml:space="preserve"> </w:t>
      </w:r>
      <w:r w:rsidR="00145175">
        <w:t xml:space="preserve">Department of the Interior </w:t>
      </w:r>
      <w:r w:rsidR="00641DDA">
        <w:t xml:space="preserve">reflecting </w:t>
      </w:r>
      <w:r w:rsidR="00145175">
        <w:t>approval of Application File No. J-541-2015 to place the lands in question in trust status)</w:t>
      </w:r>
      <w:r>
        <w:t>.</w:t>
      </w:r>
    </w:p>
  </w:footnote>
  <w:footnote w:id="17">
    <w:p w:rsidR="003B734D" w14:paraId="5BB5BFAE" w14:textId="3026244A">
      <w:pPr>
        <w:pStyle w:val="FootnoteText"/>
      </w:pPr>
      <w:r>
        <w:rPr>
          <w:rStyle w:val="FootnoteReference"/>
        </w:rPr>
        <w:footnoteRef/>
      </w:r>
      <w:r>
        <w:t xml:space="preserve"> </w:t>
      </w:r>
      <w:r w:rsidR="00771702">
        <w:t>Waiver Request at 1.</w:t>
      </w:r>
    </w:p>
  </w:footnote>
  <w:footnote w:id="18">
    <w:p w:rsidR="00771702" w14:paraId="72C8395E" w14:textId="2DAE88BB">
      <w:pPr>
        <w:pStyle w:val="FootnoteText"/>
      </w:pPr>
      <w:r>
        <w:rPr>
          <w:rStyle w:val="FootnoteReference"/>
        </w:rPr>
        <w:footnoteRef/>
      </w:r>
      <w:r>
        <w:t xml:space="preserve"> </w:t>
      </w:r>
      <w:r w:rsidRPr="00073D25" w:rsidR="00DF63F0">
        <w:rPr>
          <w:i/>
          <w:iCs/>
        </w:rPr>
        <w:t>Id</w:t>
      </w:r>
      <w:r>
        <w:t>.</w:t>
      </w:r>
    </w:p>
  </w:footnote>
  <w:footnote w:id="19">
    <w:p w:rsidR="00771702" w14:paraId="5E4CF30F" w14:textId="1BC0303F">
      <w:pPr>
        <w:pStyle w:val="FootnoteText"/>
      </w:pPr>
      <w:r>
        <w:rPr>
          <w:rStyle w:val="FootnoteReference"/>
        </w:rPr>
        <w:footnoteRef/>
      </w:r>
      <w:r>
        <w:t xml:space="preserve"> </w:t>
      </w:r>
      <w:r w:rsidRPr="00073D25" w:rsidR="00DF63F0">
        <w:rPr>
          <w:i/>
          <w:iCs/>
        </w:rPr>
        <w:t>Id</w:t>
      </w:r>
      <w:r>
        <w:t>.</w:t>
      </w:r>
    </w:p>
  </w:footnote>
  <w:footnote w:id="20">
    <w:p w:rsidR="00B524AA" w14:paraId="4C124EA4" w14:textId="770504F6">
      <w:pPr>
        <w:pStyle w:val="FootnoteText"/>
      </w:pPr>
      <w:r>
        <w:rPr>
          <w:rStyle w:val="FootnoteReference"/>
        </w:rPr>
        <w:footnoteRef/>
      </w:r>
      <w:r>
        <w:t xml:space="preserve"> </w:t>
      </w:r>
      <w:r w:rsidR="00CD2D5F">
        <w:rPr>
          <w:i/>
          <w:iCs/>
        </w:rPr>
        <w:t>Wireless Telecommunications Bureau Announces Additional 2.5 GHz Rural Tribal Priority Window License Applications Accepted for Filing</w:t>
      </w:r>
      <w:r w:rsidR="00CD2D5F">
        <w:t>, Public Notice, 35 FCC Rcd 12850 (WTB 2020).</w:t>
      </w:r>
    </w:p>
  </w:footnote>
  <w:footnote w:id="21">
    <w:p w:rsidR="003F2839" w14:paraId="3AFBE704" w14:textId="77777777">
      <w:pPr>
        <w:pStyle w:val="FootnoteText"/>
      </w:pPr>
      <w:r>
        <w:rPr>
          <w:rStyle w:val="FootnoteReference"/>
        </w:rPr>
        <w:footnoteRef/>
      </w:r>
      <w:r>
        <w:t xml:space="preserve"> 47 CFR § 1.925(b)(3).</w:t>
      </w:r>
    </w:p>
  </w:footnote>
  <w:footnote w:id="22">
    <w:p w:rsidR="008753A6" w:rsidRPr="008753A6" w14:paraId="621B3238" w14:textId="67169A26">
      <w:pPr>
        <w:pStyle w:val="FootnoteText"/>
      </w:pPr>
      <w:r>
        <w:rPr>
          <w:rStyle w:val="FootnoteReference"/>
        </w:rPr>
        <w:footnoteRef/>
      </w:r>
      <w:r>
        <w:t xml:space="preserve"> </w:t>
      </w:r>
      <w:r>
        <w:rPr>
          <w:i/>
          <w:iCs/>
        </w:rPr>
        <w:t>Reconsideration Order</w:t>
      </w:r>
      <w:r>
        <w:t xml:space="preserve"> at para. 4.</w:t>
      </w:r>
    </w:p>
  </w:footnote>
  <w:footnote w:id="23">
    <w:p w:rsidR="009E0AD4" w:rsidP="00344F69" w14:paraId="17978FEC" w14:textId="2D812818">
      <w:pPr>
        <w:pStyle w:val="FootnoteText"/>
        <w:tabs>
          <w:tab w:val="left" w:pos="773"/>
        </w:tabs>
      </w:pPr>
      <w:r>
        <w:rPr>
          <w:rStyle w:val="FootnoteReference"/>
        </w:rPr>
        <w:footnoteRef/>
      </w:r>
      <w:r>
        <w:t xml:space="preserve"> The Commission has noted that the problem of lack of communications is particularly acute on rural Tribal lands.  </w:t>
      </w:r>
      <w:r w:rsidRPr="00E526E6">
        <w:rPr>
          <w:i/>
          <w:iCs/>
        </w:rPr>
        <w:t>See</w:t>
      </w:r>
      <w:r>
        <w:t xml:space="preserve"> </w:t>
      </w:r>
      <w:r>
        <w:rPr>
          <w:i/>
          <w:iCs/>
        </w:rPr>
        <w:t>2.5 GHz Report and Order</w:t>
      </w:r>
      <w:r>
        <w:t xml:space="preserve">, 34 FCC Rcd at 5466, para. 56; </w:t>
      </w:r>
      <w:r>
        <w:rPr>
          <w:i/>
          <w:iCs/>
        </w:rPr>
        <w:t>see also</w:t>
      </w:r>
      <w:r w:rsidRPr="00EA6878">
        <w:rPr>
          <w:i/>
          <w:iCs/>
        </w:rPr>
        <w:t xml:space="preserve"> </w:t>
      </w:r>
      <w:r w:rsidRPr="00EA6878">
        <w:rPr>
          <w:i/>
          <w:iCs/>
          <w:spacing w:val="-2"/>
        </w:rPr>
        <w:t>Inquiry Concerning Deployment of Advanced Telecommunications Capability to All Americans in a Reasonable and Timely Fashion</w:t>
      </w:r>
      <w:r>
        <w:t>, 2020 Broadband Progress Report, 35 FCC Rcd 8986, 9013, para. 47 (2020) (“Rural Tribal lands continue to lag behind urban Tribal lands, with only 52.9% of all Tribal lands in rural areas having deployment of both [fixed and mobile broadband] services, as compared to 93.1% of Tribal lands in urban areas”).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EA8848" w14:textId="2907029A">
    <w:pPr>
      <w:pStyle w:val="Header"/>
      <w:rPr>
        <w:b w:val="0"/>
      </w:rPr>
    </w:pPr>
    <w:r>
      <w:tab/>
      <w:t>Federal Communications Commission</w:t>
    </w:r>
    <w:r>
      <w:tab/>
    </w:r>
    <w:r w:rsidR="0024130E">
      <w:t>DA 2</w:t>
    </w:r>
    <w:r w:rsidR="000F352C">
      <w:t>1</w:t>
    </w:r>
    <w:r w:rsidR="0024130E">
      <w:t>-</w:t>
    </w:r>
    <w:r w:rsidR="00FC3DED">
      <w:t>75</w:t>
    </w:r>
  </w:p>
  <w:p w:rsidR="00D25FB5" w14:paraId="737B082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1F56DE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CD88F1" w14:textId="3FB4F56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4130E">
      <w:rPr>
        <w:spacing w:val="-2"/>
      </w:rPr>
      <w:t>DA 2</w:t>
    </w:r>
    <w:r w:rsidR="000F352C">
      <w:rPr>
        <w:spacing w:val="-2"/>
      </w:rPr>
      <w:t>1</w:t>
    </w:r>
    <w:r w:rsidR="0024130E">
      <w:rPr>
        <w:spacing w:val="-2"/>
      </w:rPr>
      <w:t>-</w:t>
    </w:r>
    <w:r w:rsidR="00FC3DED">
      <w:rPr>
        <w:spacing w:val="-2"/>
      </w:rPr>
      <w:t>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BB"/>
    <w:rsid w:val="000014B1"/>
    <w:rsid w:val="00007A3B"/>
    <w:rsid w:val="0001037A"/>
    <w:rsid w:val="00017147"/>
    <w:rsid w:val="00022817"/>
    <w:rsid w:val="000240C2"/>
    <w:rsid w:val="0003050A"/>
    <w:rsid w:val="00030BDF"/>
    <w:rsid w:val="00032D2B"/>
    <w:rsid w:val="00036039"/>
    <w:rsid w:val="0003761B"/>
    <w:rsid w:val="00037F90"/>
    <w:rsid w:val="0004018D"/>
    <w:rsid w:val="00050E4D"/>
    <w:rsid w:val="0005345C"/>
    <w:rsid w:val="00060D95"/>
    <w:rsid w:val="00060FCF"/>
    <w:rsid w:val="0006177E"/>
    <w:rsid w:val="000652F1"/>
    <w:rsid w:val="00065FA4"/>
    <w:rsid w:val="0006672D"/>
    <w:rsid w:val="00066C37"/>
    <w:rsid w:val="00070C90"/>
    <w:rsid w:val="000718FA"/>
    <w:rsid w:val="00072FCB"/>
    <w:rsid w:val="00073D25"/>
    <w:rsid w:val="00076C7F"/>
    <w:rsid w:val="0008178A"/>
    <w:rsid w:val="000875BF"/>
    <w:rsid w:val="00093C8D"/>
    <w:rsid w:val="00093D3B"/>
    <w:rsid w:val="000954EC"/>
    <w:rsid w:val="00096D8C"/>
    <w:rsid w:val="000A2DF0"/>
    <w:rsid w:val="000A2FCC"/>
    <w:rsid w:val="000B0DD8"/>
    <w:rsid w:val="000B169B"/>
    <w:rsid w:val="000B31AC"/>
    <w:rsid w:val="000B4E60"/>
    <w:rsid w:val="000B5DCB"/>
    <w:rsid w:val="000C0B65"/>
    <w:rsid w:val="000C6D02"/>
    <w:rsid w:val="000D0955"/>
    <w:rsid w:val="000D7146"/>
    <w:rsid w:val="000E05FE"/>
    <w:rsid w:val="000E3A66"/>
    <w:rsid w:val="000E3D42"/>
    <w:rsid w:val="000E5D56"/>
    <w:rsid w:val="000F352C"/>
    <w:rsid w:val="000F568D"/>
    <w:rsid w:val="000F69CC"/>
    <w:rsid w:val="000F7C45"/>
    <w:rsid w:val="0010294A"/>
    <w:rsid w:val="001042D5"/>
    <w:rsid w:val="001077D3"/>
    <w:rsid w:val="001101B9"/>
    <w:rsid w:val="00112DFE"/>
    <w:rsid w:val="00115A8B"/>
    <w:rsid w:val="00116E19"/>
    <w:rsid w:val="00117317"/>
    <w:rsid w:val="00122BD5"/>
    <w:rsid w:val="00127D94"/>
    <w:rsid w:val="00133407"/>
    <w:rsid w:val="00133F79"/>
    <w:rsid w:val="00137A41"/>
    <w:rsid w:val="00145175"/>
    <w:rsid w:val="001548C2"/>
    <w:rsid w:val="0016058E"/>
    <w:rsid w:val="00160E42"/>
    <w:rsid w:val="00166880"/>
    <w:rsid w:val="00167709"/>
    <w:rsid w:val="00172DA3"/>
    <w:rsid w:val="00174992"/>
    <w:rsid w:val="001751C9"/>
    <w:rsid w:val="00177280"/>
    <w:rsid w:val="001900CC"/>
    <w:rsid w:val="001906BA"/>
    <w:rsid w:val="001918DC"/>
    <w:rsid w:val="00191EB2"/>
    <w:rsid w:val="00194A66"/>
    <w:rsid w:val="001A5CF3"/>
    <w:rsid w:val="001B5EF6"/>
    <w:rsid w:val="001B728F"/>
    <w:rsid w:val="001C021B"/>
    <w:rsid w:val="001C3C44"/>
    <w:rsid w:val="001D1156"/>
    <w:rsid w:val="001D28CD"/>
    <w:rsid w:val="001D2953"/>
    <w:rsid w:val="001D2CD6"/>
    <w:rsid w:val="001D4655"/>
    <w:rsid w:val="001D6B6C"/>
    <w:rsid w:val="001D6BCF"/>
    <w:rsid w:val="001D7987"/>
    <w:rsid w:val="001E01CA"/>
    <w:rsid w:val="001E23A8"/>
    <w:rsid w:val="001E7912"/>
    <w:rsid w:val="001F0FF0"/>
    <w:rsid w:val="001F2CB9"/>
    <w:rsid w:val="001F4394"/>
    <w:rsid w:val="00201DEC"/>
    <w:rsid w:val="00205B8B"/>
    <w:rsid w:val="00212B92"/>
    <w:rsid w:val="00213C1C"/>
    <w:rsid w:val="00214B36"/>
    <w:rsid w:val="00221637"/>
    <w:rsid w:val="00221722"/>
    <w:rsid w:val="00233A69"/>
    <w:rsid w:val="00237A22"/>
    <w:rsid w:val="0024130E"/>
    <w:rsid w:val="00251526"/>
    <w:rsid w:val="00257E0A"/>
    <w:rsid w:val="00263233"/>
    <w:rsid w:val="0026338D"/>
    <w:rsid w:val="00275CF5"/>
    <w:rsid w:val="002829AE"/>
    <w:rsid w:val="0028301F"/>
    <w:rsid w:val="00284629"/>
    <w:rsid w:val="00284E94"/>
    <w:rsid w:val="00285017"/>
    <w:rsid w:val="0029022A"/>
    <w:rsid w:val="00290F71"/>
    <w:rsid w:val="002949DD"/>
    <w:rsid w:val="00294F81"/>
    <w:rsid w:val="002A2D2E"/>
    <w:rsid w:val="002A3448"/>
    <w:rsid w:val="002A4607"/>
    <w:rsid w:val="002B3AC0"/>
    <w:rsid w:val="002C00E8"/>
    <w:rsid w:val="002C0352"/>
    <w:rsid w:val="002C1901"/>
    <w:rsid w:val="002C3888"/>
    <w:rsid w:val="002C4028"/>
    <w:rsid w:val="002C6641"/>
    <w:rsid w:val="002D10AB"/>
    <w:rsid w:val="002D3DF7"/>
    <w:rsid w:val="002D50BA"/>
    <w:rsid w:val="002D6935"/>
    <w:rsid w:val="002D7016"/>
    <w:rsid w:val="002D790C"/>
    <w:rsid w:val="002E3595"/>
    <w:rsid w:val="002E38BF"/>
    <w:rsid w:val="002E496D"/>
    <w:rsid w:val="002E6004"/>
    <w:rsid w:val="002F00B6"/>
    <w:rsid w:val="002F17D4"/>
    <w:rsid w:val="002F1AE8"/>
    <w:rsid w:val="002F3A3A"/>
    <w:rsid w:val="00300829"/>
    <w:rsid w:val="00302592"/>
    <w:rsid w:val="00311083"/>
    <w:rsid w:val="003215C8"/>
    <w:rsid w:val="00321A3C"/>
    <w:rsid w:val="003245B5"/>
    <w:rsid w:val="00332EBD"/>
    <w:rsid w:val="003376DB"/>
    <w:rsid w:val="00343749"/>
    <w:rsid w:val="00344950"/>
    <w:rsid w:val="00344F69"/>
    <w:rsid w:val="00346B72"/>
    <w:rsid w:val="00346BF0"/>
    <w:rsid w:val="0034743D"/>
    <w:rsid w:val="0035393E"/>
    <w:rsid w:val="00353A90"/>
    <w:rsid w:val="00354389"/>
    <w:rsid w:val="003660ED"/>
    <w:rsid w:val="00374758"/>
    <w:rsid w:val="00376E52"/>
    <w:rsid w:val="00381517"/>
    <w:rsid w:val="00387077"/>
    <w:rsid w:val="00391F35"/>
    <w:rsid w:val="00396FBB"/>
    <w:rsid w:val="003A3EA7"/>
    <w:rsid w:val="003A4FB9"/>
    <w:rsid w:val="003B0550"/>
    <w:rsid w:val="003B1E4D"/>
    <w:rsid w:val="003B556A"/>
    <w:rsid w:val="003B694F"/>
    <w:rsid w:val="003B734D"/>
    <w:rsid w:val="003C339F"/>
    <w:rsid w:val="003C46B9"/>
    <w:rsid w:val="003D0562"/>
    <w:rsid w:val="003D05E3"/>
    <w:rsid w:val="003D25E6"/>
    <w:rsid w:val="003D6D8A"/>
    <w:rsid w:val="003D744F"/>
    <w:rsid w:val="003E250E"/>
    <w:rsid w:val="003E4B51"/>
    <w:rsid w:val="003E6340"/>
    <w:rsid w:val="003E7714"/>
    <w:rsid w:val="003E7D5F"/>
    <w:rsid w:val="003F0942"/>
    <w:rsid w:val="003F1683"/>
    <w:rsid w:val="003F171C"/>
    <w:rsid w:val="003F1CAF"/>
    <w:rsid w:val="003F2839"/>
    <w:rsid w:val="003F563E"/>
    <w:rsid w:val="003F6AEF"/>
    <w:rsid w:val="00400196"/>
    <w:rsid w:val="004058C5"/>
    <w:rsid w:val="00407992"/>
    <w:rsid w:val="00412FC5"/>
    <w:rsid w:val="00422078"/>
    <w:rsid w:val="00422276"/>
    <w:rsid w:val="00423370"/>
    <w:rsid w:val="004242F1"/>
    <w:rsid w:val="0043693A"/>
    <w:rsid w:val="004400BF"/>
    <w:rsid w:val="00440182"/>
    <w:rsid w:val="0044561F"/>
    <w:rsid w:val="00445A00"/>
    <w:rsid w:val="00446C4F"/>
    <w:rsid w:val="00446DE2"/>
    <w:rsid w:val="00450D8B"/>
    <w:rsid w:val="00451B0F"/>
    <w:rsid w:val="00453C66"/>
    <w:rsid w:val="004659B3"/>
    <w:rsid w:val="00466AC9"/>
    <w:rsid w:val="00471A61"/>
    <w:rsid w:val="00476ACA"/>
    <w:rsid w:val="004839EC"/>
    <w:rsid w:val="0048478B"/>
    <w:rsid w:val="00485256"/>
    <w:rsid w:val="00492F28"/>
    <w:rsid w:val="00494752"/>
    <w:rsid w:val="004A351B"/>
    <w:rsid w:val="004A5D6A"/>
    <w:rsid w:val="004B0899"/>
    <w:rsid w:val="004B7D12"/>
    <w:rsid w:val="004C2EE3"/>
    <w:rsid w:val="004D0166"/>
    <w:rsid w:val="004D5267"/>
    <w:rsid w:val="004E106D"/>
    <w:rsid w:val="004E35EC"/>
    <w:rsid w:val="004E4A22"/>
    <w:rsid w:val="004E5EA2"/>
    <w:rsid w:val="004F0DB8"/>
    <w:rsid w:val="004F1B69"/>
    <w:rsid w:val="004F6E42"/>
    <w:rsid w:val="00507B5B"/>
    <w:rsid w:val="00511968"/>
    <w:rsid w:val="00513AB1"/>
    <w:rsid w:val="005153FB"/>
    <w:rsid w:val="00520932"/>
    <w:rsid w:val="0052514D"/>
    <w:rsid w:val="0053202E"/>
    <w:rsid w:val="005321C3"/>
    <w:rsid w:val="00532B68"/>
    <w:rsid w:val="00534983"/>
    <w:rsid w:val="00540BBC"/>
    <w:rsid w:val="00545E96"/>
    <w:rsid w:val="00550BB9"/>
    <w:rsid w:val="00552554"/>
    <w:rsid w:val="0055393A"/>
    <w:rsid w:val="0055614C"/>
    <w:rsid w:val="00563780"/>
    <w:rsid w:val="00566D06"/>
    <w:rsid w:val="00575854"/>
    <w:rsid w:val="00582FF3"/>
    <w:rsid w:val="0058444B"/>
    <w:rsid w:val="00585301"/>
    <w:rsid w:val="00585C43"/>
    <w:rsid w:val="00590470"/>
    <w:rsid w:val="00592DED"/>
    <w:rsid w:val="005968F7"/>
    <w:rsid w:val="005A057D"/>
    <w:rsid w:val="005A3233"/>
    <w:rsid w:val="005A395B"/>
    <w:rsid w:val="005A71F9"/>
    <w:rsid w:val="005B0BF6"/>
    <w:rsid w:val="005B1154"/>
    <w:rsid w:val="005B2004"/>
    <w:rsid w:val="005B7B7F"/>
    <w:rsid w:val="005C0BA2"/>
    <w:rsid w:val="005C1F9A"/>
    <w:rsid w:val="005C55A9"/>
    <w:rsid w:val="005D1879"/>
    <w:rsid w:val="005D2452"/>
    <w:rsid w:val="005D3818"/>
    <w:rsid w:val="005D3AC0"/>
    <w:rsid w:val="005E103B"/>
    <w:rsid w:val="005E14C2"/>
    <w:rsid w:val="005E5F2D"/>
    <w:rsid w:val="005F6A41"/>
    <w:rsid w:val="005F7D78"/>
    <w:rsid w:val="00604490"/>
    <w:rsid w:val="00607BA5"/>
    <w:rsid w:val="0061180A"/>
    <w:rsid w:val="0061637F"/>
    <w:rsid w:val="00620A15"/>
    <w:rsid w:val="00621BA8"/>
    <w:rsid w:val="00622B97"/>
    <w:rsid w:val="00622E7C"/>
    <w:rsid w:val="006242EF"/>
    <w:rsid w:val="00626EB6"/>
    <w:rsid w:val="0063040D"/>
    <w:rsid w:val="00633EA2"/>
    <w:rsid w:val="00641DDA"/>
    <w:rsid w:val="006433B1"/>
    <w:rsid w:val="00643675"/>
    <w:rsid w:val="0064625B"/>
    <w:rsid w:val="00646F1B"/>
    <w:rsid w:val="00650D18"/>
    <w:rsid w:val="006539FB"/>
    <w:rsid w:val="00655619"/>
    <w:rsid w:val="00655D03"/>
    <w:rsid w:val="0065628B"/>
    <w:rsid w:val="006604AC"/>
    <w:rsid w:val="006630C8"/>
    <w:rsid w:val="006716B7"/>
    <w:rsid w:val="00673C09"/>
    <w:rsid w:val="0068314B"/>
    <w:rsid w:val="00683388"/>
    <w:rsid w:val="00683F84"/>
    <w:rsid w:val="00693518"/>
    <w:rsid w:val="00693E3B"/>
    <w:rsid w:val="0069736B"/>
    <w:rsid w:val="006A20C0"/>
    <w:rsid w:val="006A3831"/>
    <w:rsid w:val="006A6A81"/>
    <w:rsid w:val="006B2956"/>
    <w:rsid w:val="006B5087"/>
    <w:rsid w:val="006B6236"/>
    <w:rsid w:val="006B6D9D"/>
    <w:rsid w:val="006C278F"/>
    <w:rsid w:val="006C3263"/>
    <w:rsid w:val="006C7509"/>
    <w:rsid w:val="006C7A1D"/>
    <w:rsid w:val="006D6EC3"/>
    <w:rsid w:val="006E4513"/>
    <w:rsid w:val="006F08EF"/>
    <w:rsid w:val="006F28D6"/>
    <w:rsid w:val="006F5B74"/>
    <w:rsid w:val="006F5C6E"/>
    <w:rsid w:val="006F6505"/>
    <w:rsid w:val="006F7393"/>
    <w:rsid w:val="00700F1C"/>
    <w:rsid w:val="00701920"/>
    <w:rsid w:val="0070224F"/>
    <w:rsid w:val="00705EFE"/>
    <w:rsid w:val="007067FF"/>
    <w:rsid w:val="007115F7"/>
    <w:rsid w:val="0071265F"/>
    <w:rsid w:val="007154D5"/>
    <w:rsid w:val="0071623F"/>
    <w:rsid w:val="0071628A"/>
    <w:rsid w:val="007260E5"/>
    <w:rsid w:val="00727935"/>
    <w:rsid w:val="00727B75"/>
    <w:rsid w:val="00730394"/>
    <w:rsid w:val="00730ED4"/>
    <w:rsid w:val="00733947"/>
    <w:rsid w:val="00734150"/>
    <w:rsid w:val="0074703B"/>
    <w:rsid w:val="00762237"/>
    <w:rsid w:val="00766481"/>
    <w:rsid w:val="00771702"/>
    <w:rsid w:val="00782BE3"/>
    <w:rsid w:val="00785689"/>
    <w:rsid w:val="00791886"/>
    <w:rsid w:val="007969C9"/>
    <w:rsid w:val="0079754B"/>
    <w:rsid w:val="007A0C9B"/>
    <w:rsid w:val="007A1E6D"/>
    <w:rsid w:val="007B0EB2"/>
    <w:rsid w:val="007B57BC"/>
    <w:rsid w:val="007C51BA"/>
    <w:rsid w:val="007D2A17"/>
    <w:rsid w:val="007E0CAB"/>
    <w:rsid w:val="007E35B0"/>
    <w:rsid w:val="007E3C3D"/>
    <w:rsid w:val="007F285E"/>
    <w:rsid w:val="007F7C8F"/>
    <w:rsid w:val="008010D0"/>
    <w:rsid w:val="008011B7"/>
    <w:rsid w:val="008035D2"/>
    <w:rsid w:val="0080694A"/>
    <w:rsid w:val="00810B6F"/>
    <w:rsid w:val="00811C65"/>
    <w:rsid w:val="008126F5"/>
    <w:rsid w:val="00822CE0"/>
    <w:rsid w:val="008247A2"/>
    <w:rsid w:val="00824E09"/>
    <w:rsid w:val="00825B25"/>
    <w:rsid w:val="008348C7"/>
    <w:rsid w:val="0084013F"/>
    <w:rsid w:val="00841AB1"/>
    <w:rsid w:val="00843EF1"/>
    <w:rsid w:val="00847B79"/>
    <w:rsid w:val="00853E61"/>
    <w:rsid w:val="00856659"/>
    <w:rsid w:val="00856943"/>
    <w:rsid w:val="00857FB5"/>
    <w:rsid w:val="0086047D"/>
    <w:rsid w:val="00866CF4"/>
    <w:rsid w:val="00871873"/>
    <w:rsid w:val="008753A6"/>
    <w:rsid w:val="00885E97"/>
    <w:rsid w:val="0089219D"/>
    <w:rsid w:val="008940B7"/>
    <w:rsid w:val="00895BF0"/>
    <w:rsid w:val="008B462F"/>
    <w:rsid w:val="008C4A5F"/>
    <w:rsid w:val="008C4AAC"/>
    <w:rsid w:val="008C68F1"/>
    <w:rsid w:val="008D4A96"/>
    <w:rsid w:val="008D73F7"/>
    <w:rsid w:val="008E09A5"/>
    <w:rsid w:val="008E710A"/>
    <w:rsid w:val="008F4AC2"/>
    <w:rsid w:val="008F79C4"/>
    <w:rsid w:val="0090058D"/>
    <w:rsid w:val="009049F7"/>
    <w:rsid w:val="00905F1F"/>
    <w:rsid w:val="0092162B"/>
    <w:rsid w:val="00921803"/>
    <w:rsid w:val="00921D4C"/>
    <w:rsid w:val="009243FC"/>
    <w:rsid w:val="00926503"/>
    <w:rsid w:val="00927513"/>
    <w:rsid w:val="009306D4"/>
    <w:rsid w:val="00936FC5"/>
    <w:rsid w:val="009463AD"/>
    <w:rsid w:val="009609DA"/>
    <w:rsid w:val="00964145"/>
    <w:rsid w:val="0097219B"/>
    <w:rsid w:val="009726D8"/>
    <w:rsid w:val="00973032"/>
    <w:rsid w:val="0097387E"/>
    <w:rsid w:val="00975D52"/>
    <w:rsid w:val="00977BF7"/>
    <w:rsid w:val="00982EF0"/>
    <w:rsid w:val="00983426"/>
    <w:rsid w:val="00985517"/>
    <w:rsid w:val="009862E0"/>
    <w:rsid w:val="00993257"/>
    <w:rsid w:val="00993FBC"/>
    <w:rsid w:val="0099423F"/>
    <w:rsid w:val="009A19B0"/>
    <w:rsid w:val="009A2212"/>
    <w:rsid w:val="009B28D6"/>
    <w:rsid w:val="009B70FB"/>
    <w:rsid w:val="009B7F58"/>
    <w:rsid w:val="009D2B82"/>
    <w:rsid w:val="009D6F88"/>
    <w:rsid w:val="009D7308"/>
    <w:rsid w:val="009E04D2"/>
    <w:rsid w:val="009E0AD4"/>
    <w:rsid w:val="009E3520"/>
    <w:rsid w:val="009F05B2"/>
    <w:rsid w:val="009F76DB"/>
    <w:rsid w:val="009F78A8"/>
    <w:rsid w:val="00A006BA"/>
    <w:rsid w:val="00A05089"/>
    <w:rsid w:val="00A117E8"/>
    <w:rsid w:val="00A15EA5"/>
    <w:rsid w:val="00A17F49"/>
    <w:rsid w:val="00A251EE"/>
    <w:rsid w:val="00A25A57"/>
    <w:rsid w:val="00A27E90"/>
    <w:rsid w:val="00A32C3B"/>
    <w:rsid w:val="00A3333D"/>
    <w:rsid w:val="00A33C7D"/>
    <w:rsid w:val="00A36044"/>
    <w:rsid w:val="00A403EA"/>
    <w:rsid w:val="00A418EE"/>
    <w:rsid w:val="00A45F4F"/>
    <w:rsid w:val="00A468EA"/>
    <w:rsid w:val="00A53069"/>
    <w:rsid w:val="00A54C62"/>
    <w:rsid w:val="00A600A9"/>
    <w:rsid w:val="00A62B9F"/>
    <w:rsid w:val="00A630EA"/>
    <w:rsid w:val="00A652AB"/>
    <w:rsid w:val="00A66198"/>
    <w:rsid w:val="00A70139"/>
    <w:rsid w:val="00A72727"/>
    <w:rsid w:val="00A751F1"/>
    <w:rsid w:val="00A763CF"/>
    <w:rsid w:val="00A82B62"/>
    <w:rsid w:val="00A878CF"/>
    <w:rsid w:val="00A938C8"/>
    <w:rsid w:val="00A97E55"/>
    <w:rsid w:val="00AA0E1F"/>
    <w:rsid w:val="00AA429D"/>
    <w:rsid w:val="00AA55B7"/>
    <w:rsid w:val="00AA5B9E"/>
    <w:rsid w:val="00AB0500"/>
    <w:rsid w:val="00AB185F"/>
    <w:rsid w:val="00AB2407"/>
    <w:rsid w:val="00AB53DF"/>
    <w:rsid w:val="00AB5551"/>
    <w:rsid w:val="00AC36D1"/>
    <w:rsid w:val="00AC3EC5"/>
    <w:rsid w:val="00AC6913"/>
    <w:rsid w:val="00AC7A07"/>
    <w:rsid w:val="00AD0CC4"/>
    <w:rsid w:val="00AD1E0B"/>
    <w:rsid w:val="00AD4E78"/>
    <w:rsid w:val="00AD77AD"/>
    <w:rsid w:val="00AE3478"/>
    <w:rsid w:val="00AE3776"/>
    <w:rsid w:val="00AE71E1"/>
    <w:rsid w:val="00AE777F"/>
    <w:rsid w:val="00AF5B01"/>
    <w:rsid w:val="00B07E5C"/>
    <w:rsid w:val="00B12FAE"/>
    <w:rsid w:val="00B151FD"/>
    <w:rsid w:val="00B1660A"/>
    <w:rsid w:val="00B167EE"/>
    <w:rsid w:val="00B220B6"/>
    <w:rsid w:val="00B30A15"/>
    <w:rsid w:val="00B350A1"/>
    <w:rsid w:val="00B36557"/>
    <w:rsid w:val="00B45107"/>
    <w:rsid w:val="00B5162A"/>
    <w:rsid w:val="00B51C20"/>
    <w:rsid w:val="00B524AA"/>
    <w:rsid w:val="00B530E5"/>
    <w:rsid w:val="00B62D8E"/>
    <w:rsid w:val="00B64485"/>
    <w:rsid w:val="00B65A21"/>
    <w:rsid w:val="00B6739B"/>
    <w:rsid w:val="00B67AAB"/>
    <w:rsid w:val="00B76939"/>
    <w:rsid w:val="00B77FE7"/>
    <w:rsid w:val="00B80311"/>
    <w:rsid w:val="00B811F7"/>
    <w:rsid w:val="00B81978"/>
    <w:rsid w:val="00B82023"/>
    <w:rsid w:val="00B835C7"/>
    <w:rsid w:val="00B9295E"/>
    <w:rsid w:val="00B92D1E"/>
    <w:rsid w:val="00B93507"/>
    <w:rsid w:val="00B943EE"/>
    <w:rsid w:val="00B959BB"/>
    <w:rsid w:val="00B96030"/>
    <w:rsid w:val="00BA0D4D"/>
    <w:rsid w:val="00BA167B"/>
    <w:rsid w:val="00BA27ED"/>
    <w:rsid w:val="00BA3795"/>
    <w:rsid w:val="00BA5DC6"/>
    <w:rsid w:val="00BA6196"/>
    <w:rsid w:val="00BB1078"/>
    <w:rsid w:val="00BC6D8C"/>
    <w:rsid w:val="00BC795D"/>
    <w:rsid w:val="00BC7D1C"/>
    <w:rsid w:val="00BD3E61"/>
    <w:rsid w:val="00BD47BD"/>
    <w:rsid w:val="00BE268B"/>
    <w:rsid w:val="00BE405C"/>
    <w:rsid w:val="00BE7601"/>
    <w:rsid w:val="00BF6804"/>
    <w:rsid w:val="00C03F63"/>
    <w:rsid w:val="00C05CC9"/>
    <w:rsid w:val="00C132D8"/>
    <w:rsid w:val="00C1480C"/>
    <w:rsid w:val="00C15E8C"/>
    <w:rsid w:val="00C21177"/>
    <w:rsid w:val="00C231C9"/>
    <w:rsid w:val="00C2328F"/>
    <w:rsid w:val="00C273B7"/>
    <w:rsid w:val="00C27608"/>
    <w:rsid w:val="00C32674"/>
    <w:rsid w:val="00C32FAE"/>
    <w:rsid w:val="00C34006"/>
    <w:rsid w:val="00C3575A"/>
    <w:rsid w:val="00C36B4C"/>
    <w:rsid w:val="00C426B1"/>
    <w:rsid w:val="00C43CF2"/>
    <w:rsid w:val="00C44FC0"/>
    <w:rsid w:val="00C4674B"/>
    <w:rsid w:val="00C46CBA"/>
    <w:rsid w:val="00C522D0"/>
    <w:rsid w:val="00C528DD"/>
    <w:rsid w:val="00C56D50"/>
    <w:rsid w:val="00C65A79"/>
    <w:rsid w:val="00C66160"/>
    <w:rsid w:val="00C70A08"/>
    <w:rsid w:val="00C70DBE"/>
    <w:rsid w:val="00C721AC"/>
    <w:rsid w:val="00C90B0B"/>
    <w:rsid w:val="00C90D6A"/>
    <w:rsid w:val="00C93DE1"/>
    <w:rsid w:val="00C97B2F"/>
    <w:rsid w:val="00CA152D"/>
    <w:rsid w:val="00CA247E"/>
    <w:rsid w:val="00CA46B2"/>
    <w:rsid w:val="00CA63F3"/>
    <w:rsid w:val="00CA6D21"/>
    <w:rsid w:val="00CB1F36"/>
    <w:rsid w:val="00CB3FE6"/>
    <w:rsid w:val="00CB5B3F"/>
    <w:rsid w:val="00CC6BE4"/>
    <w:rsid w:val="00CC72B6"/>
    <w:rsid w:val="00CD2D5F"/>
    <w:rsid w:val="00CD4E8C"/>
    <w:rsid w:val="00CE1581"/>
    <w:rsid w:val="00CE4BA0"/>
    <w:rsid w:val="00CE67F6"/>
    <w:rsid w:val="00CE7D95"/>
    <w:rsid w:val="00CF2727"/>
    <w:rsid w:val="00D01885"/>
    <w:rsid w:val="00D0218D"/>
    <w:rsid w:val="00D04871"/>
    <w:rsid w:val="00D14C2E"/>
    <w:rsid w:val="00D1553C"/>
    <w:rsid w:val="00D17D07"/>
    <w:rsid w:val="00D25FB5"/>
    <w:rsid w:val="00D31247"/>
    <w:rsid w:val="00D316AA"/>
    <w:rsid w:val="00D34AE4"/>
    <w:rsid w:val="00D44223"/>
    <w:rsid w:val="00D450E8"/>
    <w:rsid w:val="00D475B6"/>
    <w:rsid w:val="00D52365"/>
    <w:rsid w:val="00D62F53"/>
    <w:rsid w:val="00D700EA"/>
    <w:rsid w:val="00D70437"/>
    <w:rsid w:val="00D712E8"/>
    <w:rsid w:val="00D715EB"/>
    <w:rsid w:val="00D73F7C"/>
    <w:rsid w:val="00D747E7"/>
    <w:rsid w:val="00D8114C"/>
    <w:rsid w:val="00D834BA"/>
    <w:rsid w:val="00D845EE"/>
    <w:rsid w:val="00D9073C"/>
    <w:rsid w:val="00D9131C"/>
    <w:rsid w:val="00D94111"/>
    <w:rsid w:val="00D96B6C"/>
    <w:rsid w:val="00DA2160"/>
    <w:rsid w:val="00DA2529"/>
    <w:rsid w:val="00DA4BB9"/>
    <w:rsid w:val="00DA739A"/>
    <w:rsid w:val="00DB0FB2"/>
    <w:rsid w:val="00DB130A"/>
    <w:rsid w:val="00DB2EBB"/>
    <w:rsid w:val="00DB3734"/>
    <w:rsid w:val="00DB4CC8"/>
    <w:rsid w:val="00DC02B2"/>
    <w:rsid w:val="00DC0DD5"/>
    <w:rsid w:val="00DC10A1"/>
    <w:rsid w:val="00DC655F"/>
    <w:rsid w:val="00DC7B59"/>
    <w:rsid w:val="00DD000E"/>
    <w:rsid w:val="00DD0B59"/>
    <w:rsid w:val="00DD210E"/>
    <w:rsid w:val="00DD481B"/>
    <w:rsid w:val="00DD5BD4"/>
    <w:rsid w:val="00DD7EBD"/>
    <w:rsid w:val="00DE440E"/>
    <w:rsid w:val="00DF0B32"/>
    <w:rsid w:val="00DF2B29"/>
    <w:rsid w:val="00DF5C28"/>
    <w:rsid w:val="00DF62B6"/>
    <w:rsid w:val="00DF63F0"/>
    <w:rsid w:val="00DF703B"/>
    <w:rsid w:val="00E00466"/>
    <w:rsid w:val="00E03C17"/>
    <w:rsid w:val="00E07225"/>
    <w:rsid w:val="00E13757"/>
    <w:rsid w:val="00E14A9C"/>
    <w:rsid w:val="00E14CEB"/>
    <w:rsid w:val="00E163F5"/>
    <w:rsid w:val="00E24C56"/>
    <w:rsid w:val="00E2600D"/>
    <w:rsid w:val="00E269B0"/>
    <w:rsid w:val="00E26B76"/>
    <w:rsid w:val="00E31A3F"/>
    <w:rsid w:val="00E32962"/>
    <w:rsid w:val="00E3425C"/>
    <w:rsid w:val="00E40631"/>
    <w:rsid w:val="00E414A9"/>
    <w:rsid w:val="00E455E7"/>
    <w:rsid w:val="00E47BC5"/>
    <w:rsid w:val="00E52581"/>
    <w:rsid w:val="00E526E6"/>
    <w:rsid w:val="00E5316A"/>
    <w:rsid w:val="00E5409F"/>
    <w:rsid w:val="00E55FE6"/>
    <w:rsid w:val="00E56DDB"/>
    <w:rsid w:val="00E60829"/>
    <w:rsid w:val="00E60F63"/>
    <w:rsid w:val="00E66B21"/>
    <w:rsid w:val="00E729B3"/>
    <w:rsid w:val="00E74384"/>
    <w:rsid w:val="00E750CD"/>
    <w:rsid w:val="00E8342D"/>
    <w:rsid w:val="00E842E8"/>
    <w:rsid w:val="00E84997"/>
    <w:rsid w:val="00E8573C"/>
    <w:rsid w:val="00E920E8"/>
    <w:rsid w:val="00E92B2E"/>
    <w:rsid w:val="00E94BED"/>
    <w:rsid w:val="00E94C69"/>
    <w:rsid w:val="00EA6878"/>
    <w:rsid w:val="00EA74B4"/>
    <w:rsid w:val="00EB6FF8"/>
    <w:rsid w:val="00EC34B0"/>
    <w:rsid w:val="00EC3EFF"/>
    <w:rsid w:val="00EC5F7E"/>
    <w:rsid w:val="00EC61D3"/>
    <w:rsid w:val="00ED176E"/>
    <w:rsid w:val="00ED4039"/>
    <w:rsid w:val="00ED4964"/>
    <w:rsid w:val="00EE144A"/>
    <w:rsid w:val="00EE317C"/>
    <w:rsid w:val="00EE4AE0"/>
    <w:rsid w:val="00EE5797"/>
    <w:rsid w:val="00EE6488"/>
    <w:rsid w:val="00EF029F"/>
    <w:rsid w:val="00EF140A"/>
    <w:rsid w:val="00F00D13"/>
    <w:rsid w:val="00F00F16"/>
    <w:rsid w:val="00F021FA"/>
    <w:rsid w:val="00F0527E"/>
    <w:rsid w:val="00F059EC"/>
    <w:rsid w:val="00F07DBD"/>
    <w:rsid w:val="00F11625"/>
    <w:rsid w:val="00F128C0"/>
    <w:rsid w:val="00F12CE5"/>
    <w:rsid w:val="00F13B38"/>
    <w:rsid w:val="00F1423F"/>
    <w:rsid w:val="00F1513C"/>
    <w:rsid w:val="00F21619"/>
    <w:rsid w:val="00F24031"/>
    <w:rsid w:val="00F24894"/>
    <w:rsid w:val="00F24E4E"/>
    <w:rsid w:val="00F27BCD"/>
    <w:rsid w:val="00F30B21"/>
    <w:rsid w:val="00F30EB4"/>
    <w:rsid w:val="00F31D37"/>
    <w:rsid w:val="00F367AB"/>
    <w:rsid w:val="00F40C8E"/>
    <w:rsid w:val="00F442FE"/>
    <w:rsid w:val="00F4463E"/>
    <w:rsid w:val="00F506B1"/>
    <w:rsid w:val="00F5117E"/>
    <w:rsid w:val="00F52B26"/>
    <w:rsid w:val="00F52F2C"/>
    <w:rsid w:val="00F56134"/>
    <w:rsid w:val="00F62E97"/>
    <w:rsid w:val="00F64209"/>
    <w:rsid w:val="00F75EA2"/>
    <w:rsid w:val="00F76B48"/>
    <w:rsid w:val="00F81A55"/>
    <w:rsid w:val="00F8491E"/>
    <w:rsid w:val="00F92A7A"/>
    <w:rsid w:val="00F93BF5"/>
    <w:rsid w:val="00F94A27"/>
    <w:rsid w:val="00F94D4B"/>
    <w:rsid w:val="00F96984"/>
    <w:rsid w:val="00FA0425"/>
    <w:rsid w:val="00FA3C9A"/>
    <w:rsid w:val="00FA7830"/>
    <w:rsid w:val="00FB3403"/>
    <w:rsid w:val="00FC3DED"/>
    <w:rsid w:val="00FC46FA"/>
    <w:rsid w:val="00FC711C"/>
    <w:rsid w:val="00FD24CD"/>
    <w:rsid w:val="00FE0F1C"/>
    <w:rsid w:val="00FE15E0"/>
    <w:rsid w:val="00FE2B5B"/>
    <w:rsid w:val="00FE3B93"/>
    <w:rsid w:val="00FE7CA7"/>
    <w:rsid w:val="00FE7EBC"/>
    <w:rsid w:val="00FF1DF2"/>
    <w:rsid w:val="00FF3A6F"/>
    <w:rsid w:val="00FF3C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C231C9"/>
    <w:rPr>
      <w:sz w:val="16"/>
      <w:szCs w:val="16"/>
    </w:rPr>
  </w:style>
  <w:style w:type="paragraph" w:styleId="CommentText">
    <w:name w:val="annotation text"/>
    <w:basedOn w:val="Normal"/>
    <w:link w:val="CommentTextChar"/>
    <w:rsid w:val="00C231C9"/>
    <w:rPr>
      <w:sz w:val="20"/>
    </w:rPr>
  </w:style>
  <w:style w:type="character" w:customStyle="1" w:styleId="CommentTextChar">
    <w:name w:val="Comment Text Char"/>
    <w:link w:val="CommentText"/>
    <w:rsid w:val="00C231C9"/>
    <w:rPr>
      <w:snapToGrid w:val="0"/>
      <w:kern w:val="28"/>
    </w:rPr>
  </w:style>
  <w:style w:type="paragraph" w:styleId="CommentSubject">
    <w:name w:val="annotation subject"/>
    <w:basedOn w:val="CommentText"/>
    <w:next w:val="CommentText"/>
    <w:link w:val="CommentSubjectChar"/>
    <w:rsid w:val="00C231C9"/>
    <w:rPr>
      <w:b/>
      <w:bCs/>
    </w:rPr>
  </w:style>
  <w:style w:type="character" w:customStyle="1" w:styleId="CommentSubjectChar">
    <w:name w:val="Comment Subject Char"/>
    <w:link w:val="CommentSubject"/>
    <w:rsid w:val="00C231C9"/>
    <w:rPr>
      <w:b/>
      <w:bCs/>
      <w:snapToGrid w:val="0"/>
      <w:kern w:val="28"/>
    </w:rPr>
  </w:style>
  <w:style w:type="paragraph" w:styleId="BalloonText">
    <w:name w:val="Balloon Text"/>
    <w:basedOn w:val="Normal"/>
    <w:link w:val="BalloonTextChar"/>
    <w:semiHidden/>
    <w:unhideWhenUsed/>
    <w:rsid w:val="00C231C9"/>
    <w:rPr>
      <w:rFonts w:ascii="Segoe UI" w:hAnsi="Segoe UI" w:cs="Segoe UI"/>
      <w:sz w:val="18"/>
      <w:szCs w:val="18"/>
    </w:rPr>
  </w:style>
  <w:style w:type="character" w:customStyle="1" w:styleId="BalloonTextChar">
    <w:name w:val="Balloon Text Char"/>
    <w:link w:val="BalloonText"/>
    <w:semiHidden/>
    <w:rsid w:val="00C231C9"/>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rsid w:val="000F352C"/>
  </w:style>
  <w:style w:type="paragraph" w:customStyle="1" w:styleId="Default">
    <w:name w:val="Default"/>
    <w:rsid w:val="00346B72"/>
    <w:pPr>
      <w:autoSpaceDE w:val="0"/>
      <w:autoSpaceDN w:val="0"/>
      <w:adjustRightInd w:val="0"/>
    </w:pPr>
    <w:rPr>
      <w:rFonts w:ascii="Palatino Linotype" w:hAnsi="Palatino Linotype" w:cs="Palatino Linotype"/>
      <w:color w:val="000000"/>
      <w:sz w:val="24"/>
      <w:szCs w:val="24"/>
    </w:rPr>
  </w:style>
  <w:style w:type="character" w:customStyle="1" w:styleId="ParaNumChar">
    <w:name w:val="ParaNum Char"/>
    <w:link w:val="ParaNum"/>
    <w:locked/>
    <w:rsid w:val="00A54C6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