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DEA705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5E561B8" w14:textId="77777777">
      <w:pPr>
        <w:pStyle w:val="StyleBoldCentered"/>
      </w:pPr>
      <w:r>
        <w:t>F</w:t>
      </w:r>
      <w:r>
        <w:rPr>
          <w:caps w:val="0"/>
        </w:rPr>
        <w:t>ederal Communications Commission</w:t>
      </w:r>
    </w:p>
    <w:p w:rsidR="004C2EE3" w:rsidP="00096D8C" w14:paraId="7BE2CA0C" w14:textId="77777777">
      <w:pPr>
        <w:pStyle w:val="StyleBoldCentered"/>
      </w:pPr>
      <w:r>
        <w:rPr>
          <w:caps w:val="0"/>
        </w:rPr>
        <w:t>Washington, D.C. 20554</w:t>
      </w:r>
    </w:p>
    <w:p w:rsidR="004C2EE3" w:rsidP="0070224F" w14:paraId="466E3874" w14:textId="77777777"/>
    <w:tbl>
      <w:tblPr>
        <w:tblW w:w="0" w:type="auto"/>
        <w:tblLayout w:type="fixed"/>
        <w:tblLook w:val="0000"/>
      </w:tblPr>
      <w:tblGrid>
        <w:gridCol w:w="4698"/>
        <w:gridCol w:w="630"/>
        <w:gridCol w:w="4248"/>
      </w:tblGrid>
      <w:tr w14:paraId="3778DC9E" w14:textId="77777777">
        <w:tblPrEx>
          <w:tblW w:w="0" w:type="auto"/>
          <w:tblLayout w:type="fixed"/>
          <w:tblLook w:val="0000"/>
        </w:tblPrEx>
        <w:tc>
          <w:tcPr>
            <w:tcW w:w="4698" w:type="dxa"/>
          </w:tcPr>
          <w:p w:rsidR="004C2EE3" w14:paraId="0D788AFE" w14:textId="77777777">
            <w:pPr>
              <w:tabs>
                <w:tab w:val="center" w:pos="4680"/>
              </w:tabs>
              <w:suppressAutoHyphens/>
              <w:rPr>
                <w:spacing w:val="-2"/>
              </w:rPr>
            </w:pPr>
            <w:r>
              <w:rPr>
                <w:spacing w:val="-2"/>
              </w:rPr>
              <w:t>In the Matter of</w:t>
            </w:r>
          </w:p>
          <w:p w:rsidR="004C2EE3" w14:paraId="6478E55F" w14:textId="77777777">
            <w:pPr>
              <w:tabs>
                <w:tab w:val="center" w:pos="4680"/>
              </w:tabs>
              <w:suppressAutoHyphens/>
              <w:rPr>
                <w:spacing w:val="-2"/>
              </w:rPr>
            </w:pPr>
          </w:p>
          <w:p w:rsidR="00E97187" w:rsidRPr="00E97187" w:rsidP="00E97187" w14:paraId="0D046912" w14:textId="7777777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73.622(i),</w:t>
            </w:r>
          </w:p>
          <w:p w:rsidR="00E97187" w:rsidRPr="00E97187" w:rsidP="00E97187" w14:paraId="7D3F9F2B" w14:textId="77777777">
            <w:pPr>
              <w:tabs>
                <w:tab w:val="center" w:pos="4680"/>
              </w:tabs>
              <w:suppressAutoHyphens/>
              <w:rPr>
                <w:spacing w:val="-2"/>
              </w:rPr>
            </w:pPr>
            <w:r w:rsidRPr="00E97187">
              <w:rPr>
                <w:spacing w:val="-2"/>
              </w:rPr>
              <w:t>Post-Transition Table of DTV Allotments,</w:t>
            </w:r>
          </w:p>
          <w:p w:rsidR="00E97187" w:rsidRPr="00E97187" w:rsidP="00E97187" w14:paraId="0CCA2757" w14:textId="77777777">
            <w:pPr>
              <w:tabs>
                <w:tab w:val="center" w:pos="4680"/>
              </w:tabs>
              <w:suppressAutoHyphens/>
              <w:rPr>
                <w:spacing w:val="-2"/>
              </w:rPr>
            </w:pPr>
            <w:r w:rsidRPr="00E97187">
              <w:rPr>
                <w:spacing w:val="-2"/>
              </w:rPr>
              <w:t>Television Broadcast Stations</w:t>
            </w:r>
          </w:p>
          <w:p w:rsidR="004C2EE3" w:rsidRPr="007115F7" w:rsidP="00E97187" w14:paraId="4253EBAE" w14:textId="1D2E7BE0">
            <w:pPr>
              <w:tabs>
                <w:tab w:val="center" w:pos="4680"/>
              </w:tabs>
              <w:suppressAutoHyphens/>
              <w:rPr>
                <w:spacing w:val="-2"/>
              </w:rPr>
            </w:pPr>
            <w:r w:rsidRPr="00E97187">
              <w:rPr>
                <w:spacing w:val="-2"/>
              </w:rPr>
              <w:t>(</w:t>
            </w:r>
            <w:r w:rsidR="00274E6E">
              <w:rPr>
                <w:spacing w:val="-2"/>
              </w:rPr>
              <w:t>New Orleans, Louisiana</w:t>
            </w:r>
            <w:r w:rsidRPr="00E97187">
              <w:rPr>
                <w:spacing w:val="-2"/>
              </w:rPr>
              <w:t>)</w:t>
            </w:r>
          </w:p>
        </w:tc>
        <w:tc>
          <w:tcPr>
            <w:tcW w:w="630" w:type="dxa"/>
          </w:tcPr>
          <w:p w:rsidR="004C2EE3" w14:paraId="28853918" w14:textId="77777777">
            <w:pPr>
              <w:tabs>
                <w:tab w:val="center" w:pos="4680"/>
              </w:tabs>
              <w:suppressAutoHyphens/>
              <w:rPr>
                <w:b/>
                <w:spacing w:val="-2"/>
              </w:rPr>
            </w:pPr>
            <w:r>
              <w:rPr>
                <w:b/>
                <w:spacing w:val="-2"/>
              </w:rPr>
              <w:t>)</w:t>
            </w:r>
          </w:p>
          <w:p w:rsidR="004C2EE3" w14:paraId="19EC211E" w14:textId="77777777">
            <w:pPr>
              <w:tabs>
                <w:tab w:val="center" w:pos="4680"/>
              </w:tabs>
              <w:suppressAutoHyphens/>
              <w:rPr>
                <w:b/>
                <w:spacing w:val="-2"/>
              </w:rPr>
            </w:pPr>
            <w:r>
              <w:rPr>
                <w:b/>
                <w:spacing w:val="-2"/>
              </w:rPr>
              <w:t>)</w:t>
            </w:r>
          </w:p>
          <w:p w:rsidR="004C2EE3" w14:paraId="12BF35BF" w14:textId="77777777">
            <w:pPr>
              <w:tabs>
                <w:tab w:val="center" w:pos="4680"/>
              </w:tabs>
              <w:suppressAutoHyphens/>
              <w:rPr>
                <w:b/>
                <w:spacing w:val="-2"/>
              </w:rPr>
            </w:pPr>
            <w:r>
              <w:rPr>
                <w:b/>
                <w:spacing w:val="-2"/>
              </w:rPr>
              <w:t>)</w:t>
            </w:r>
          </w:p>
          <w:p w:rsidR="004C2EE3" w14:paraId="4C7D9C8E" w14:textId="77777777">
            <w:pPr>
              <w:tabs>
                <w:tab w:val="center" w:pos="4680"/>
              </w:tabs>
              <w:suppressAutoHyphens/>
              <w:rPr>
                <w:b/>
                <w:spacing w:val="-2"/>
              </w:rPr>
            </w:pPr>
            <w:r>
              <w:rPr>
                <w:b/>
                <w:spacing w:val="-2"/>
              </w:rPr>
              <w:t>)</w:t>
            </w:r>
          </w:p>
          <w:p w:rsidR="004C2EE3" w14:paraId="09EBC7F5" w14:textId="77777777">
            <w:pPr>
              <w:tabs>
                <w:tab w:val="center" w:pos="4680"/>
              </w:tabs>
              <w:suppressAutoHyphens/>
              <w:rPr>
                <w:b/>
                <w:spacing w:val="-2"/>
              </w:rPr>
            </w:pPr>
            <w:r>
              <w:rPr>
                <w:b/>
                <w:spacing w:val="-2"/>
              </w:rPr>
              <w:t>)</w:t>
            </w:r>
          </w:p>
          <w:p w:rsidR="004C2EE3" w:rsidRPr="00E97187" w14:paraId="3562C9B6" w14:textId="77777777">
            <w:pPr>
              <w:tabs>
                <w:tab w:val="center" w:pos="4680"/>
              </w:tabs>
              <w:suppressAutoHyphens/>
              <w:rPr>
                <w:b/>
                <w:spacing w:val="-2"/>
              </w:rPr>
            </w:pPr>
            <w:r>
              <w:rPr>
                <w:b/>
                <w:spacing w:val="-2"/>
              </w:rPr>
              <w:t>)</w:t>
            </w:r>
          </w:p>
        </w:tc>
        <w:tc>
          <w:tcPr>
            <w:tcW w:w="4248" w:type="dxa"/>
          </w:tcPr>
          <w:p w:rsidR="004C2EE3" w14:paraId="29E11E70" w14:textId="77777777">
            <w:pPr>
              <w:tabs>
                <w:tab w:val="center" w:pos="4680"/>
              </w:tabs>
              <w:suppressAutoHyphens/>
              <w:rPr>
                <w:spacing w:val="-2"/>
              </w:rPr>
            </w:pPr>
          </w:p>
          <w:p w:rsidR="004C2EE3" w14:paraId="3C5987ED" w14:textId="77777777">
            <w:pPr>
              <w:pStyle w:val="TOAHeading"/>
              <w:tabs>
                <w:tab w:val="center" w:pos="4680"/>
                <w:tab w:val="clear" w:pos="9360"/>
              </w:tabs>
              <w:rPr>
                <w:spacing w:val="-2"/>
              </w:rPr>
            </w:pPr>
          </w:p>
          <w:p w:rsidR="00E97187" w:rsidRPr="00E97187" w:rsidP="00E97187" w14:paraId="51C075C0" w14:textId="3FCE0B1E">
            <w:pPr>
              <w:pStyle w:val="TOAHeading"/>
              <w:tabs>
                <w:tab w:val="center" w:pos="4680"/>
              </w:tabs>
              <w:rPr>
                <w:spacing w:val="-2"/>
              </w:rPr>
            </w:pPr>
            <w:r w:rsidRPr="00E97187">
              <w:rPr>
                <w:spacing w:val="-2"/>
              </w:rPr>
              <w:t>MB Docket No. 2</w:t>
            </w:r>
            <w:r w:rsidR="00D711F6">
              <w:rPr>
                <w:spacing w:val="-2"/>
              </w:rPr>
              <w:t>1-</w:t>
            </w:r>
            <w:r w:rsidR="001326A5">
              <w:rPr>
                <w:spacing w:val="-2"/>
              </w:rPr>
              <w:t>178</w:t>
            </w:r>
          </w:p>
          <w:p w:rsidR="004C2EE3" w:rsidP="00E97187" w14:paraId="5F721ABE" w14:textId="6FA54835">
            <w:pPr>
              <w:tabs>
                <w:tab w:val="center" w:pos="4680"/>
              </w:tabs>
              <w:suppressAutoHyphens/>
              <w:rPr>
                <w:spacing w:val="-2"/>
              </w:rPr>
            </w:pPr>
            <w:r w:rsidRPr="00E97187">
              <w:rPr>
                <w:spacing w:val="-2"/>
              </w:rPr>
              <w:t>RM-11</w:t>
            </w:r>
            <w:r w:rsidR="00274E6E">
              <w:rPr>
                <w:spacing w:val="-2"/>
              </w:rPr>
              <w:t>9</w:t>
            </w:r>
            <w:r w:rsidR="001326A5">
              <w:rPr>
                <w:spacing w:val="-2"/>
              </w:rPr>
              <w:t>05</w:t>
            </w:r>
          </w:p>
        </w:tc>
      </w:tr>
    </w:tbl>
    <w:p w:rsidR="004C2EE3" w:rsidP="0070224F" w14:paraId="32B45AF6" w14:textId="77777777"/>
    <w:p w:rsidR="00E97187" w:rsidP="00E97187" w14:paraId="4C1266BC" w14:textId="77777777">
      <w:pPr>
        <w:pStyle w:val="StyleBoldCentered"/>
      </w:pPr>
      <w:r>
        <w:t>report and order</w:t>
      </w:r>
    </w:p>
    <w:p w:rsidR="004C2EE3" w14:paraId="78FC0C31" w14:textId="77777777">
      <w:pPr>
        <w:tabs>
          <w:tab w:val="left" w:pos="-720"/>
        </w:tabs>
        <w:suppressAutoHyphens/>
        <w:spacing w:line="227" w:lineRule="auto"/>
        <w:rPr>
          <w:spacing w:val="-2"/>
        </w:rPr>
      </w:pPr>
    </w:p>
    <w:p w:rsidR="00E97187" w:rsidP="00E97187" w14:paraId="786CA218"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7A935AF1" w14:textId="77777777">
      <w:pPr>
        <w:tabs>
          <w:tab w:val="left" w:pos="720"/>
          <w:tab w:val="right" w:pos="9360"/>
        </w:tabs>
        <w:suppressAutoHyphens/>
        <w:spacing w:line="227" w:lineRule="auto"/>
        <w:rPr>
          <w:b/>
          <w:spacing w:val="-2"/>
        </w:rPr>
      </w:pPr>
    </w:p>
    <w:p w:rsidR="004C2EE3" w:rsidP="00133F79" w14:paraId="0214C2DF" w14:textId="3956091F">
      <w:pPr>
        <w:tabs>
          <w:tab w:val="left" w:pos="720"/>
          <w:tab w:val="right" w:pos="9360"/>
        </w:tabs>
        <w:suppressAutoHyphens/>
        <w:spacing w:line="227" w:lineRule="auto"/>
        <w:rPr>
          <w:spacing w:val="-2"/>
        </w:rPr>
      </w:pPr>
      <w:r>
        <w:rPr>
          <w:b/>
          <w:spacing w:val="-2"/>
        </w:rPr>
        <w:t xml:space="preserve">Adopted:  </w:t>
      </w:r>
      <w:r w:rsidR="001D08F3">
        <w:rPr>
          <w:b/>
          <w:spacing w:val="-2"/>
        </w:rPr>
        <w:t>July 2,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D08F3">
        <w:rPr>
          <w:b/>
          <w:spacing w:val="-2"/>
        </w:rPr>
        <w:t>July 2, 2021</w:t>
      </w:r>
    </w:p>
    <w:p w:rsidR="00822CE0" w14:paraId="7184871A" w14:textId="77777777"/>
    <w:p w:rsidR="004C2EE3" w14:paraId="043FE318"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21F7B077" w14:textId="77777777">
      <w:pPr>
        <w:rPr>
          <w:spacing w:val="-2"/>
        </w:rPr>
      </w:pPr>
    </w:p>
    <w:p w:rsidR="00E97187" w:rsidRPr="00E97187" w:rsidP="007E31D4" w14:paraId="3639872B" w14:textId="71F5F008">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Pr="00E97187">
        <w:rPr>
          <w:spacing w:val="-7"/>
        </w:rPr>
        <w:t xml:space="preserve"> </w:t>
      </w:r>
      <w:r w:rsidR="00274E6E">
        <w:t xml:space="preserve">The </w:t>
      </w:r>
      <w:bookmarkStart w:id="0" w:name="_Hlk76026166"/>
      <w:r w:rsidR="00274E6E">
        <w:t>Greater New Orleans Educational Television Foundation</w:t>
      </w:r>
      <w:bookmarkEnd w:id="0"/>
      <w:r w:rsidRPr="00E208EC" w:rsidR="00274E6E">
        <w:t xml:space="preserve"> (</w:t>
      </w:r>
      <w:r w:rsidR="00274E6E">
        <w:t>Petitioner</w:t>
      </w:r>
      <w:r w:rsidRPr="00E208EC" w:rsidR="00274E6E">
        <w:t xml:space="preserve">), the licensee of </w:t>
      </w:r>
      <w:r w:rsidR="00274E6E">
        <w:t>noncommercial educational PBS member station WYES-TV</w:t>
      </w:r>
      <w:r w:rsidRPr="00E208EC" w:rsidR="00274E6E">
        <w:t xml:space="preserve">, channel </w:t>
      </w:r>
      <w:r w:rsidR="00274E6E">
        <w:t>*11</w:t>
      </w:r>
      <w:r w:rsidRPr="00E208EC" w:rsidR="00274E6E">
        <w:t xml:space="preserve">, </w:t>
      </w:r>
      <w:r w:rsidR="00274E6E">
        <w:t>New Orleans, Louisiana</w:t>
      </w:r>
      <w:r w:rsidRPr="00E208EC" w:rsidR="00274E6E">
        <w:t xml:space="preserve">. </w:t>
      </w:r>
      <w:r w:rsidR="00274E6E">
        <w:t xml:space="preserve"> The Petitioner</w:t>
      </w:r>
      <w:r w:rsidRPr="00E208EC" w:rsidR="00274E6E">
        <w:t xml:space="preserve"> requests the </w:t>
      </w:r>
      <w:bookmarkStart w:id="1" w:name="_Hlk76026135"/>
      <w:r w:rsidRPr="00E208EC" w:rsidR="00274E6E">
        <w:t xml:space="preserve">substitution of channel </w:t>
      </w:r>
      <w:r w:rsidR="00274E6E">
        <w:t>*28</w:t>
      </w:r>
      <w:r w:rsidRPr="00E208EC" w:rsidR="00274E6E">
        <w:t xml:space="preserve"> for channel </w:t>
      </w:r>
      <w:r w:rsidR="00274E6E">
        <w:t>*11</w:t>
      </w:r>
      <w:r w:rsidRPr="00E208EC" w:rsidR="00274E6E">
        <w:t xml:space="preserve"> at </w:t>
      </w:r>
      <w:r w:rsidR="00274E6E">
        <w:t xml:space="preserve">New Orleans, Louisiana </w:t>
      </w:r>
      <w:bookmarkEnd w:id="1"/>
      <w:r w:rsidRPr="00E208EC" w:rsidR="00274E6E">
        <w:t>in the DTV Table of Allotments</w:t>
      </w:r>
      <w:r w:rsidRPr="00E97187">
        <w:t>.</w:t>
      </w:r>
      <w:r>
        <w:rPr>
          <w:rStyle w:val="FootnoteReference"/>
          <w:sz w:val="22"/>
          <w:szCs w:val="22"/>
        </w:rPr>
        <w:footnoteReference w:id="4"/>
      </w:r>
      <w:r w:rsidRPr="00E97187">
        <w:rPr>
          <w:position w:val="8"/>
        </w:rPr>
        <w:t xml:space="preserve">  </w:t>
      </w:r>
    </w:p>
    <w:p w:rsidR="00E97187" w:rsidRPr="00481D1E" w:rsidP="00346332" w14:paraId="58035077" w14:textId="17969B4F">
      <w:pPr>
        <w:pStyle w:val="ParaNum"/>
      </w:pPr>
      <w:r>
        <w:t xml:space="preserve">The </w:t>
      </w:r>
      <w:r w:rsidR="00671E0C">
        <w:t>Petitioner</w:t>
      </w:r>
      <w:r w:rsidRPr="00E97187" w:rsidR="00F86933">
        <w:t xml:space="preserve"> filed comments in support of the petition, as required by the Commission’s rules,</w:t>
      </w:r>
      <w:r>
        <w:rPr>
          <w:rStyle w:val="FootnoteReference"/>
          <w:iCs/>
          <w:sz w:val="22"/>
          <w:szCs w:val="22"/>
        </w:rPr>
        <w:footnoteReference w:id="5"/>
      </w:r>
      <w:r w:rsidRPr="00E97187" w:rsidR="00F86933">
        <w:t xml:space="preserve"> reaffirming its commitment to apply for channel </w:t>
      </w:r>
      <w:r w:rsidR="00207DC3">
        <w:t>*28</w:t>
      </w:r>
      <w:r w:rsidR="00F372C7">
        <w:t xml:space="preserve">. </w:t>
      </w:r>
      <w:r w:rsidRPr="00E97187" w:rsidR="00F86933">
        <w:t xml:space="preserve"> No other comments were filed</w:t>
      </w:r>
      <w:r w:rsidRPr="00004D33" w:rsidR="00004D33">
        <w:t>.</w:t>
      </w:r>
      <w:r>
        <w:rPr>
          <w:rStyle w:val="FootnoteReference"/>
        </w:rPr>
        <w:footnoteReference w:id="6"/>
      </w:r>
      <w:r w:rsidRPr="00E97187" w:rsidR="00F86933">
        <w:t xml:space="preserve">  We believe the public interest would be served by substituting channel </w:t>
      </w:r>
      <w:r w:rsidR="009B3364">
        <w:t>*28</w:t>
      </w:r>
      <w:r w:rsidRPr="00E97187" w:rsidR="00F86933">
        <w:t xml:space="preserve"> for channel </w:t>
      </w:r>
      <w:r w:rsidR="009B3364">
        <w:t>*11</w:t>
      </w:r>
      <w:r w:rsidRPr="00E97187" w:rsidR="00424EA6">
        <w:t xml:space="preserve"> </w:t>
      </w:r>
      <w:r w:rsidRPr="00E97187" w:rsidR="00F86933">
        <w:t xml:space="preserve">at </w:t>
      </w:r>
      <w:r w:rsidR="00207DC3">
        <w:t>New Orleans</w:t>
      </w:r>
      <w:r w:rsidR="0065698F">
        <w:t>, Louisiana.</w:t>
      </w:r>
      <w:r w:rsidR="001032F9">
        <w:t xml:space="preserve"> </w:t>
      </w:r>
      <w:r w:rsidRPr="00E97187" w:rsidR="00F86933">
        <w:t xml:space="preserve"> </w:t>
      </w:r>
      <w:r w:rsidRPr="00E208EC" w:rsidR="005627CD">
        <w:t xml:space="preserve">In support of its channel substitution request, </w:t>
      </w:r>
      <w:r w:rsidR="005627CD">
        <w:t>the Petitioner</w:t>
      </w:r>
      <w:r w:rsidRPr="00E208EC" w:rsidR="005627CD">
        <w:t xml:space="preserve"> states that </w:t>
      </w:r>
      <w:r w:rsidR="005627CD">
        <w:t>WYES-TV is the only station licensed to New Orleans operating on a VHF channel, and moving to a UHF channel would improve viewers’ access to WYES-TV’s PBS and other public television programming by improving indoor reception and resolving VHF reception issues.</w:t>
      </w:r>
      <w:r>
        <w:rPr>
          <w:rStyle w:val="FootnoteReference"/>
        </w:rPr>
        <w:footnoteReference w:id="7"/>
      </w:r>
      <w:r w:rsidR="005627CD">
        <w:t xml:space="preserve"> </w:t>
      </w:r>
      <w:r w:rsidR="00CA75F5">
        <w:t xml:space="preserve"> In addition, the Petitioner</w:t>
      </w:r>
      <w:r w:rsidRPr="00E208EC" w:rsidR="00CA75F5">
        <w:t xml:space="preserve"> </w:t>
      </w:r>
      <w:r w:rsidR="00CA75F5">
        <w:t xml:space="preserve">submitted an analysis, using the Commission’s </w:t>
      </w:r>
      <w:r w:rsidRPr="00494BBF" w:rsidR="00CA75F5">
        <w:rPr>
          <w:i/>
          <w:iCs/>
        </w:rPr>
        <w:t>TVStudy</w:t>
      </w:r>
      <w:r w:rsidR="00CA75F5">
        <w:rPr>
          <w:i/>
          <w:iCs/>
        </w:rPr>
        <w:t xml:space="preserve"> </w:t>
      </w:r>
      <w:r w:rsidR="00CA75F5">
        <w:t>software analysis program, demonstrating that it will continue to serve all of the population located within the licensed channel *11 contour.</w:t>
      </w:r>
      <w:r>
        <w:rPr>
          <w:rStyle w:val="FootnoteReference"/>
        </w:rPr>
        <w:footnoteReference w:id="8"/>
      </w:r>
      <w:r w:rsidR="005627CD">
        <w:t xml:space="preserve"> </w:t>
      </w:r>
    </w:p>
    <w:p w:rsidR="00E97187" w:rsidRPr="007E31D4" w:rsidP="00711A32" w14:paraId="1232C8E3" w14:textId="04585C09">
      <w:pPr>
        <w:pStyle w:val="ParaNum"/>
        <w:widowControl/>
        <w:spacing w:after="220"/>
        <w:rPr>
          <w:szCs w:val="22"/>
        </w:rPr>
      </w:pPr>
      <w:r>
        <w:rPr>
          <w:spacing w:val="-7"/>
        </w:rPr>
        <w:t xml:space="preserve">As proposed, </w:t>
      </w:r>
      <w:r w:rsidR="009078BE">
        <w:rPr>
          <w:spacing w:val="-7"/>
        </w:rPr>
        <w:t>c</w:t>
      </w:r>
      <w:r w:rsidRPr="00E97187">
        <w:rPr>
          <w:spacing w:val="-7"/>
        </w:rPr>
        <w:t xml:space="preserve">hannel </w:t>
      </w:r>
      <w:r w:rsidR="00207DC3">
        <w:rPr>
          <w:spacing w:val="-7"/>
        </w:rPr>
        <w:t>*28</w:t>
      </w:r>
      <w:r w:rsidRPr="00E97187">
        <w:rPr>
          <w:spacing w:val="-7"/>
        </w:rPr>
        <w:t xml:space="preserve"> can be substituted for channel</w:t>
      </w:r>
      <w:r w:rsidRPr="00E97187">
        <w:t xml:space="preserve"> </w:t>
      </w:r>
      <w:r w:rsidR="00207DC3">
        <w:t>*11</w:t>
      </w:r>
      <w:r w:rsidRPr="00E97187">
        <w:t xml:space="preserve"> at </w:t>
      </w:r>
      <w:r w:rsidR="00207DC3">
        <w:t>New Orleans</w:t>
      </w:r>
      <w:r w:rsidR="007C60E1">
        <w:t xml:space="preserve">, </w:t>
      </w:r>
      <w:r w:rsidR="00A57994">
        <w:t>Louisiana</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Pr="00E97187">
        <w:rPr>
          <w:spacing w:val="83"/>
        </w:rPr>
        <w:t xml:space="preserve"> </w:t>
      </w:r>
      <w:r w:rsidRPr="00E97187">
        <w:rPr>
          <w:spacing w:val="-4"/>
        </w:rPr>
        <w:t>Commission’s</w:t>
      </w:r>
      <w:r w:rsidRPr="00E97187">
        <w:t xml:space="preserve"> </w:t>
      </w:r>
      <w:r w:rsidR="002A79DD">
        <w:rPr>
          <w:spacing w:val="-3"/>
        </w:rPr>
        <w:t>r</w:t>
      </w:r>
      <w:r w:rsidRPr="00E97187">
        <w:rPr>
          <w:spacing w:val="-3"/>
        </w:rPr>
        <w:t>ules</w:t>
      </w:r>
      <w:r w:rsidR="007F6ED0">
        <w:rPr>
          <w:spacing w:val="-3"/>
        </w:rPr>
        <w:t xml:space="preserve"> (rules)</w:t>
      </w:r>
      <w:r w:rsidRPr="00E97187">
        <w:rPr>
          <w:spacing w:val="-3"/>
        </w:rPr>
        <w:t>,</w:t>
      </w:r>
      <w:r>
        <w:rPr>
          <w:rStyle w:val="FootnoteReference"/>
          <w:spacing w:val="-3"/>
          <w:sz w:val="22"/>
          <w:szCs w:val="22"/>
        </w:rPr>
        <w:footnoteReference w:id="9"/>
      </w:r>
      <w:r w:rsidRPr="00E97187">
        <w:rPr>
          <w:spacing w:val="17"/>
          <w:position w:val="8"/>
        </w:rPr>
        <w:t xml:space="preserve"> </w:t>
      </w:r>
      <w:r w:rsidRPr="00E97187">
        <w:rPr>
          <w:spacing w:val="-3"/>
        </w:rPr>
        <w:t xml:space="preserve">at </w:t>
      </w:r>
      <w:r w:rsidRPr="00E97187">
        <w:rPr>
          <w:spacing w:val="-4"/>
        </w:rPr>
        <w:t>coordinates</w:t>
      </w:r>
      <w:r w:rsidR="007C60E1">
        <w:rPr>
          <w:spacing w:val="-7"/>
        </w:rPr>
        <w:t xml:space="preserve"> </w:t>
      </w:r>
      <w:r w:rsidR="009B3364">
        <w:t>29-57-14.0</w:t>
      </w:r>
      <w:r w:rsidRPr="00E208EC" w:rsidR="009B3364">
        <w:t xml:space="preserve"> N and </w:t>
      </w:r>
      <w:r w:rsidR="009B3364">
        <w:t>089-56-58.0</w:t>
      </w:r>
      <w:r w:rsidRPr="00E208EC" w:rsidR="009B3364">
        <w:t xml:space="preserve"> W</w:t>
      </w:r>
      <w:r>
        <w:rPr>
          <w:spacing w:val="-2"/>
        </w:rPr>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sidR="001A6147">
        <w:rPr>
          <w:spacing w:val="-3"/>
        </w:rPr>
        <w:t xml:space="preserve"> </w:t>
      </w:r>
      <w:r w:rsidRPr="00E97187">
        <w:rPr>
          <w:spacing w:val="-3"/>
        </w:rPr>
        <w:t>with the following specifications:</w:t>
      </w:r>
      <w:r>
        <w:rPr>
          <w:rStyle w:val="FootnoteReference"/>
          <w:spacing w:val="-3"/>
          <w:sz w:val="22"/>
          <w:szCs w:val="22"/>
        </w:rPr>
        <w:footnoteReference w:id="10"/>
      </w:r>
    </w:p>
    <w:p w:rsidR="00E97187" w:rsidRPr="00E97187" w:rsidP="00E97187" w14:paraId="41517645" w14:textId="21AC29A0">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003E0305">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Channel</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w:t>
      </w:r>
      <w:r w:rsidRPr="00E97187" w:rsidR="00064BDF">
        <w:rPr>
          <w:spacing w:val="-3"/>
          <w:szCs w:val="22"/>
          <w:u w:val="single"/>
        </w:rPr>
        <w:t>kW</w:t>
      </w:r>
      <w:r w:rsidRPr="00E97187" w:rsidR="00941655">
        <w:rPr>
          <w:spacing w:val="-3"/>
          <w:szCs w:val="22"/>
          <w:u w:val="single"/>
        </w:rPr>
        <w:t>)</w:t>
      </w:r>
      <w:r w:rsidRPr="00941655" w:rsidR="00941655">
        <w:rPr>
          <w:spacing w:val="-3"/>
          <w:szCs w:val="22"/>
        </w:rPr>
        <w:t xml:space="preserve">   </w:t>
      </w:r>
      <w:r w:rsidR="00941655">
        <w:rPr>
          <w:spacing w:val="-3"/>
          <w:szCs w:val="22"/>
        </w:rPr>
        <w:t xml:space="preserve"> </w:t>
      </w:r>
      <w:r w:rsidR="00941655">
        <w:rPr>
          <w:spacing w:val="-3"/>
          <w:szCs w:val="22"/>
          <w:u w:val="single"/>
        </w:rPr>
        <w:t>Antenna</w:t>
      </w:r>
      <w:r w:rsidRPr="00941655" w:rsidR="00064BDF">
        <w:rPr>
          <w:spacing w:val="-3"/>
          <w:szCs w:val="22"/>
          <w:u w:val="single"/>
        </w:rPr>
        <w:t xml:space="preserve"> </w:t>
      </w:r>
      <w:r w:rsidRPr="00941655">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DTV Service Pop.</w:t>
      </w:r>
      <w:r w:rsidRPr="00E97187">
        <w:rPr>
          <w:spacing w:val="-3"/>
          <w:szCs w:val="22"/>
        </w:rPr>
        <w:t xml:space="preserve"> </w:t>
      </w:r>
    </w:p>
    <w:p w:rsidR="00E97187" w:rsidRPr="00E97187" w:rsidP="00E97187" w14:paraId="6D330BAE" w14:textId="30DA9587">
      <w:pPr>
        <w:pStyle w:val="BodyText"/>
        <w:tabs>
          <w:tab w:val="left" w:pos="3748"/>
          <w:tab w:val="left" w:pos="5189"/>
          <w:tab w:val="right" w:pos="7126"/>
        </w:tabs>
        <w:spacing w:after="220"/>
        <w:ind w:left="0"/>
        <w:rPr>
          <w:szCs w:val="22"/>
        </w:rPr>
      </w:pPr>
      <w:r>
        <w:rPr>
          <w:spacing w:val="-1"/>
          <w:szCs w:val="22"/>
        </w:rPr>
        <w:t>New Orleans</w:t>
      </w:r>
      <w:r w:rsidR="007C60E1">
        <w:rPr>
          <w:spacing w:val="-1"/>
          <w:szCs w:val="22"/>
        </w:rPr>
        <w:t xml:space="preserve">, </w:t>
      </w:r>
      <w:r>
        <w:rPr>
          <w:spacing w:val="-1"/>
          <w:szCs w:val="22"/>
        </w:rPr>
        <w:t>Louisiana</w:t>
      </w:r>
      <w:r w:rsidRPr="00E97187" w:rsidR="00F86933">
        <w:rPr>
          <w:spacing w:val="-1"/>
          <w:szCs w:val="22"/>
        </w:rPr>
        <w:t xml:space="preserve">         </w:t>
      </w:r>
      <w:r w:rsidR="00C43340">
        <w:rPr>
          <w:spacing w:val="-1"/>
          <w:szCs w:val="22"/>
        </w:rPr>
        <w:t xml:space="preserve">   </w:t>
      </w:r>
      <w:r w:rsidR="00787C68">
        <w:rPr>
          <w:spacing w:val="-1"/>
          <w:szCs w:val="22"/>
        </w:rPr>
        <w:t xml:space="preserve">          </w:t>
      </w:r>
      <w:r w:rsidR="003E0305">
        <w:rPr>
          <w:spacing w:val="-1"/>
          <w:szCs w:val="22"/>
        </w:rPr>
        <w:t>*28</w:t>
      </w:r>
      <w:r w:rsidR="00787C68">
        <w:rPr>
          <w:spacing w:val="-1"/>
          <w:szCs w:val="22"/>
        </w:rPr>
        <w:t xml:space="preserve">  </w:t>
      </w:r>
      <w:r w:rsidR="00C43340">
        <w:rPr>
          <w:spacing w:val="-1"/>
          <w:szCs w:val="22"/>
        </w:rPr>
        <w:t xml:space="preserve"> </w:t>
      </w:r>
      <w:r w:rsidRPr="00E97187" w:rsidR="00F86933">
        <w:rPr>
          <w:szCs w:val="22"/>
        </w:rPr>
        <w:t xml:space="preserve">           </w:t>
      </w:r>
      <w:r w:rsidR="009B3364">
        <w:rPr>
          <w:szCs w:val="22"/>
        </w:rPr>
        <w:t>1000</w:t>
      </w:r>
      <w:r w:rsidRPr="00E97187" w:rsidR="00F86933">
        <w:rPr>
          <w:szCs w:val="22"/>
        </w:rPr>
        <w:t xml:space="preserve">        </w:t>
      </w:r>
      <w:r w:rsidR="00941655">
        <w:rPr>
          <w:szCs w:val="22"/>
        </w:rPr>
        <w:t xml:space="preserve">  </w:t>
      </w:r>
      <w:r w:rsidRPr="00E97187" w:rsidR="00F86933">
        <w:rPr>
          <w:szCs w:val="22"/>
        </w:rPr>
        <w:t xml:space="preserve"> </w:t>
      </w:r>
      <w:r w:rsidR="009B3364">
        <w:rPr>
          <w:szCs w:val="22"/>
        </w:rPr>
        <w:t xml:space="preserve">             306</w:t>
      </w:r>
      <w:r w:rsidRPr="00E97187" w:rsidR="00F86933">
        <w:rPr>
          <w:szCs w:val="22"/>
        </w:rPr>
        <w:t xml:space="preserve">                     </w:t>
      </w:r>
      <w:r w:rsidR="001B10DB">
        <w:rPr>
          <w:szCs w:val="22"/>
        </w:rPr>
        <w:t xml:space="preserve">  </w:t>
      </w:r>
      <w:r w:rsidR="001D4184">
        <w:rPr>
          <w:szCs w:val="22"/>
        </w:rPr>
        <w:t xml:space="preserve">   </w:t>
      </w:r>
      <w:r w:rsidRPr="00E97187" w:rsidR="00F86933">
        <w:rPr>
          <w:szCs w:val="22"/>
        </w:rPr>
        <w:t xml:space="preserve"> </w:t>
      </w:r>
      <w:r w:rsidR="00FC35B6">
        <w:rPr>
          <w:szCs w:val="22"/>
        </w:rPr>
        <w:t>1,674,833</w:t>
      </w:r>
      <w:r w:rsidRPr="00E97187" w:rsidR="00F86933">
        <w:rPr>
          <w:szCs w:val="22"/>
        </w:rPr>
        <w:t xml:space="preserve">                     </w:t>
      </w:r>
      <w:r w:rsidR="00F86933">
        <w:rPr>
          <w:szCs w:val="22"/>
        </w:rPr>
        <w:t xml:space="preserve">  </w:t>
      </w:r>
      <w:r w:rsidR="008A7F19">
        <w:rPr>
          <w:szCs w:val="22"/>
        </w:rPr>
        <w:t xml:space="preserve">    </w:t>
      </w:r>
      <w:r w:rsidR="00F86933">
        <w:rPr>
          <w:szCs w:val="22"/>
        </w:rPr>
        <w:t xml:space="preserve">  </w:t>
      </w:r>
    </w:p>
    <w:p w:rsidR="00E97187" w:rsidRPr="00E97187" w:rsidP="00E97187" w14:paraId="5A541183" w14:textId="1CD379E6">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1"/>
      </w:r>
      <w:r w:rsidRPr="00E97187">
        <w:t xml:space="preserve">  An expedited effective date is necessary in this case to ensure that </w:t>
      </w:r>
      <w:r w:rsidR="005627CD">
        <w:t>W</w:t>
      </w:r>
      <w:r w:rsidR="009B3364">
        <w:t>YES</w:t>
      </w:r>
      <w:r w:rsidR="0031731D">
        <w:t>-TV</w:t>
      </w:r>
      <w:r w:rsidRPr="00E97187">
        <w:t xml:space="preserve"> can</w:t>
      </w:r>
      <w:r w:rsidR="005077A3">
        <w:t xml:space="preserve"> operat</w:t>
      </w:r>
      <w:r w:rsidR="00EC5F55">
        <w:t>e</w:t>
      </w:r>
      <w:r w:rsidR="005077A3">
        <w:t xml:space="preserve"> with</w:t>
      </w:r>
      <w:r w:rsidRPr="00E97187">
        <w:t xml:space="preserve"> improved service to </w:t>
      </w:r>
      <w:r w:rsidR="007E31D4">
        <w:t>its viewers</w:t>
      </w:r>
      <w:r w:rsidRPr="00E97187">
        <w:t xml:space="preserve"> as quickly as possible.</w:t>
      </w:r>
    </w:p>
    <w:p w:rsidR="00E97187" w:rsidRPr="00E97187" w:rsidP="00E97187" w14:paraId="6630BFCE" w14:textId="6AB4E374">
      <w:pPr>
        <w:pStyle w:val="ParaNum"/>
      </w:pPr>
      <w:r w:rsidRPr="00E97187">
        <w:t>Accordingly, pursuant to the authority contained in sections 4(i), 5(c)(1), 303(g)</w:t>
      </w:r>
      <w:r w:rsidR="00175322">
        <w:t>,</w:t>
      </w:r>
      <w:r w:rsidRPr="00E97187">
        <w:t xml:space="preserve"> (r) and 307(b) of the Communications Act of 1934, as amended,</w:t>
      </w:r>
      <w:r w:rsidR="006409B6">
        <w:t xml:space="preserve"> 47 U.S.C. </w:t>
      </w:r>
      <w:r w:rsidRPr="006409B6" w:rsidR="006409B6">
        <w:t>§§ 154(i),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DTV Table of Allotments, section 73.622(i) of the Commission’s rules</w:t>
      </w:r>
      <w:r>
        <w:t>, 47 CFR § 73.622(i)</w:t>
      </w:r>
      <w:r w:rsidRPr="00E97187">
        <w:t xml:space="preserve">, </w:t>
      </w:r>
      <w:r w:rsidRPr="00E97187">
        <w:rPr>
          <w:b/>
          <w:bCs/>
        </w:rPr>
        <w:t>IS AMENDED</w:t>
      </w:r>
      <w:r w:rsidRPr="00E97187">
        <w:t>, with respect to the community listed below, to read as follows:</w:t>
      </w:r>
    </w:p>
    <w:p w:rsidR="00E97187" w:rsidRPr="00E97187" w:rsidP="006409B6" w14:paraId="773B2D48" w14:textId="3BBEB85B">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Pr="00E97187">
        <w:rPr>
          <w:spacing w:val="-4"/>
          <w:szCs w:val="22"/>
        </w:rPr>
        <w:tab/>
      </w:r>
      <w:r w:rsidR="00C869ED">
        <w:rPr>
          <w:spacing w:val="-4"/>
          <w:szCs w:val="22"/>
        </w:rPr>
        <w:t xml:space="preserve">         </w:t>
      </w:r>
      <w:r w:rsidRPr="00E97187">
        <w:rPr>
          <w:spacing w:val="-3"/>
          <w:szCs w:val="22"/>
          <w:u w:val="single" w:color="000000"/>
        </w:rPr>
        <w:t>Channel No.</w:t>
      </w:r>
      <w:r w:rsidRPr="00E97187">
        <w:rPr>
          <w:spacing w:val="-3"/>
          <w:szCs w:val="22"/>
        </w:rPr>
        <w:tab/>
      </w:r>
      <w:r w:rsidRPr="00E97187">
        <w:rPr>
          <w:spacing w:val="-3"/>
          <w:szCs w:val="22"/>
        </w:rPr>
        <w:tab/>
      </w:r>
    </w:p>
    <w:p w:rsidR="00E97187" w:rsidRPr="00E97187" w:rsidP="006409B6" w14:paraId="34450F21" w14:textId="1823B028">
      <w:pPr>
        <w:pStyle w:val="BodyText"/>
        <w:tabs>
          <w:tab w:val="left" w:pos="3728"/>
          <w:tab w:val="right" w:pos="6105"/>
        </w:tabs>
        <w:spacing w:after="220"/>
        <w:ind w:left="0"/>
        <w:rPr>
          <w:szCs w:val="22"/>
        </w:rPr>
      </w:pPr>
      <w:r>
        <w:rPr>
          <w:spacing w:val="-4"/>
          <w:szCs w:val="22"/>
        </w:rPr>
        <w:t>New Orleans</w:t>
      </w:r>
      <w:r w:rsidR="0031731D">
        <w:rPr>
          <w:spacing w:val="-4"/>
          <w:szCs w:val="22"/>
        </w:rPr>
        <w:t xml:space="preserve">, </w:t>
      </w:r>
      <w:r w:rsidR="00A57994">
        <w:rPr>
          <w:spacing w:val="-4"/>
          <w:szCs w:val="22"/>
        </w:rPr>
        <w:t>Louisiana</w:t>
      </w:r>
      <w:r w:rsidRPr="00E97187" w:rsidR="00F86933">
        <w:rPr>
          <w:spacing w:val="-4"/>
          <w:szCs w:val="22"/>
        </w:rPr>
        <w:t xml:space="preserve">                        </w:t>
      </w:r>
      <w:r w:rsidR="001A6147">
        <w:rPr>
          <w:spacing w:val="-4"/>
          <w:szCs w:val="22"/>
        </w:rPr>
        <w:t xml:space="preserve">    </w:t>
      </w:r>
      <w:r w:rsidR="009B3364">
        <w:rPr>
          <w:spacing w:val="-3"/>
          <w:szCs w:val="22"/>
        </w:rPr>
        <w:t xml:space="preserve">15, 21, 26, *28, 29, *31, 36, 43, 50 </w:t>
      </w:r>
      <w:r w:rsidR="00C43340">
        <w:rPr>
          <w:spacing w:val="-4"/>
          <w:szCs w:val="22"/>
        </w:rPr>
        <w:t xml:space="preserve">      </w:t>
      </w:r>
      <w:r w:rsidR="00481D1E">
        <w:rPr>
          <w:spacing w:val="-4"/>
          <w:szCs w:val="22"/>
        </w:rPr>
        <w:t xml:space="preserve"> </w:t>
      </w:r>
      <w:r w:rsidR="00C43340">
        <w:rPr>
          <w:spacing w:val="-4"/>
          <w:szCs w:val="22"/>
        </w:rPr>
        <w:t xml:space="preserve"> </w:t>
      </w:r>
    </w:p>
    <w:p w:rsidR="00E97187" w:rsidRPr="00E97187" w:rsidP="00E97187" w14:paraId="58623516" w14:textId="691A7DAE">
      <w:pPr>
        <w:pStyle w:val="ParaNum"/>
      </w:pPr>
      <w:r w:rsidRPr="00E97187">
        <w:rPr>
          <w:b/>
          <w:bCs/>
        </w:rPr>
        <w:t>IT IS FURTHER ORDERED</w:t>
      </w:r>
      <w:r w:rsidRPr="00E97187">
        <w:t>, That within 30 days of the effective date of this Order,</w:t>
      </w:r>
      <w:r w:rsidR="00E24A9C">
        <w:t xml:space="preserve"> </w:t>
      </w:r>
      <w:r w:rsidR="001326A5">
        <w:t>The Greater New Orleans Educational Television Foundation</w:t>
      </w:r>
      <w:r w:rsidR="001326A5">
        <w:t xml:space="preserve"> </w:t>
      </w:r>
      <w:r w:rsidRPr="00E97187" w:rsidR="00691886">
        <w:t>shall</w:t>
      </w:r>
      <w:r w:rsidRPr="00E97187">
        <w:t xml:space="preserve"> submit to the Commission a minor change application for a construction permit (Form 2100, Schedule A) specifying channel </w:t>
      </w:r>
      <w:r w:rsidR="00E2569A">
        <w:t>*28</w:t>
      </w:r>
      <w:r w:rsidRPr="00E97187">
        <w:t xml:space="preserve"> in lieu of channel</w:t>
      </w:r>
      <w:r w:rsidR="00346332">
        <w:t xml:space="preserve"> </w:t>
      </w:r>
      <w:r w:rsidR="00E2569A">
        <w:t>*11</w:t>
      </w:r>
      <w:r w:rsidRPr="00E97187">
        <w:t>.</w:t>
      </w:r>
    </w:p>
    <w:p w:rsidR="006409B6" w:rsidRPr="00AE423E" w:rsidP="006409B6" w14:paraId="4A9B6D80"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47C49F8A" w14:textId="54E290C4">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BF0056">
        <w:t>1-</w:t>
      </w:r>
      <w:r w:rsidR="00E2569A">
        <w:t>178</w:t>
      </w:r>
      <w:r w:rsidR="008A7F19">
        <w:t xml:space="preserve"> and </w:t>
      </w:r>
      <w:r w:rsidR="00C802E6">
        <w:t>RM-11</w:t>
      </w:r>
      <w:r w:rsidR="003C7DFD">
        <w:t>9</w:t>
      </w:r>
      <w:r w:rsidR="00E2569A">
        <w:t>05</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E97187" w14:paraId="5D295B61" w14:textId="77777777">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17296B" w14:paraId="3411D6DF" w14:textId="230D33E9">
      <w:r>
        <w:tab/>
      </w:r>
      <w:r>
        <w:tab/>
      </w:r>
      <w:r>
        <w:tab/>
      </w:r>
      <w:r>
        <w:tab/>
      </w:r>
      <w:r>
        <w:tab/>
      </w:r>
      <w:r>
        <w:tab/>
        <w:t>FEDERAL COMMUNICATIONS COMMISSION</w:t>
      </w:r>
    </w:p>
    <w:p w:rsidR="006409B6" w:rsidP="0017296B" w14:paraId="2B6CF0CB" w14:textId="77777777"/>
    <w:p w:rsidR="006409B6" w:rsidP="0017296B" w14:paraId="0D5E760A" w14:textId="208730A5"/>
    <w:p w:rsidR="00C43340" w:rsidP="0017296B" w14:paraId="7D61DC24" w14:textId="77777777"/>
    <w:p w:rsidR="006409B6" w:rsidP="0017296B" w14:paraId="7BE30C62" w14:textId="77777777">
      <w:r>
        <w:tab/>
      </w:r>
      <w:r>
        <w:tab/>
      </w:r>
      <w:r>
        <w:tab/>
      </w:r>
      <w:r>
        <w:tab/>
      </w:r>
      <w:r>
        <w:tab/>
      </w:r>
      <w:r>
        <w:tab/>
        <w:t>Barbara A. Kreisman</w:t>
      </w:r>
    </w:p>
    <w:p w:rsidR="006409B6" w:rsidP="0017296B" w14:paraId="505F18FE" w14:textId="77777777">
      <w:r>
        <w:tab/>
      </w:r>
      <w:r>
        <w:tab/>
      </w:r>
      <w:r>
        <w:tab/>
      </w:r>
      <w:r>
        <w:tab/>
      </w:r>
      <w:r>
        <w:tab/>
      </w:r>
      <w:r>
        <w:tab/>
        <w:t>Chief, Video Division</w:t>
      </w:r>
    </w:p>
    <w:p w:rsidR="00412FC5" w:rsidP="006409B6" w14:paraId="6B4E98D2" w14:textId="77777777">
      <w:r>
        <w:tab/>
      </w:r>
      <w:r>
        <w:tab/>
      </w:r>
      <w:r>
        <w:tab/>
      </w:r>
      <w:r>
        <w:tab/>
      </w:r>
      <w:r>
        <w:tab/>
      </w:r>
      <w:r>
        <w:tab/>
        <w:t>Media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00E66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592DE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488AB2F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E5412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187" w14:paraId="4149943E" w14:textId="77777777">
      <w:r>
        <w:separator/>
      </w:r>
    </w:p>
  </w:footnote>
  <w:footnote w:type="continuationSeparator" w:id="1">
    <w:p w:rsidR="00E97187" w:rsidP="00C721AC" w14:paraId="3E52F4C4" w14:textId="77777777">
      <w:pPr>
        <w:spacing w:before="120"/>
        <w:rPr>
          <w:sz w:val="20"/>
        </w:rPr>
      </w:pPr>
      <w:r>
        <w:rPr>
          <w:sz w:val="20"/>
        </w:rPr>
        <w:t xml:space="preserve">(Continued from previous page)  </w:t>
      </w:r>
      <w:r>
        <w:rPr>
          <w:sz w:val="20"/>
        </w:rPr>
        <w:separator/>
      </w:r>
    </w:p>
  </w:footnote>
  <w:footnote w:type="continuationNotice" w:id="2">
    <w:p w:rsidR="00E97187" w:rsidP="00C721AC" w14:paraId="75FB8DDB" w14:textId="77777777">
      <w:pPr>
        <w:jc w:val="right"/>
        <w:rPr>
          <w:sz w:val="20"/>
        </w:rPr>
      </w:pPr>
      <w:r>
        <w:rPr>
          <w:sz w:val="20"/>
        </w:rPr>
        <w:t>(continued….)</w:t>
      </w:r>
    </w:p>
  </w:footnote>
  <w:footnote w:id="3">
    <w:p w:rsidR="00E97187" w:rsidP="006409B6" w14:paraId="7A9D5BCF" w14:textId="7057C38D">
      <w:pPr>
        <w:pStyle w:val="FootnoteText"/>
      </w:pPr>
      <w:r>
        <w:rPr>
          <w:rStyle w:val="FootnoteReference"/>
        </w:rPr>
        <w:footnoteRef/>
      </w:r>
      <w:r w:rsidRPr="00400001">
        <w:rPr>
          <w:i/>
          <w:iCs/>
        </w:rPr>
        <w:t>Amendment of Section 73.73.622(i), Post-Transition Table of DTV Allotments, Television Stations (</w:t>
      </w:r>
      <w:r w:rsidR="00A57994">
        <w:rPr>
          <w:i/>
          <w:iCs/>
        </w:rPr>
        <w:t>New Orleans</w:t>
      </w:r>
      <w:r w:rsidR="00C641AE">
        <w:rPr>
          <w:i/>
          <w:iCs/>
        </w:rPr>
        <w:t xml:space="preserve">, </w:t>
      </w:r>
      <w:r w:rsidR="00A57994">
        <w:rPr>
          <w:i/>
          <w:iCs/>
        </w:rPr>
        <w:t>Louisiana</w:t>
      </w:r>
      <w:r w:rsidRPr="00400001">
        <w:rPr>
          <w:i/>
          <w:iCs/>
        </w:rPr>
        <w:t>)</w:t>
      </w:r>
      <w:r>
        <w:t xml:space="preserve">, </w:t>
      </w:r>
      <w:r w:rsidR="006409B6">
        <w:t>MB Docket No. 2</w:t>
      </w:r>
      <w:r w:rsidR="00752E7E">
        <w:t>1-</w:t>
      </w:r>
      <w:r w:rsidR="00A57994">
        <w:t>178</w:t>
      </w:r>
      <w:r w:rsidR="006409B6">
        <w:t xml:space="preserve">, </w:t>
      </w:r>
      <w:r>
        <w:t>Notice of Proposed Rulemaking,</w:t>
      </w:r>
      <w:r w:rsidR="00C34A62">
        <w:t xml:space="preserve"> </w:t>
      </w:r>
      <w:r w:rsidR="00C65811">
        <w:t>DA 21-</w:t>
      </w:r>
      <w:r w:rsidR="00671E0C">
        <w:t>4</w:t>
      </w:r>
      <w:r w:rsidR="00A57994">
        <w:t>60</w:t>
      </w:r>
      <w:r w:rsidR="00C65811">
        <w:t xml:space="preserve"> (rel. </w:t>
      </w:r>
      <w:r w:rsidR="00C641AE">
        <w:t>Apr</w:t>
      </w:r>
      <w:r w:rsidR="00787C68">
        <w:t>.</w:t>
      </w:r>
      <w:r w:rsidR="00C641AE">
        <w:t xml:space="preserve"> </w:t>
      </w:r>
      <w:r w:rsidR="00A57994">
        <w:t>21</w:t>
      </w:r>
      <w:r w:rsidR="00C65811">
        <w:t>, 2021)</w:t>
      </w:r>
      <w:r>
        <w:t xml:space="preserve"> (</w:t>
      </w:r>
      <w:r w:rsidRPr="00400001">
        <w:rPr>
          <w:i/>
          <w:iCs/>
        </w:rPr>
        <w:t>NPRM</w:t>
      </w:r>
      <w:r>
        <w:t>).</w:t>
      </w:r>
    </w:p>
  </w:footnote>
  <w:footnote w:id="4">
    <w:p w:rsidR="00E97187" w:rsidP="00E97187" w14:paraId="01D801F9" w14:textId="4C8D3D2A">
      <w:pPr>
        <w:pStyle w:val="FootnoteText"/>
        <w:widowControl w:val="0"/>
      </w:pPr>
      <w:r>
        <w:rPr>
          <w:rStyle w:val="FootnoteReference"/>
        </w:rPr>
        <w:footnoteRef/>
      </w:r>
      <w:r>
        <w:t xml:space="preserve"> As noted in the </w:t>
      </w:r>
      <w:r w:rsidRPr="00400001">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w:t>
      </w:r>
      <w:r w:rsidR="00691886">
        <w:t xml:space="preserve"> </w:t>
      </w:r>
      <w:r>
        <w:t>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73.622(i)</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Pr>
          <w:spacing w:val="52"/>
          <w:w w:val="99"/>
        </w:rPr>
        <w:t xml:space="preserve"> </w:t>
      </w:r>
      <w:r>
        <w:t xml:space="preserve">proceeding.  </w:t>
      </w:r>
      <w:r w:rsidRPr="00CA4457">
        <w:rPr>
          <w:i/>
          <w:iCs/>
        </w:rPr>
        <w:t>See</w:t>
      </w:r>
      <w:r>
        <w:t xml:space="preserve"> </w:t>
      </w:r>
      <w:r w:rsidRPr="00400001">
        <w:rPr>
          <w:i/>
          <w:iCs/>
        </w:rPr>
        <w:t>NPRM</w:t>
      </w:r>
      <w:r w:rsidR="00C34A62">
        <w:t xml:space="preserve"> </w:t>
      </w:r>
      <w:r w:rsidR="000709BB">
        <w:t>a</w:t>
      </w:r>
      <w:r w:rsidR="00C34A62">
        <w:t xml:space="preserve">t </w:t>
      </w:r>
      <w:r>
        <w:t>n.</w:t>
      </w:r>
      <w:r w:rsidR="000B6166">
        <w:t>2</w:t>
      </w:r>
      <w:r>
        <w:t>.</w:t>
      </w:r>
    </w:p>
  </w:footnote>
  <w:footnote w:id="5">
    <w:p w:rsidR="00E97187" w:rsidP="00E97187" w14:paraId="56D064FA" w14:textId="3EFE866E">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rsidR="00FC0606">
        <w:t xml:space="preserve">MB Docket No. 07-729, </w:t>
      </w:r>
      <w:r w:rsidRPr="00C43C45">
        <w:t>Report and Order,</w:t>
      </w:r>
      <w:r>
        <w:t xml:space="preserve"> </w:t>
      </w:r>
      <w:r w:rsidRPr="00C43C45">
        <w:t>24 FCC Rcd 8192, 8194</w:t>
      </w:r>
      <w:r>
        <w:t>, para. 9</w:t>
      </w:r>
      <w:r w:rsidRPr="00C43C45">
        <w:t xml:space="preserve"> (</w:t>
      </w:r>
      <w:r w:rsidR="00F466AA">
        <w:t>Aud. Div.</w:t>
      </w:r>
      <w:r w:rsidRPr="00C43C45" w:rsidR="00F466AA">
        <w:t xml:space="preserve"> </w:t>
      </w:r>
      <w:r w:rsidRPr="00C43C45">
        <w:t>2009).</w:t>
      </w:r>
      <w:r w:rsidR="00F372C7">
        <w:t xml:space="preserve">  </w:t>
      </w:r>
    </w:p>
  </w:footnote>
  <w:footnote w:id="6">
    <w:p w:rsidR="00D85C18" w14:paraId="23D2D008" w14:textId="5EDDCF2D">
      <w:pPr>
        <w:pStyle w:val="FootnoteText"/>
      </w:pPr>
      <w:r>
        <w:rPr>
          <w:rStyle w:val="FootnoteReference"/>
        </w:rPr>
        <w:footnoteRef/>
      </w:r>
      <w:r>
        <w:t xml:space="preserve"> Mr. </w:t>
      </w:r>
      <w:r w:rsidR="00756887">
        <w:t>Caesar Guyot of New Orleans</w:t>
      </w:r>
      <w:r>
        <w:t xml:space="preserve"> filed comments in the docket in this proceeding</w:t>
      </w:r>
      <w:r w:rsidR="00756887">
        <w:t xml:space="preserve"> on May 17, 2021</w:t>
      </w:r>
      <w:r>
        <w:t>, but the comments were unrelated to the Petitioner’s proposed channel substitution</w:t>
      </w:r>
      <w:r w:rsidR="007B55A6">
        <w:t xml:space="preserve"> for </w:t>
      </w:r>
      <w:r w:rsidR="00B41A91">
        <w:t>W</w:t>
      </w:r>
      <w:r w:rsidR="007B55A6">
        <w:t>YES-TV</w:t>
      </w:r>
      <w:r w:rsidR="00B41A91">
        <w:t>.</w:t>
      </w:r>
    </w:p>
  </w:footnote>
  <w:footnote w:id="7">
    <w:p w:rsidR="005627CD" w:rsidP="005627CD" w14:paraId="033139BA" w14:textId="15AE22B4">
      <w:pPr>
        <w:pStyle w:val="FootnoteText"/>
      </w:pPr>
      <w:r>
        <w:rPr>
          <w:rStyle w:val="FootnoteReference"/>
        </w:rPr>
        <w:footnoteRef/>
      </w:r>
      <w:r>
        <w:t xml:space="preserve"> </w:t>
      </w:r>
      <w:r w:rsidRPr="00CA75F5">
        <w:rPr>
          <w:i/>
          <w:iCs/>
        </w:rPr>
        <w:t>NPRM</w:t>
      </w:r>
      <w:r>
        <w:t xml:space="preserve"> at para. 2.</w:t>
      </w:r>
      <w:r w:rsidRPr="00CA75F5" w:rsidR="00CA75F5">
        <w:t xml:space="preserve"> </w:t>
      </w:r>
      <w:r w:rsidR="00CA75F5">
        <w:t xml:space="preserve"> Petitioner further states that t</w:t>
      </w:r>
      <w:r w:rsidRPr="00E208EC" w:rsidR="00CA75F5">
        <w:t xml:space="preserve">he Commission has recognized that VHF channels have certain propagation characteristics which may cause reception issues for some viewers, </w:t>
      </w:r>
      <w:r w:rsidR="00CA75F5">
        <w:t xml:space="preserve">including allowing undesired signals and noise at relatively further distances, and the tendency of nearby electrical devices to emit noise in the VHF band that can cause interference to stations on VHF channels.  </w:t>
      </w:r>
      <w:r w:rsidRPr="00CA75F5" w:rsidR="00CA75F5">
        <w:rPr>
          <w:i/>
          <w:iCs/>
        </w:rPr>
        <w:t>Id</w:t>
      </w:r>
      <w:r w:rsidR="00CA75F5">
        <w:t>.</w:t>
      </w:r>
    </w:p>
  </w:footnote>
  <w:footnote w:id="8">
    <w:p w:rsidR="00CA75F5" w14:paraId="4ED12104" w14:textId="7661CF31">
      <w:pPr>
        <w:pStyle w:val="FootnoteText"/>
      </w:pPr>
      <w:r>
        <w:rPr>
          <w:rStyle w:val="FootnoteReference"/>
        </w:rPr>
        <w:footnoteRef/>
      </w:r>
      <w:r>
        <w:t xml:space="preserve"> </w:t>
      </w:r>
      <w:r w:rsidRPr="00634376">
        <w:rPr>
          <w:i/>
          <w:iCs/>
        </w:rPr>
        <w:t>Id</w:t>
      </w:r>
      <w:r>
        <w:t>.</w:t>
      </w:r>
    </w:p>
  </w:footnote>
  <w:footnote w:id="9">
    <w:p w:rsidR="00E97187" w:rsidP="00E97187" w14:paraId="7932052D"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10">
    <w:p w:rsidR="00E97187" w:rsidP="00E97187" w14:paraId="0EFD8177"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1">
    <w:p w:rsidR="00E97187" w:rsidP="00E97187" w14:paraId="2E5C7E49"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2881" w14:paraId="0CD4647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EEA586" w14:textId="404E5EAB">
    <w:pPr>
      <w:pStyle w:val="Header"/>
      <w:rPr>
        <w:b w:val="0"/>
      </w:rPr>
    </w:pPr>
    <w:r>
      <w:tab/>
      <w:t>Federal Communications Commission</w:t>
    </w:r>
    <w:r>
      <w:tab/>
    </w:r>
    <w:r w:rsidR="00E97187">
      <w:t>DA 21-</w:t>
    </w:r>
    <w:r w:rsidR="00452881">
      <w:t>770</w:t>
    </w:r>
  </w:p>
  <w:p w:rsidR="00D25FB5" w14:paraId="0C50C3E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17712B6"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73B3D2" w14:textId="3A7B8CD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21-</w:t>
    </w:r>
    <w:r w:rsidR="00452881">
      <w:rPr>
        <w:spacing w:val="-2"/>
      </w:rPr>
      <w:t>770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04D33"/>
    <w:rsid w:val="00031E32"/>
    <w:rsid w:val="00036039"/>
    <w:rsid w:val="0003658C"/>
    <w:rsid w:val="00037F90"/>
    <w:rsid w:val="0005127D"/>
    <w:rsid w:val="00064BDF"/>
    <w:rsid w:val="000709BB"/>
    <w:rsid w:val="000875BF"/>
    <w:rsid w:val="00092AB5"/>
    <w:rsid w:val="00096D8C"/>
    <w:rsid w:val="000B6166"/>
    <w:rsid w:val="000C0B65"/>
    <w:rsid w:val="000E05FE"/>
    <w:rsid w:val="000E3D42"/>
    <w:rsid w:val="000E3EFF"/>
    <w:rsid w:val="001023E8"/>
    <w:rsid w:val="001032F9"/>
    <w:rsid w:val="00122BD5"/>
    <w:rsid w:val="001326A5"/>
    <w:rsid w:val="00133F79"/>
    <w:rsid w:val="00154155"/>
    <w:rsid w:val="0017296B"/>
    <w:rsid w:val="00175322"/>
    <w:rsid w:val="00190580"/>
    <w:rsid w:val="0019432C"/>
    <w:rsid w:val="00194A66"/>
    <w:rsid w:val="001A6147"/>
    <w:rsid w:val="001B10DB"/>
    <w:rsid w:val="001C2B9A"/>
    <w:rsid w:val="001D08F3"/>
    <w:rsid w:val="001D4184"/>
    <w:rsid w:val="001D6BCF"/>
    <w:rsid w:val="001E0027"/>
    <w:rsid w:val="001E01CA"/>
    <w:rsid w:val="001F5E8F"/>
    <w:rsid w:val="00206D86"/>
    <w:rsid w:val="00207DC3"/>
    <w:rsid w:val="00274E6E"/>
    <w:rsid w:val="00275CF5"/>
    <w:rsid w:val="0028301F"/>
    <w:rsid w:val="00285017"/>
    <w:rsid w:val="002A2D2E"/>
    <w:rsid w:val="002A79DD"/>
    <w:rsid w:val="002B4C03"/>
    <w:rsid w:val="002C00E8"/>
    <w:rsid w:val="0031731D"/>
    <w:rsid w:val="00343749"/>
    <w:rsid w:val="00346332"/>
    <w:rsid w:val="00351C35"/>
    <w:rsid w:val="003660ED"/>
    <w:rsid w:val="00367B19"/>
    <w:rsid w:val="00381DCA"/>
    <w:rsid w:val="00387FFC"/>
    <w:rsid w:val="003A688B"/>
    <w:rsid w:val="003B0550"/>
    <w:rsid w:val="003B694F"/>
    <w:rsid w:val="003C639A"/>
    <w:rsid w:val="003C7DFD"/>
    <w:rsid w:val="003E0305"/>
    <w:rsid w:val="003F171C"/>
    <w:rsid w:val="00400001"/>
    <w:rsid w:val="0040157D"/>
    <w:rsid w:val="00412FC5"/>
    <w:rsid w:val="00422276"/>
    <w:rsid w:val="004242F1"/>
    <w:rsid w:val="00424EA6"/>
    <w:rsid w:val="00445A00"/>
    <w:rsid w:val="00451B0F"/>
    <w:rsid w:val="00452881"/>
    <w:rsid w:val="00471E93"/>
    <w:rsid w:val="00481D1E"/>
    <w:rsid w:val="00494BBF"/>
    <w:rsid w:val="004A57F0"/>
    <w:rsid w:val="004C2EE3"/>
    <w:rsid w:val="004C6FBC"/>
    <w:rsid w:val="004D4DB7"/>
    <w:rsid w:val="004E4A22"/>
    <w:rsid w:val="00502441"/>
    <w:rsid w:val="005077A3"/>
    <w:rsid w:val="00511968"/>
    <w:rsid w:val="00511E8C"/>
    <w:rsid w:val="0055614C"/>
    <w:rsid w:val="005627CD"/>
    <w:rsid w:val="00566D06"/>
    <w:rsid w:val="00590F45"/>
    <w:rsid w:val="005B66A6"/>
    <w:rsid w:val="005E14C2"/>
    <w:rsid w:val="00601070"/>
    <w:rsid w:val="00607BA5"/>
    <w:rsid w:val="0061180A"/>
    <w:rsid w:val="00616F89"/>
    <w:rsid w:val="00625FAE"/>
    <w:rsid w:val="00626EB6"/>
    <w:rsid w:val="00634376"/>
    <w:rsid w:val="006345A5"/>
    <w:rsid w:val="006409B6"/>
    <w:rsid w:val="00642EB4"/>
    <w:rsid w:val="00655D03"/>
    <w:rsid w:val="0065698F"/>
    <w:rsid w:val="00671E0C"/>
    <w:rsid w:val="006777C5"/>
    <w:rsid w:val="00683388"/>
    <w:rsid w:val="00683F84"/>
    <w:rsid w:val="00691886"/>
    <w:rsid w:val="006945ED"/>
    <w:rsid w:val="006A6A81"/>
    <w:rsid w:val="006E2ABD"/>
    <w:rsid w:val="006F7393"/>
    <w:rsid w:val="0070224F"/>
    <w:rsid w:val="007115F7"/>
    <w:rsid w:val="00711A32"/>
    <w:rsid w:val="00716576"/>
    <w:rsid w:val="007469D2"/>
    <w:rsid w:val="00752E7E"/>
    <w:rsid w:val="00756887"/>
    <w:rsid w:val="00772675"/>
    <w:rsid w:val="00785689"/>
    <w:rsid w:val="00787C68"/>
    <w:rsid w:val="0079754B"/>
    <w:rsid w:val="007A1E6D"/>
    <w:rsid w:val="007A7D14"/>
    <w:rsid w:val="007B0EB2"/>
    <w:rsid w:val="007B55A6"/>
    <w:rsid w:val="007C60E1"/>
    <w:rsid w:val="007E31D4"/>
    <w:rsid w:val="007F6ED0"/>
    <w:rsid w:val="00810B6F"/>
    <w:rsid w:val="00822CE0"/>
    <w:rsid w:val="00841AB1"/>
    <w:rsid w:val="00852F57"/>
    <w:rsid w:val="0085773E"/>
    <w:rsid w:val="0086277D"/>
    <w:rsid w:val="00865021"/>
    <w:rsid w:val="008A7F19"/>
    <w:rsid w:val="008C68F1"/>
    <w:rsid w:val="008D5186"/>
    <w:rsid w:val="009078BE"/>
    <w:rsid w:val="00921803"/>
    <w:rsid w:val="00924BBC"/>
    <w:rsid w:val="00926503"/>
    <w:rsid w:val="0093590D"/>
    <w:rsid w:val="00941655"/>
    <w:rsid w:val="00953030"/>
    <w:rsid w:val="009726D8"/>
    <w:rsid w:val="009919F5"/>
    <w:rsid w:val="009B3364"/>
    <w:rsid w:val="009D7308"/>
    <w:rsid w:val="009F76DB"/>
    <w:rsid w:val="00A2491E"/>
    <w:rsid w:val="00A26DFA"/>
    <w:rsid w:val="00A32C3B"/>
    <w:rsid w:val="00A45F4F"/>
    <w:rsid w:val="00A57994"/>
    <w:rsid w:val="00A600A9"/>
    <w:rsid w:val="00A646CD"/>
    <w:rsid w:val="00A651AA"/>
    <w:rsid w:val="00AA55B7"/>
    <w:rsid w:val="00AA5B9E"/>
    <w:rsid w:val="00AB2407"/>
    <w:rsid w:val="00AB4237"/>
    <w:rsid w:val="00AB53DF"/>
    <w:rsid w:val="00AE423E"/>
    <w:rsid w:val="00AE585E"/>
    <w:rsid w:val="00B03A59"/>
    <w:rsid w:val="00B07E5C"/>
    <w:rsid w:val="00B41A91"/>
    <w:rsid w:val="00B66A30"/>
    <w:rsid w:val="00B811F7"/>
    <w:rsid w:val="00B92E3C"/>
    <w:rsid w:val="00BA5DC6"/>
    <w:rsid w:val="00BA6196"/>
    <w:rsid w:val="00BC6D8C"/>
    <w:rsid w:val="00BE6CEF"/>
    <w:rsid w:val="00BF0056"/>
    <w:rsid w:val="00BF0A68"/>
    <w:rsid w:val="00C2185E"/>
    <w:rsid w:val="00C34006"/>
    <w:rsid w:val="00C34A62"/>
    <w:rsid w:val="00C36B4C"/>
    <w:rsid w:val="00C426B1"/>
    <w:rsid w:val="00C43340"/>
    <w:rsid w:val="00C43C45"/>
    <w:rsid w:val="00C641AE"/>
    <w:rsid w:val="00C65811"/>
    <w:rsid w:val="00C66160"/>
    <w:rsid w:val="00C721AC"/>
    <w:rsid w:val="00C738D7"/>
    <w:rsid w:val="00C802E6"/>
    <w:rsid w:val="00C85E24"/>
    <w:rsid w:val="00C869ED"/>
    <w:rsid w:val="00C86CFC"/>
    <w:rsid w:val="00C90D6A"/>
    <w:rsid w:val="00C97058"/>
    <w:rsid w:val="00CA247E"/>
    <w:rsid w:val="00CA4457"/>
    <w:rsid w:val="00CA6D21"/>
    <w:rsid w:val="00CA75F5"/>
    <w:rsid w:val="00CC72B6"/>
    <w:rsid w:val="00CF65F3"/>
    <w:rsid w:val="00D0218D"/>
    <w:rsid w:val="00D1135F"/>
    <w:rsid w:val="00D25FB5"/>
    <w:rsid w:val="00D3417F"/>
    <w:rsid w:val="00D44223"/>
    <w:rsid w:val="00D711F6"/>
    <w:rsid w:val="00D85C18"/>
    <w:rsid w:val="00DA2529"/>
    <w:rsid w:val="00DA6018"/>
    <w:rsid w:val="00DB130A"/>
    <w:rsid w:val="00DB2EBB"/>
    <w:rsid w:val="00DC024A"/>
    <w:rsid w:val="00DC10A1"/>
    <w:rsid w:val="00DC655F"/>
    <w:rsid w:val="00DC699B"/>
    <w:rsid w:val="00DD0B59"/>
    <w:rsid w:val="00DD7EBD"/>
    <w:rsid w:val="00DE70C9"/>
    <w:rsid w:val="00DF62B6"/>
    <w:rsid w:val="00E07225"/>
    <w:rsid w:val="00E208EC"/>
    <w:rsid w:val="00E24A9C"/>
    <w:rsid w:val="00E2569A"/>
    <w:rsid w:val="00E260F8"/>
    <w:rsid w:val="00E319DF"/>
    <w:rsid w:val="00E5409F"/>
    <w:rsid w:val="00E91504"/>
    <w:rsid w:val="00E9514A"/>
    <w:rsid w:val="00E97187"/>
    <w:rsid w:val="00EA0A8B"/>
    <w:rsid w:val="00EB6D5F"/>
    <w:rsid w:val="00EC2856"/>
    <w:rsid w:val="00EC5F55"/>
    <w:rsid w:val="00EE0047"/>
    <w:rsid w:val="00EE6488"/>
    <w:rsid w:val="00F021FA"/>
    <w:rsid w:val="00F12105"/>
    <w:rsid w:val="00F23FF8"/>
    <w:rsid w:val="00F372C7"/>
    <w:rsid w:val="00F466AA"/>
    <w:rsid w:val="00F62E97"/>
    <w:rsid w:val="00F64209"/>
    <w:rsid w:val="00F86933"/>
    <w:rsid w:val="00F9262B"/>
    <w:rsid w:val="00F93BF5"/>
    <w:rsid w:val="00FA4C43"/>
    <w:rsid w:val="00FB4302"/>
    <w:rsid w:val="00FC0606"/>
    <w:rsid w:val="00FC35B6"/>
    <w:rsid w:val="00FE7B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6662A4"/>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F3"/>
    <w:pPr>
      <w:widowControl w:val="0"/>
    </w:pPr>
    <w:rPr>
      <w:snapToGrid w:val="0"/>
      <w:kern w:val="28"/>
      <w:sz w:val="22"/>
    </w:rPr>
  </w:style>
  <w:style w:type="paragraph" w:styleId="Heading1">
    <w:name w:val="heading 1"/>
    <w:basedOn w:val="Normal"/>
    <w:next w:val="ParaNum"/>
    <w:qFormat/>
    <w:rsid w:val="001D08F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D08F3"/>
    <w:pPr>
      <w:keepNext/>
      <w:numPr>
        <w:ilvl w:val="1"/>
        <w:numId w:val="3"/>
      </w:numPr>
      <w:spacing w:after="120"/>
      <w:outlineLvl w:val="1"/>
    </w:pPr>
    <w:rPr>
      <w:b/>
    </w:rPr>
  </w:style>
  <w:style w:type="paragraph" w:styleId="Heading3">
    <w:name w:val="heading 3"/>
    <w:basedOn w:val="Normal"/>
    <w:next w:val="ParaNum"/>
    <w:qFormat/>
    <w:rsid w:val="001D08F3"/>
    <w:pPr>
      <w:keepNext/>
      <w:numPr>
        <w:ilvl w:val="2"/>
        <w:numId w:val="3"/>
      </w:numPr>
      <w:tabs>
        <w:tab w:val="left" w:pos="2160"/>
      </w:tabs>
      <w:spacing w:after="120"/>
      <w:outlineLvl w:val="2"/>
    </w:pPr>
    <w:rPr>
      <w:b/>
    </w:rPr>
  </w:style>
  <w:style w:type="paragraph" w:styleId="Heading4">
    <w:name w:val="heading 4"/>
    <w:basedOn w:val="Normal"/>
    <w:next w:val="ParaNum"/>
    <w:qFormat/>
    <w:rsid w:val="001D08F3"/>
    <w:pPr>
      <w:keepNext/>
      <w:numPr>
        <w:ilvl w:val="3"/>
        <w:numId w:val="3"/>
      </w:numPr>
      <w:tabs>
        <w:tab w:val="left" w:pos="2880"/>
      </w:tabs>
      <w:spacing w:after="120"/>
      <w:outlineLvl w:val="3"/>
    </w:pPr>
    <w:rPr>
      <w:b/>
    </w:rPr>
  </w:style>
  <w:style w:type="paragraph" w:styleId="Heading5">
    <w:name w:val="heading 5"/>
    <w:basedOn w:val="Normal"/>
    <w:next w:val="ParaNum"/>
    <w:qFormat/>
    <w:rsid w:val="001D08F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D08F3"/>
    <w:pPr>
      <w:numPr>
        <w:ilvl w:val="5"/>
        <w:numId w:val="3"/>
      </w:numPr>
      <w:tabs>
        <w:tab w:val="left" w:pos="4320"/>
      </w:tabs>
      <w:spacing w:after="120"/>
      <w:outlineLvl w:val="5"/>
    </w:pPr>
    <w:rPr>
      <w:b/>
    </w:rPr>
  </w:style>
  <w:style w:type="paragraph" w:styleId="Heading7">
    <w:name w:val="heading 7"/>
    <w:basedOn w:val="Normal"/>
    <w:next w:val="ParaNum"/>
    <w:qFormat/>
    <w:rsid w:val="001D08F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D08F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D08F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D08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08F3"/>
  </w:style>
  <w:style w:type="paragraph" w:customStyle="1" w:styleId="ParaNum">
    <w:name w:val="ParaNum"/>
    <w:basedOn w:val="Normal"/>
    <w:link w:val="ParaNumChar1"/>
    <w:rsid w:val="001D08F3"/>
    <w:pPr>
      <w:numPr>
        <w:numId w:val="2"/>
      </w:numPr>
      <w:tabs>
        <w:tab w:val="clear" w:pos="1080"/>
        <w:tab w:val="num" w:pos="1440"/>
      </w:tabs>
      <w:spacing w:after="120"/>
    </w:pPr>
  </w:style>
  <w:style w:type="paragraph" w:styleId="EndnoteText">
    <w:name w:val="endnote text"/>
    <w:basedOn w:val="Normal"/>
    <w:semiHidden/>
    <w:rsid w:val="001D08F3"/>
    <w:rPr>
      <w:sz w:val="20"/>
    </w:rPr>
  </w:style>
  <w:style w:type="character" w:styleId="EndnoteReference">
    <w:name w:val="endnote reference"/>
    <w:semiHidden/>
    <w:rsid w:val="001D08F3"/>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1D08F3"/>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D08F3"/>
    <w:rPr>
      <w:rFonts w:ascii="Times New Roman" w:hAnsi="Times New Roman"/>
      <w:dstrike w:val="0"/>
      <w:color w:val="auto"/>
      <w:sz w:val="20"/>
      <w:vertAlign w:val="superscript"/>
    </w:rPr>
  </w:style>
  <w:style w:type="paragraph" w:styleId="TOC1">
    <w:name w:val="toc 1"/>
    <w:basedOn w:val="Normal"/>
    <w:next w:val="Normal"/>
    <w:semiHidden/>
    <w:rsid w:val="001D08F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D08F3"/>
    <w:pPr>
      <w:tabs>
        <w:tab w:val="left" w:pos="720"/>
        <w:tab w:val="right" w:leader="dot" w:pos="9360"/>
      </w:tabs>
      <w:suppressAutoHyphens/>
      <w:ind w:left="720" w:right="720" w:hanging="360"/>
    </w:pPr>
    <w:rPr>
      <w:noProof/>
    </w:rPr>
  </w:style>
  <w:style w:type="paragraph" w:styleId="TOC3">
    <w:name w:val="toc 3"/>
    <w:basedOn w:val="Normal"/>
    <w:next w:val="Normal"/>
    <w:semiHidden/>
    <w:rsid w:val="001D08F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D08F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D08F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D08F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D08F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D08F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D08F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D08F3"/>
    <w:pPr>
      <w:tabs>
        <w:tab w:val="right" w:pos="9360"/>
      </w:tabs>
      <w:suppressAutoHyphens/>
    </w:pPr>
  </w:style>
  <w:style w:type="character" w:customStyle="1" w:styleId="EquationCaption">
    <w:name w:val="_Equation Caption"/>
    <w:rsid w:val="001D08F3"/>
  </w:style>
  <w:style w:type="paragraph" w:styleId="Header">
    <w:name w:val="header"/>
    <w:basedOn w:val="Normal"/>
    <w:autoRedefine/>
    <w:rsid w:val="001D08F3"/>
    <w:pPr>
      <w:tabs>
        <w:tab w:val="center" w:pos="4680"/>
        <w:tab w:val="right" w:pos="9360"/>
      </w:tabs>
    </w:pPr>
    <w:rPr>
      <w:b/>
    </w:rPr>
  </w:style>
  <w:style w:type="paragraph" w:styleId="Footer">
    <w:name w:val="footer"/>
    <w:basedOn w:val="Normal"/>
    <w:link w:val="FooterChar"/>
    <w:uiPriority w:val="99"/>
    <w:rsid w:val="001D08F3"/>
    <w:pPr>
      <w:tabs>
        <w:tab w:val="center" w:pos="4320"/>
        <w:tab w:val="right" w:pos="8640"/>
      </w:tabs>
    </w:pPr>
  </w:style>
  <w:style w:type="character" w:styleId="PageNumber">
    <w:name w:val="page number"/>
    <w:basedOn w:val="DefaultParagraphFont"/>
    <w:rsid w:val="001D08F3"/>
  </w:style>
  <w:style w:type="paragraph" w:styleId="BlockText">
    <w:name w:val="Block Text"/>
    <w:basedOn w:val="Normal"/>
    <w:rsid w:val="001D08F3"/>
    <w:pPr>
      <w:spacing w:after="240"/>
      <w:ind w:left="1440" w:right="1440"/>
    </w:pPr>
  </w:style>
  <w:style w:type="paragraph" w:customStyle="1" w:styleId="Paratitle">
    <w:name w:val="Para title"/>
    <w:basedOn w:val="Normal"/>
    <w:rsid w:val="001D08F3"/>
    <w:pPr>
      <w:tabs>
        <w:tab w:val="center" w:pos="9270"/>
      </w:tabs>
      <w:spacing w:after="240"/>
    </w:pPr>
    <w:rPr>
      <w:spacing w:val="-2"/>
    </w:rPr>
  </w:style>
  <w:style w:type="paragraph" w:customStyle="1" w:styleId="Bullet">
    <w:name w:val="Bullet"/>
    <w:basedOn w:val="Normal"/>
    <w:rsid w:val="001D08F3"/>
    <w:pPr>
      <w:tabs>
        <w:tab w:val="left" w:pos="2160"/>
      </w:tabs>
      <w:spacing w:after="220"/>
      <w:ind w:left="2160" w:hanging="720"/>
    </w:pPr>
  </w:style>
  <w:style w:type="paragraph" w:customStyle="1" w:styleId="TableFormat">
    <w:name w:val="TableFormat"/>
    <w:basedOn w:val="Bullet"/>
    <w:rsid w:val="001D08F3"/>
    <w:pPr>
      <w:tabs>
        <w:tab w:val="clear" w:pos="2160"/>
        <w:tab w:val="left" w:pos="5040"/>
      </w:tabs>
      <w:ind w:left="5040" w:hanging="3600"/>
    </w:pPr>
  </w:style>
  <w:style w:type="paragraph" w:customStyle="1" w:styleId="TOCTitle">
    <w:name w:val="TOC Title"/>
    <w:basedOn w:val="Normal"/>
    <w:rsid w:val="001D08F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D08F3"/>
    <w:pPr>
      <w:jc w:val="center"/>
    </w:pPr>
    <w:rPr>
      <w:rFonts w:ascii="Times New Roman Bold" w:hAnsi="Times New Roman Bold"/>
      <w:b/>
      <w:bCs/>
      <w:caps/>
      <w:szCs w:val="22"/>
    </w:rPr>
  </w:style>
  <w:style w:type="character" w:styleId="Hyperlink">
    <w:name w:val="Hyperlink"/>
    <w:rsid w:val="001D08F3"/>
    <w:rPr>
      <w:color w:val="0000FF"/>
      <w:u w:val="single"/>
    </w:rPr>
  </w:style>
  <w:style w:type="character" w:customStyle="1" w:styleId="FooterChar">
    <w:name w:val="Footer Char"/>
    <w:link w:val="Footer"/>
    <w:uiPriority w:val="99"/>
    <w:rsid w:val="001D08F3"/>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