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docProps/app.xml" ContentType="application/vnd.openxmlformats-officedocument.extended-properties+xml"/>
  <Override PartName="/docProps/core.xml" ContentType="application/vnd.openxmlformats-package.core-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footer2.xml" ContentType="application/vnd.openxmlformats-officedocument.wordprocessingml.footer+xml"/>
  <Override PartName="/word/footer3.xml" ContentType="application/vnd.openxmlformats-officedocument.wordprocessingml.footer+xml"/>
  <Override PartName="/word/footnotes.xml" ContentType="application/vnd.openxmlformats-officedocument.wordprocessingml.footnotes+xml"/>
  <Override PartName="/word/header1.xml" ContentType="application/vnd.openxmlformats-officedocument.wordprocessingml.header+xml"/>
  <Override PartName="/word/header2.xml" ContentType="application/vnd.openxmlformats-officedocument.wordprocessingml.head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Override PartName="/word/webSettings.xml" ContentType="application/vnd.openxmlformats-officedocument.wordprocessingml.webSettings+xml"/>
</Types>
</file>

<file path=_rels/.rels><?xml version="1.0" encoding="utf-8" standalone="yes"?><Relationships xmlns="http://schemas.openxmlformats.org/package/2006/relationships"><Relationship Id="rId1" Type="http://schemas.openxmlformats.org/officeDocument/2006/relationships/officeDocument" Target="word/document.xml" /><Relationship Id="rId2" Type="http://schemas.openxmlformats.org/officeDocument/2006/relationships/extended-properties" Target="docProps/app.xml" /><Relationship Id="rId3" Type="http://schemas.openxmlformats.org/package/2006/relationships/metadata/core-properties" Target="docProps/core.xml" /></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 Generated by Aspose.Words for Java 21.5.0 -->
  <w:body>
    <w:p w:rsidR="006A349B" w14:paraId="04DF311B" w14:textId="77777777">
      <w:pPr>
        <w:jc w:val="right"/>
        <w:rPr>
          <w:sz w:val="24"/>
        </w:rPr>
      </w:pPr>
    </w:p>
    <w:p w:rsidR="006A349B" w14:paraId="16C9347F" w14:textId="7405DC9A">
      <w:pPr>
        <w:jc w:val="right"/>
        <w:rPr>
          <w:b/>
          <w:sz w:val="24"/>
        </w:rPr>
      </w:pPr>
      <w:r>
        <w:rPr>
          <w:b/>
          <w:sz w:val="24"/>
        </w:rPr>
        <w:t>DA 21-773</w:t>
      </w:r>
    </w:p>
    <w:p w:rsidR="006A349B" w14:paraId="3FEF9CFE" w14:textId="0ABA5081">
      <w:pPr>
        <w:spacing w:before="60"/>
        <w:jc w:val="right"/>
        <w:rPr>
          <w:b/>
          <w:sz w:val="24"/>
        </w:rPr>
      </w:pPr>
      <w:r>
        <w:rPr>
          <w:b/>
          <w:sz w:val="24"/>
        </w:rPr>
        <w:t xml:space="preserve">Released:  </w:t>
      </w:r>
      <w:r w:rsidR="00A145F9">
        <w:rPr>
          <w:b/>
          <w:sz w:val="24"/>
        </w:rPr>
        <w:t>June 30, 2021</w:t>
      </w:r>
    </w:p>
    <w:p w:rsidR="006A349B" w14:paraId="66668BBC" w14:textId="77777777">
      <w:pPr>
        <w:jc w:val="right"/>
        <w:rPr>
          <w:sz w:val="24"/>
        </w:rPr>
      </w:pPr>
    </w:p>
    <w:p w:rsidR="001B5D77" w:rsidRPr="00B20363" w:rsidP="001B5D77" w14:paraId="61EB255A" w14:textId="77777777">
      <w:pPr>
        <w:spacing w:after="240"/>
        <w:jc w:val="center"/>
        <w:rPr>
          <w:rFonts w:ascii="Times New Roman Bold" w:hAnsi="Times New Roman Bold"/>
          <w:b/>
          <w:caps/>
          <w:sz w:val="24"/>
        </w:rPr>
      </w:pPr>
      <w:r>
        <w:rPr>
          <w:rFonts w:ascii="Times New Roman Bold" w:hAnsi="Times New Roman Bold"/>
          <w:b/>
          <w:caps/>
          <w:sz w:val="24"/>
        </w:rPr>
        <w:t>REMINDER REGARDING OBLIGATIONS TO MAKE TELEVISED EMERGENCY INFORMATION ACCESSIBLE TO VIEWERS WITH DISABILITIES</w:t>
      </w:r>
    </w:p>
    <w:p w:rsidR="006A349B" w14:paraId="3FB5A307" w14:textId="2817F5C6">
      <w:pPr>
        <w:jc w:val="center"/>
        <w:rPr>
          <w:b/>
          <w:sz w:val="24"/>
        </w:rPr>
      </w:pPr>
      <w:r>
        <w:rPr>
          <w:b/>
          <w:sz w:val="24"/>
        </w:rPr>
        <w:t>MB Docket No. 12-107</w:t>
      </w:r>
    </w:p>
    <w:p w:rsidR="001B5D77" w:rsidP="001B5D77" w14:paraId="3A3C6367" w14:textId="587950FB">
      <w:pPr>
        <w:rPr>
          <w:b/>
          <w:sz w:val="24"/>
        </w:rPr>
      </w:pPr>
    </w:p>
    <w:p w:rsidR="001B5D77" w:rsidP="001B5D77" w14:paraId="4978D56C" w14:textId="77777777">
      <w:pPr>
        <w:spacing w:after="120"/>
        <w:ind w:firstLine="720"/>
        <w:rPr>
          <w:szCs w:val="22"/>
        </w:rPr>
      </w:pPr>
      <w:r w:rsidRPr="45A32D89">
        <w:rPr>
          <w:szCs w:val="22"/>
        </w:rPr>
        <w:t>The Federal Communications Commission (FCC or Commission) issues this Public Notice to remind video programming distributors (VPDs)—including broadcasters, cable operators, satellite television services, and “any other distributor of video programming for residential reception that delivers such programming directly to the home and is subject to the jurisdiction of the Commission”</w:t>
      </w:r>
      <w:r>
        <w:rPr>
          <w:rStyle w:val="FootnoteReference"/>
          <w:szCs w:val="22"/>
        </w:rPr>
        <w:footnoteReference w:id="3"/>
      </w:r>
      <w:r w:rsidRPr="45A32D89">
        <w:rPr>
          <w:szCs w:val="22"/>
        </w:rPr>
        <w:t>—of their obligation under section 79.2 of the Commission’s rules to make televised emergency information accessible to persons with disabilities.</w:t>
      </w:r>
      <w:r>
        <w:rPr>
          <w:rStyle w:val="FootnoteReference"/>
          <w:szCs w:val="22"/>
        </w:rPr>
        <w:footnoteReference w:id="4"/>
      </w:r>
      <w:r w:rsidRPr="45A32D89">
        <w:rPr>
          <w:szCs w:val="22"/>
        </w:rPr>
        <w:t xml:space="preserve"> </w:t>
      </w:r>
      <w:r>
        <w:rPr>
          <w:szCs w:val="22"/>
        </w:rPr>
        <w:t xml:space="preserve"> </w:t>
      </w:r>
      <w:r w:rsidRPr="45A32D89">
        <w:rPr>
          <w:szCs w:val="22"/>
        </w:rPr>
        <w:t>This Public Notice also provides information for consumers on how to file complaints for noncompliance with this obligation.</w:t>
      </w:r>
      <w:r>
        <w:rPr>
          <w:rStyle w:val="FootnoteReference"/>
          <w:szCs w:val="22"/>
        </w:rPr>
        <w:footnoteReference w:id="5"/>
      </w:r>
      <w:r w:rsidRPr="45A32D89">
        <w:rPr>
          <w:szCs w:val="22"/>
        </w:rPr>
        <w:t xml:space="preserve"> </w:t>
      </w:r>
    </w:p>
    <w:p w:rsidR="001B5D77" w:rsidP="001B5D77" w14:paraId="3BA07CA8" w14:textId="77777777">
      <w:pPr>
        <w:widowControl/>
        <w:spacing w:after="120"/>
        <w:ind w:firstLine="720"/>
      </w:pPr>
      <w:r w:rsidRPr="08903156">
        <w:rPr>
          <w:i/>
        </w:rPr>
        <w:t>Background</w:t>
      </w:r>
      <w:r w:rsidRPr="08903156">
        <w:t>.  Under section 79.2, emergency information is defined as “[</w:t>
      </w:r>
      <w:r w:rsidRPr="08903156">
        <w:t>i</w:t>
      </w:r>
      <w:r w:rsidRPr="45A32D89">
        <w:rPr>
          <w:szCs w:val="22"/>
        </w:rPr>
        <w:t>]</w:t>
      </w:r>
      <w:r w:rsidRPr="08903156">
        <w:t>nformation</w:t>
      </w:r>
      <w:r w:rsidRPr="08903156">
        <w:t xml:space="preserve">, about a current emergency, that is intended to further the protection of life, health, safety, and property, </w:t>
      </w:r>
      <w:r w:rsidRPr="08903156">
        <w:rPr>
          <w:i/>
        </w:rPr>
        <w:t>i.e.</w:t>
      </w:r>
      <w:r w:rsidRPr="08903156">
        <w:t>, critical details regarding the emergency and how to respond to the emergency.”</w:t>
      </w:r>
      <w:r>
        <w:rPr>
          <w:rStyle w:val="FootnoteReference"/>
          <w:szCs w:val="22"/>
        </w:rPr>
        <w:footnoteReference w:id="6"/>
      </w:r>
      <w:r w:rsidRPr="08903156">
        <w:t xml:space="preserve"> </w:t>
      </w:r>
      <w:r>
        <w:t xml:space="preserve"> </w:t>
      </w:r>
      <w:r w:rsidRPr="08903156">
        <w:t xml:space="preserve">Examples of the types of emergencies covered by the rule include </w:t>
      </w:r>
      <w:r>
        <w:t xml:space="preserve">pandemics, </w:t>
      </w:r>
      <w:r w:rsidRPr="08903156">
        <w:t>tornadoes, hurricanes, floods, tidal waves, earthquakes, icing conditions, heavy snows, widespread fires, discharge of toxic gases, widespread power failures, industrial explosions, civil disorders, school closings and changes in school bus schedules resulting from such conditions, and warnings and watches of impending changes in weather.</w:t>
      </w:r>
      <w:r>
        <w:rPr>
          <w:rStyle w:val="FootnoteReference"/>
          <w:szCs w:val="22"/>
        </w:rPr>
        <w:footnoteReference w:id="7"/>
      </w:r>
      <w:r w:rsidRPr="08903156">
        <w:t xml:space="preserve"> </w:t>
      </w:r>
      <w:r>
        <w:t xml:space="preserve"> </w:t>
      </w:r>
      <w:r w:rsidRPr="08903156">
        <w:t>Critical details include, but are not limited to, “specific details regarding the areas that will be affected by the emergency, evacuation orders, detailed descriptions of areas to be evacuated, specific evacuation routes, approved shelters or the way to take shelter in one’s home, instructions on how to secure personal property, road closures, and how to obtain relief assistance.”</w:t>
      </w:r>
      <w:r>
        <w:rPr>
          <w:rStyle w:val="FootnoteReference"/>
          <w:szCs w:val="22"/>
        </w:rPr>
        <w:footnoteReference w:id="8"/>
      </w:r>
      <w:r>
        <w:rPr>
          <w:szCs w:val="22"/>
        </w:rPr>
        <w:t xml:space="preserve">  </w:t>
      </w:r>
    </w:p>
    <w:p w:rsidR="001B5D77" w:rsidP="005B6618" w14:paraId="6C7B71AD" w14:textId="65326AB7">
      <w:pPr>
        <w:spacing w:after="120"/>
        <w:ind w:firstLine="720"/>
      </w:pPr>
      <w:r>
        <w:rPr>
          <w:rFonts w:cs="Courier New"/>
          <w:szCs w:val="22"/>
        </w:rPr>
        <w:t>While the rule applies to emergency information primarily intended for distribution to an audience in the geographic area in which the emergency is occurring, it also may apply to emergency information provided during programming that is distributed to an area</w:t>
      </w:r>
      <w:r w:rsidRPr="00C1530B">
        <w:rPr>
          <w:rFonts w:cs="Courier New"/>
          <w:szCs w:val="22"/>
        </w:rPr>
        <w:t xml:space="preserve"> outside </w:t>
      </w:r>
      <w:r>
        <w:rPr>
          <w:rFonts w:cs="Courier New"/>
          <w:szCs w:val="22"/>
        </w:rPr>
        <w:t>the</w:t>
      </w:r>
      <w:r w:rsidRPr="00C1530B">
        <w:rPr>
          <w:rFonts w:cs="Courier New"/>
          <w:szCs w:val="22"/>
        </w:rPr>
        <w:t xml:space="preserve"> area immediately affected by an emergency.</w:t>
      </w:r>
      <w:r w:rsidRPr="4FCA1A33">
        <w:t xml:space="preserve"> </w:t>
      </w:r>
      <w:r>
        <w:t xml:space="preserve"> </w:t>
      </w:r>
      <w:r w:rsidRPr="4FCA1A33">
        <w:t>This is especially likely to happen when a large-scale disaster primarily affects one region but has an impact on outlying areas</w:t>
      </w:r>
      <w:r>
        <w:rPr>
          <w:szCs w:val="22"/>
        </w:rPr>
        <w:t>.</w:t>
      </w:r>
      <w:r>
        <w:rPr>
          <w:rStyle w:val="FootnoteReference"/>
          <w:szCs w:val="22"/>
        </w:rPr>
        <w:footnoteReference w:id="9"/>
      </w:r>
      <w:r w:rsidR="005B6618">
        <w:t xml:space="preserve">  </w:t>
      </w:r>
      <w:r>
        <w:t xml:space="preserve">Furthermore, details about an ongoing emergency must continue to be accessible to individuals with disabilities in the aftermath of an emergency to ensure that people living in the affected communities have up-to-date information, when needed, to effectively respond to the event in a manner that can protect their life, health, safety, and property. </w:t>
      </w:r>
      <w:r w:rsidR="00E930E4">
        <w:t xml:space="preserve"> </w:t>
      </w:r>
      <w:r>
        <w:t>In 2020,</w:t>
      </w:r>
      <w:r w:rsidR="00287B04">
        <w:t xml:space="preserve"> </w:t>
      </w:r>
      <w:r w:rsidR="00216B7A">
        <w:t xml:space="preserve">in addition to </w:t>
      </w:r>
      <w:r w:rsidR="00287B04">
        <w:t xml:space="preserve">the </w:t>
      </w:r>
      <w:r w:rsidRPr="08903156" w:rsidR="00287B04">
        <w:t>COVID-19 pandemic</w:t>
      </w:r>
      <w:r w:rsidR="00287B04">
        <w:t>,</w:t>
      </w:r>
      <w:r>
        <w:t xml:space="preserve"> the United States experienced a record-breaking hurricane season and a series of devastating wildfires.</w:t>
      </w:r>
      <w:r>
        <w:rPr>
          <w:rStyle w:val="FootnoteReference"/>
        </w:rPr>
        <w:footnoteReference w:id="10"/>
      </w:r>
      <w:r w:rsidR="008E749A">
        <w:t xml:space="preserve"> </w:t>
      </w:r>
      <w:r>
        <w:t xml:space="preserve"> These events illustrate the broad variety of </w:t>
      </w:r>
      <w:r w:rsidR="00216B7A">
        <w:t xml:space="preserve">potential </w:t>
      </w:r>
      <w:r>
        <w:t>emergencies that this rule covers and demonstrate the importance of ensuring emergency information related to these events is accessible to affected individuals with disabilities.</w:t>
      </w:r>
      <w:r w:rsidR="00E930E4">
        <w:t xml:space="preserve"> </w:t>
      </w:r>
      <w:r>
        <w:t xml:space="preserve"> </w:t>
      </w:r>
      <w:r w:rsidR="00E930E4">
        <w:t xml:space="preserve"> </w:t>
      </w:r>
      <w:r>
        <w:t xml:space="preserve"> </w:t>
      </w:r>
    </w:p>
    <w:p w:rsidR="001B5D77" w:rsidP="001B5D77" w14:paraId="56C4D842" w14:textId="4E873AA2">
      <w:pPr>
        <w:widowControl/>
        <w:spacing w:after="120"/>
        <w:ind w:firstLine="720"/>
        <w:rPr>
          <w:szCs w:val="22"/>
        </w:rPr>
      </w:pPr>
      <w:r w:rsidRPr="45A32D89">
        <w:rPr>
          <w:i/>
          <w:iCs/>
          <w:szCs w:val="22"/>
        </w:rPr>
        <w:t>Individuals who are Blind or Visually Impaired</w:t>
      </w:r>
      <w:r w:rsidRPr="45A32D89">
        <w:rPr>
          <w:szCs w:val="22"/>
        </w:rPr>
        <w:t>.  To ensure access to emergency information by persons who are blind or visually impaired, emergency information provided in the video portion of a regularly scheduled newscast or a newscast that interrupts regular programming must be made accessible by aurally describing the emergency information in the main audio portion of the programming.</w:t>
      </w:r>
      <w:r>
        <w:rPr>
          <w:rStyle w:val="FootnoteReference"/>
          <w:szCs w:val="22"/>
        </w:rPr>
        <w:footnoteReference w:id="11"/>
      </w:r>
      <w:r w:rsidRPr="45A32D89">
        <w:rPr>
          <w:szCs w:val="22"/>
        </w:rPr>
        <w:t xml:space="preserve"> </w:t>
      </w:r>
      <w:r>
        <w:rPr>
          <w:szCs w:val="22"/>
        </w:rPr>
        <w:t xml:space="preserve"> </w:t>
      </w:r>
      <w:r w:rsidRPr="45A32D89">
        <w:rPr>
          <w:szCs w:val="22"/>
        </w:rPr>
        <w:t>When emergency information is conveyed visually during programming other than newscasts (e.g., through “crawling” or “scrolling” text during regular programming), an aural tone on the main audio stream must accompany the visual information.</w:t>
      </w:r>
      <w:r>
        <w:rPr>
          <w:rStyle w:val="FootnoteReference"/>
          <w:szCs w:val="22"/>
        </w:rPr>
        <w:footnoteReference w:id="12"/>
      </w:r>
      <w:r w:rsidRPr="45A32D89">
        <w:rPr>
          <w:szCs w:val="22"/>
        </w:rPr>
        <w:t xml:space="preserve"> </w:t>
      </w:r>
      <w:r>
        <w:rPr>
          <w:szCs w:val="22"/>
        </w:rPr>
        <w:t xml:space="preserve"> </w:t>
      </w:r>
      <w:r w:rsidRPr="45A32D89">
        <w:rPr>
          <w:szCs w:val="22"/>
        </w:rPr>
        <w:t>Additionally, such visual emergency information must be conveyed aurally in full at least twice through a secondary audio stream, preceded by an aural tone on that stream.</w:t>
      </w:r>
      <w:r>
        <w:rPr>
          <w:rStyle w:val="FootnoteReference"/>
          <w:szCs w:val="22"/>
        </w:rPr>
        <w:footnoteReference w:id="13"/>
      </w:r>
      <w:r w:rsidRPr="45A32D89">
        <w:rPr>
          <w:szCs w:val="22"/>
        </w:rPr>
        <w:t xml:space="preserve"> Aural emergency information must supersede all other programming on the secondary audio stream, including video description, foreign language translation, or duplication of the main audio stream.</w:t>
      </w:r>
      <w:r>
        <w:rPr>
          <w:rStyle w:val="FootnoteReference"/>
          <w:szCs w:val="22"/>
        </w:rPr>
        <w:footnoteReference w:id="14"/>
      </w:r>
      <w:r w:rsidRPr="45A32D89">
        <w:rPr>
          <w:szCs w:val="22"/>
        </w:rPr>
        <w:t xml:space="preserve"> Finally, multichannel video programming distributors (MVPDs) must ensure that any application or plug-in that they provide to consumers to access linear programming on second screen devices (e.g., tablets, smartphones, laptops, and similar devices) over their networks as part of their MVPD services is capable of passing through an aural representation of emergency information (including the aural tone) on a secondary audio stream.</w:t>
      </w:r>
      <w:r>
        <w:rPr>
          <w:rStyle w:val="FootnoteReference"/>
          <w:szCs w:val="22"/>
        </w:rPr>
        <w:footnoteReference w:id="15"/>
      </w:r>
    </w:p>
    <w:p w:rsidR="001B5D77" w:rsidP="001B5D77" w14:paraId="58A930B8" w14:textId="77777777">
      <w:pPr>
        <w:spacing w:after="120"/>
        <w:ind w:firstLine="720"/>
      </w:pPr>
      <w:r w:rsidRPr="4FCA1A33">
        <w:rPr>
          <w:i/>
          <w:iCs/>
        </w:rPr>
        <w:t>Individuals who are Deaf or Hard of Hearing</w:t>
      </w:r>
      <w:r w:rsidRPr="4FCA1A33">
        <w:t>.  Emergency information provided in the audio portion of programming also must be accessible to persons who are deaf or hard of hearing through closed captioning or</w:t>
      </w:r>
      <w:r w:rsidRPr="4FCA1A33">
        <w:rPr>
          <w:i/>
          <w:iCs/>
        </w:rPr>
        <w:t xml:space="preserve"> </w:t>
      </w:r>
      <w:r w:rsidRPr="4FCA1A33">
        <w:t>other methods of visual presentation, including open captioning, crawls or scrolls that appear on the screen.</w:t>
      </w:r>
      <w:r>
        <w:rPr>
          <w:rStyle w:val="FootnoteReference"/>
          <w:szCs w:val="22"/>
        </w:rPr>
        <w:footnoteReference w:id="16"/>
      </w:r>
      <w:r w:rsidRPr="4FCA1A33">
        <w:t xml:space="preserve"> </w:t>
      </w:r>
      <w:r>
        <w:t xml:space="preserve"> </w:t>
      </w:r>
      <w:r w:rsidRPr="4FCA1A33">
        <w:t xml:space="preserve">Visual presentation of emergency information may not block any closed captioning, and closed captioning may not block any emergency information provided by crawls, scrolls, </w:t>
      </w:r>
      <w:r w:rsidRPr="4FCA1A33">
        <w:t>or other visual means.</w:t>
      </w:r>
      <w:r>
        <w:rPr>
          <w:rStyle w:val="FootnoteReference"/>
          <w:szCs w:val="22"/>
        </w:rPr>
        <w:footnoteReference w:id="17"/>
      </w:r>
    </w:p>
    <w:p w:rsidR="001B5D77" w:rsidP="001B5D77" w14:paraId="6DBEED64" w14:textId="77777777">
      <w:pPr>
        <w:widowControl/>
        <w:spacing w:after="120"/>
        <w:ind w:firstLine="720"/>
      </w:pPr>
      <w:r>
        <w:t xml:space="preserve">VPDs </w:t>
      </w:r>
      <w:r w:rsidRPr="4FCA1A33">
        <w:t>that are not permitted to rely on the electronic newsroom technique (ENT) to caption live programming must provide closed captioning for emergency information presented during regularly scheduled newscasts and newscasts that interrupt regular programming.</w:t>
      </w:r>
      <w:r>
        <w:rPr>
          <w:rStyle w:val="FootnoteReference"/>
          <w:szCs w:val="22"/>
        </w:rPr>
        <w:footnoteReference w:id="18"/>
      </w:r>
      <w:r w:rsidRPr="4FCA1A33">
        <w:t xml:space="preserve"> </w:t>
      </w:r>
      <w:r>
        <w:t xml:space="preserve"> </w:t>
      </w:r>
      <w:r w:rsidRPr="4FCA1A33">
        <w:t>VPDs should take steps to establish internal protocols to obtain closed captioning resources quickly in the event of an emergency.</w:t>
      </w:r>
      <w:r>
        <w:rPr>
          <w:rStyle w:val="FootnoteReference"/>
          <w:szCs w:val="22"/>
        </w:rPr>
        <w:footnoteReference w:id="19"/>
      </w:r>
      <w:r w:rsidRPr="4FCA1A33">
        <w:t xml:space="preserve"> We also emphasize that, when closed captioning services are not provided, VPDs must make emergency information accessible by some other visual presentation method.</w:t>
      </w:r>
      <w:r>
        <w:rPr>
          <w:rStyle w:val="FootnoteReference"/>
          <w:szCs w:val="22"/>
        </w:rPr>
        <w:footnoteReference w:id="20"/>
      </w:r>
      <w:r w:rsidRPr="4FCA1A33">
        <w:t xml:space="preserve"> </w:t>
      </w:r>
      <w:r>
        <w:t xml:space="preserve"> </w:t>
      </w:r>
      <w:r w:rsidRPr="4FCA1A33">
        <w:t>Likewise, VPDs that are permitted to use the ENT method to create captions for their live programming are reminded that, because the ENT method does not automatically caption non-scripted news, they must make the emergency information accessible by some other form of visual presentation.</w:t>
      </w:r>
      <w:r>
        <w:rPr>
          <w:rStyle w:val="FootnoteReference"/>
          <w:szCs w:val="22"/>
        </w:rPr>
        <w:footnoteReference w:id="21"/>
      </w:r>
    </w:p>
    <w:p w:rsidR="001B5D77" w:rsidRPr="00295C73" w:rsidP="001B5D77" w14:paraId="50A5FA68" w14:textId="77777777">
      <w:pPr>
        <w:widowControl/>
        <w:spacing w:after="120"/>
        <w:ind w:firstLine="720"/>
        <w:rPr>
          <w:szCs w:val="22"/>
        </w:rPr>
      </w:pPr>
      <w:r w:rsidRPr="45A32D89">
        <w:rPr>
          <w:i/>
          <w:iCs/>
          <w:szCs w:val="22"/>
        </w:rPr>
        <w:t>Individuals with Cognitive Disabilities</w:t>
      </w:r>
      <w:r w:rsidRPr="45A32D89">
        <w:rPr>
          <w:szCs w:val="22"/>
        </w:rPr>
        <w:t>.  While not required by the Commission’s rules, VPDs and video programmers are encouraged to make emergency information accessible to people with cognitive disabilities, such as through using plain language and pictorial information.</w:t>
      </w:r>
      <w:r>
        <w:rPr>
          <w:rStyle w:val="FootnoteReference"/>
          <w:szCs w:val="22"/>
        </w:rPr>
        <w:footnoteReference w:id="22"/>
      </w:r>
    </w:p>
    <w:p w:rsidR="001B5D77" w:rsidP="001B5D77" w14:paraId="0A8442F9" w14:textId="77777777">
      <w:pPr>
        <w:spacing w:after="120"/>
        <w:rPr>
          <w:b/>
          <w:bCs/>
          <w:szCs w:val="22"/>
        </w:rPr>
      </w:pPr>
      <w:r w:rsidRPr="45A32D89">
        <w:rPr>
          <w:b/>
          <w:bCs/>
          <w:szCs w:val="22"/>
        </w:rPr>
        <w:t>Consumer Complaints and Enforcement</w:t>
      </w:r>
    </w:p>
    <w:p w:rsidR="001B5D77" w:rsidP="001B5D77" w14:paraId="0F0A001C" w14:textId="77777777">
      <w:pPr>
        <w:spacing w:after="120"/>
        <w:ind w:firstLine="720"/>
        <w:rPr>
          <w:szCs w:val="22"/>
        </w:rPr>
      </w:pPr>
      <w:r w:rsidRPr="45A32D89">
        <w:rPr>
          <w:szCs w:val="22"/>
        </w:rPr>
        <w:t xml:space="preserve">The Commission will continue to monitor complaints alleging violations of the emergency information rules and will review them for possible enforcement action.  Consumers with a complaint </w:t>
      </w:r>
      <w:r>
        <w:rPr>
          <w:szCs w:val="22"/>
        </w:rPr>
        <w:t xml:space="preserve">or </w:t>
      </w:r>
      <w:r>
        <w:rPr>
          <w:szCs w:val="22"/>
        </w:rPr>
        <w:t xml:space="preserve">request for assistance </w:t>
      </w:r>
      <w:r w:rsidRPr="45A32D89">
        <w:rPr>
          <w:szCs w:val="22"/>
        </w:rPr>
        <w:t xml:space="preserve">regarding the inaccessibility of emergency information may </w:t>
      </w:r>
      <w:r>
        <w:rPr>
          <w:szCs w:val="22"/>
        </w:rPr>
        <w:t>reach</w:t>
      </w:r>
      <w:r w:rsidRPr="45A32D89">
        <w:rPr>
          <w:szCs w:val="22"/>
        </w:rPr>
        <w:t xml:space="preserve"> the FCC using the following methods:</w:t>
      </w:r>
    </w:p>
    <w:p w:rsidR="001B5D77" w:rsidP="001B5D77" w14:paraId="0DB2E7C0" w14:textId="77777777">
      <w:pPr>
        <w:pStyle w:val="ListParagraph"/>
        <w:numPr>
          <w:ilvl w:val="0"/>
          <w:numId w:val="7"/>
        </w:numPr>
        <w:ind w:left="720"/>
        <w:rPr>
          <w:szCs w:val="22"/>
        </w:rPr>
      </w:pPr>
      <w:r w:rsidRPr="00354AFA">
        <w:rPr>
          <w:szCs w:val="22"/>
        </w:rPr>
        <w:t xml:space="preserve">Online Complaint Form:  </w:t>
      </w:r>
      <w:hyperlink r:id="rId5" w:history="1">
        <w:r w:rsidRPr="00354AFA">
          <w:rPr>
            <w:rStyle w:val="Hyperlink"/>
            <w:szCs w:val="22"/>
          </w:rPr>
          <w:t>www.fcc.gov/accessibilitycomplaints</w:t>
        </w:r>
      </w:hyperlink>
    </w:p>
    <w:p w:rsidR="001B5D77" w:rsidP="001B5D77" w14:paraId="23715F5C" w14:textId="77777777">
      <w:pPr>
        <w:pStyle w:val="ListParagraph"/>
        <w:numPr>
          <w:ilvl w:val="0"/>
          <w:numId w:val="7"/>
        </w:numPr>
        <w:ind w:left="720"/>
        <w:rPr>
          <w:szCs w:val="22"/>
        </w:rPr>
      </w:pPr>
      <w:r w:rsidRPr="00601CBE">
        <w:rPr>
          <w:szCs w:val="22"/>
        </w:rPr>
        <w:t>Phone: 1-888-225-5322 (voice); 1-844-432-2275 (videophone</w:t>
      </w:r>
      <w:r>
        <w:rPr>
          <w:szCs w:val="22"/>
        </w:rPr>
        <w:t xml:space="preserve"> for ASL users)</w:t>
      </w:r>
    </w:p>
    <w:p w:rsidR="001B5D77" w:rsidP="001B5D77" w14:paraId="4F63FF26" w14:textId="77777777">
      <w:pPr>
        <w:pStyle w:val="ListParagraph"/>
        <w:numPr>
          <w:ilvl w:val="0"/>
          <w:numId w:val="7"/>
        </w:numPr>
        <w:ind w:left="720"/>
        <w:rPr>
          <w:szCs w:val="22"/>
        </w:rPr>
      </w:pPr>
      <w:r>
        <w:rPr>
          <w:szCs w:val="22"/>
        </w:rPr>
        <w:t xml:space="preserve">E-Mail:  </w:t>
      </w:r>
      <w:hyperlink r:id="rId6" w:history="1">
        <w:r w:rsidRPr="00BC720B">
          <w:rPr>
            <w:rStyle w:val="Hyperlink"/>
            <w:szCs w:val="22"/>
          </w:rPr>
          <w:t>dro@fcc.gov</w:t>
        </w:r>
      </w:hyperlink>
    </w:p>
    <w:p w:rsidR="001B5D77" w:rsidP="001B5D77" w14:paraId="4A402D85" w14:textId="77777777">
      <w:pPr>
        <w:pStyle w:val="ListParagraph"/>
        <w:numPr>
          <w:ilvl w:val="0"/>
          <w:numId w:val="7"/>
        </w:numPr>
        <w:ind w:left="720"/>
        <w:rPr>
          <w:szCs w:val="22"/>
        </w:rPr>
      </w:pPr>
      <w:r>
        <w:rPr>
          <w:szCs w:val="22"/>
        </w:rPr>
        <w:t xml:space="preserve">U.S. Mail:  </w:t>
      </w:r>
    </w:p>
    <w:p w:rsidR="001B5D77" w:rsidP="001B5D77" w14:paraId="1B1F238E" w14:textId="0DE32726">
      <w:pPr>
        <w:ind w:left="1440"/>
        <w:rPr>
          <w:szCs w:val="22"/>
        </w:rPr>
      </w:pPr>
      <w:r w:rsidRPr="45A32D89">
        <w:rPr>
          <w:szCs w:val="22"/>
        </w:rPr>
        <w:t>Federal Communications Commission</w:t>
      </w:r>
      <w:r>
        <w:rPr>
          <w:szCs w:val="22"/>
        </w:rPr>
        <w:t xml:space="preserve">, </w:t>
      </w:r>
      <w:r>
        <w:br/>
      </w:r>
      <w:r w:rsidRPr="45A32D89">
        <w:rPr>
          <w:szCs w:val="22"/>
        </w:rPr>
        <w:t>Consumer and Governmental Affairs Bureau</w:t>
      </w:r>
      <w:r>
        <w:br/>
      </w:r>
      <w:r>
        <w:rPr>
          <w:szCs w:val="22"/>
        </w:rPr>
        <w:t>Disability Rights Office</w:t>
      </w:r>
      <w:r>
        <w:br/>
      </w:r>
      <w:r w:rsidRPr="45A32D89">
        <w:rPr>
          <w:szCs w:val="22"/>
        </w:rPr>
        <w:t xml:space="preserve">45 </w:t>
      </w:r>
      <w:r w:rsidR="00CC1B5C">
        <w:rPr>
          <w:szCs w:val="22"/>
        </w:rPr>
        <w:t>L</w:t>
      </w:r>
      <w:r w:rsidRPr="45A32D89" w:rsidR="00CC1B5C">
        <w:rPr>
          <w:szCs w:val="22"/>
        </w:rPr>
        <w:t xml:space="preserve"> </w:t>
      </w:r>
      <w:r w:rsidRPr="45A32D89">
        <w:rPr>
          <w:szCs w:val="22"/>
        </w:rPr>
        <w:t xml:space="preserve">Street, </w:t>
      </w:r>
      <w:r w:rsidR="00CC1B5C">
        <w:rPr>
          <w:szCs w:val="22"/>
        </w:rPr>
        <w:t>NE</w:t>
      </w:r>
      <w:r>
        <w:br/>
      </w:r>
      <w:r w:rsidRPr="45A32D89">
        <w:rPr>
          <w:szCs w:val="22"/>
        </w:rPr>
        <w:t>Washington, DC 20554</w:t>
      </w:r>
    </w:p>
    <w:p w:rsidR="001B5D77" w:rsidP="001B5D77" w14:paraId="14A3C911" w14:textId="77777777">
      <w:pPr>
        <w:rPr>
          <w:szCs w:val="22"/>
        </w:rPr>
      </w:pPr>
    </w:p>
    <w:p w:rsidR="001B5D77" w:rsidP="001B5D77" w14:paraId="6A6559C7" w14:textId="77777777">
      <w:pPr>
        <w:spacing w:after="120"/>
        <w:ind w:firstLine="720"/>
        <w:rPr>
          <w:szCs w:val="22"/>
        </w:rPr>
      </w:pPr>
      <w:r w:rsidRPr="45A32D89">
        <w:rPr>
          <w:szCs w:val="22"/>
        </w:rPr>
        <w:t>To request this Public Notice</w:t>
      </w:r>
      <w:r w:rsidRPr="45A32D89">
        <w:rPr>
          <w:i/>
          <w:iCs/>
          <w:szCs w:val="22"/>
        </w:rPr>
        <w:t xml:space="preserve"> </w:t>
      </w:r>
      <w:r w:rsidRPr="45A32D89">
        <w:rPr>
          <w:szCs w:val="22"/>
        </w:rPr>
        <w:t xml:space="preserve">or any other materials in accessible formats for people with disabilities (Braille, large print, electronic files, audio format), send an e-mail to </w:t>
      </w:r>
      <w:hyperlink r:id="rId7" w:history="1">
        <w:r w:rsidRPr="00842081">
          <w:rPr>
            <w:rStyle w:val="Hyperlink"/>
            <w:szCs w:val="22"/>
          </w:rPr>
          <w:t>fcc504@fcc.gov</w:t>
        </w:r>
      </w:hyperlink>
      <w:r>
        <w:rPr>
          <w:szCs w:val="22"/>
        </w:rPr>
        <w:t xml:space="preserve"> </w:t>
      </w:r>
      <w:r w:rsidRPr="45A32D89">
        <w:rPr>
          <w:szCs w:val="22"/>
        </w:rPr>
        <w:t xml:space="preserve">or call the Bureau at 202-418-0530 (voice). </w:t>
      </w:r>
    </w:p>
    <w:p w:rsidR="001B5D77" w:rsidRPr="00AA0B06" w:rsidP="001B5D77" w14:paraId="4D3227DF" w14:textId="2E40281C">
      <w:pPr>
        <w:spacing w:after="120"/>
        <w:ind w:firstLine="720"/>
        <w:rPr>
          <w:szCs w:val="22"/>
        </w:rPr>
      </w:pPr>
      <w:r>
        <w:rPr>
          <w:szCs w:val="22"/>
        </w:rPr>
        <w:t>General</w:t>
      </w:r>
      <w:r w:rsidRPr="00AA0B06">
        <w:rPr>
          <w:szCs w:val="22"/>
        </w:rPr>
        <w:t xml:space="preserve"> information about access to televised emergency information is available online at:   </w:t>
      </w:r>
      <w:hyperlink r:id="rId8" w:history="1">
        <w:r w:rsidRPr="00AA0B06">
          <w:rPr>
            <w:rStyle w:val="Hyperlink"/>
            <w:szCs w:val="22"/>
          </w:rPr>
          <w:t>https://www.fcc.gov/general/access-emergency-information-television</w:t>
        </w:r>
      </w:hyperlink>
      <w:r w:rsidRPr="00AA0B06">
        <w:rPr>
          <w:szCs w:val="22"/>
        </w:rPr>
        <w:t xml:space="preserve">. </w:t>
      </w:r>
      <w:r>
        <w:rPr>
          <w:szCs w:val="22"/>
        </w:rPr>
        <w:t xml:space="preserve"> To view this information via an</w:t>
      </w:r>
      <w:r w:rsidRPr="00AA0B06">
        <w:rPr>
          <w:szCs w:val="22"/>
        </w:rPr>
        <w:t xml:space="preserve"> ASL</w:t>
      </w:r>
      <w:r>
        <w:rPr>
          <w:szCs w:val="22"/>
        </w:rPr>
        <w:t xml:space="preserve"> video:  </w:t>
      </w:r>
      <w:hyperlink r:id="rId9" w:history="1">
        <w:r w:rsidRPr="00BC720B">
          <w:rPr>
            <w:rStyle w:val="Hyperlink"/>
            <w:szCs w:val="22"/>
          </w:rPr>
          <w:t>www.fcc.gov/TVEmergencyAccessASL</w:t>
        </w:r>
      </w:hyperlink>
      <w:r w:rsidRPr="00AA0B06">
        <w:rPr>
          <w:szCs w:val="22"/>
        </w:rPr>
        <w:t xml:space="preserve">. </w:t>
      </w:r>
      <w:r>
        <w:rPr>
          <w:szCs w:val="22"/>
        </w:rPr>
        <w:t xml:space="preserve"> </w:t>
      </w:r>
      <w:r w:rsidRPr="00AA0B06">
        <w:rPr>
          <w:szCs w:val="22"/>
        </w:rPr>
        <w:t xml:space="preserve">For specific questions, contact:  </w:t>
      </w:r>
      <w:r w:rsidR="00F75EAD">
        <w:rPr>
          <w:szCs w:val="22"/>
        </w:rPr>
        <w:t xml:space="preserve">Bill Wallace, </w:t>
      </w:r>
      <w:r w:rsidRPr="00AA0B06">
        <w:rPr>
          <w:szCs w:val="22"/>
        </w:rPr>
        <w:t xml:space="preserve">Attorney Advisor, Disability Rights Office, </w:t>
      </w:r>
      <w:r w:rsidR="00F75EAD">
        <w:rPr>
          <w:szCs w:val="22"/>
        </w:rPr>
        <w:t>202-418-2716, William.Wallace@fcc.gov</w:t>
      </w:r>
      <w:r w:rsidRPr="00AA0B06">
        <w:rPr>
          <w:szCs w:val="22"/>
        </w:rPr>
        <w:t>.</w:t>
      </w:r>
    </w:p>
    <w:p w:rsidR="001B5D77" w:rsidP="001B5D77" w14:paraId="1830642A" w14:textId="77777777">
      <w:pPr>
        <w:spacing w:after="120"/>
        <w:ind w:firstLine="720"/>
        <w:rPr>
          <w:szCs w:val="22"/>
        </w:rPr>
      </w:pPr>
    </w:p>
    <w:p w:rsidR="001B5D77" w:rsidP="001B5D77" w14:paraId="137F640C" w14:textId="77777777">
      <w:pPr>
        <w:ind w:firstLine="720"/>
        <w:rPr>
          <w:szCs w:val="22"/>
        </w:rPr>
      </w:pPr>
    </w:p>
    <w:p w:rsidR="001B5D77" w:rsidP="001B5D77" w14:paraId="192DCA19" w14:textId="77777777">
      <w:pPr>
        <w:rPr>
          <w:sz w:val="24"/>
        </w:rPr>
      </w:pPr>
    </w:p>
    <w:p w:rsidR="001B5D77" w:rsidRPr="00930ECF" w:rsidP="001B5D77" w14:paraId="0CAEDB3B" w14:textId="77777777">
      <w:pPr>
        <w:rPr>
          <w:sz w:val="24"/>
        </w:rPr>
      </w:pPr>
    </w:p>
    <w:p w:rsidR="001B5D77" w:rsidRPr="00930ECF" w:rsidP="001B5D77" w14:paraId="2B1D181D" w14:textId="77777777">
      <w:pPr>
        <w:rPr>
          <w:sz w:val="24"/>
        </w:rPr>
      </w:pPr>
    </w:p>
    <w:p w:rsidR="001B5D77" w:rsidP="001B5D77" w14:paraId="1632D46C" w14:textId="77777777">
      <w:pPr>
        <w:rPr>
          <w:sz w:val="24"/>
        </w:rPr>
      </w:pPr>
    </w:p>
    <w:p w:rsidR="001B5D77" w:rsidRPr="00930ECF" w:rsidP="001B5D77" w14:paraId="370BFC71" w14:textId="77777777">
      <w:pPr>
        <w:rPr>
          <w:sz w:val="24"/>
        </w:rPr>
      </w:pPr>
    </w:p>
    <w:p w:rsidR="001B5D77" w:rsidP="001B5D77" w14:paraId="4124A093" w14:textId="77777777">
      <w:pPr>
        <w:rPr>
          <w:b/>
          <w:sz w:val="24"/>
        </w:rPr>
      </w:pPr>
    </w:p>
    <w:p w:rsidR="006A349B" w14:paraId="363C2ADF" w14:textId="77777777">
      <w:bookmarkStart w:id="0" w:name="TOChere"/>
    </w:p>
    <w:p w:rsidR="006A349B" w14:paraId="3D4572FF" w14:textId="77777777"/>
    <w:p w:rsidR="006A349B" w14:paraId="2C596D24" w14:textId="77777777"/>
    <w:bookmarkEnd w:id="0"/>
    <w:p w:rsidR="001B5D77" w14:paraId="7DBCC302" w14:textId="77777777"/>
    <w:sectPr>
      <w:headerReference w:type="default" r:id="rId10"/>
      <w:footerReference w:type="even" r:id="rId11"/>
      <w:footerReference w:type="default" r:id="rId12"/>
      <w:headerReference w:type="first" r:id="rId13"/>
      <w:footerReference w:type="first" r:id="rId14"/>
      <w:endnotePr>
        <w:numFmt w:val="decimal"/>
      </w:endnotePr>
      <w:pgSz w:w="12240" w:h="15840"/>
      <w:pgMar w:top="1440" w:right="1440" w:bottom="720" w:left="1440" w:header="630" w:footer="720" w:gutter="0"/>
      <w:pgNumType w:start="1"/>
      <w:cols w:space="720"/>
      <w:noEndnote/>
      <w:titlePg/>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imes New Roman Bold">
    <w:altName w:val="Times New Roman"/>
    <w:panose1 w:val="02020803070505020304"/>
    <w:charset w:val="00"/>
    <w:family w:val="roman"/>
    <w:notTrueType/>
    <w:pitch w:val="default"/>
  </w:font>
  <w:font w:name="Arial">
    <w:panose1 w:val="020B0604020202020204"/>
    <w:charset w:val="00"/>
    <w:family w:val="swiss"/>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Agency FB">
    <w:panose1 w:val="020B0503020202020204"/>
    <w:charset w:val="00"/>
    <w:family w:val="swiss"/>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49B" w14:paraId="3E0D59DB" w14:textId="77777777">
    <w:pPr>
      <w:pStyle w:val="Footer"/>
      <w:framePr w:wrap="around" w:vAnchor="text" w:hAnchor="margin" w:xAlign="center" w:y="1"/>
    </w:pPr>
    <w:r>
      <w:fldChar w:fldCharType="begin"/>
    </w:r>
    <w:r>
      <w:instrText xml:space="preserve">PAGE  </w:instrText>
    </w:r>
    <w:r>
      <w:fldChar w:fldCharType="separate"/>
    </w:r>
    <w:r>
      <w:fldChar w:fldCharType="end"/>
    </w:r>
  </w:p>
  <w:p w:rsidR="006A349B" w14:paraId="213CF3D0" w14:textId="77777777">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49B" w14:paraId="63E9AD54" w14:textId="77777777">
    <w:pPr>
      <w:pStyle w:val="Footer"/>
      <w:jc w:val="center"/>
    </w:pPr>
    <w:r>
      <w:fldChar w:fldCharType="begin"/>
    </w:r>
    <w:r>
      <w:instrText xml:space="preserve"> PAGE   \* MERGEFORMAT </w:instrText>
    </w:r>
    <w:r>
      <w:fldChar w:fldCharType="separate"/>
    </w:r>
    <w:r>
      <w:rPr>
        <w:noProof/>
      </w:rPr>
      <w:t>2</w:t>
    </w:r>
    <w:r>
      <w:rPr>
        <w:noProof/>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49B" w14:paraId="327AD842" w14:textId="77777777">
    <w:pPr>
      <w:pStyle w:val="Footer"/>
      <w:tabs>
        <w:tab w:val="clear" w:pos="8640"/>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footnote w:type="separator" w:id="0">
    <w:p w:rsidR="001F6049" w14:paraId="12F03C93" w14:textId="77777777">
      <w:r>
        <w:separator/>
      </w:r>
    </w:p>
  </w:footnote>
  <w:footnote w:type="continuationSeparator" w:id="1">
    <w:p w:rsidR="001F6049" w14:paraId="210AAC9B" w14:textId="77777777">
      <w:pPr>
        <w:rPr>
          <w:sz w:val="20"/>
        </w:rPr>
      </w:pPr>
      <w:r>
        <w:rPr>
          <w:sz w:val="20"/>
        </w:rPr>
        <w:t xml:space="preserve">(Continued from previous page)  </w:t>
      </w:r>
      <w:r>
        <w:rPr>
          <w:sz w:val="20"/>
        </w:rPr>
        <w:separator/>
      </w:r>
    </w:p>
  </w:footnote>
  <w:footnote w:type="continuationNotice" w:id="2">
    <w:p w:rsidR="001F6049" w14:paraId="753E591C" w14:textId="77777777">
      <w:pPr>
        <w:jc w:val="right"/>
        <w:rPr>
          <w:sz w:val="20"/>
        </w:rPr>
      </w:pPr>
      <w:r>
        <w:rPr>
          <w:sz w:val="20"/>
        </w:rPr>
        <w:t>(continued….)</w:t>
      </w:r>
    </w:p>
  </w:footnote>
  <w:footnote w:id="3">
    <w:p w:rsidR="001B5D77" w:rsidRPr="00EE172F" w:rsidP="001B5D77" w14:paraId="61E04048" w14:textId="77777777">
      <w:pPr>
        <w:pStyle w:val="FootnoteText"/>
      </w:pPr>
      <w:r w:rsidRPr="00EE172F">
        <w:rPr>
          <w:rStyle w:val="FootnoteReference"/>
          <w:sz w:val="20"/>
        </w:rPr>
        <w:footnoteRef/>
      </w:r>
      <w:r w:rsidRPr="00EE172F">
        <w:t xml:space="preserve"> 47 CFR § 79.1(a)(11) (defining “video programming distributor”).</w:t>
      </w:r>
    </w:p>
  </w:footnote>
  <w:footnote w:id="4">
    <w:p w:rsidR="001B5D77" w:rsidRPr="00EE172F" w:rsidP="001B5D77" w14:paraId="730F0410" w14:textId="520B5865">
      <w:pPr>
        <w:pStyle w:val="FootnoteText"/>
      </w:pPr>
      <w:r w:rsidRPr="00EE172F">
        <w:rPr>
          <w:rStyle w:val="FootnoteReference"/>
          <w:sz w:val="20"/>
        </w:rPr>
        <w:footnoteRef/>
      </w:r>
      <w:r w:rsidRPr="00EE172F">
        <w:t xml:space="preserve"> </w:t>
      </w:r>
      <w:r w:rsidRPr="00EE172F">
        <w:rPr>
          <w:i/>
          <w:iCs/>
        </w:rPr>
        <w:t xml:space="preserve">See </w:t>
      </w:r>
      <w:r w:rsidRPr="00EE172F">
        <w:t xml:space="preserve">47 CFR § 79.2. </w:t>
      </w:r>
      <w:r>
        <w:t xml:space="preserve"> </w:t>
      </w:r>
      <w:r w:rsidRPr="00EE172F">
        <w:t xml:space="preserve">Because of the importance of this issue, we have released similar Public Notices in the past. </w:t>
      </w:r>
      <w:r w:rsidRPr="00EE172F">
        <w:rPr>
          <w:i/>
          <w:iCs/>
        </w:rPr>
        <w:t>See, e.g.</w:t>
      </w:r>
      <w:r w:rsidRPr="00EE172F">
        <w:t xml:space="preserve">, </w:t>
      </w:r>
      <w:r w:rsidRPr="00EE172F">
        <w:rPr>
          <w:i/>
          <w:iCs/>
        </w:rPr>
        <w:t>Reminder Regarding Obligations to Make Televised Emergency Information Accessible to Viewers with Disabilities</w:t>
      </w:r>
      <w:r w:rsidRPr="00EE172F">
        <w:t xml:space="preserve">, Public Notice, </w:t>
      </w:r>
      <w:r w:rsidRPr="00EE172F">
        <w:rPr>
          <w:color w:val="1D2B3E"/>
        </w:rPr>
        <w:t>3</w:t>
      </w:r>
      <w:r w:rsidR="00FD2D4B">
        <w:rPr>
          <w:color w:val="1D2B3E"/>
        </w:rPr>
        <w:t>5</w:t>
      </w:r>
      <w:r w:rsidRPr="00EE172F">
        <w:rPr>
          <w:color w:val="1D2B3E"/>
        </w:rPr>
        <w:t xml:space="preserve"> FCC </w:t>
      </w:r>
      <w:r w:rsidRPr="00EE172F">
        <w:rPr>
          <w:color w:val="1D2B3E"/>
        </w:rPr>
        <w:t>Rcd</w:t>
      </w:r>
      <w:r w:rsidRPr="00EE172F">
        <w:rPr>
          <w:color w:val="1D2B3E"/>
        </w:rPr>
        <w:t xml:space="preserve"> </w:t>
      </w:r>
      <w:r w:rsidR="00FD2D4B">
        <w:rPr>
          <w:color w:val="1D2B3E"/>
        </w:rPr>
        <w:t>8591</w:t>
      </w:r>
      <w:r w:rsidRPr="00EE172F" w:rsidR="00FD2D4B">
        <w:t xml:space="preserve"> </w:t>
      </w:r>
      <w:r w:rsidRPr="00EE172F">
        <w:t>(CGB 20</w:t>
      </w:r>
      <w:r w:rsidR="00FD2D4B">
        <w:t>20</w:t>
      </w:r>
      <w:r w:rsidRPr="00EE172F">
        <w:t xml:space="preserve">). </w:t>
      </w:r>
      <w:r w:rsidR="00B17652">
        <w:t xml:space="preserve"> </w:t>
      </w:r>
      <w:r w:rsidRPr="00EE172F">
        <w:t xml:space="preserve">Unlike the closed captioning obligations contained in section 79.1 of the rules, there are no exemptions to these televised emergency information accessibility requirements.  Additionally, VPDs may have a separate obligation to meet accessibility requirements when transmitting Emergency Alert System (EAS) messages on television.  </w:t>
      </w:r>
      <w:r w:rsidRPr="00EE172F">
        <w:rPr>
          <w:i/>
          <w:iCs/>
        </w:rPr>
        <w:t xml:space="preserve">See </w:t>
      </w:r>
      <w:r w:rsidRPr="00EE172F">
        <w:t xml:space="preserve">47 CFR § 11.51(d), (g)(3), (h)(4), (j)(2); </w:t>
      </w:r>
      <w:r w:rsidRPr="00EE172F">
        <w:rPr>
          <w:i/>
          <w:iCs/>
        </w:rPr>
        <w:t>see also</w:t>
      </w:r>
      <w:r w:rsidRPr="00EE172F">
        <w:t xml:space="preserve"> </w:t>
      </w:r>
      <w:r>
        <w:t xml:space="preserve">Public Safety and Homeland Security Bureau, Federal Communications Commission, </w:t>
      </w:r>
      <w:r>
        <w:rPr>
          <w:i/>
          <w:iCs/>
        </w:rPr>
        <w:t xml:space="preserve">EAS FAQ Accessibility </w:t>
      </w:r>
      <w:r>
        <w:t>(Oct. 19, 2019),</w:t>
      </w:r>
      <w:r w:rsidRPr="00EE172F">
        <w:t xml:space="preserve"> </w:t>
      </w:r>
      <w:hyperlink r:id="rId1" w:history="1">
        <w:r w:rsidRPr="00EE172F">
          <w:rPr>
            <w:rStyle w:val="Hyperlink"/>
          </w:rPr>
          <w:t>https://www.fcc.gov/eas-faq-accessibility</w:t>
        </w:r>
      </w:hyperlink>
      <w:r w:rsidRPr="00EE172F">
        <w:t xml:space="preserve">.  </w:t>
      </w:r>
    </w:p>
  </w:footnote>
  <w:footnote w:id="5">
    <w:p w:rsidR="001B5D77" w:rsidRPr="00EE172F" w:rsidP="001B5D77" w14:paraId="221BC7F6" w14:textId="77777777">
      <w:pPr>
        <w:pStyle w:val="FootnoteText"/>
      </w:pPr>
      <w:r w:rsidRPr="00EE172F">
        <w:rPr>
          <w:rStyle w:val="FootnoteReference"/>
          <w:sz w:val="20"/>
        </w:rPr>
        <w:footnoteRef/>
      </w:r>
      <w:r w:rsidRPr="00EE172F">
        <w:t xml:space="preserve"> </w:t>
      </w:r>
      <w:r w:rsidRPr="00EE172F">
        <w:rPr>
          <w:i/>
          <w:iCs/>
        </w:rPr>
        <w:t xml:space="preserve">See </w:t>
      </w:r>
      <w:r w:rsidRPr="00EE172F">
        <w:t>47 CFR § 79.2(c).</w:t>
      </w:r>
    </w:p>
  </w:footnote>
  <w:footnote w:id="6">
    <w:p w:rsidR="001B5D77" w:rsidRPr="00EE172F" w:rsidP="001B5D77" w14:paraId="1ED2DC72" w14:textId="77777777">
      <w:pPr>
        <w:pStyle w:val="FootnoteText"/>
      </w:pPr>
      <w:r w:rsidRPr="00EE172F">
        <w:rPr>
          <w:rStyle w:val="FootnoteReference"/>
          <w:sz w:val="20"/>
        </w:rPr>
        <w:footnoteRef/>
      </w:r>
      <w:r w:rsidRPr="00EE172F">
        <w:t xml:space="preserve"> 47 CFR § 79.2(a)(2).</w:t>
      </w:r>
    </w:p>
  </w:footnote>
  <w:footnote w:id="7">
    <w:p w:rsidR="001B5D77" w:rsidRPr="00EE172F" w:rsidP="001B5D77" w14:paraId="1A5FBE1C" w14:textId="4312A6A0">
      <w:pPr>
        <w:spacing w:after="120"/>
        <w:rPr>
          <w:sz w:val="20"/>
        </w:rPr>
      </w:pPr>
      <w:r w:rsidRPr="00EE172F">
        <w:rPr>
          <w:rStyle w:val="FootnoteReference"/>
          <w:sz w:val="20"/>
        </w:rPr>
        <w:footnoteRef/>
      </w:r>
      <w:r w:rsidRPr="00EE172F">
        <w:rPr>
          <w:sz w:val="20"/>
        </w:rPr>
        <w:t xml:space="preserve"> </w:t>
      </w:r>
      <w:r>
        <w:rPr>
          <w:i/>
          <w:iCs/>
          <w:sz w:val="20"/>
        </w:rPr>
        <w:t>See i</w:t>
      </w:r>
      <w:r w:rsidRPr="00EE172F">
        <w:rPr>
          <w:i/>
          <w:iCs/>
          <w:sz w:val="20"/>
        </w:rPr>
        <w:t>d</w:t>
      </w:r>
      <w:r>
        <w:rPr>
          <w:i/>
          <w:iCs/>
          <w:sz w:val="20"/>
        </w:rPr>
        <w:t>;</w:t>
      </w:r>
      <w:r w:rsidRPr="00D3244C">
        <w:rPr>
          <w:i/>
          <w:iCs/>
          <w:sz w:val="20"/>
        </w:rPr>
        <w:t xml:space="preserve"> </w:t>
      </w:r>
      <w:r>
        <w:rPr>
          <w:i/>
          <w:iCs/>
          <w:sz w:val="20"/>
        </w:rPr>
        <w:t xml:space="preserve">see also </w:t>
      </w:r>
      <w:r w:rsidRPr="00B22C1B">
        <w:rPr>
          <w:sz w:val="20"/>
        </w:rPr>
        <w:t xml:space="preserve">Consumer and Governmental Affairs Bureau, Federal Communications Commission, </w:t>
      </w:r>
      <w:r w:rsidRPr="00B22C1B">
        <w:rPr>
          <w:i/>
          <w:iCs/>
          <w:sz w:val="20"/>
        </w:rPr>
        <w:t>Access to Emergency Information on Television</w:t>
      </w:r>
      <w:r>
        <w:rPr>
          <w:i/>
          <w:iCs/>
          <w:sz w:val="20"/>
        </w:rPr>
        <w:t xml:space="preserve"> </w:t>
      </w:r>
      <w:r>
        <w:rPr>
          <w:sz w:val="20"/>
        </w:rPr>
        <w:t>(</w:t>
      </w:r>
      <w:r w:rsidR="00FD2D4B">
        <w:rPr>
          <w:sz w:val="20"/>
        </w:rPr>
        <w:t>Jan</w:t>
      </w:r>
      <w:r>
        <w:rPr>
          <w:sz w:val="20"/>
        </w:rPr>
        <w:t xml:space="preserve">. </w:t>
      </w:r>
      <w:r w:rsidR="00FD2D4B">
        <w:rPr>
          <w:sz w:val="20"/>
        </w:rPr>
        <w:t>27</w:t>
      </w:r>
      <w:r>
        <w:rPr>
          <w:sz w:val="20"/>
        </w:rPr>
        <w:t>, 202</w:t>
      </w:r>
      <w:r w:rsidR="00FD2D4B">
        <w:rPr>
          <w:sz w:val="20"/>
        </w:rPr>
        <w:t>1</w:t>
      </w:r>
      <w:r>
        <w:rPr>
          <w:sz w:val="20"/>
        </w:rPr>
        <w:t>),</w:t>
      </w:r>
      <w:r w:rsidRPr="00B22C1B">
        <w:rPr>
          <w:sz w:val="20"/>
        </w:rPr>
        <w:t xml:space="preserve"> </w:t>
      </w:r>
      <w:hyperlink r:id="rId2" w:history="1">
        <w:r w:rsidRPr="00C80AED">
          <w:rPr>
            <w:rStyle w:val="Hyperlink"/>
            <w:sz w:val="20"/>
          </w:rPr>
          <w:t>https://www.fcc.gov/consumers/guides/accessibility-emergency-information-television</w:t>
        </w:r>
      </w:hyperlink>
      <w:r w:rsidRPr="00B22C1B">
        <w:rPr>
          <w:sz w:val="20"/>
        </w:rPr>
        <w:t>.</w:t>
      </w:r>
    </w:p>
  </w:footnote>
  <w:footnote w:id="8">
    <w:p w:rsidR="001B5D77" w:rsidRPr="00EE172F" w:rsidP="001B5D77" w14:paraId="660CF097" w14:textId="77777777">
      <w:pPr>
        <w:pStyle w:val="FootnoteText"/>
      </w:pPr>
      <w:r w:rsidRPr="00EE172F">
        <w:rPr>
          <w:rStyle w:val="FootnoteReference"/>
          <w:sz w:val="20"/>
        </w:rPr>
        <w:footnoteRef/>
      </w:r>
      <w:r w:rsidRPr="00EE172F">
        <w:t xml:space="preserve"> Note to 47 CFR § 79.2(a)(2).</w:t>
      </w:r>
    </w:p>
  </w:footnote>
  <w:footnote w:id="9">
    <w:p w:rsidR="001B5D77" w:rsidP="001B5D77" w14:paraId="7CF46CFD" w14:textId="5DF8390F">
      <w:pPr>
        <w:pStyle w:val="FootnoteText"/>
      </w:pPr>
      <w:r>
        <w:rPr>
          <w:rStyle w:val="FootnoteReference"/>
        </w:rPr>
        <w:footnoteRef/>
      </w:r>
      <w:r>
        <w:t xml:space="preserve"> </w:t>
      </w:r>
      <w:r w:rsidR="005B6618">
        <w:rPr>
          <w:szCs w:val="22"/>
        </w:rPr>
        <w:t xml:space="preserve">For instance, wildfires </w:t>
      </w:r>
      <w:r w:rsidR="005B6EF5">
        <w:rPr>
          <w:szCs w:val="22"/>
        </w:rPr>
        <w:t>in southern Arizona and southwestern New Mexico</w:t>
      </w:r>
      <w:r w:rsidR="005B6618">
        <w:rPr>
          <w:szCs w:val="22"/>
        </w:rPr>
        <w:t xml:space="preserve"> in 2020 brought smoky conditions and </w:t>
      </w:r>
      <w:r w:rsidR="005B6EF5">
        <w:rPr>
          <w:szCs w:val="22"/>
        </w:rPr>
        <w:t xml:space="preserve">dangerous </w:t>
      </w:r>
      <w:r w:rsidR="005B6618">
        <w:rPr>
          <w:szCs w:val="22"/>
        </w:rPr>
        <w:t xml:space="preserve">air quality </w:t>
      </w:r>
      <w:r w:rsidR="005B6EF5">
        <w:rPr>
          <w:szCs w:val="22"/>
        </w:rPr>
        <w:t>to western and central New Mexico</w:t>
      </w:r>
      <w:r w:rsidRPr="005B6EF5" w:rsidR="005B6618">
        <w:rPr>
          <w:szCs w:val="22"/>
        </w:rPr>
        <w:t>.</w:t>
      </w:r>
      <w:r w:rsidR="005B6618">
        <w:rPr>
          <w:szCs w:val="22"/>
        </w:rPr>
        <w:t xml:space="preserve">  </w:t>
      </w:r>
      <w:r w:rsidRPr="000A5800">
        <w:rPr>
          <w:i/>
          <w:iCs/>
        </w:rPr>
        <w:t>See</w:t>
      </w:r>
      <w:r>
        <w:t xml:space="preserve"> </w:t>
      </w:r>
      <w:r w:rsidR="005D1F1F">
        <w:t xml:space="preserve">KRQE, </w:t>
      </w:r>
      <w:r w:rsidR="005B6EF5">
        <w:rPr>
          <w:i/>
          <w:iCs/>
        </w:rPr>
        <w:t>Wildfire Smoke Result in Air Quality Alert for Western, Central New Mexico</w:t>
      </w:r>
      <w:r w:rsidR="005D1F1F">
        <w:rPr>
          <w:i/>
          <w:iCs/>
        </w:rPr>
        <w:t xml:space="preserve"> </w:t>
      </w:r>
      <w:r>
        <w:t>(</w:t>
      </w:r>
      <w:r w:rsidR="005D1F1F">
        <w:t>June 9, 2021</w:t>
      </w:r>
      <w:r>
        <w:t xml:space="preserve">), </w:t>
      </w:r>
      <w:hyperlink r:id="rId3" w:history="1">
        <w:r w:rsidRPr="006C13FF" w:rsidR="005D1F1F">
          <w:rPr>
            <w:rStyle w:val="Hyperlink"/>
          </w:rPr>
          <w:t>https://www.krqe.com/health/health-alert-issued-in-albuquerque-bernalillo-county-due-to-ozone-levels-smoke/</w:t>
        </w:r>
      </w:hyperlink>
      <w:r>
        <w:t>.</w:t>
      </w:r>
      <w:r w:rsidR="005D1F1F">
        <w:t xml:space="preserve"> </w:t>
      </w:r>
      <w:r w:rsidR="00807F74">
        <w:t xml:space="preserve"> </w:t>
      </w:r>
    </w:p>
  </w:footnote>
  <w:footnote w:id="10">
    <w:p w:rsidR="001B5D77" w:rsidP="001B5D77" w14:paraId="4806333A" w14:textId="271670E6">
      <w:pPr>
        <w:pStyle w:val="FootnoteText"/>
      </w:pPr>
      <w:r>
        <w:rPr>
          <w:rStyle w:val="FootnoteReference"/>
        </w:rPr>
        <w:footnoteRef/>
      </w:r>
      <w:r>
        <w:t xml:space="preserve"> </w:t>
      </w:r>
      <w:r w:rsidRPr="00287B04">
        <w:rPr>
          <w:i/>
          <w:iCs/>
        </w:rPr>
        <w:t>See</w:t>
      </w:r>
      <w:r w:rsidRPr="00287B04">
        <w:t xml:space="preserve"> </w:t>
      </w:r>
      <w:r w:rsidR="00B17652">
        <w:rPr>
          <w:i/>
          <w:iCs/>
        </w:rPr>
        <w:t xml:space="preserve">id; </w:t>
      </w:r>
      <w:r w:rsidRPr="00B17652" w:rsidR="00287B04">
        <w:t>Centers</w:t>
      </w:r>
      <w:r w:rsidRPr="004A638B" w:rsidR="00287B04">
        <w:t xml:space="preserve"> for Disease Control and Prevention,</w:t>
      </w:r>
      <w:r w:rsidR="00287B04">
        <w:t xml:space="preserve"> COVID Data Tracker, </w:t>
      </w:r>
      <w:hyperlink r:id="rId4" w:anchor="datatracker-home" w:history="1">
        <w:r w:rsidRPr="0008313C" w:rsidR="00287B04">
          <w:rPr>
            <w:rStyle w:val="Hyperlink"/>
          </w:rPr>
          <w:t>https://covid.cdc.gov/covid-data-tracker/#datatracker-home</w:t>
        </w:r>
      </w:hyperlink>
      <w:r w:rsidR="00287B04">
        <w:t xml:space="preserve"> (reporting on numbers of COVID-19 cases and deaths in the United States)</w:t>
      </w:r>
      <w:r w:rsidR="00E464AB">
        <w:t xml:space="preserve"> (last visited June 9, 2021)</w:t>
      </w:r>
      <w:r w:rsidRPr="00287B04" w:rsidR="00287B04">
        <w:t xml:space="preserve">; </w:t>
      </w:r>
      <w:r w:rsidRPr="00287B04">
        <w:t xml:space="preserve">Jeff </w:t>
      </w:r>
      <w:r w:rsidRPr="00287B04">
        <w:t>Berardelli</w:t>
      </w:r>
      <w:r w:rsidRPr="00287B04">
        <w:t xml:space="preserve">, CBS News, </w:t>
      </w:r>
      <w:r w:rsidRPr="00287B04">
        <w:rPr>
          <w:i/>
          <w:iCs/>
        </w:rPr>
        <w:t>The record-shattering 2020</w:t>
      </w:r>
      <w:r w:rsidRPr="00E737FF">
        <w:rPr>
          <w:i/>
          <w:iCs/>
        </w:rPr>
        <w:t xml:space="preserve"> hurricane season, explained</w:t>
      </w:r>
      <w:r>
        <w:t xml:space="preserve"> (Nov. 20, 2020),</w:t>
      </w:r>
      <w:r w:rsidRPr="00B77554">
        <w:t xml:space="preserve"> </w:t>
      </w:r>
      <w:hyperlink r:id="rId5" w:history="1">
        <w:r>
          <w:rPr>
            <w:rStyle w:val="Hyperlink"/>
          </w:rPr>
          <w:t>https://www.cbsnews.com/news/atlantic-hurricane-season-2020-record-breaking/</w:t>
        </w:r>
      </w:hyperlink>
      <w:r w:rsidR="00D56F73">
        <w:t>.</w:t>
      </w:r>
    </w:p>
  </w:footnote>
  <w:footnote w:id="11">
    <w:p w:rsidR="001B5D77" w:rsidRPr="00EE172F" w:rsidP="001B5D77" w14:paraId="7F5AF15A" w14:textId="77777777">
      <w:pPr>
        <w:pStyle w:val="FootnoteText"/>
      </w:pPr>
      <w:r w:rsidRPr="00EE172F">
        <w:rPr>
          <w:rStyle w:val="FootnoteReference"/>
          <w:sz w:val="20"/>
        </w:rPr>
        <w:footnoteRef/>
      </w:r>
      <w:r w:rsidRPr="00EE172F">
        <w:t xml:space="preserve"> 47 CFR § 79.2(b)(2)(</w:t>
      </w:r>
      <w:r w:rsidRPr="00EE172F">
        <w:t>i</w:t>
      </w:r>
      <w:r w:rsidRPr="00EE172F">
        <w:t>).</w:t>
      </w:r>
    </w:p>
  </w:footnote>
  <w:footnote w:id="12">
    <w:p w:rsidR="001B5D77" w:rsidRPr="00EE172F" w:rsidP="001B5D77" w14:paraId="5EE9F537"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 79.2(b)(2)(ii).</w:t>
      </w:r>
    </w:p>
  </w:footnote>
  <w:footnote w:id="13">
    <w:p w:rsidR="001B5D77" w:rsidRPr="00EE172F" w:rsidP="001B5D77" w14:paraId="507131FF" w14:textId="77777777">
      <w:pPr>
        <w:spacing w:after="120"/>
        <w:rPr>
          <w:sz w:val="20"/>
        </w:rPr>
      </w:pPr>
      <w:r w:rsidRPr="00EE172F">
        <w:rPr>
          <w:rStyle w:val="FootnoteReference"/>
          <w:sz w:val="20"/>
        </w:rPr>
        <w:footnoteRef/>
      </w:r>
      <w:r w:rsidRPr="00EE172F">
        <w:rPr>
          <w:sz w:val="20"/>
        </w:rPr>
        <w:t xml:space="preserve"> </w:t>
      </w:r>
      <w:r w:rsidRPr="00EE172F">
        <w:rPr>
          <w:i/>
          <w:iCs/>
          <w:sz w:val="20"/>
        </w:rPr>
        <w:t>Id</w:t>
      </w:r>
      <w:r w:rsidRPr="00EE172F">
        <w:rPr>
          <w:sz w:val="20"/>
        </w:rPr>
        <w:t>.</w:t>
      </w:r>
    </w:p>
  </w:footnote>
  <w:footnote w:id="14">
    <w:p w:rsidR="001B5D77" w:rsidRPr="00EE172F" w:rsidP="001B5D77" w14:paraId="2197D682" w14:textId="77777777">
      <w:pPr>
        <w:pStyle w:val="FootnoteText"/>
      </w:pPr>
      <w:r w:rsidRPr="00EE172F">
        <w:rPr>
          <w:rStyle w:val="FootnoteReference"/>
          <w:sz w:val="20"/>
        </w:rPr>
        <w:footnoteRef/>
      </w:r>
      <w:r w:rsidRPr="00EE172F">
        <w:t xml:space="preserve"> 47 CFR § 79.2(b)(5).</w:t>
      </w:r>
    </w:p>
  </w:footnote>
  <w:footnote w:id="15">
    <w:p w:rsidR="001B5D77" w:rsidRPr="00EE172F" w:rsidP="001B5D77" w14:paraId="590D0F05" w14:textId="77777777">
      <w:pPr>
        <w:pStyle w:val="FootnoteText"/>
      </w:pPr>
      <w:r w:rsidRPr="00EE172F">
        <w:rPr>
          <w:rStyle w:val="FootnoteReference"/>
          <w:sz w:val="20"/>
        </w:rPr>
        <w:footnoteRef/>
      </w:r>
      <w:r w:rsidRPr="00EE172F">
        <w:t xml:space="preserve"> 47 CFR § 79.2(b)(6).  </w:t>
      </w:r>
      <w:r w:rsidRPr="00EE172F">
        <w:rPr>
          <w:i/>
          <w:iCs/>
        </w:rPr>
        <w:t>See Consumer &amp; Governmental Affairs Bureau Reminds MVPDs of July 10, 2017 Deadline to Pass Through Audible Emergency Information During Linear Programming on Second Screen Devices</w:t>
      </w:r>
      <w:r w:rsidRPr="00EE172F">
        <w:t xml:space="preserve">, MB Docket No. 12-107, Public Notice, 32 FCC </w:t>
      </w:r>
      <w:r w:rsidRPr="00EE172F">
        <w:t>Rcd</w:t>
      </w:r>
      <w:r w:rsidRPr="00EE172F">
        <w:t xml:space="preserve"> 4773 (CGB 2017)</w:t>
      </w:r>
      <w:r w:rsidRPr="00EE172F">
        <w:rPr>
          <w:i/>
          <w:iCs/>
        </w:rPr>
        <w:t>.</w:t>
      </w:r>
    </w:p>
  </w:footnote>
  <w:footnote w:id="16">
    <w:p w:rsidR="001B5D77" w:rsidRPr="00EE172F" w:rsidP="001B5D77" w14:paraId="65060BD4" w14:textId="77777777">
      <w:pPr>
        <w:pStyle w:val="FootnoteText"/>
      </w:pPr>
      <w:r w:rsidRPr="00EE172F">
        <w:rPr>
          <w:rStyle w:val="FootnoteReference"/>
          <w:sz w:val="20"/>
        </w:rPr>
        <w:footnoteRef/>
      </w:r>
      <w:r w:rsidRPr="00EE172F">
        <w:t xml:space="preserve"> 47 CFR § 79.2(b)(1).</w:t>
      </w:r>
    </w:p>
  </w:footnote>
  <w:footnote w:id="17">
    <w:p w:rsidR="001B5D77" w:rsidRPr="00EE172F" w:rsidP="001B5D77" w14:paraId="3400BC20" w14:textId="67E2E720">
      <w:pPr>
        <w:pStyle w:val="FootnoteText"/>
      </w:pPr>
      <w:r w:rsidRPr="00EE172F">
        <w:rPr>
          <w:rStyle w:val="FootnoteReference"/>
          <w:sz w:val="20"/>
        </w:rPr>
        <w:footnoteRef/>
      </w:r>
      <w:r w:rsidRPr="00EE172F">
        <w:t xml:space="preserve"> </w:t>
      </w:r>
      <w:r w:rsidRPr="00EE172F">
        <w:rPr>
          <w:i/>
          <w:iCs/>
        </w:rPr>
        <w:t>See</w:t>
      </w:r>
      <w:r w:rsidRPr="00EE172F">
        <w:t xml:space="preserve"> 47 CFR § 79.2(b)(4).  We note that some state and local government officials provide American Sign Language (ASL) interpreter services during their televised emergency announcements and press conferences.  To the extent this service is provided, we encourage VPDs and video programmers to ensure that the interpreter is visible on the television screen at all times in order to benefit viewers who use ASL.  </w:t>
      </w:r>
      <w:r w:rsidRPr="00EE172F">
        <w:rPr>
          <w:i/>
          <w:iCs/>
        </w:rPr>
        <w:t>See, e.g.</w:t>
      </w:r>
      <w:r w:rsidRPr="00EE172F">
        <w:t xml:space="preserve">, National Council on Disability, </w:t>
      </w:r>
      <w:r w:rsidRPr="00EE172F">
        <w:rPr>
          <w:i/>
          <w:iCs/>
        </w:rPr>
        <w:t>Effective Communications for People with Disabilities: Before, During, and After Emergencies</w:t>
      </w:r>
      <w:r w:rsidRPr="00EE172F">
        <w:t>, (May 27, 2014)</w:t>
      </w:r>
      <w:r>
        <w:t xml:space="preserve">, </w:t>
      </w:r>
      <w:hyperlink r:id="rId6" w:history="1">
        <w:r>
          <w:rPr>
            <w:rStyle w:val="Hyperlink"/>
          </w:rPr>
          <w:t>https://ncd.gov/publications/2014/05272014/</w:t>
        </w:r>
      </w:hyperlink>
      <w:r w:rsidRPr="00EE172F">
        <w:t xml:space="preserve">; National Association of the Deaf, </w:t>
      </w:r>
      <w:r w:rsidRPr="00EE172F">
        <w:rPr>
          <w:i/>
          <w:iCs/>
        </w:rPr>
        <w:t>Position Statement on Accessible Emergency Management for Deaf and Hard of Hearing People</w:t>
      </w:r>
      <w:r w:rsidRPr="00EE172F">
        <w:t xml:space="preserve">, </w:t>
      </w:r>
      <w:hyperlink r:id="rId7" w:history="1">
        <w:r w:rsidRPr="00842081">
          <w:rPr>
            <w:rStyle w:val="Hyperlink"/>
          </w:rPr>
          <w:t>https://www.nad.org/about-us/position-statements/position-statement-on-accessible-emergency-management-for-deaf-and-hard-of-hearing-people/</w:t>
        </w:r>
      </w:hyperlink>
      <w:r w:rsidRPr="00842081">
        <w:t xml:space="preserve"> </w:t>
      </w:r>
      <w:r w:rsidRPr="00EE172F">
        <w:t xml:space="preserve">(last visited </w:t>
      </w:r>
      <w:r w:rsidR="00F67A63">
        <w:t>June 9, 2021</w:t>
      </w:r>
      <w:r w:rsidRPr="00EE172F">
        <w:t>)</w:t>
      </w:r>
      <w:r>
        <w:t>;</w:t>
      </w:r>
      <w:r w:rsidRPr="00EE172F">
        <w:t xml:space="preserve"> </w:t>
      </w:r>
      <w:r>
        <w:t>Dylan Goforth</w:t>
      </w:r>
      <w:r w:rsidRPr="00EE172F">
        <w:t>,</w:t>
      </w:r>
      <w:r>
        <w:t xml:space="preserve"> The Frontier,</w:t>
      </w:r>
      <w:r w:rsidRPr="00EE172F">
        <w:rPr>
          <w:i/>
          <w:iCs/>
        </w:rPr>
        <w:t xml:space="preserve"> </w:t>
      </w:r>
      <w:r>
        <w:rPr>
          <w:i/>
          <w:iCs/>
        </w:rPr>
        <w:t>American Sign Language Interpreters Shine During COVID-19 Press Conferences</w:t>
      </w:r>
      <w:r w:rsidRPr="00EE172F">
        <w:rPr>
          <w:i/>
          <w:iCs/>
        </w:rPr>
        <w:t>.</w:t>
      </w:r>
      <w:r w:rsidRPr="00EE172F">
        <w:t xml:space="preserve"> (</w:t>
      </w:r>
      <w:r>
        <w:t>April 1</w:t>
      </w:r>
      <w:r w:rsidRPr="00EE172F">
        <w:t>, 2020)</w:t>
      </w:r>
      <w:r>
        <w:t>,</w:t>
      </w:r>
      <w:r w:rsidRPr="00EE172F">
        <w:t xml:space="preserve"> </w:t>
      </w:r>
      <w:hyperlink r:id="rId8" w:history="1">
        <w:r w:rsidRPr="00C04767">
          <w:rPr>
            <w:rStyle w:val="Hyperlink"/>
          </w:rPr>
          <w:t>https://www.readfrontier.org/stories/american-sign-language-interpreters-shine-during-covid-19-press-conferences/</w:t>
        </w:r>
      </w:hyperlink>
      <w:r>
        <w:t xml:space="preserve"> </w:t>
      </w:r>
      <w:r w:rsidRPr="00EE172F">
        <w:t xml:space="preserve"> (discussing the importance of the sign language interpreter at COVID-19 briefings).</w:t>
      </w:r>
    </w:p>
  </w:footnote>
  <w:footnote w:id="18">
    <w:p w:rsidR="001B5D77" w:rsidRPr="00EE172F" w:rsidP="001B5D77" w14:paraId="1B3DF7FC" w14:textId="77777777">
      <w:pPr>
        <w:pStyle w:val="FootnoteText"/>
      </w:pPr>
      <w:r w:rsidRPr="00EE172F">
        <w:rPr>
          <w:rStyle w:val="FootnoteReference"/>
          <w:sz w:val="20"/>
        </w:rPr>
        <w:footnoteRef/>
      </w:r>
      <w:r w:rsidRPr="00EE172F">
        <w:t xml:space="preserve"> ENT is a technique that converts the dialogue included on a teleprompter script into captions.  For purposes of determining compliance with section 79.1, the Commission’s rules permit live programming to be captioned using ENT, with the exception of live programming exhibited by the major national broadcast television networks (i.e., ABC, CBS, Fox, and NBC), affiliates of these networks in the top 25 television markets, and national non-broadcast networks serving at least 50% of all homes subscribing to multichannel video programming services.  </w:t>
      </w:r>
      <w:r w:rsidRPr="00EE172F">
        <w:rPr>
          <w:i/>
          <w:iCs/>
        </w:rPr>
        <w:t xml:space="preserve">See </w:t>
      </w:r>
      <w:r w:rsidRPr="00EE172F">
        <w:t>47 CFR § 79.1(e)(3).</w:t>
      </w:r>
    </w:p>
  </w:footnote>
  <w:footnote w:id="19">
    <w:p w:rsidR="001B5D77" w:rsidRPr="00EE172F" w:rsidP="001B5D77" w14:paraId="335F48A7" w14:textId="55A38E73">
      <w:pPr>
        <w:pStyle w:val="FootnoteText"/>
      </w:pPr>
      <w:r w:rsidRPr="00EE172F">
        <w:rPr>
          <w:rStyle w:val="FootnoteReference"/>
          <w:sz w:val="20"/>
        </w:rPr>
        <w:footnoteRef/>
      </w:r>
      <w:r w:rsidRPr="00EE172F">
        <w:t xml:space="preserve"> </w:t>
      </w:r>
      <w:r w:rsidRPr="00EE172F">
        <w:rPr>
          <w:i/>
          <w:iCs/>
        </w:rPr>
        <w:t>See, e.g., Obligation of Video Programming Distributors to Make Emergency Information Accessible to Persons with Hearing Disabilities Using Closed Captioning</w:t>
      </w:r>
      <w:r w:rsidRPr="00EE172F">
        <w:t xml:space="preserve">, Public Notice, 21 FCC </w:t>
      </w:r>
      <w:r w:rsidRPr="00EE172F">
        <w:t>Rcd</w:t>
      </w:r>
      <w:r w:rsidRPr="00EE172F">
        <w:t xml:space="preserve"> 15084, 15084-85 (CGB 2006) (suggesting steps that include contracting with services that can generate closed captions on very short notice, posting notices in the newsroom reminding staff to contact the designated closed captioning service at the onset of an emergency, and labeling speed-dial buttons on newsroom telephones to connect to the captioning service).</w:t>
      </w:r>
    </w:p>
  </w:footnote>
  <w:footnote w:id="20">
    <w:p w:rsidR="001B5D77" w:rsidRPr="00EE172F" w:rsidP="001B5D77" w14:paraId="6972FACB" w14:textId="3AF98146">
      <w:pPr>
        <w:pStyle w:val="FootnoteText"/>
      </w:pPr>
      <w:r w:rsidRPr="00EE172F">
        <w:rPr>
          <w:rStyle w:val="FootnoteReference"/>
          <w:sz w:val="20"/>
        </w:rPr>
        <w:footnoteRef/>
      </w:r>
      <w:r w:rsidRPr="00EE172F">
        <w:t xml:space="preserve"> </w:t>
      </w:r>
      <w:r w:rsidRPr="00F75EAD">
        <w:rPr>
          <w:i/>
          <w:iCs/>
        </w:rPr>
        <w:t>Id.</w:t>
      </w:r>
      <w:r w:rsidRPr="00F75EAD">
        <w:t xml:space="preserve"> at 15085-86;</w:t>
      </w:r>
      <w:r w:rsidRPr="00EE172F">
        <w:t xml:space="preserve"> </w:t>
      </w:r>
      <w:r w:rsidRPr="00EE172F">
        <w:rPr>
          <w:i/>
          <w:iCs/>
        </w:rPr>
        <w:t xml:space="preserve">see also </w:t>
      </w:r>
      <w:r w:rsidRPr="00EE172F">
        <w:t>47 CFR § 79.2(b)(1).</w:t>
      </w:r>
    </w:p>
  </w:footnote>
  <w:footnote w:id="21">
    <w:p w:rsidR="001B5D77" w:rsidRPr="00EE172F" w:rsidP="001B5D77" w14:paraId="7B0C2C90" w14:textId="77777777">
      <w:pPr>
        <w:pStyle w:val="FootnoteText"/>
      </w:pPr>
      <w:r w:rsidRPr="00EE172F">
        <w:rPr>
          <w:rStyle w:val="FootnoteReference"/>
          <w:sz w:val="20"/>
        </w:rPr>
        <w:footnoteRef/>
      </w:r>
      <w:r w:rsidRPr="00EE172F">
        <w:t xml:space="preserve"> </w:t>
      </w:r>
      <w:r w:rsidRPr="00EE172F">
        <w:rPr>
          <w:i/>
          <w:iCs/>
        </w:rPr>
        <w:t>See</w:t>
      </w:r>
      <w:r w:rsidRPr="00EE172F">
        <w:t xml:space="preserve"> 47 CFR §</w:t>
      </w:r>
      <w:r w:rsidRPr="00EE172F">
        <w:rPr>
          <w:rFonts w:eastAsia="Agency FB"/>
        </w:rPr>
        <w:t xml:space="preserve"> </w:t>
      </w:r>
      <w:r w:rsidRPr="00EE172F">
        <w:t xml:space="preserve">79.2(b)(1); </w:t>
      </w:r>
      <w:r w:rsidRPr="00EE172F">
        <w:rPr>
          <w:i/>
          <w:iCs/>
        </w:rPr>
        <w:t>Closed Captioning and Video Description of Video Programming; Implementation of Section 305 of the Telecommunications Act of 1996; Accessibility of Emergency Programming</w:t>
      </w:r>
      <w:r w:rsidRPr="00EE172F">
        <w:t xml:space="preserve">, MM Docket No. 95-176, Second Report and Order, 15 FCC </w:t>
      </w:r>
      <w:r w:rsidRPr="00EE172F">
        <w:t>Rcd</w:t>
      </w:r>
      <w:r w:rsidRPr="00EE172F">
        <w:t xml:space="preserve"> 6615, 6623-24, para. 16 (2000).</w:t>
      </w:r>
    </w:p>
  </w:footnote>
  <w:footnote w:id="22">
    <w:p w:rsidR="001B5D77" w:rsidRPr="00EE172F" w:rsidP="001B5D77" w14:paraId="1D1682F5" w14:textId="77777777">
      <w:pPr>
        <w:pStyle w:val="FootnoteText"/>
      </w:pPr>
      <w:r w:rsidRPr="00EE172F">
        <w:rPr>
          <w:rStyle w:val="FootnoteReference"/>
          <w:sz w:val="20"/>
        </w:rPr>
        <w:footnoteRef/>
      </w:r>
      <w:r w:rsidRPr="00EE172F">
        <w:t xml:space="preserve"> </w:t>
      </w:r>
      <w:r w:rsidRPr="00EE172F">
        <w:rPr>
          <w:i/>
          <w:iCs/>
        </w:rPr>
        <w:t>See Reminder Regarding Obligations to Make Televised Emergency Information Accessible to Viewers Who Are Deaf, Hard of Hearing, Blind, or Visually Impaired and Recommendations to Improve Access for Viewers with Cognitive Disabilities</w:t>
      </w:r>
      <w:r w:rsidRPr="00EE172F">
        <w:t xml:space="preserve">, Public Notice, 31 FCC </w:t>
      </w:r>
      <w:r w:rsidRPr="00EE172F">
        <w:t>Rcd</w:t>
      </w:r>
      <w:r w:rsidRPr="00EE172F">
        <w:t xml:space="preserve"> 10906, 10909-10 (CGB 2016); </w:t>
      </w:r>
      <w:r w:rsidRPr="00EE172F">
        <w:rPr>
          <w:i/>
          <w:iCs/>
        </w:rPr>
        <w:t xml:space="preserve">see also </w:t>
      </w:r>
      <w:r w:rsidRPr="00EE172F">
        <w:t xml:space="preserve">Consumer and Governmental Affairs Bureau, Federal Communications Commission, Individuals with Cognitive Disabilities: Barriers to and Solutions for Accessible Information and Communication Technologies (2016), </w:t>
      </w:r>
      <w:hyperlink r:id="rId9" w:history="1">
        <w:r w:rsidRPr="00842081">
          <w:rPr>
            <w:rStyle w:val="Hyperlink"/>
          </w:rPr>
          <w:t>https://docs.fcc.gov/public/attachments/DOC-341628A1.pdf</w:t>
        </w:r>
      </w:hyperlink>
      <w:r w:rsidRPr="00842081">
        <w:t xml:space="preserve"> </w:t>
      </w:r>
      <w:r w:rsidRPr="00EE172F">
        <w:t>(FCC White Paper containing best practices for making communications accessible to people with cognitive disabilities).</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6A349B" w14:paraId="4E72E531" w14:textId="13DCBF88">
    <w:pPr>
      <w:tabs>
        <w:tab w:val="center" w:pos="4680"/>
        <w:tab w:val="right" w:pos="9360"/>
      </w:tabs>
    </w:pPr>
    <w:r>
      <w:rPr>
        <w:b/>
      </w:rPr>
      <w:tab/>
      <w:t>Federal Communications Commission</w:t>
    </w:r>
    <w:r>
      <w:rPr>
        <w:b/>
      </w:rPr>
      <w:tab/>
    </w:r>
    <w:r w:rsidR="00A145F9">
      <w:rPr>
        <w:b/>
      </w:rPr>
      <w:t>DA 21-773</w:t>
    </w:r>
  </w:p>
  <w:p w:rsidR="006A349B" w14:paraId="28CF6EDB" w14:textId="40BDAB4C">
    <w:pPr>
      <w:tabs>
        <w:tab w:val="left" w:pos="-720"/>
      </w:tabs>
      <w:suppressAutoHyphens/>
      <w:spacing w:line="19" w:lineRule="exact"/>
      <w:rPr>
        <w:spacing w:val="-2"/>
      </w:rPr>
    </w:pPr>
    <w:r>
      <w:rPr>
        <w:noProof/>
      </w:rPr>
      <mc:AlternateContent>
        <mc:Choice Requires="wps">
          <w:drawing>
            <wp:anchor distT="0" distB="0" distL="114300" distR="114300" simplePos="0" relativeHeight="251658240" behindDoc="1" locked="0" layoutInCell="0" allowOverlap="1">
              <wp:simplePos x="0" y="0"/>
              <wp:positionH relativeFrom="margin">
                <wp:posOffset>0</wp:posOffset>
              </wp:positionH>
              <wp:positionV relativeFrom="paragraph">
                <wp:posOffset>0</wp:posOffset>
              </wp:positionV>
              <wp:extent cx="5943600" cy="12065"/>
              <wp:effectExtent l="0" t="0" r="0" b="0"/>
              <wp:wrapNone/>
              <wp:docPr id="15" name="Rectangle 15"/>
              <wp:cNvGraphicFramePr/>
              <a:graphic xmlns:a="http://schemas.openxmlformats.org/drawingml/2006/main">
                <a:graphicData uri="http://schemas.microsoft.com/office/word/2010/wordprocessingShape">
                  <wps:wsp xmlns:wps="http://schemas.microsoft.com/office/word/2010/wordprocessingShape">
                    <wps:cNvSpPr>
                      <a:spLocks noChangeArrowheads="1"/>
                    </wps:cNvSpPr>
                    <wps:spPr bwMode="auto">
                      <a:xfrm>
                        <a:off x="0" y="0"/>
                        <a:ext cx="5943600" cy="12065"/>
                      </a:xfrm>
                      <a:prstGeom prst="rect">
                        <a:avLst/>
                      </a:prstGeom>
                      <a:solidFill>
                        <a:srgbClr val="000000"/>
                      </a:solidFill>
                      <a:ln>
                        <a:noFill/>
                      </a:ln>
                      <a:effectLst/>
                      <a:extLst>
                        <a:ext xmlns:a="http://schemas.openxmlformats.org/drawingml/2006/main" uri="{91240B29-F687-4F45-9708-019B960494DF}">
                          <a14:hiddenLine xmlns:a14="http://schemas.microsoft.com/office/drawing/2010/main" w="635">
                            <a:solidFill>
                              <a:srgbClr val="000000"/>
                            </a:solidFill>
                            <a:miter lim="800000"/>
                            <a:headEnd/>
                            <a:tailEnd/>
                          </a14:hiddenLine>
                        </a:ext>
                        <a:ext xmlns:a="http://schemas.openxmlformats.org/drawingml/2006/main" uri="{AF507438-7753-43E0-B8FC-AC1667EBCBE1}">
                          <a14:hiddenEffects xmlns:a14="http://schemas.microsoft.com/office/drawing/2010/main">
                            <a:effectLst>
                              <a:outerShdw algn="ctr" dir="2700000" dist="35921" rotWithShape="0">
                                <a:srgbClr val="808080"/>
                              </a:outerShdw>
                            </a:effectLst>
                          </a14:hiddenEffects>
                        </a:ext>
                      </a:extLst>
                    </wps:spPr>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rect id="Rectangle 15" o:spid="_x0000_s2049" style="width:468pt;height:0.95pt;margin-top:0;margin-left:0;mso-height-percent:0;mso-height-relative:page;mso-position-horizontal-relative:margin;mso-width-percent:0;mso-width-relative:page;mso-wrap-distance-bottom:0;mso-wrap-distance-left:9pt;mso-wrap-distance-right:9pt;mso-wrap-distance-top:0;mso-wrap-style:square;position:absolute;visibility:visible;v-text-anchor:top;z-index:-251657216" o:allowincell="f" fillcolor="black" stroked="f" strokeweight="0.05pt">
              <w10:wrap anchorx="margin"/>
            </v:rect>
          </w:pict>
        </mc:Fallback>
      </mc:AlternateContent>
    </w:r>
  </w:p>
  <w:p w:rsidR="006A349B" w14:paraId="38DC8A2C" w14:textId="77777777">
    <w:pPr>
      <w:spacing w:before="40"/>
      <w:rPr>
        <w:rFonts w:ascii="Arial" w:hAnsi="Arial" w:cs="Arial"/>
        <w:b/>
        <w:sz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p w:rsidR="00CC1B5C" w:rsidRPr="00A866AC" w:rsidP="00CC1B5C" w14:paraId="6BBAB3E7" w14:textId="47000018">
    <w:pPr>
      <w:spacing w:before="40"/>
      <w:rPr>
        <w:rFonts w:ascii="Arial" w:hAnsi="Arial" w:cs="Arial"/>
        <w:b/>
        <w:sz w:val="96"/>
      </w:rPr>
    </w:pPr>
    <w:r>
      <w:rPr>
        <w:noProof/>
      </w:rPr>
      <mc:AlternateContent>
        <mc:Choice Requires="wps">
          <w:drawing>
            <wp:anchor distT="0" distB="0" distL="114300" distR="114300" simplePos="0" relativeHeight="251660288" behindDoc="0" locked="0" layoutInCell="0" allowOverlap="1">
              <wp:simplePos x="0" y="0"/>
              <wp:positionH relativeFrom="margin">
                <wp:posOffset>-57150</wp:posOffset>
              </wp:positionH>
              <wp:positionV relativeFrom="paragraph">
                <wp:posOffset>741045</wp:posOffset>
              </wp:positionV>
              <wp:extent cx="3108960" cy="640080"/>
              <wp:effectExtent l="0" t="0" r="0" b="0"/>
              <wp:wrapNone/>
              <wp:docPr id="3" name="Text Box 12"/>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3108960" cy="640080"/>
                      </a:xfrm>
                      <a:prstGeom prst="rect">
                        <a:avLst/>
                      </a:prstGeom>
                      <a:solidFill>
                        <a:srgbClr val="FFFFFF"/>
                      </a:solidFill>
                      <a:ln>
                        <a:noFill/>
                      </a:ln>
                    </wps:spPr>
                    <wps:txbx>
                      <w:txbxContent>
                        <w:p w:rsidR="00CC1B5C" w:rsidP="00CC1B5C" w14:textId="77777777">
                          <w:pPr>
                            <w:rPr>
                              <w:rFonts w:ascii="Arial" w:hAnsi="Arial"/>
                              <w:b/>
                            </w:rPr>
                          </w:pPr>
                          <w:r>
                            <w:rPr>
                              <w:rFonts w:ascii="Arial" w:hAnsi="Arial"/>
                              <w:b/>
                            </w:rPr>
                            <w:t>Federal Communications Commission</w:t>
                          </w:r>
                        </w:p>
                        <w:p w:rsidR="00CC1B5C" w:rsidP="00CC1B5C" w14:textId="77777777">
                          <w:pPr>
                            <w:rPr>
                              <w:rFonts w:ascii="Arial" w:hAnsi="Arial"/>
                              <w:b/>
                            </w:rPr>
                          </w:pPr>
                          <w:r>
                            <w:rPr>
                              <w:rFonts w:ascii="Arial" w:hAnsi="Arial"/>
                              <w:b/>
                            </w:rPr>
                            <w:t>45 L Street NE</w:t>
                          </w:r>
                        </w:p>
                        <w:p w:rsidR="00CC1B5C" w:rsidP="00CC1B5C" w14:textId="77777777">
                          <w:pPr>
                            <w:rPr>
                              <w:rFonts w:ascii="Arial" w:hAnsi="Arial"/>
                              <w:sz w:val="24"/>
                            </w:rPr>
                          </w:pPr>
                          <w:r>
                            <w:rPr>
                              <w:rFonts w:ascii="Arial" w:hAnsi="Arial"/>
                              <w:b/>
                            </w:rPr>
                            <w:t>Washington, DC 20554</w:t>
                          </w:r>
                        </w:p>
                      </w:txbxContent>
                    </wps:txbx>
                    <wps:bodyPr rot="0" vert="horz" wrap="square" lIns="91440" tIns="45720" rIns="91440" bIns="45720" anchor="t" anchorCtr="0" upright="1"/>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2" o:spid="_x0000_s2050" type="#_x0000_t202" style="width:244.8pt;height:50.4pt;margin-top:58.35pt;margin-left:-4.5pt;mso-height-percent:0;mso-height-relative:page;mso-position-horizontal-relative:margin;mso-width-percent:0;mso-width-relative:page;mso-wrap-distance-bottom:0;mso-wrap-distance-left:9pt;mso-wrap-distance-right:9pt;mso-wrap-distance-top:0;mso-wrap-style:square;position:absolute;visibility:visible;v-text-anchor:top;z-index:251661312" o:allowincell="f" stroked="f">
              <v:textbox>
                <w:txbxContent>
                  <w:p w:rsidR="00CC1B5C" w:rsidP="00CC1B5C" w14:paraId="7C2EC0B1" w14:textId="77777777">
                    <w:pPr>
                      <w:rPr>
                        <w:rFonts w:ascii="Arial" w:hAnsi="Arial"/>
                        <w:b/>
                      </w:rPr>
                    </w:pPr>
                    <w:r>
                      <w:rPr>
                        <w:rFonts w:ascii="Arial" w:hAnsi="Arial"/>
                        <w:b/>
                      </w:rPr>
                      <w:t>Federal Communications Commission</w:t>
                    </w:r>
                  </w:p>
                  <w:p w:rsidR="00CC1B5C" w:rsidP="00CC1B5C" w14:paraId="28A33439" w14:textId="77777777">
                    <w:pPr>
                      <w:rPr>
                        <w:rFonts w:ascii="Arial" w:hAnsi="Arial"/>
                        <w:b/>
                      </w:rPr>
                    </w:pPr>
                    <w:r>
                      <w:rPr>
                        <w:rFonts w:ascii="Arial" w:hAnsi="Arial"/>
                        <w:b/>
                      </w:rPr>
                      <w:t>45 L Street NE</w:t>
                    </w:r>
                  </w:p>
                  <w:p w:rsidR="00CC1B5C" w:rsidP="00CC1B5C" w14:paraId="1817342B" w14:textId="77777777">
                    <w:pPr>
                      <w:rPr>
                        <w:rFonts w:ascii="Arial" w:hAnsi="Arial"/>
                        <w:sz w:val="24"/>
                      </w:rPr>
                    </w:pPr>
                    <w:r>
                      <w:rPr>
                        <w:rFonts w:ascii="Arial" w:hAnsi="Arial"/>
                        <w:b/>
                      </w:rPr>
                      <w:t>Washington, DC 20554</w:t>
                    </w:r>
                  </w:p>
                </w:txbxContent>
              </v:textbox>
              <w10:wrap anchorx="margin"/>
            </v:shape>
          </w:pict>
        </mc:Fallback>
      </mc:AlternateContent>
    </w:r>
    <w:r>
      <w:rPr>
        <w:noProof/>
      </w:rPr>
      <w:drawing>
        <wp:anchor distT="0" distB="0" distL="114300" distR="114300" simplePos="0" relativeHeight="251662336" behindDoc="0" locked="0" layoutInCell="0" allowOverlap="1">
          <wp:simplePos x="0" y="0"/>
          <wp:positionH relativeFrom="column">
            <wp:posOffset>-650875</wp:posOffset>
          </wp:positionH>
          <wp:positionV relativeFrom="paragraph">
            <wp:posOffset>136525</wp:posOffset>
          </wp:positionV>
          <wp:extent cx="530225" cy="530225"/>
          <wp:effectExtent l="0" t="0" r="0" b="0"/>
          <wp:wrapTopAndBottom/>
          <wp:docPr id="10" name="Picture 11" descr="fcc_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 name="Picture 11" descr="fcc_logo"/>
                  <pic:cNvPicPr>
                    <a:picLocks noChangeAspect="1" noChangeArrowheads="1"/>
                  </pic:cNvPicPr>
                </pic:nvPicPr>
                <pic:blipFill>
                  <a:blip xmlns:r="http://schemas.openxmlformats.org/officeDocument/2006/relationships" r:embed="rId1">
                    <a:extLst>
                      <a:ext xmlns:a="http://schemas.openxmlformats.org/drawingml/2006/main" uri="{28A0092B-C50C-407E-A947-70E740481C1C}">
                        <a14:useLocalDpi xmlns:a14="http://schemas.microsoft.com/office/drawing/2010/main" val="0"/>
                      </a:ext>
                    </a:extLst>
                  </a:blip>
                  <a:stretch>
                    <a:fillRect/>
                  </a:stretch>
                </pic:blipFill>
                <pic:spPr bwMode="auto">
                  <a:xfrm>
                    <a:off x="0" y="0"/>
                    <a:ext cx="530225" cy="530225"/>
                  </a:xfrm>
                  <a:prstGeom prst="rect">
                    <a:avLst/>
                  </a:prstGeom>
                  <a:noFill/>
                </pic:spPr>
              </pic:pic>
            </a:graphicData>
          </a:graphic>
          <wp14:sizeRelH relativeFrom="page">
            <wp14:pctWidth>0</wp14:pctWidth>
          </wp14:sizeRelH>
          <wp14:sizeRelV relativeFrom="page">
            <wp14:pctHeight>0</wp14:pctHeight>
          </wp14:sizeRelV>
        </wp:anchor>
      </w:drawing>
    </w:r>
    <w:r w:rsidRPr="66697DC6">
      <w:rPr>
        <w:rFonts w:ascii="Arial" w:hAnsi="Arial" w:cs="Arial"/>
        <w:b/>
        <w:bCs/>
        <w:sz w:val="96"/>
        <w:szCs w:val="96"/>
      </w:rPr>
      <w:t>PUBLIC NOTICE</w:t>
    </w:r>
  </w:p>
  <w:p w:rsidR="006A349B" w:rsidRPr="004A638B" w:rsidP="004A638B" w14:paraId="447D55FB" w14:textId="59C36887">
    <w:pPr>
      <w:spacing w:before="40"/>
      <w:rPr>
        <w:rFonts w:ascii="Arial" w:hAnsi="Arial" w:cs="Arial"/>
        <w:b/>
        <w:sz w:val="96"/>
      </w:rPr>
    </w:pPr>
    <w:r>
      <w:rPr>
        <w:noProof/>
      </w:rPr>
      <mc:AlternateContent>
        <mc:Choice Requires="wps">
          <w:drawing>
            <wp:anchor distT="0" distB="0" distL="114300" distR="114300" simplePos="0" relativeHeight="251663360" behindDoc="0" locked="0" layoutInCell="0" allowOverlap="1">
              <wp:simplePos x="0" y="0"/>
              <wp:positionH relativeFrom="margin">
                <wp:align>right</wp:align>
              </wp:positionH>
              <wp:positionV relativeFrom="paragraph">
                <wp:posOffset>720089</wp:posOffset>
              </wp:positionV>
              <wp:extent cx="5943600" cy="0"/>
              <wp:effectExtent l="0" t="0" r="0" b="0"/>
              <wp:wrapNone/>
              <wp:docPr id="2" name="Straight Connector 10"/>
              <wp:cNvGraphicFramePr/>
              <a:graphic xmlns:a="http://schemas.openxmlformats.org/drawingml/2006/main">
                <a:graphicData uri="http://schemas.microsoft.com/office/word/2010/wordprocessingShape">
                  <wps:wsp xmlns:wps="http://schemas.microsoft.com/office/word/2010/wordprocessingShape">
                    <wps:cNvCnPr>
                      <a:cxnSpLocks noChangeShapeType="1"/>
                    </wps:cNvCnPr>
                    <wps:spPr bwMode="auto">
                      <a:xfrm>
                        <a:off x="0" y="0"/>
                        <a:ext cx="5943600" cy="0"/>
                      </a:xfrm>
                      <a:prstGeom prst="line">
                        <a:avLst/>
                      </a:prstGeom>
                      <a:noFill/>
                      <a:ln w="9525">
                        <a:solidFill>
                          <a:srgbClr val="000000"/>
                        </a:solidFill>
                        <a:round/>
                        <a:headEnd/>
                        <a:tailEnd/>
                      </a:ln>
                    </wps:spPr>
                    <wps:bodyPr/>
                  </wps:wsp>
                </a:graphicData>
              </a:graphic>
              <wp14:sizeRelH relativeFrom="page">
                <wp14:pctWidth>0</wp14:pctWidth>
              </wp14:sizeRelH>
              <wp14:sizeRelV relativeFrom="page">
                <wp14:pctHeight>0</wp14:pctHeight>
              </wp14:sizeRelV>
            </wp:anchor>
          </w:drawing>
        </mc:Choice>
        <mc:Fallback>
          <w:pict>
            <v:line id="Straight Connector 10" o:spid="_x0000_s2051" style="mso-height-percent:0;mso-height-relative:page;mso-position-horizontal:right;mso-position-horizontal-relative:margin;mso-width-percent:0;mso-width-relative:page;mso-wrap-distance-bottom:0pt;mso-wrap-distance-left:9pt;mso-wrap-distance-right:9pt;mso-wrap-distance-top:0pt;mso-wrap-style:square;position:absolute;visibility:visible;z-index:251664384" from="416.8pt,56.7pt" to="884.8pt,56.7pt" o:allowincell="f">
              <w10:wrap anchorx="margin"/>
            </v:line>
          </w:pict>
        </mc:Fallback>
      </mc:AlternateContent>
    </w:r>
    <w:r>
      <w:rPr>
        <w:noProof/>
      </w:rPr>
      <mc:AlternateContent>
        <mc:Choice Requires="wps">
          <w:drawing>
            <wp:anchor distT="0" distB="0" distL="114300" distR="114300" simplePos="0" relativeHeight="251665408" behindDoc="0" locked="0" layoutInCell="0" allowOverlap="1">
              <wp:simplePos x="0" y="0"/>
              <wp:positionH relativeFrom="column">
                <wp:posOffset>3343275</wp:posOffset>
              </wp:positionH>
              <wp:positionV relativeFrom="paragraph">
                <wp:posOffset>178435</wp:posOffset>
              </wp:positionV>
              <wp:extent cx="2640965" cy="447675"/>
              <wp:effectExtent l="0" t="0" r="0" b="0"/>
              <wp:wrapNone/>
              <wp:docPr id="1" name="Text Box 9"/>
              <wp:cNvGraphicFramePr/>
              <a:graphic xmlns:a="http://schemas.openxmlformats.org/drawingml/2006/main">
                <a:graphicData uri="http://schemas.microsoft.com/office/word/2010/wordprocessingShape">
                  <wps:wsp xmlns:wps="http://schemas.microsoft.com/office/word/2010/wordprocessingShape">
                    <wps:cNvSpPr txBox="1">
                      <a:spLocks noChangeArrowheads="1"/>
                    </wps:cNvSpPr>
                    <wps:spPr bwMode="auto">
                      <a:xfrm>
                        <a:off x="0" y="0"/>
                        <a:ext cx="2640965" cy="447675"/>
                      </a:xfrm>
                      <a:prstGeom prst="rect">
                        <a:avLst/>
                      </a:prstGeom>
                      <a:solidFill>
                        <a:srgbClr val="FFFFFF"/>
                      </a:solidFill>
                      <a:ln>
                        <a:noFill/>
                      </a:ln>
                    </wps:spPr>
                    <wps:txbx>
                      <w:txbxContent>
                        <w:p w:rsidR="00CC1B5C" w:rsidP="00CC1B5C" w14:textId="77777777">
                          <w:pPr>
                            <w:spacing w:before="40"/>
                            <w:jc w:val="right"/>
                            <w:rPr>
                              <w:rFonts w:ascii="Arial" w:hAnsi="Arial"/>
                              <w:b/>
                              <w:sz w:val="16"/>
                            </w:rPr>
                          </w:pPr>
                          <w:r>
                            <w:rPr>
                              <w:rFonts w:ascii="Arial" w:hAnsi="Arial"/>
                              <w:b/>
                              <w:sz w:val="16"/>
                            </w:rPr>
                            <w:t>News Media Information 202 / 418-0500</w:t>
                          </w:r>
                        </w:p>
                        <w:p w:rsidR="00CC1B5C" w:rsidP="00CC1B5C"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CC1B5C" w:rsidP="00CC1B5C" w14:textId="77777777">
                          <w:pPr>
                            <w:jc w:val="right"/>
                          </w:pPr>
                        </w:p>
                      </w:txbxContent>
                    </wps:txbx>
                    <wps:bodyPr rot="0" vert="horz" wrap="square" lIns="91440" tIns="0" rIns="91440" bIns="0" anchor="t" anchorCtr="0" upright="1"/>
                  </wps:wsp>
                </a:graphicData>
              </a:graphic>
              <wp14:sizeRelH relativeFrom="page">
                <wp14:pctWidth>0</wp14:pctWidth>
              </wp14:sizeRelH>
              <wp14:sizeRelV relativeFrom="page">
                <wp14:pctHeight>0</wp14:pctHeight>
              </wp14:sizeRelV>
            </wp:anchor>
          </w:drawing>
        </mc:Choice>
        <mc:Fallback>
          <w:pict>
            <v:shape id="Text Box 9" o:spid="_x0000_s2052" type="#_x0000_t202" style="width:207.95pt;height:35.25pt;margin-top:14.05pt;margin-left:263.25pt;mso-height-percent:0;mso-height-relative:page;mso-width-percent:0;mso-width-relative:page;mso-wrap-distance-bottom:0;mso-wrap-distance-left:9pt;mso-wrap-distance-right:9pt;mso-wrap-distance-top:0;mso-wrap-style:square;position:absolute;visibility:visible;v-text-anchor:top;z-index:251666432" o:allowincell="f" stroked="f">
              <v:textbox inset=",0,,0">
                <w:txbxContent>
                  <w:p w:rsidR="00CC1B5C" w:rsidP="00CC1B5C" w14:paraId="224F5C8A" w14:textId="77777777">
                    <w:pPr>
                      <w:spacing w:before="40"/>
                      <w:jc w:val="right"/>
                      <w:rPr>
                        <w:rFonts w:ascii="Arial" w:hAnsi="Arial"/>
                        <w:b/>
                        <w:sz w:val="16"/>
                      </w:rPr>
                    </w:pPr>
                    <w:r>
                      <w:rPr>
                        <w:rFonts w:ascii="Arial" w:hAnsi="Arial"/>
                        <w:b/>
                        <w:sz w:val="16"/>
                      </w:rPr>
                      <w:t>News Media Information 202 / 418-0500</w:t>
                    </w:r>
                  </w:p>
                  <w:p w:rsidR="00CC1B5C" w:rsidP="00CC1B5C" w14:paraId="599DCF2E" w14:textId="77777777">
                    <w:pPr>
                      <w:jc w:val="right"/>
                      <w:rPr>
                        <w:rFonts w:ascii="Arial" w:hAnsi="Arial"/>
                        <w:b/>
                        <w:sz w:val="16"/>
                      </w:rPr>
                    </w:pPr>
                    <w:r>
                      <w:rPr>
                        <w:rFonts w:ascii="Arial" w:hAnsi="Arial"/>
                        <w:b/>
                        <w:sz w:val="16"/>
                      </w:rPr>
                      <w:t xml:space="preserve">Internet: </w:t>
                    </w:r>
                    <w:bookmarkStart w:id="1" w:name="_Hlt233824"/>
                    <w:hyperlink r:id="rId2" w:history="1">
                      <w:r w:rsidRPr="00D216CD">
                        <w:rPr>
                          <w:rStyle w:val="Hyperlink"/>
                          <w:rFonts w:ascii="Arial" w:hAnsi="Arial"/>
                          <w:b/>
                          <w:sz w:val="16"/>
                        </w:rPr>
                        <w:t>h</w:t>
                      </w:r>
                      <w:bookmarkEnd w:id="1"/>
                      <w:r w:rsidRPr="00D216CD">
                        <w:rPr>
                          <w:rStyle w:val="Hyperlink"/>
                          <w:rFonts w:ascii="Arial" w:hAnsi="Arial"/>
                          <w:b/>
                          <w:sz w:val="16"/>
                        </w:rPr>
                        <w:t>ttps://www.fcc.gov</w:t>
                      </w:r>
                    </w:hyperlink>
                  </w:p>
                  <w:p w:rsidR="00CC1B5C" w:rsidP="00CC1B5C" w14:paraId="162208A1" w14:textId="77777777">
                    <w:pPr>
                      <w:jc w:val="right"/>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ne="http://schemas.microsoft.com/office/word/2006/wordml" xmlns:wpg="http://schemas.microsoft.com/office/word/2010/wordprocessingGroup" xmlns:wpi="http://schemas.microsoft.com/office/word/2010/wordprocessingInk" xmlns:wps="http://schemas.microsoft.com/office/word/2010/wordprocessingShape" mc:Ignorable="w14 w15 wp14">
  <w:abstractNum w:abstractNumId="0">
    <w:nsid w:val="084B453C"/>
    <w:multiLevelType w:val="singleLevel"/>
    <w:tmpl w:val="40A8E97A"/>
    <w:lvl w:ilvl="0">
      <w:start w:val="1"/>
      <w:numFmt w:val="decimal"/>
      <w:lvlText w:val="%1."/>
      <w:lvlJc w:val="left"/>
      <w:pPr>
        <w:tabs>
          <w:tab w:val="num" w:pos="1080"/>
        </w:tabs>
        <w:ind w:left="0" w:firstLine="720"/>
      </w:pPr>
    </w:lvl>
  </w:abstractNum>
  <w:abstractNum w:abstractNumId="1">
    <w:nsid w:val="23F40A0F"/>
    <w:multiLevelType w:val="singleLevel"/>
    <w:tmpl w:val="3244DD0A"/>
    <w:lvl w:ilvl="0">
      <w:start w:val="1"/>
      <w:numFmt w:val="bullet"/>
      <w:pStyle w:val="Bullet"/>
      <w:lvlText w:val=""/>
      <w:lvlJc w:val="left"/>
      <w:pPr>
        <w:tabs>
          <w:tab w:val="num" w:pos="360"/>
        </w:tabs>
        <w:ind w:left="360" w:hanging="360"/>
      </w:pPr>
      <w:rPr>
        <w:rFonts w:ascii="Symbol" w:hAnsi="Symbol" w:hint="default"/>
      </w:rPr>
    </w:lvl>
  </w:abstractNum>
  <w:abstractNum w:abstractNumId="2">
    <w:nsid w:val="248246F3"/>
    <w:multiLevelType w:val="singleLevel"/>
    <w:tmpl w:val="B1F45678"/>
    <w:lvl w:ilvl="0">
      <w:start w:val="1"/>
      <w:numFmt w:val="decimal"/>
      <w:lvlText w:val="%1."/>
      <w:lvlJc w:val="left"/>
      <w:pPr>
        <w:tabs>
          <w:tab w:val="num" w:pos="1080"/>
        </w:tabs>
        <w:ind w:left="0" w:firstLine="720"/>
      </w:pPr>
    </w:lvl>
  </w:abstractNum>
  <w:abstractNum w:abstractNumId="3">
    <w:nsid w:val="27E06CBB"/>
    <w:multiLevelType w:val="multilevel"/>
    <w:tmpl w:val="F1A86982"/>
    <w:lvl w:ilvl="0">
      <w:start w:val="1"/>
      <w:numFmt w:val="upperRoman"/>
      <w:pStyle w:val="Heading1"/>
      <w:lvlText w:val="%1."/>
      <w:lvlJc w:val="left"/>
      <w:pPr>
        <w:tabs>
          <w:tab w:val="num" w:pos="720"/>
        </w:tabs>
        <w:ind w:left="720" w:hanging="720"/>
      </w:pPr>
    </w:lvl>
    <w:lvl w:ilvl="1">
      <w:start w:val="1"/>
      <w:numFmt w:val="upperLetter"/>
      <w:pStyle w:val="Heading2"/>
      <w:lvlText w:val="%2."/>
      <w:lvlJc w:val="left"/>
      <w:pPr>
        <w:tabs>
          <w:tab w:val="num" w:pos="1440"/>
        </w:tabs>
        <w:ind w:left="1440" w:hanging="720"/>
      </w:pPr>
    </w:lvl>
    <w:lvl w:ilvl="2">
      <w:start w:val="1"/>
      <w:numFmt w:val="decimal"/>
      <w:pStyle w:val="Heading3"/>
      <w:lvlText w:val="%3."/>
      <w:lvlJc w:val="left"/>
      <w:pPr>
        <w:tabs>
          <w:tab w:val="num" w:pos="2160"/>
        </w:tabs>
        <w:ind w:left="2160" w:hanging="720"/>
      </w:pPr>
    </w:lvl>
    <w:lvl w:ilvl="3">
      <w:start w:val="1"/>
      <w:numFmt w:val="lowerLetter"/>
      <w:pStyle w:val="Heading4"/>
      <w:lvlText w:val="%4."/>
      <w:lvlJc w:val="left"/>
      <w:pPr>
        <w:tabs>
          <w:tab w:val="num" w:pos="2880"/>
        </w:tabs>
        <w:ind w:left="2880" w:hanging="720"/>
      </w:pPr>
    </w:lvl>
    <w:lvl w:ilvl="4">
      <w:start w:val="1"/>
      <w:numFmt w:val="lowerRoman"/>
      <w:pStyle w:val="Heading5"/>
      <w:lvlText w:val="(%5)"/>
      <w:lvlJc w:val="left"/>
      <w:pPr>
        <w:tabs>
          <w:tab w:val="num" w:pos="3600"/>
        </w:tabs>
        <w:ind w:left="3600" w:hanging="720"/>
      </w:pPr>
    </w:lvl>
    <w:lvl w:ilvl="5">
      <w:start w:val="1"/>
      <w:numFmt w:val="lowerLetter"/>
      <w:pStyle w:val="Heading6"/>
      <w:lvlText w:val="(%6)"/>
      <w:lvlJc w:val="left"/>
      <w:pPr>
        <w:tabs>
          <w:tab w:val="num" w:pos="4320"/>
        </w:tabs>
        <w:ind w:left="4320" w:hanging="720"/>
      </w:pPr>
    </w:lvl>
    <w:lvl w:ilvl="6">
      <w:start w:val="1"/>
      <w:numFmt w:val="lowerRoman"/>
      <w:pStyle w:val="Heading7"/>
      <w:lvlText w:val="(%7)"/>
      <w:lvlJc w:val="left"/>
      <w:pPr>
        <w:tabs>
          <w:tab w:val="num" w:pos="5040"/>
        </w:tabs>
        <w:ind w:left="4320" w:firstLine="0"/>
      </w:pPr>
    </w:lvl>
    <w:lvl w:ilvl="7">
      <w:start w:val="1"/>
      <w:numFmt w:val="lowerLetter"/>
      <w:pStyle w:val="Heading8"/>
      <w:lvlText w:val="(%8)"/>
      <w:lvlJc w:val="left"/>
      <w:pPr>
        <w:tabs>
          <w:tab w:val="num" w:pos="5400"/>
        </w:tabs>
        <w:ind w:left="5040" w:firstLine="0"/>
      </w:pPr>
    </w:lvl>
    <w:lvl w:ilvl="8">
      <w:start w:val="1"/>
      <w:numFmt w:val="lowerRoman"/>
      <w:pStyle w:val="Heading9"/>
      <w:lvlText w:val="(%9)"/>
      <w:lvlJc w:val="left"/>
      <w:pPr>
        <w:tabs>
          <w:tab w:val="num" w:pos="6120"/>
        </w:tabs>
        <w:ind w:left="5760" w:firstLine="0"/>
      </w:pPr>
    </w:lvl>
  </w:abstractNum>
  <w:abstractNum w:abstractNumId="4">
    <w:nsid w:val="35BB75EE"/>
    <w:multiLevelType w:val="hybridMultilevel"/>
    <w:tmpl w:val="1B4EE23E"/>
    <w:lvl w:ilvl="0">
      <w:start w:val="1"/>
      <w:numFmt w:val="bullet"/>
      <w:lvlText w:val=""/>
      <w:lvlJc w:val="left"/>
      <w:pPr>
        <w:ind w:left="360" w:hanging="360"/>
      </w:pPr>
      <w:rPr>
        <w:rFonts w:ascii="Symbol" w:hAnsi="Symbol" w:hint="default"/>
      </w:rPr>
    </w:lvl>
    <w:lvl w:ilvl="1">
      <w:start w:val="1"/>
      <w:numFmt w:val="bullet"/>
      <w:lvlText w:val="o"/>
      <w:lvlJc w:val="left"/>
      <w:pPr>
        <w:ind w:left="1080" w:hanging="360"/>
      </w:pPr>
      <w:rPr>
        <w:rFonts w:ascii="Courier New" w:hAnsi="Courier New" w:cs="Courier New" w:hint="default"/>
      </w:rPr>
    </w:lvl>
    <w:lvl w:ilvl="2" w:tentative="1">
      <w:start w:val="1"/>
      <w:numFmt w:val="bullet"/>
      <w:lvlText w:val=""/>
      <w:lvlJc w:val="left"/>
      <w:pPr>
        <w:ind w:left="1800" w:hanging="360"/>
      </w:pPr>
      <w:rPr>
        <w:rFonts w:ascii="Wingdings" w:hAnsi="Wingdings" w:hint="default"/>
      </w:rPr>
    </w:lvl>
    <w:lvl w:ilvl="3" w:tentative="1">
      <w:start w:val="1"/>
      <w:numFmt w:val="bullet"/>
      <w:lvlText w:val=""/>
      <w:lvlJc w:val="left"/>
      <w:pPr>
        <w:ind w:left="2520" w:hanging="360"/>
      </w:pPr>
      <w:rPr>
        <w:rFonts w:ascii="Symbol" w:hAnsi="Symbol" w:hint="default"/>
      </w:rPr>
    </w:lvl>
    <w:lvl w:ilvl="4" w:tentative="1">
      <w:start w:val="1"/>
      <w:numFmt w:val="bullet"/>
      <w:lvlText w:val="o"/>
      <w:lvlJc w:val="left"/>
      <w:pPr>
        <w:ind w:left="3240" w:hanging="360"/>
      </w:pPr>
      <w:rPr>
        <w:rFonts w:ascii="Courier New" w:hAnsi="Courier New" w:cs="Courier New" w:hint="default"/>
      </w:rPr>
    </w:lvl>
    <w:lvl w:ilvl="5" w:tentative="1">
      <w:start w:val="1"/>
      <w:numFmt w:val="bullet"/>
      <w:lvlText w:val=""/>
      <w:lvlJc w:val="left"/>
      <w:pPr>
        <w:ind w:left="3960" w:hanging="360"/>
      </w:pPr>
      <w:rPr>
        <w:rFonts w:ascii="Wingdings" w:hAnsi="Wingdings" w:hint="default"/>
      </w:rPr>
    </w:lvl>
    <w:lvl w:ilvl="6" w:tentative="1">
      <w:start w:val="1"/>
      <w:numFmt w:val="bullet"/>
      <w:lvlText w:val=""/>
      <w:lvlJc w:val="left"/>
      <w:pPr>
        <w:ind w:left="4680" w:hanging="360"/>
      </w:pPr>
      <w:rPr>
        <w:rFonts w:ascii="Symbol" w:hAnsi="Symbol" w:hint="default"/>
      </w:rPr>
    </w:lvl>
    <w:lvl w:ilvl="7" w:tentative="1">
      <w:start w:val="1"/>
      <w:numFmt w:val="bullet"/>
      <w:lvlText w:val="o"/>
      <w:lvlJc w:val="left"/>
      <w:pPr>
        <w:ind w:left="5400" w:hanging="360"/>
      </w:pPr>
      <w:rPr>
        <w:rFonts w:ascii="Courier New" w:hAnsi="Courier New" w:cs="Courier New" w:hint="default"/>
      </w:rPr>
    </w:lvl>
    <w:lvl w:ilvl="8" w:tentative="1">
      <w:start w:val="1"/>
      <w:numFmt w:val="bullet"/>
      <w:lvlText w:val=""/>
      <w:lvlJc w:val="left"/>
      <w:pPr>
        <w:ind w:left="6120" w:hanging="360"/>
      </w:pPr>
      <w:rPr>
        <w:rFonts w:ascii="Wingdings" w:hAnsi="Wingdings" w:hint="default"/>
      </w:rPr>
    </w:lvl>
  </w:abstractNum>
  <w:abstractNum w:abstractNumId="5">
    <w:nsid w:val="4DF61CE4"/>
    <w:multiLevelType w:val="multilevel"/>
    <w:tmpl w:val="F1A86982"/>
    <w:lvl w:ilvl="0">
      <w:start w:val="1"/>
      <w:numFmt w:val="upperRoman"/>
      <w:lvlText w:val="%1."/>
      <w:lvlJc w:val="left"/>
      <w:pPr>
        <w:tabs>
          <w:tab w:val="num" w:pos="720"/>
        </w:tabs>
        <w:ind w:left="720" w:hanging="720"/>
      </w:pPr>
    </w:lvl>
    <w:lvl w:ilvl="1">
      <w:start w:val="1"/>
      <w:numFmt w:val="upperLetter"/>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lowerLetter"/>
      <w:lvlText w:val="%4."/>
      <w:lvlJc w:val="left"/>
      <w:pPr>
        <w:tabs>
          <w:tab w:val="num" w:pos="2880"/>
        </w:tabs>
        <w:ind w:left="2880" w:hanging="720"/>
      </w:pPr>
    </w:lvl>
    <w:lvl w:ilvl="4">
      <w:start w:val="1"/>
      <w:numFmt w:val="lowerRoman"/>
      <w:lvlText w:val="(%5)"/>
      <w:lvlJc w:val="left"/>
      <w:pPr>
        <w:tabs>
          <w:tab w:val="num" w:pos="3600"/>
        </w:tabs>
        <w:ind w:left="3600" w:hanging="720"/>
      </w:pPr>
    </w:lvl>
    <w:lvl w:ilvl="5">
      <w:start w:val="1"/>
      <w:numFmt w:val="lowerLetter"/>
      <w:lvlText w:val="(%6)"/>
      <w:lvlJc w:val="left"/>
      <w:pPr>
        <w:tabs>
          <w:tab w:val="num" w:pos="4320"/>
        </w:tabs>
        <w:ind w:left="4320" w:hanging="720"/>
      </w:pPr>
    </w:lvl>
    <w:lvl w:ilvl="6">
      <w:start w:val="1"/>
      <w:numFmt w:val="lowerRoman"/>
      <w:lvlText w:val="(%7)"/>
      <w:lvlJc w:val="left"/>
      <w:pPr>
        <w:tabs>
          <w:tab w:val="num" w:pos="5040"/>
        </w:tabs>
        <w:ind w:left="4320" w:firstLine="0"/>
      </w:pPr>
    </w:lvl>
    <w:lvl w:ilvl="7">
      <w:start w:val="1"/>
      <w:numFmt w:val="lowerLetter"/>
      <w:lvlText w:val="(%8)"/>
      <w:lvlJc w:val="left"/>
      <w:pPr>
        <w:tabs>
          <w:tab w:val="num" w:pos="5400"/>
        </w:tabs>
        <w:ind w:left="5040" w:firstLine="0"/>
      </w:pPr>
    </w:lvl>
    <w:lvl w:ilvl="8">
      <w:start w:val="1"/>
      <w:numFmt w:val="lowerRoman"/>
      <w:lvlText w:val="(%9)"/>
      <w:lvlJc w:val="left"/>
      <w:pPr>
        <w:tabs>
          <w:tab w:val="num" w:pos="6120"/>
        </w:tabs>
        <w:ind w:left="5760" w:firstLine="0"/>
      </w:pPr>
    </w:lvl>
  </w:abstractNum>
  <w:abstractNum w:abstractNumId="6">
    <w:nsid w:val="61182925"/>
    <w:multiLevelType w:val="singleLevel"/>
    <w:tmpl w:val="D180CED0"/>
    <w:lvl w:ilvl="0">
      <w:start w:val="1"/>
      <w:numFmt w:val="decimal"/>
      <w:pStyle w:val="ParaNum"/>
      <w:lvlText w:val="%1."/>
      <w:lvlJc w:val="left"/>
      <w:pPr>
        <w:tabs>
          <w:tab w:val="num" w:pos="1080"/>
        </w:tabs>
        <w:ind w:left="0" w:firstLine="720"/>
      </w:pPr>
    </w:lvl>
  </w:abstractNum>
  <w:num w:numId="1">
    <w:abstractNumId w:val="1"/>
  </w:num>
  <w:num w:numId="2">
    <w:abstractNumId w:val="6"/>
  </w:num>
  <w:num w:numId="3">
    <w:abstractNumId w:val="3"/>
  </w:num>
  <w:num w:numId="4">
    <w:abstractNumId w:val="5"/>
  </w:num>
  <w:num w:numId="5">
    <w:abstractNumId w:val="2"/>
  </w:num>
  <w:num w:numId="6">
    <w:abstractNumId w:val="0"/>
  </w:num>
  <w:num w:numId="7">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20"/>
  <w:removePersonalInformation/>
  <w:removeDateAndTime/>
  <w:bordersDoNotSurroundHeader/>
  <w:bordersDoNotSurroundFooter/>
  <w:proofState w:spelling="clean" w:grammar="clean"/>
  <w:stylePaneFormatFilter w:val="3F01" w:allStyles="1" w:alternateStyleNames="0" w:clearFormatting="1" w:customStyles="0" w:directFormattingOnNumbering="1" w:directFormattingOnParagraphs="1" w:directFormattingOnRuns="1" w:directFormattingOnTables="1" w:headingStyles="0" w:latentStyles="0" w:numberingStyles="0" w:stylesInUse="0" w:tableStyles="0" w:top3HeadingStyles="1" w:visibleStyles="0"/>
  <w:defaultTabStop w:val="720"/>
  <w:hyphenationZone w:val="950"/>
  <w:doNotHyphenateCaps/>
  <w:drawingGridHorizontalSpacing w:val="0"/>
  <w:drawingGridVerticalSpacing w:val="0"/>
  <w:displayHorizontalDrawingGridEvery w:val="0"/>
  <w:displayVerticalDrawingGridEvery w:val="0"/>
  <w:doNotUseMarginsForDrawingGridOrigin/>
  <w:drawingGridHorizontalOrigin w:val="0"/>
  <w:drawingGridVerticalOrigin w:val="0"/>
  <w:noPunctuationKerning/>
  <w:characterSpacingControl w:val="doNotCompress"/>
  <w:footnotePr>
    <w:footnote w:id="0"/>
    <w:footnote w:id="1"/>
    <w:footnote w:id="2"/>
  </w:footnotePr>
  <w:endnotePr>
    <w:numFmt w:val="decimal"/>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B5D77"/>
    <w:rsid w:val="0008313C"/>
    <w:rsid w:val="000A5800"/>
    <w:rsid w:val="000E2C12"/>
    <w:rsid w:val="00176018"/>
    <w:rsid w:val="001B5D77"/>
    <w:rsid w:val="001F6049"/>
    <w:rsid w:val="00216B7A"/>
    <w:rsid w:val="00253701"/>
    <w:rsid w:val="00287B04"/>
    <w:rsid w:val="00295C73"/>
    <w:rsid w:val="00354AFA"/>
    <w:rsid w:val="004A638B"/>
    <w:rsid w:val="00543EA3"/>
    <w:rsid w:val="00544B23"/>
    <w:rsid w:val="005B6618"/>
    <w:rsid w:val="005B6EF5"/>
    <w:rsid w:val="005D1F1F"/>
    <w:rsid w:val="00601CBE"/>
    <w:rsid w:val="006A349B"/>
    <w:rsid w:val="006B7816"/>
    <w:rsid w:val="006C13FF"/>
    <w:rsid w:val="00807F74"/>
    <w:rsid w:val="00842081"/>
    <w:rsid w:val="008666C0"/>
    <w:rsid w:val="008E749A"/>
    <w:rsid w:val="00930ECF"/>
    <w:rsid w:val="00A145F9"/>
    <w:rsid w:val="00A866AC"/>
    <w:rsid w:val="00A93B55"/>
    <w:rsid w:val="00AA0B06"/>
    <w:rsid w:val="00B17652"/>
    <w:rsid w:val="00B20363"/>
    <w:rsid w:val="00B22C1B"/>
    <w:rsid w:val="00B30560"/>
    <w:rsid w:val="00B77554"/>
    <w:rsid w:val="00BC35ED"/>
    <w:rsid w:val="00BC720B"/>
    <w:rsid w:val="00C04767"/>
    <w:rsid w:val="00C1530B"/>
    <w:rsid w:val="00C80AED"/>
    <w:rsid w:val="00CC1B5C"/>
    <w:rsid w:val="00CC5573"/>
    <w:rsid w:val="00D216CD"/>
    <w:rsid w:val="00D3244C"/>
    <w:rsid w:val="00D56F73"/>
    <w:rsid w:val="00E464AB"/>
    <w:rsid w:val="00E737FF"/>
    <w:rsid w:val="00E847CA"/>
    <w:rsid w:val="00E930E4"/>
    <w:rsid w:val="00EE172F"/>
    <w:rsid w:val="00F67A63"/>
    <w:rsid w:val="00F75EAD"/>
    <w:rsid w:val="00FD2D4B"/>
    <w:rsid w:val="08903156"/>
    <w:rsid w:val="45A32D89"/>
    <w:rsid w:val="4FCA1A33"/>
    <w:rsid w:val="66697DC6"/>
  </w:rsids>
  <m:mathPr>
    <m:mathFont m:val="Cambria Math"/>
  </m:mathPr>
  <w:themeFontLang w:val="en-US"/>
  <w:clrSchemeMapping w:bg1="light1" w:t1="dark1" w:bg2="light2" w:t2="dark2" w:accent1="accent1" w:accent2="accent2" w:accent3="accent3" w:accent4="accent4" w:accent5="accent5" w:accent6="accent6" w:hyperlink="hyperlink" w:followedHyperlink="followedHyperlink"/>
  <w:doNotIncludeSubdocsInStats/>
  <w14:docId w14:val="715E57E5"/>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Smart Link" w:semiHidden="1" w:unhideWhenUsed="1"/>
  </w:latentStyles>
  <w:style w:type="paragraph" w:default="1" w:styleId="Normal">
    <w:name w:val="Normal"/>
    <w:qFormat/>
    <w:pPr>
      <w:widowControl w:val="0"/>
    </w:pPr>
    <w:rPr>
      <w:snapToGrid w:val="0"/>
      <w:kern w:val="28"/>
      <w:sz w:val="22"/>
    </w:rPr>
  </w:style>
  <w:style w:type="paragraph" w:styleId="Heading1">
    <w:name w:val="heading 1"/>
    <w:basedOn w:val="Normal"/>
    <w:next w:val="ParaNum"/>
    <w:qFormat/>
    <w:pPr>
      <w:keepNext/>
      <w:numPr>
        <w:numId w:val="3"/>
      </w:numPr>
      <w:tabs>
        <w:tab w:val="left" w:pos="720"/>
      </w:tabs>
      <w:suppressAutoHyphens/>
      <w:spacing w:after="120"/>
      <w:outlineLvl w:val="0"/>
    </w:pPr>
    <w:rPr>
      <w:rFonts w:ascii="Times New Roman Bold" w:hAnsi="Times New Roman Bold"/>
      <w:b/>
      <w:caps/>
    </w:rPr>
  </w:style>
  <w:style w:type="paragraph" w:styleId="Heading2">
    <w:name w:val="heading 2"/>
    <w:basedOn w:val="Normal"/>
    <w:next w:val="ParaNum"/>
    <w:autoRedefine/>
    <w:qFormat/>
    <w:pPr>
      <w:keepNext/>
      <w:numPr>
        <w:ilvl w:val="1"/>
        <w:numId w:val="3"/>
      </w:numPr>
      <w:spacing w:after="120"/>
      <w:outlineLvl w:val="1"/>
    </w:pPr>
    <w:rPr>
      <w:b/>
    </w:rPr>
  </w:style>
  <w:style w:type="paragraph" w:styleId="Heading3">
    <w:name w:val="heading 3"/>
    <w:basedOn w:val="Normal"/>
    <w:next w:val="ParaNum"/>
    <w:qFormat/>
    <w:pPr>
      <w:keepNext/>
      <w:numPr>
        <w:ilvl w:val="2"/>
        <w:numId w:val="3"/>
      </w:numPr>
      <w:tabs>
        <w:tab w:val="left" w:pos="2160"/>
      </w:tabs>
      <w:spacing w:after="120"/>
      <w:outlineLvl w:val="2"/>
    </w:pPr>
    <w:rPr>
      <w:b/>
    </w:rPr>
  </w:style>
  <w:style w:type="paragraph" w:styleId="Heading4">
    <w:name w:val="heading 4"/>
    <w:basedOn w:val="Normal"/>
    <w:next w:val="ParaNum"/>
    <w:qFormat/>
    <w:pPr>
      <w:keepNext/>
      <w:numPr>
        <w:ilvl w:val="3"/>
        <w:numId w:val="3"/>
      </w:numPr>
      <w:tabs>
        <w:tab w:val="left" w:pos="2880"/>
      </w:tabs>
      <w:spacing w:after="120"/>
      <w:outlineLvl w:val="3"/>
    </w:pPr>
    <w:rPr>
      <w:b/>
    </w:rPr>
  </w:style>
  <w:style w:type="paragraph" w:styleId="Heading5">
    <w:name w:val="heading 5"/>
    <w:basedOn w:val="Normal"/>
    <w:next w:val="ParaNum"/>
    <w:qFormat/>
    <w:pPr>
      <w:keepNext/>
      <w:numPr>
        <w:ilvl w:val="4"/>
        <w:numId w:val="3"/>
      </w:numPr>
      <w:tabs>
        <w:tab w:val="left" w:pos="3600"/>
      </w:tabs>
      <w:suppressAutoHyphens/>
      <w:spacing w:after="120"/>
      <w:outlineLvl w:val="4"/>
    </w:pPr>
    <w:rPr>
      <w:b/>
    </w:rPr>
  </w:style>
  <w:style w:type="paragraph" w:styleId="Heading6">
    <w:name w:val="heading 6"/>
    <w:basedOn w:val="Normal"/>
    <w:next w:val="ParaNum"/>
    <w:qFormat/>
    <w:pPr>
      <w:numPr>
        <w:ilvl w:val="5"/>
        <w:numId w:val="3"/>
      </w:numPr>
      <w:tabs>
        <w:tab w:val="left" w:pos="4320"/>
      </w:tabs>
      <w:spacing w:after="120"/>
      <w:outlineLvl w:val="5"/>
    </w:pPr>
    <w:rPr>
      <w:b/>
    </w:rPr>
  </w:style>
  <w:style w:type="paragraph" w:styleId="Heading7">
    <w:name w:val="heading 7"/>
    <w:basedOn w:val="Normal"/>
    <w:next w:val="ParaNum"/>
    <w:qFormat/>
    <w:pPr>
      <w:numPr>
        <w:ilvl w:val="6"/>
        <w:numId w:val="3"/>
      </w:numPr>
      <w:tabs>
        <w:tab w:val="left" w:pos="5040"/>
      </w:tabs>
      <w:spacing w:after="120"/>
      <w:ind w:left="5040" w:hanging="720"/>
      <w:outlineLvl w:val="6"/>
    </w:pPr>
    <w:rPr>
      <w:b/>
    </w:rPr>
  </w:style>
  <w:style w:type="paragraph" w:styleId="Heading8">
    <w:name w:val="heading 8"/>
    <w:basedOn w:val="Normal"/>
    <w:next w:val="ParaNum"/>
    <w:qFormat/>
    <w:pPr>
      <w:numPr>
        <w:ilvl w:val="7"/>
        <w:numId w:val="3"/>
      </w:numPr>
      <w:tabs>
        <w:tab w:val="clear" w:pos="5400"/>
        <w:tab w:val="left" w:pos="5760"/>
      </w:tabs>
      <w:spacing w:after="120"/>
      <w:ind w:left="5760" w:hanging="720"/>
      <w:outlineLvl w:val="7"/>
    </w:pPr>
    <w:rPr>
      <w:b/>
    </w:rPr>
  </w:style>
  <w:style w:type="paragraph" w:styleId="Heading9">
    <w:name w:val="heading 9"/>
    <w:basedOn w:val="Normal"/>
    <w:next w:val="ParaNum"/>
    <w:qFormat/>
    <w:pPr>
      <w:numPr>
        <w:ilvl w:val="8"/>
        <w:numId w:val="3"/>
      </w:numPr>
      <w:tabs>
        <w:tab w:val="clear" w:pos="6120"/>
        <w:tab w:val="left" w:pos="6480"/>
      </w:tabs>
      <w:spacing w:after="120"/>
      <w:ind w:left="6480" w:hanging="720"/>
      <w:outlineLvl w:val="8"/>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ParaNum">
    <w:name w:val="ParaNum"/>
    <w:basedOn w:val="Normal"/>
    <w:pPr>
      <w:numPr>
        <w:numId w:val="2"/>
      </w:numPr>
      <w:tabs>
        <w:tab w:val="clear" w:pos="1080"/>
        <w:tab w:val="num" w:pos="1440"/>
      </w:tabs>
      <w:spacing w:after="120"/>
    </w:pPr>
  </w:style>
  <w:style w:type="paragraph" w:styleId="EndnoteText">
    <w:name w:val="endnote text"/>
    <w:basedOn w:val="Normal"/>
    <w:semiHidden/>
    <w:rPr>
      <w:sz w:val="20"/>
    </w:rPr>
  </w:style>
  <w:style w:type="character" w:styleId="EndnoteReference">
    <w:name w:val="endnote reference"/>
    <w:semiHidden/>
    <w:rPr>
      <w:vertAlign w:val="superscript"/>
    </w:rPr>
  </w:style>
  <w:style w:type="paragraph" w:styleId="FootnoteText">
    <w:name w:val="footnote text"/>
    <w:semiHidden/>
    <w:pPr>
      <w:spacing w:after="120"/>
    </w:pPr>
  </w:style>
  <w:style w:type="character" w:styleId="FootnoteReference">
    <w:name w:val="footnote reference"/>
    <w:semiHidden/>
    <w:rPr>
      <w:rFonts w:ascii="Times New Roman" w:hAnsi="Times New Roman"/>
      <w:dstrike w:val="0"/>
      <w:color w:val="auto"/>
      <w:sz w:val="22"/>
      <w:vertAlign w:val="superscript"/>
    </w:rPr>
  </w:style>
  <w:style w:type="paragraph" w:styleId="TOC1">
    <w:name w:val="toc 1"/>
    <w:basedOn w:val="Normal"/>
    <w:next w:val="Normal"/>
    <w:uiPriority w:val="39"/>
    <w:pPr>
      <w:tabs>
        <w:tab w:val="left" w:pos="360"/>
        <w:tab w:val="right" w:leader="dot" w:pos="9360"/>
      </w:tabs>
      <w:suppressAutoHyphens/>
      <w:ind w:left="360" w:right="720" w:hanging="360"/>
    </w:pPr>
    <w:rPr>
      <w:caps/>
      <w:noProof/>
    </w:rPr>
  </w:style>
  <w:style w:type="paragraph" w:styleId="TOC2">
    <w:name w:val="toc 2"/>
    <w:basedOn w:val="Normal"/>
    <w:next w:val="Normal"/>
    <w:semiHidden/>
    <w:pPr>
      <w:tabs>
        <w:tab w:val="left" w:pos="720"/>
        <w:tab w:val="right" w:leader="dot" w:pos="9360"/>
      </w:tabs>
      <w:suppressAutoHyphens/>
      <w:ind w:left="720" w:right="720" w:hanging="360"/>
    </w:pPr>
    <w:rPr>
      <w:noProof/>
    </w:rPr>
  </w:style>
  <w:style w:type="paragraph" w:styleId="TOC3">
    <w:name w:val="toc 3"/>
    <w:basedOn w:val="Normal"/>
    <w:next w:val="Normal"/>
    <w:semiHidden/>
    <w:pPr>
      <w:tabs>
        <w:tab w:val="left" w:pos="1080"/>
        <w:tab w:val="right" w:leader="dot" w:pos="9360"/>
      </w:tabs>
      <w:suppressAutoHyphens/>
      <w:ind w:left="1080" w:right="720" w:hanging="360"/>
    </w:pPr>
    <w:rPr>
      <w:noProof/>
    </w:rPr>
  </w:style>
  <w:style w:type="paragraph" w:styleId="TOC4">
    <w:name w:val="toc 4"/>
    <w:basedOn w:val="Normal"/>
    <w:next w:val="Normal"/>
    <w:autoRedefine/>
    <w:semiHidden/>
    <w:pPr>
      <w:tabs>
        <w:tab w:val="left" w:pos="1440"/>
        <w:tab w:val="right" w:leader="dot" w:pos="9360"/>
      </w:tabs>
      <w:suppressAutoHyphens/>
      <w:ind w:left="1440" w:right="720" w:hanging="360"/>
    </w:pPr>
    <w:rPr>
      <w:noProof/>
    </w:rPr>
  </w:style>
  <w:style w:type="paragraph" w:styleId="TOC5">
    <w:name w:val="toc 5"/>
    <w:basedOn w:val="Normal"/>
    <w:next w:val="Normal"/>
    <w:autoRedefine/>
    <w:semiHidden/>
    <w:pPr>
      <w:tabs>
        <w:tab w:val="left" w:pos="1800"/>
        <w:tab w:val="right" w:leader="dot" w:pos="9360"/>
      </w:tabs>
      <w:suppressAutoHyphens/>
      <w:ind w:left="1800" w:right="720" w:hanging="360"/>
    </w:pPr>
    <w:rPr>
      <w:noProof/>
    </w:rPr>
  </w:style>
  <w:style w:type="paragraph" w:styleId="TOC6">
    <w:name w:val="toc 6"/>
    <w:basedOn w:val="Normal"/>
    <w:next w:val="Normal"/>
    <w:autoRedefine/>
    <w:semiHidden/>
    <w:pPr>
      <w:tabs>
        <w:tab w:val="left" w:pos="2160"/>
        <w:tab w:val="right" w:leader="dot" w:pos="9360"/>
      </w:tabs>
      <w:suppressAutoHyphens/>
      <w:ind w:left="2160" w:hanging="360"/>
    </w:pPr>
    <w:rPr>
      <w:noProof/>
    </w:rPr>
  </w:style>
  <w:style w:type="paragraph" w:styleId="TOC7">
    <w:name w:val="toc 7"/>
    <w:basedOn w:val="Normal"/>
    <w:next w:val="Normal"/>
    <w:autoRedefine/>
    <w:semiHidden/>
    <w:pPr>
      <w:tabs>
        <w:tab w:val="left" w:pos="2520"/>
        <w:tab w:val="right" w:leader="dot" w:pos="9360"/>
      </w:tabs>
      <w:suppressAutoHyphens/>
      <w:ind w:left="2520" w:hanging="360"/>
    </w:pPr>
    <w:rPr>
      <w:noProof/>
    </w:rPr>
  </w:style>
  <w:style w:type="paragraph" w:styleId="TOC8">
    <w:name w:val="toc 8"/>
    <w:basedOn w:val="Normal"/>
    <w:next w:val="Normal"/>
    <w:autoRedefine/>
    <w:semiHidden/>
    <w:pPr>
      <w:tabs>
        <w:tab w:val="left" w:pos="2880"/>
        <w:tab w:val="right" w:leader="dot" w:pos="9360"/>
      </w:tabs>
      <w:suppressAutoHyphens/>
      <w:ind w:left="2880" w:hanging="360"/>
    </w:pPr>
    <w:rPr>
      <w:noProof/>
    </w:rPr>
  </w:style>
  <w:style w:type="paragraph" w:styleId="TOC9">
    <w:name w:val="toc 9"/>
    <w:basedOn w:val="Normal"/>
    <w:next w:val="Normal"/>
    <w:autoRedefine/>
    <w:semiHidden/>
    <w:pPr>
      <w:tabs>
        <w:tab w:val="left" w:pos="3240"/>
        <w:tab w:val="right" w:leader="dot" w:pos="9360"/>
      </w:tabs>
      <w:suppressAutoHyphens/>
      <w:ind w:left="3240" w:hanging="360"/>
    </w:pPr>
    <w:rPr>
      <w:noProof/>
    </w:rPr>
  </w:style>
  <w:style w:type="paragraph" w:styleId="TOAHeading">
    <w:name w:val="toa heading"/>
    <w:basedOn w:val="Normal"/>
    <w:next w:val="Normal"/>
    <w:semiHidden/>
    <w:pPr>
      <w:tabs>
        <w:tab w:val="right" w:pos="9360"/>
      </w:tabs>
      <w:suppressAutoHyphens/>
    </w:pPr>
  </w:style>
  <w:style w:type="character" w:customStyle="1" w:styleId="EquationCaption">
    <w:name w:val="_Equation Caption"/>
  </w:style>
  <w:style w:type="paragraph" w:styleId="Header">
    <w:name w:val="header"/>
    <w:basedOn w:val="Normal"/>
    <w:autoRedefine/>
    <w:pPr>
      <w:tabs>
        <w:tab w:val="center" w:pos="4680"/>
        <w:tab w:val="right" w:pos="9360"/>
      </w:tabs>
    </w:pPr>
    <w:rPr>
      <w:rFonts w:ascii="Arial" w:hAnsi="Arial" w:cs="Arial"/>
      <w:b/>
      <w:sz w:val="96"/>
      <w:szCs w:val="96"/>
    </w:rPr>
  </w:style>
  <w:style w:type="paragraph" w:styleId="Footer">
    <w:name w:val="footer"/>
    <w:basedOn w:val="Normal"/>
    <w:link w:val="FooterChar"/>
    <w:uiPriority w:val="99"/>
    <w:pPr>
      <w:tabs>
        <w:tab w:val="center" w:pos="4320"/>
        <w:tab w:val="right" w:pos="8640"/>
      </w:tabs>
    </w:pPr>
  </w:style>
  <w:style w:type="character" w:styleId="PageNumber">
    <w:name w:val="page number"/>
    <w:basedOn w:val="DefaultParagraphFont"/>
  </w:style>
  <w:style w:type="paragraph" w:styleId="BlockText">
    <w:name w:val="Block Text"/>
    <w:basedOn w:val="Normal"/>
    <w:pPr>
      <w:spacing w:after="240"/>
      <w:ind w:left="1440" w:right="1440"/>
    </w:pPr>
  </w:style>
  <w:style w:type="paragraph" w:customStyle="1" w:styleId="Paratitle">
    <w:name w:val="Para title"/>
    <w:basedOn w:val="Normal"/>
    <w:pPr>
      <w:tabs>
        <w:tab w:val="center" w:pos="9270"/>
      </w:tabs>
      <w:spacing w:after="240"/>
    </w:pPr>
    <w:rPr>
      <w:spacing w:val="-2"/>
    </w:rPr>
  </w:style>
  <w:style w:type="paragraph" w:customStyle="1" w:styleId="Bullet">
    <w:name w:val="Bullet"/>
    <w:basedOn w:val="Normal"/>
    <w:pPr>
      <w:numPr>
        <w:numId w:val="1"/>
      </w:numPr>
      <w:tabs>
        <w:tab w:val="clear" w:pos="360"/>
        <w:tab w:val="left" w:pos="2160"/>
      </w:tabs>
      <w:spacing w:after="220"/>
      <w:ind w:left="2160" w:hanging="720"/>
    </w:pPr>
  </w:style>
  <w:style w:type="paragraph" w:customStyle="1" w:styleId="TableFormat">
    <w:name w:val="TableFormat"/>
    <w:basedOn w:val="Bullet"/>
    <w:pPr>
      <w:numPr>
        <w:numId w:val="0"/>
      </w:numPr>
      <w:tabs>
        <w:tab w:val="clear" w:pos="2160"/>
        <w:tab w:val="left" w:pos="5040"/>
      </w:tabs>
      <w:ind w:left="5040" w:hanging="3600"/>
    </w:pPr>
  </w:style>
  <w:style w:type="paragraph" w:customStyle="1" w:styleId="TOCTitle">
    <w:name w:val="TOC Title"/>
    <w:basedOn w:val="Normal"/>
    <w:pPr>
      <w:spacing w:before="240" w:after="240"/>
      <w:jc w:val="center"/>
    </w:pPr>
    <w:rPr>
      <w:rFonts w:ascii="Times New Roman Bold" w:hAnsi="Times New Roman Bold"/>
      <w:b/>
      <w:caps/>
      <w:spacing w:val="-2"/>
    </w:rPr>
  </w:style>
  <w:style w:type="paragraph" w:customStyle="1" w:styleId="StyleBoldCentered">
    <w:name w:val="Style Bold Centered"/>
    <w:basedOn w:val="Normal"/>
    <w:pPr>
      <w:jc w:val="center"/>
    </w:pPr>
    <w:rPr>
      <w:rFonts w:ascii="Times New Roman Bold" w:hAnsi="Times New Roman Bold"/>
      <w:b/>
      <w:bCs/>
      <w:caps/>
      <w:szCs w:val="22"/>
    </w:rPr>
  </w:style>
  <w:style w:type="character" w:styleId="Hyperlink">
    <w:name w:val="Hyperlink"/>
    <w:rPr>
      <w:color w:val="0000FF"/>
      <w:u w:val="single"/>
    </w:rPr>
  </w:style>
  <w:style w:type="character" w:customStyle="1" w:styleId="FooterChar">
    <w:name w:val="Footer Char"/>
    <w:link w:val="Footer"/>
    <w:uiPriority w:val="99"/>
    <w:rPr>
      <w:snapToGrid w:val="0"/>
      <w:kern w:val="28"/>
      <w:sz w:val="22"/>
    </w:rPr>
  </w:style>
  <w:style w:type="character" w:customStyle="1" w:styleId="UnresolvedMention">
    <w:name w:val="Unresolved Mention"/>
    <w:uiPriority w:val="99"/>
    <w:semiHidden/>
    <w:unhideWhenUsed/>
    <w:rPr>
      <w:color w:val="605E5C"/>
      <w:shd w:val="clear" w:color="auto" w:fill="E1DFDD"/>
    </w:rPr>
  </w:style>
  <w:style w:type="paragraph" w:styleId="ListParagraph">
    <w:name w:val="List Paragraph"/>
    <w:basedOn w:val="Normal"/>
    <w:uiPriority w:val="34"/>
    <w:qFormat/>
    <w:rsid w:val="001B5D77"/>
    <w:pPr>
      <w:ind w:left="720"/>
      <w:contextualSpacing/>
    </w:pPr>
  </w:style>
  <w:style w:type="character" w:styleId="FollowedHyperlink">
    <w:name w:val="FollowedHyperlink"/>
    <w:basedOn w:val="DefaultParagraphFont"/>
    <w:uiPriority w:val="99"/>
    <w:semiHidden/>
    <w:unhideWhenUsed/>
    <w:rsid w:val="00FD2D4B"/>
    <w:rPr>
      <w:color w:val="954F72" w:themeColor="followedHyperlink"/>
      <w:u w:val="single"/>
    </w:rPr>
  </w:style>
  <w:style w:type="paragraph" w:styleId="BalloonText">
    <w:name w:val="Balloon Text"/>
    <w:basedOn w:val="Normal"/>
    <w:link w:val="BalloonTextChar"/>
    <w:uiPriority w:val="99"/>
    <w:semiHidden/>
    <w:unhideWhenUsed/>
    <w:rsid w:val="00287B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287B04"/>
    <w:rPr>
      <w:rFonts w:ascii="Segoe UI" w:hAnsi="Segoe UI" w:cs="Segoe UI"/>
      <w:snapToGrid w:val="0"/>
      <w:kern w:val="28"/>
      <w:sz w:val="18"/>
      <w:szCs w:val="18"/>
    </w:rPr>
  </w:style>
  <w:style w:type="character" w:styleId="CommentReference">
    <w:name w:val="annotation reference"/>
    <w:basedOn w:val="DefaultParagraphFont"/>
    <w:uiPriority w:val="99"/>
    <w:semiHidden/>
    <w:unhideWhenUsed/>
    <w:rsid w:val="00807F74"/>
    <w:rPr>
      <w:sz w:val="16"/>
      <w:szCs w:val="16"/>
    </w:rPr>
  </w:style>
  <w:style w:type="paragraph" w:styleId="CommentText">
    <w:name w:val="annotation text"/>
    <w:basedOn w:val="Normal"/>
    <w:link w:val="CommentTextChar"/>
    <w:uiPriority w:val="99"/>
    <w:semiHidden/>
    <w:unhideWhenUsed/>
    <w:rsid w:val="00807F74"/>
    <w:rPr>
      <w:sz w:val="20"/>
    </w:rPr>
  </w:style>
  <w:style w:type="character" w:customStyle="1" w:styleId="CommentTextChar">
    <w:name w:val="Comment Text Char"/>
    <w:basedOn w:val="DefaultParagraphFont"/>
    <w:link w:val="CommentText"/>
    <w:uiPriority w:val="99"/>
    <w:semiHidden/>
    <w:rsid w:val="00807F74"/>
    <w:rPr>
      <w:snapToGrid w:val="0"/>
      <w:kern w:val="28"/>
    </w:rPr>
  </w:style>
  <w:style w:type="paragraph" w:styleId="CommentSubject">
    <w:name w:val="annotation subject"/>
    <w:basedOn w:val="CommentText"/>
    <w:next w:val="CommentText"/>
    <w:link w:val="CommentSubjectChar"/>
    <w:uiPriority w:val="99"/>
    <w:semiHidden/>
    <w:unhideWhenUsed/>
    <w:rsid w:val="00807F74"/>
    <w:rPr>
      <w:b/>
      <w:bCs/>
    </w:rPr>
  </w:style>
  <w:style w:type="character" w:customStyle="1" w:styleId="CommentSubjectChar">
    <w:name w:val="Comment Subject Char"/>
    <w:basedOn w:val="CommentTextChar"/>
    <w:link w:val="CommentSubject"/>
    <w:uiPriority w:val="99"/>
    <w:semiHidden/>
    <w:rsid w:val="00807F74"/>
    <w:rPr>
      <w:b/>
      <w:bCs/>
      <w:snapToGrid w:val="0"/>
      <w:kern w:val="2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Relationships xmlns="http://schemas.openxmlformats.org/package/2006/relationships"><Relationship Id="rId1" Type="http://schemas.openxmlformats.org/officeDocument/2006/relationships/footnotes" Target="footnotes.xml" /><Relationship Id="rId10" Type="http://schemas.openxmlformats.org/officeDocument/2006/relationships/header" Target="header1.xml" /><Relationship Id="rId11" Type="http://schemas.openxmlformats.org/officeDocument/2006/relationships/footer" Target="footer1.xml" /><Relationship Id="rId12" Type="http://schemas.openxmlformats.org/officeDocument/2006/relationships/footer" Target="footer2.xml" /><Relationship Id="rId13" Type="http://schemas.openxmlformats.org/officeDocument/2006/relationships/header" Target="header2.xml" /><Relationship Id="rId14" Type="http://schemas.openxmlformats.org/officeDocument/2006/relationships/footer" Target="footer3.xml" /><Relationship Id="rId15" Type="http://schemas.openxmlformats.org/officeDocument/2006/relationships/theme" Target="theme/theme1.xml" /><Relationship Id="rId16" Type="http://schemas.openxmlformats.org/officeDocument/2006/relationships/numbering" Target="numbering.xml" /><Relationship Id="rId17" Type="http://schemas.openxmlformats.org/officeDocument/2006/relationships/styles" Target="styles.xml" /><Relationship Id="rId2" Type="http://schemas.openxmlformats.org/officeDocument/2006/relationships/settings" Target="settings.xml" /><Relationship Id="rId3" Type="http://schemas.openxmlformats.org/officeDocument/2006/relationships/webSettings" Target="webSettings.xml" /><Relationship Id="rId4" Type="http://schemas.openxmlformats.org/officeDocument/2006/relationships/fontTable" Target="fontTable.xml" /><Relationship Id="rId5" Type="http://schemas.openxmlformats.org/officeDocument/2006/relationships/hyperlink" Target="http://www.fcc.gov/accessibilitycomplaints" TargetMode="External" /><Relationship Id="rId6" Type="http://schemas.openxmlformats.org/officeDocument/2006/relationships/hyperlink" Target="mailto:dro@fcc.gov" TargetMode="External" /><Relationship Id="rId7" Type="http://schemas.openxmlformats.org/officeDocument/2006/relationships/hyperlink" Target="mailto:fcc504@fcc.gov" TargetMode="External" /><Relationship Id="rId8" Type="http://schemas.openxmlformats.org/officeDocument/2006/relationships/hyperlink" Target="https://www.fcc.gov/general/access-emergency-information-television" TargetMode="External" /><Relationship Id="rId9" Type="http://schemas.openxmlformats.org/officeDocument/2006/relationships/hyperlink" Target="http://www.fcc.gov/TVEmergencyAccessASL" TargetMode="External" /></Relationships>
</file>

<file path=word/_rels/footnotes.xml.rels><?xml version="1.0" encoding="utf-8" standalone="yes"?><Relationships xmlns="http://schemas.openxmlformats.org/package/2006/relationships"><Relationship Id="rId1" Type="http://schemas.openxmlformats.org/officeDocument/2006/relationships/hyperlink" Target="https://www.fcc.gov/eas-faq-accessibility" TargetMode="External" /><Relationship Id="rId2" Type="http://schemas.openxmlformats.org/officeDocument/2006/relationships/hyperlink" Target="https://www.fcc.gov/consumers/guides/accessibility-emergency-information-television" TargetMode="External" /><Relationship Id="rId3" Type="http://schemas.openxmlformats.org/officeDocument/2006/relationships/hyperlink" Target="https://www.krqe.com/health/health-alert-issued-in-albuquerque-bernalillo-county-due-to-ozone-levels-smoke/" TargetMode="External" /><Relationship Id="rId4" Type="http://schemas.openxmlformats.org/officeDocument/2006/relationships/hyperlink" Target="https://covid.cdc.gov/covid-data-tracker/" TargetMode="External" /><Relationship Id="rId5" Type="http://schemas.openxmlformats.org/officeDocument/2006/relationships/hyperlink" Target="https://www.cbsnews.com/news/atlantic-hurricane-season-2020-record-breaking/" TargetMode="External" /><Relationship Id="rId6" Type="http://schemas.openxmlformats.org/officeDocument/2006/relationships/hyperlink" Target="https://ncd.gov/publications/2014/05272014/" TargetMode="External" /><Relationship Id="rId7" Type="http://schemas.openxmlformats.org/officeDocument/2006/relationships/hyperlink" Target="https://www.nad.org/about-us/position-statements/position-statement-on-accessible-emergency-management-for-deaf-and-hard-of-hearing-people/" TargetMode="External" /><Relationship Id="rId8" Type="http://schemas.openxmlformats.org/officeDocument/2006/relationships/hyperlink" Target="https://www.readfrontier.org/stories/american-sign-language-interpreters-shine-during-covid-19-press-conferences/" TargetMode="External" /><Relationship Id="rId9" Type="http://schemas.openxmlformats.org/officeDocument/2006/relationships/hyperlink" Target="https://docs.fcc.gov/public/attachments/DOC-341628A1.pdf" TargetMode="External" /></Relationships>
</file>

<file path=word/_rels/header2.xml.rels><?xml version="1.0" encoding="utf-8" standalone="yes"?><Relationships xmlns="http://schemas.openxmlformats.org/package/2006/relationships"><Relationship Id="rId1" Type="http://schemas.openxmlformats.org/officeDocument/2006/relationships/image" Target="media/image1.png" /><Relationship Id="rId2" Type="http://schemas.openxmlformats.org/officeDocument/2006/relationships/hyperlink" Target="https://www.fcc.gov" TargetMode="External"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0</Pages>
  <Words>0</Words>
  <Characters>0</Characters>
  <Application>Microsoft Office Word</Application>
  <DocSecurity>0</DocSecurity>
  <Lines>0</Lines>
  <Paragraphs>0</Paragraphs>
  <ScaleCrop>false</ScaleCrop>
  <Company/>
  <LinksUpToDate>false</LinksUpToDate>
  <CharactersWithSpaces>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cp:revision>0</cp:revision>
</cp:coreProperties>
</file>