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04CE3" w14:paraId="31179D56" w14:textId="17DF921D">
      <w:pPr>
        <w:rPr>
          <w:sz w:val="22"/>
          <w:szCs w:val="22"/>
        </w:rPr>
      </w:pPr>
    </w:p>
    <w:p w:rsidR="00A61A7E" w14:paraId="76F530AF" w14:textId="375994B9">
      <w:pPr>
        <w:rPr>
          <w:sz w:val="22"/>
          <w:szCs w:val="22"/>
        </w:rPr>
      </w:pPr>
    </w:p>
    <w:p w:rsidR="00A61A7E" w:rsidRPr="00917564" w:rsidP="00A61A7E" w14:paraId="68434BE0" w14:textId="0097281A">
      <w:pPr>
        <w:widowControl w:val="0"/>
        <w:rPr>
          <w:snapToGrid w:val="0"/>
          <w:kern w:val="28"/>
          <w:sz w:val="22"/>
          <w:szCs w:val="22"/>
        </w:rPr>
      </w:pP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r>
      <w:r>
        <w:rPr>
          <w:snapToGrid w:val="0"/>
          <w:kern w:val="28"/>
          <w:sz w:val="22"/>
          <w:szCs w:val="22"/>
        </w:rPr>
        <w:tab/>
        <w:t>DA 21-</w:t>
      </w:r>
      <w:r w:rsidRPr="00FE52F2" w:rsidR="00FE52F2">
        <w:rPr>
          <w:snapToGrid w:val="0"/>
          <w:kern w:val="28"/>
          <w:sz w:val="22"/>
          <w:szCs w:val="22"/>
        </w:rPr>
        <w:t>775</w:t>
      </w:r>
    </w:p>
    <w:p w:rsidR="00490904" w:rsidP="00A61A7E" w14:paraId="27C86373" w14:textId="77777777">
      <w:pPr>
        <w:rPr>
          <w:color w:val="000000"/>
          <w:sz w:val="22"/>
          <w:szCs w:val="22"/>
        </w:rPr>
      </w:pPr>
    </w:p>
    <w:p w:rsidR="001E1A44" w:rsidP="00A61A7E" w14:paraId="5884D9C5" w14:textId="44DEE34A">
      <w:pPr>
        <w:rPr>
          <w:color w:val="000000"/>
          <w:sz w:val="22"/>
          <w:szCs w:val="22"/>
        </w:rPr>
      </w:pPr>
      <w:r>
        <w:rPr>
          <w:color w:val="000000"/>
          <w:sz w:val="22"/>
          <w:szCs w:val="22"/>
        </w:rPr>
        <w:t>Douglas Barley, Chairman</w:t>
      </w:r>
      <w:r>
        <w:rPr>
          <w:color w:val="000000"/>
          <w:sz w:val="22"/>
          <w:szCs w:val="22"/>
        </w:rPr>
        <w:t xml:space="preserve"> </w:t>
      </w:r>
    </w:p>
    <w:p w:rsidR="00A61A7E" w:rsidRPr="003B3ECD" w:rsidP="00A61A7E" w14:paraId="73B120E8" w14:textId="00BE171A">
      <w:pPr>
        <w:rPr>
          <w:color w:val="000000"/>
          <w:sz w:val="22"/>
          <w:szCs w:val="22"/>
        </w:rPr>
      </w:pPr>
      <w:r>
        <w:rPr>
          <w:color w:val="000000"/>
          <w:sz w:val="22"/>
          <w:szCs w:val="22"/>
        </w:rPr>
        <w:t>Julie Mathis, VP – Domestic Network</w:t>
      </w:r>
    </w:p>
    <w:p w:rsidR="001E1A44" w:rsidP="001E1A44" w14:paraId="1D50F1BC" w14:textId="77777777">
      <w:pPr>
        <w:rPr>
          <w:color w:val="000000"/>
          <w:sz w:val="22"/>
          <w:szCs w:val="22"/>
        </w:rPr>
      </w:pPr>
      <w:r>
        <w:rPr>
          <w:color w:val="000000"/>
          <w:sz w:val="22"/>
          <w:szCs w:val="22"/>
        </w:rPr>
        <w:t>Sam Tawfik</w:t>
      </w:r>
    </w:p>
    <w:p w:rsidR="00A61A7E" w:rsidRPr="003B3ECD" w:rsidP="00A61A7E" w14:paraId="6D4849BB" w14:textId="77777777">
      <w:pPr>
        <w:rPr>
          <w:bCs/>
          <w:color w:val="000000"/>
          <w:sz w:val="22"/>
          <w:szCs w:val="22"/>
        </w:rPr>
      </w:pPr>
      <w:r>
        <w:rPr>
          <w:bCs/>
          <w:color w:val="000000"/>
          <w:sz w:val="22"/>
          <w:szCs w:val="22"/>
        </w:rPr>
        <w:t>Telco Group</w:t>
      </w:r>
      <w:r w:rsidRPr="003B3ECD">
        <w:rPr>
          <w:bCs/>
          <w:color w:val="000000"/>
          <w:sz w:val="22"/>
          <w:szCs w:val="22"/>
        </w:rPr>
        <w:t>, Inc.</w:t>
      </w:r>
    </w:p>
    <w:p w:rsidR="00A61A7E" w:rsidRPr="003B3ECD" w:rsidP="00A61A7E" w14:paraId="0941890B" w14:textId="77777777">
      <w:pPr>
        <w:rPr>
          <w:color w:val="000000"/>
          <w:sz w:val="22"/>
          <w:szCs w:val="22"/>
        </w:rPr>
      </w:pPr>
      <w:r>
        <w:rPr>
          <w:color w:val="000000"/>
          <w:sz w:val="22"/>
          <w:szCs w:val="22"/>
        </w:rPr>
        <w:t>30-50 Whitestone Expressway, 4</w:t>
      </w:r>
      <w:r w:rsidRPr="008E1AC1">
        <w:rPr>
          <w:color w:val="000000"/>
          <w:sz w:val="22"/>
          <w:szCs w:val="22"/>
          <w:vertAlign w:val="superscript"/>
        </w:rPr>
        <w:t>th</w:t>
      </w:r>
      <w:r>
        <w:rPr>
          <w:color w:val="000000"/>
          <w:sz w:val="22"/>
          <w:szCs w:val="22"/>
        </w:rPr>
        <w:t xml:space="preserve"> Floor</w:t>
      </w:r>
    </w:p>
    <w:p w:rsidR="00A61A7E" w:rsidRPr="003B3ECD" w:rsidP="00A61A7E" w14:paraId="32331315" w14:textId="77777777">
      <w:pPr>
        <w:rPr>
          <w:color w:val="000000"/>
          <w:sz w:val="22"/>
          <w:szCs w:val="22"/>
        </w:rPr>
      </w:pPr>
      <w:r>
        <w:rPr>
          <w:color w:val="000000"/>
          <w:sz w:val="22"/>
          <w:szCs w:val="22"/>
        </w:rPr>
        <w:t>Flushing</w:t>
      </w:r>
      <w:r w:rsidRPr="003B3ECD">
        <w:rPr>
          <w:color w:val="000000"/>
          <w:sz w:val="22"/>
          <w:szCs w:val="22"/>
        </w:rPr>
        <w:t>, NY 1</w:t>
      </w:r>
      <w:r>
        <w:rPr>
          <w:color w:val="000000"/>
          <w:sz w:val="22"/>
          <w:szCs w:val="22"/>
        </w:rPr>
        <w:t>135</w:t>
      </w:r>
      <w:r w:rsidRPr="003B3ECD">
        <w:rPr>
          <w:color w:val="000000"/>
          <w:sz w:val="22"/>
          <w:szCs w:val="22"/>
        </w:rPr>
        <w:t>4</w:t>
      </w:r>
    </w:p>
    <w:p w:rsidR="00A61A7E" w:rsidRPr="003B3ECD" w:rsidP="00A61A7E" w14:paraId="6C6FED49" w14:textId="77777777">
      <w:pPr>
        <w:rPr>
          <w:bCs/>
          <w:color w:val="000000"/>
          <w:sz w:val="22"/>
          <w:szCs w:val="22"/>
        </w:rPr>
      </w:pPr>
      <w:r w:rsidRPr="003B3ECD">
        <w:rPr>
          <w:color w:val="000000"/>
          <w:sz w:val="22"/>
          <w:szCs w:val="22"/>
        </w:rPr>
        <w:tab/>
      </w:r>
      <w:r w:rsidRPr="003B3ECD">
        <w:rPr>
          <w:color w:val="000000"/>
          <w:sz w:val="22"/>
          <w:szCs w:val="22"/>
        </w:rPr>
        <w:tab/>
      </w:r>
      <w:r w:rsidRPr="003B3ECD">
        <w:rPr>
          <w:color w:val="000000"/>
          <w:sz w:val="22"/>
          <w:szCs w:val="22"/>
        </w:rPr>
        <w:tab/>
      </w:r>
      <w:r w:rsidRPr="003B3ECD">
        <w:rPr>
          <w:color w:val="000000"/>
          <w:sz w:val="22"/>
          <w:szCs w:val="22"/>
        </w:rPr>
        <w:tab/>
      </w:r>
      <w:r w:rsidRPr="003B3ECD">
        <w:rPr>
          <w:color w:val="000000"/>
          <w:sz w:val="22"/>
          <w:szCs w:val="22"/>
        </w:rPr>
        <w:tab/>
      </w:r>
    </w:p>
    <w:p w:rsidR="00A61A7E" w:rsidRPr="003B3ECD" w:rsidP="00A61A7E" w14:paraId="1CEEEF80" w14:textId="77777777">
      <w:pPr>
        <w:rPr>
          <w:bCs/>
          <w:i/>
          <w:color w:val="000000"/>
          <w:sz w:val="22"/>
          <w:szCs w:val="22"/>
        </w:rPr>
      </w:pPr>
      <w:r w:rsidRPr="003B3ECD">
        <w:rPr>
          <w:bCs/>
          <w:i/>
          <w:color w:val="000000"/>
          <w:sz w:val="22"/>
          <w:szCs w:val="22"/>
        </w:rPr>
        <w:t>Via Certified Mail, Return Receipt Requested</w:t>
      </w:r>
    </w:p>
    <w:p w:rsidR="00A61A7E" w:rsidRPr="003B3ECD" w:rsidP="00A61A7E" w14:paraId="1566BD39" w14:textId="77777777">
      <w:pPr>
        <w:rPr>
          <w:color w:val="000000"/>
          <w:sz w:val="22"/>
          <w:szCs w:val="22"/>
        </w:rPr>
      </w:pPr>
    </w:p>
    <w:p w:rsidR="001E1A44" w:rsidP="001E1A44" w14:paraId="05EDBD07" w14:textId="1789041C">
      <w:pPr>
        <w:rPr>
          <w:b/>
          <w:color w:val="000000"/>
          <w:sz w:val="22"/>
          <w:szCs w:val="22"/>
        </w:rPr>
      </w:pPr>
      <w:r w:rsidRPr="003B3ECD">
        <w:rPr>
          <w:b/>
          <w:color w:val="000000"/>
          <w:sz w:val="22"/>
          <w:szCs w:val="22"/>
        </w:rPr>
        <w:t xml:space="preserve">Re: </w:t>
      </w:r>
      <w:r w:rsidRPr="003B3ECD">
        <w:rPr>
          <w:b/>
          <w:color w:val="000000"/>
          <w:sz w:val="22"/>
          <w:szCs w:val="22"/>
        </w:rPr>
        <w:tab/>
        <w:t xml:space="preserve">Potential Reclamation of </w:t>
      </w:r>
      <w:r>
        <w:rPr>
          <w:b/>
          <w:color w:val="000000"/>
          <w:sz w:val="22"/>
          <w:szCs w:val="22"/>
        </w:rPr>
        <w:t>Telco Group</w:t>
      </w:r>
      <w:r w:rsidRPr="003B3ECD">
        <w:rPr>
          <w:b/>
          <w:color w:val="000000"/>
          <w:sz w:val="22"/>
          <w:szCs w:val="22"/>
        </w:rPr>
        <w:t xml:space="preserve">, Inc.’s International Signaling Point </w:t>
      </w:r>
    </w:p>
    <w:p w:rsidR="00A61A7E" w:rsidRPr="003B3ECD" w14:paraId="41DCB723" w14:textId="0C79613B">
      <w:pPr>
        <w:ind w:firstLine="720"/>
        <w:rPr>
          <w:b/>
          <w:color w:val="000000"/>
          <w:sz w:val="22"/>
          <w:szCs w:val="22"/>
        </w:rPr>
      </w:pPr>
      <w:r w:rsidRPr="003B3ECD">
        <w:rPr>
          <w:b/>
          <w:color w:val="000000"/>
          <w:sz w:val="22"/>
          <w:szCs w:val="22"/>
        </w:rPr>
        <w:t>Code, 3-</w:t>
      </w:r>
      <w:r>
        <w:rPr>
          <w:b/>
          <w:color w:val="000000"/>
          <w:sz w:val="22"/>
          <w:szCs w:val="22"/>
        </w:rPr>
        <w:t>195</w:t>
      </w:r>
      <w:r w:rsidRPr="003B3ECD">
        <w:rPr>
          <w:b/>
          <w:color w:val="000000"/>
          <w:sz w:val="22"/>
          <w:szCs w:val="22"/>
        </w:rPr>
        <w:t>-</w:t>
      </w:r>
      <w:r>
        <w:rPr>
          <w:b/>
          <w:color w:val="000000"/>
          <w:sz w:val="22"/>
          <w:szCs w:val="22"/>
        </w:rPr>
        <w:t>1</w:t>
      </w:r>
      <w:r w:rsidRPr="003B3ECD">
        <w:rPr>
          <w:b/>
          <w:color w:val="000000"/>
          <w:sz w:val="22"/>
          <w:szCs w:val="22"/>
        </w:rPr>
        <w:t xml:space="preserve"> (New York, NY)</w:t>
      </w:r>
    </w:p>
    <w:p w:rsidR="00A61A7E" w:rsidRPr="003B3ECD" w:rsidP="00A61A7E" w14:paraId="4B6A8AC9" w14:textId="77777777">
      <w:pPr>
        <w:rPr>
          <w:b/>
          <w:color w:val="000000"/>
          <w:sz w:val="22"/>
          <w:szCs w:val="22"/>
        </w:rPr>
      </w:pPr>
    </w:p>
    <w:p w:rsidR="00A61A7E" w:rsidRPr="003B3ECD" w:rsidP="00A61A7E" w14:paraId="515B2F63" w14:textId="10EEB10F">
      <w:pPr>
        <w:rPr>
          <w:color w:val="000000"/>
          <w:sz w:val="22"/>
          <w:szCs w:val="22"/>
        </w:rPr>
      </w:pPr>
      <w:r w:rsidRPr="003B3ECD">
        <w:rPr>
          <w:color w:val="000000"/>
          <w:sz w:val="22"/>
          <w:szCs w:val="22"/>
        </w:rPr>
        <w:t>Dear M</w:t>
      </w:r>
      <w:r>
        <w:rPr>
          <w:color w:val="000000"/>
          <w:sz w:val="22"/>
          <w:szCs w:val="22"/>
        </w:rPr>
        <w:t>essrs. Barley</w:t>
      </w:r>
      <w:r w:rsidRPr="001E1A44" w:rsidR="001E1A44">
        <w:rPr>
          <w:color w:val="000000"/>
          <w:sz w:val="22"/>
          <w:szCs w:val="22"/>
        </w:rPr>
        <w:t xml:space="preserve"> </w:t>
      </w:r>
      <w:r w:rsidR="001E1A44">
        <w:rPr>
          <w:color w:val="000000"/>
          <w:sz w:val="22"/>
          <w:szCs w:val="22"/>
        </w:rPr>
        <w:t>and Tawfik</w:t>
      </w:r>
      <w:r>
        <w:rPr>
          <w:color w:val="000000"/>
          <w:sz w:val="22"/>
          <w:szCs w:val="22"/>
        </w:rPr>
        <w:t xml:space="preserve"> </w:t>
      </w:r>
      <w:r w:rsidR="001E1A44">
        <w:rPr>
          <w:color w:val="000000"/>
          <w:sz w:val="22"/>
          <w:szCs w:val="22"/>
        </w:rPr>
        <w:t xml:space="preserve">and </w:t>
      </w:r>
      <w:r>
        <w:rPr>
          <w:color w:val="000000"/>
          <w:sz w:val="22"/>
          <w:szCs w:val="22"/>
        </w:rPr>
        <w:t>Ms. Mathis:</w:t>
      </w:r>
    </w:p>
    <w:p w:rsidR="00A61A7E" w:rsidRPr="003B3ECD" w:rsidP="00A61A7E" w14:paraId="3235D829" w14:textId="77777777">
      <w:pPr>
        <w:rPr>
          <w:color w:val="000000"/>
          <w:sz w:val="22"/>
          <w:szCs w:val="22"/>
        </w:rPr>
      </w:pPr>
    </w:p>
    <w:p w:rsidR="00A61A7E" w:rsidRPr="003B3ECD" w:rsidP="00A61A7E" w14:paraId="56B265A6" w14:textId="07035AB0">
      <w:pPr>
        <w:rPr>
          <w:color w:val="000000"/>
          <w:sz w:val="22"/>
          <w:szCs w:val="22"/>
        </w:rPr>
      </w:pPr>
      <w:r w:rsidRPr="003B3ECD">
        <w:rPr>
          <w:color w:val="000000"/>
          <w:sz w:val="22"/>
          <w:szCs w:val="22"/>
        </w:rPr>
        <w:t xml:space="preserve">             By this letter, we inform you of our intent to reclaim the above-captioned International Signaling Point Code (ISPC) provisionally assigned to </w:t>
      </w:r>
      <w:r>
        <w:rPr>
          <w:bCs/>
          <w:color w:val="000000"/>
          <w:sz w:val="22"/>
          <w:szCs w:val="22"/>
        </w:rPr>
        <w:t>Telco Group</w:t>
      </w:r>
      <w:r w:rsidRPr="003B3ECD">
        <w:rPr>
          <w:bCs/>
          <w:color w:val="000000"/>
          <w:sz w:val="22"/>
          <w:szCs w:val="22"/>
        </w:rPr>
        <w:t>, Inc</w:t>
      </w:r>
      <w:r w:rsidRPr="003B3ECD">
        <w:rPr>
          <w:color w:val="000000"/>
          <w:sz w:val="22"/>
          <w:szCs w:val="22"/>
        </w:rPr>
        <w:t>. (</w:t>
      </w:r>
      <w:r>
        <w:rPr>
          <w:color w:val="000000"/>
          <w:sz w:val="22"/>
          <w:szCs w:val="22"/>
        </w:rPr>
        <w:t>TGI</w:t>
      </w:r>
      <w:r w:rsidRPr="003B3ECD">
        <w:rPr>
          <w:color w:val="000000"/>
          <w:sz w:val="22"/>
          <w:szCs w:val="22"/>
        </w:rPr>
        <w:t xml:space="preserve">) unless you respond to this letter within thirty (30) days, by </w:t>
      </w:r>
      <w:r w:rsidR="001E1A44">
        <w:rPr>
          <w:b/>
          <w:bCs/>
          <w:color w:val="000000"/>
          <w:sz w:val="22"/>
          <w:szCs w:val="22"/>
        </w:rPr>
        <w:t>July</w:t>
      </w:r>
      <w:r>
        <w:rPr>
          <w:b/>
          <w:bCs/>
          <w:color w:val="000000"/>
          <w:sz w:val="22"/>
          <w:szCs w:val="22"/>
        </w:rPr>
        <w:t xml:space="preserve"> </w:t>
      </w:r>
      <w:r w:rsidR="00FE52F2">
        <w:rPr>
          <w:b/>
          <w:bCs/>
          <w:color w:val="000000"/>
          <w:sz w:val="22"/>
          <w:szCs w:val="22"/>
        </w:rPr>
        <w:t>30</w:t>
      </w:r>
      <w:r w:rsidRPr="003B3ECD">
        <w:rPr>
          <w:b/>
          <w:bCs/>
          <w:color w:val="000000"/>
          <w:sz w:val="22"/>
          <w:szCs w:val="22"/>
        </w:rPr>
        <w:t>, 202</w:t>
      </w:r>
      <w:r>
        <w:rPr>
          <w:b/>
          <w:bCs/>
          <w:color w:val="000000"/>
          <w:sz w:val="22"/>
          <w:szCs w:val="22"/>
        </w:rPr>
        <w:t xml:space="preserve">1 </w:t>
      </w:r>
      <w:r w:rsidRPr="00A21FE4">
        <w:rPr>
          <w:color w:val="000000"/>
          <w:sz w:val="22"/>
          <w:szCs w:val="22"/>
        </w:rPr>
        <w:t>and indicate whether TGI is still using the code.</w:t>
      </w:r>
      <w:r w:rsidRPr="003B3ECD">
        <w:rPr>
          <w:color w:val="000000"/>
          <w:sz w:val="22"/>
          <w:szCs w:val="22"/>
        </w:rPr>
        <w:t xml:space="preserve">  </w:t>
      </w:r>
    </w:p>
    <w:p w:rsidR="00A61A7E" w:rsidRPr="003B3ECD" w:rsidP="00A61A7E" w14:paraId="14F27975" w14:textId="77777777">
      <w:pPr>
        <w:rPr>
          <w:sz w:val="22"/>
          <w:szCs w:val="22"/>
        </w:rPr>
      </w:pPr>
    </w:p>
    <w:p w:rsidR="00A61A7E" w:rsidP="00A61A7E" w14:paraId="352A436A" w14:textId="77777777">
      <w:pPr>
        <w:ind w:firstLine="720"/>
        <w:rPr>
          <w:color w:val="000000"/>
          <w:sz w:val="22"/>
          <w:szCs w:val="22"/>
        </w:rPr>
      </w:pPr>
      <w:r w:rsidRPr="00915F4F">
        <w:rPr>
          <w:sz w:val="22"/>
          <w:szCs w:val="22"/>
        </w:rPr>
        <w:t xml:space="preserve">The Federal Communications Commission (Commission), as the Administrator for the United States, assigns ISPCs for Signaling System No. 7 networks under </w:t>
      </w:r>
      <w:r w:rsidRPr="003B3ECD">
        <w:rPr>
          <w:sz w:val="22"/>
          <w:szCs w:val="22"/>
        </w:rPr>
        <w:t>ITU-T Recommendation Q.708.</w:t>
      </w:r>
      <w:r>
        <w:rPr>
          <w:sz w:val="22"/>
          <w:szCs w:val="22"/>
          <w:vertAlign w:val="superscript"/>
        </w:rPr>
        <w:footnoteReference w:id="2"/>
      </w:r>
      <w:r w:rsidRPr="003B3ECD">
        <w:rPr>
          <w:sz w:val="22"/>
          <w:szCs w:val="22"/>
        </w:rPr>
        <w:t xml:space="preserve">  In 200</w:t>
      </w:r>
      <w:r>
        <w:rPr>
          <w:sz w:val="22"/>
          <w:szCs w:val="22"/>
        </w:rPr>
        <w:t>3</w:t>
      </w:r>
      <w:r w:rsidRPr="003B3ECD">
        <w:rPr>
          <w:sz w:val="22"/>
          <w:szCs w:val="22"/>
        </w:rPr>
        <w:t xml:space="preserve">, the Commission granted </w:t>
      </w:r>
      <w:r>
        <w:rPr>
          <w:sz w:val="22"/>
          <w:szCs w:val="22"/>
        </w:rPr>
        <w:t>TGI’s</w:t>
      </w:r>
      <w:r w:rsidRPr="003B3ECD">
        <w:rPr>
          <w:sz w:val="22"/>
          <w:szCs w:val="22"/>
        </w:rPr>
        <w:t xml:space="preserve"> application for an ISPC in New York, NY and provisionally assigned </w:t>
      </w:r>
      <w:r>
        <w:rPr>
          <w:sz w:val="22"/>
          <w:szCs w:val="22"/>
        </w:rPr>
        <w:t xml:space="preserve">it </w:t>
      </w:r>
      <w:r w:rsidRPr="003B3ECD">
        <w:rPr>
          <w:sz w:val="22"/>
          <w:szCs w:val="22"/>
        </w:rPr>
        <w:t>ISPC 3-</w:t>
      </w:r>
      <w:r>
        <w:rPr>
          <w:sz w:val="22"/>
          <w:szCs w:val="22"/>
        </w:rPr>
        <w:t>195-1</w:t>
      </w:r>
      <w:r w:rsidRPr="003B3ECD">
        <w:rPr>
          <w:color w:val="000000"/>
          <w:sz w:val="22"/>
          <w:szCs w:val="22"/>
        </w:rPr>
        <w:t>.</w:t>
      </w:r>
      <w:r>
        <w:rPr>
          <w:color w:val="000000"/>
          <w:sz w:val="22"/>
          <w:szCs w:val="22"/>
          <w:vertAlign w:val="superscript"/>
        </w:rPr>
        <w:footnoteReference w:id="3"/>
      </w:r>
      <w:r>
        <w:rPr>
          <w:sz w:val="22"/>
          <w:szCs w:val="22"/>
        </w:rPr>
        <w:t xml:space="preserve">  </w:t>
      </w:r>
      <w:r>
        <w:rPr>
          <w:color w:val="000000"/>
          <w:sz w:val="22"/>
          <w:szCs w:val="22"/>
        </w:rPr>
        <w:t>T</w:t>
      </w:r>
      <w:r w:rsidRPr="00682226">
        <w:rPr>
          <w:color w:val="000000"/>
          <w:sz w:val="22"/>
          <w:szCs w:val="22"/>
        </w:rPr>
        <w:t>he Commission has explained that</w:t>
      </w:r>
      <w:r>
        <w:t xml:space="preserve"> </w:t>
      </w:r>
      <w:r w:rsidRPr="00682226">
        <w:rPr>
          <w:color w:val="000000"/>
          <w:sz w:val="22"/>
          <w:szCs w:val="22"/>
        </w:rPr>
        <w:t>ISPCs are a scarce resource and “[a]s a result, code assignments are conditional upon their being used within one year lead time, so that the Commission can reassign unused codes to another carrier.”</w:t>
      </w:r>
      <w:r>
        <w:rPr>
          <w:rStyle w:val="FootnoteReference"/>
          <w:szCs w:val="22"/>
        </w:rPr>
        <w:footnoteReference w:id="4"/>
      </w:r>
      <w:r>
        <w:rPr>
          <w:color w:val="000000"/>
          <w:sz w:val="22"/>
          <w:szCs w:val="22"/>
        </w:rPr>
        <w:t xml:space="preserve">  Finally, ITU-T </w:t>
      </w:r>
      <w:r w:rsidRPr="00682226">
        <w:rPr>
          <w:color w:val="000000"/>
          <w:sz w:val="22"/>
          <w:szCs w:val="22"/>
        </w:rPr>
        <w:t>Recommendation Q.708</w:t>
      </w:r>
      <w:r>
        <w:rPr>
          <w:color w:val="000000"/>
          <w:sz w:val="22"/>
          <w:szCs w:val="22"/>
        </w:rPr>
        <w:t xml:space="preserve"> </w:t>
      </w:r>
      <w:r w:rsidRPr="00682226">
        <w:rPr>
          <w:color w:val="000000"/>
          <w:sz w:val="22"/>
          <w:szCs w:val="22"/>
        </w:rPr>
        <w:t xml:space="preserve">provides that </w:t>
      </w:r>
      <w:r>
        <w:rPr>
          <w:color w:val="000000"/>
          <w:sz w:val="22"/>
          <w:szCs w:val="22"/>
        </w:rPr>
        <w:t>the Commission</w:t>
      </w:r>
      <w:r w:rsidRPr="00682226">
        <w:rPr>
          <w:color w:val="000000"/>
          <w:sz w:val="22"/>
          <w:szCs w:val="22"/>
        </w:rPr>
        <w:t xml:space="preserve"> should withdraw an ISPC assignment if the code is “no longer in use or required” by the operator, among other reasons</w:t>
      </w:r>
      <w:r>
        <w:rPr>
          <w:color w:val="000000"/>
          <w:sz w:val="22"/>
          <w:szCs w:val="22"/>
        </w:rPr>
        <w:t>.</w:t>
      </w:r>
      <w:r>
        <w:rPr>
          <w:rStyle w:val="FootnoteReference"/>
          <w:szCs w:val="22"/>
        </w:rPr>
        <w:footnoteReference w:id="5"/>
      </w:r>
      <w:r w:rsidRPr="00682226">
        <w:rPr>
          <w:color w:val="000000"/>
          <w:sz w:val="22"/>
          <w:szCs w:val="22"/>
        </w:rPr>
        <w:t xml:space="preserve"> </w:t>
      </w:r>
      <w:r>
        <w:rPr>
          <w:color w:val="000000"/>
          <w:sz w:val="22"/>
          <w:szCs w:val="22"/>
        </w:rPr>
        <w:t xml:space="preserve">  </w:t>
      </w:r>
    </w:p>
    <w:p w:rsidR="00A61A7E" w:rsidP="00A61A7E" w14:paraId="3168FF0B" w14:textId="77777777">
      <w:pPr>
        <w:ind w:firstLine="720"/>
        <w:rPr>
          <w:color w:val="000000"/>
          <w:sz w:val="22"/>
          <w:szCs w:val="22"/>
        </w:rPr>
      </w:pPr>
    </w:p>
    <w:p w:rsidR="00A61A7E" w:rsidP="00A61A7E" w14:paraId="240D120E" w14:textId="77777777">
      <w:pPr>
        <w:ind w:firstLine="720"/>
        <w:rPr>
          <w:sz w:val="22"/>
          <w:szCs w:val="22"/>
        </w:rPr>
      </w:pPr>
      <w:r w:rsidRPr="006E143A">
        <w:rPr>
          <w:sz w:val="22"/>
          <w:szCs w:val="22"/>
        </w:rPr>
        <w:t xml:space="preserve">Pursuant to ITU-T Recommendation Q.708, the Commission also required </w:t>
      </w:r>
      <w:r>
        <w:rPr>
          <w:sz w:val="22"/>
          <w:szCs w:val="22"/>
        </w:rPr>
        <w:t>TGI</w:t>
      </w:r>
      <w:r w:rsidRPr="006E143A">
        <w:rPr>
          <w:sz w:val="22"/>
          <w:szCs w:val="22"/>
        </w:rPr>
        <w:t xml:space="preserve"> to make several certifications in its</w:t>
      </w:r>
      <w:r>
        <w:rPr>
          <w:sz w:val="22"/>
          <w:szCs w:val="22"/>
        </w:rPr>
        <w:t xml:space="preserve"> ISPC</w:t>
      </w:r>
      <w:r w:rsidRPr="006E143A">
        <w:rPr>
          <w:sz w:val="22"/>
          <w:szCs w:val="22"/>
        </w:rPr>
        <w:t xml:space="preserve"> application</w:t>
      </w:r>
      <w:r w:rsidRPr="006E143A">
        <w:rPr>
          <w:color w:val="000000"/>
          <w:sz w:val="22"/>
          <w:szCs w:val="22"/>
        </w:rPr>
        <w:t xml:space="preserve">.  First, </w:t>
      </w:r>
      <w:r>
        <w:rPr>
          <w:color w:val="000000"/>
          <w:sz w:val="22"/>
          <w:szCs w:val="22"/>
        </w:rPr>
        <w:t>TGI</w:t>
      </w:r>
      <w:r w:rsidRPr="006E143A">
        <w:rPr>
          <w:color w:val="000000"/>
          <w:sz w:val="22"/>
          <w:szCs w:val="22"/>
        </w:rPr>
        <w:t xml:space="preserve"> certified that the “[c]ode assignments held in excess of 12 months without implementation must be returned to this Administrator for reassignment.”</w:t>
      </w:r>
      <w:r>
        <w:rPr>
          <w:rStyle w:val="FootnoteReference"/>
          <w:szCs w:val="22"/>
        </w:rPr>
        <w:footnoteReference w:id="6"/>
      </w:r>
      <w:r w:rsidRPr="006E143A">
        <w:rPr>
          <w:color w:val="000000"/>
          <w:sz w:val="22"/>
          <w:szCs w:val="22"/>
        </w:rPr>
        <w:t xml:space="preserve">  </w:t>
      </w:r>
      <w:r w:rsidRPr="00235B5D">
        <w:rPr>
          <w:color w:val="000000"/>
          <w:sz w:val="22"/>
          <w:szCs w:val="22"/>
        </w:rPr>
        <w:t>To confirm this, the International Bureau (Bureau) in a letter granting the provisional code to TGI on October 31, 2003, required TGI to inform the Bureau of the date the code was implemented.</w:t>
      </w:r>
      <w:r>
        <w:rPr>
          <w:rStyle w:val="FootnoteReference"/>
          <w:szCs w:val="22"/>
        </w:rPr>
        <w:footnoteReference w:id="7"/>
      </w:r>
      <w:r w:rsidRPr="006E143A">
        <w:rPr>
          <w:color w:val="000000"/>
          <w:sz w:val="22"/>
          <w:szCs w:val="22"/>
        </w:rPr>
        <w:t xml:space="preserve">  Second, </w:t>
      </w:r>
      <w:r>
        <w:rPr>
          <w:color w:val="000000"/>
          <w:sz w:val="22"/>
          <w:szCs w:val="22"/>
        </w:rPr>
        <w:t>TGI</w:t>
      </w:r>
      <w:r w:rsidRPr="006E143A">
        <w:rPr>
          <w:color w:val="000000"/>
          <w:sz w:val="22"/>
          <w:szCs w:val="22"/>
        </w:rPr>
        <w:t xml:space="preserve"> certified “[it is] aware that all ISPC assignments are provisional and that nobody has a property right in [an] ISPC [and it is] aware that the Commission may take an assigned ISPC and reassign it to another person.”</w:t>
      </w:r>
      <w:r>
        <w:rPr>
          <w:rStyle w:val="FootnoteReference"/>
          <w:szCs w:val="22"/>
        </w:rPr>
        <w:footnoteReference w:id="8"/>
      </w:r>
      <w:r w:rsidRPr="006E143A">
        <w:rPr>
          <w:color w:val="000000"/>
          <w:sz w:val="22"/>
          <w:szCs w:val="22"/>
        </w:rPr>
        <w:t xml:space="preserve">  Third, </w:t>
      </w:r>
      <w:r>
        <w:rPr>
          <w:color w:val="000000"/>
          <w:sz w:val="22"/>
          <w:szCs w:val="22"/>
        </w:rPr>
        <w:t>TGI</w:t>
      </w:r>
      <w:r w:rsidRPr="006E143A">
        <w:rPr>
          <w:color w:val="000000"/>
          <w:sz w:val="22"/>
          <w:szCs w:val="22"/>
        </w:rPr>
        <w:t xml:space="preserve"> certified that failure to file an annual International Traffic Data Report would “</w:t>
      </w:r>
      <w:r w:rsidRPr="006E143A">
        <w:rPr>
          <w:sz w:val="22"/>
          <w:szCs w:val="22"/>
        </w:rPr>
        <w:t>be interpreted as inactive operation and could, therefore, result in the loss of the carrier’s point code assignment.”</w:t>
      </w:r>
      <w:r>
        <w:rPr>
          <w:color w:val="000000"/>
          <w:sz w:val="22"/>
          <w:szCs w:val="22"/>
          <w:vertAlign w:val="superscript"/>
        </w:rPr>
        <w:footnoteReference w:id="9"/>
      </w:r>
      <w:r w:rsidRPr="006E143A">
        <w:rPr>
          <w:color w:val="000000"/>
          <w:sz w:val="22"/>
          <w:szCs w:val="22"/>
        </w:rPr>
        <w:t xml:space="preserve"> </w:t>
      </w:r>
      <w:r w:rsidRPr="006E143A">
        <w:rPr>
          <w:sz w:val="22"/>
          <w:szCs w:val="22"/>
        </w:rPr>
        <w:t xml:space="preserve"> </w:t>
      </w:r>
      <w:r w:rsidRPr="00A21FE4">
        <w:rPr>
          <w:sz w:val="22"/>
          <w:szCs w:val="22"/>
        </w:rPr>
        <w:t xml:space="preserve">Despite these certifications, we have no record that TGI informed the Bureau of the date the code was implemented </w:t>
      </w:r>
      <w:r w:rsidRPr="004D6B0C">
        <w:rPr>
          <w:sz w:val="22"/>
          <w:szCs w:val="22"/>
        </w:rPr>
        <w:t>or filed any International Traffic Data Reports for the years 200</w:t>
      </w:r>
      <w:r>
        <w:rPr>
          <w:sz w:val="22"/>
          <w:szCs w:val="22"/>
        </w:rPr>
        <w:t>7</w:t>
      </w:r>
      <w:r w:rsidRPr="004D6B0C">
        <w:rPr>
          <w:sz w:val="22"/>
          <w:szCs w:val="22"/>
        </w:rPr>
        <w:t>-2014.</w:t>
      </w:r>
      <w:r>
        <w:rPr>
          <w:rStyle w:val="FootnoteReference"/>
          <w:sz w:val="22"/>
          <w:szCs w:val="22"/>
        </w:rPr>
        <w:footnoteReference w:id="10"/>
      </w:r>
    </w:p>
    <w:p w:rsidR="00A61A7E" w:rsidRPr="003B3ECD" w:rsidP="00A61A7E" w14:paraId="247A5A63" w14:textId="77777777">
      <w:pPr>
        <w:ind w:firstLine="720"/>
        <w:rPr>
          <w:color w:val="000000"/>
          <w:sz w:val="22"/>
          <w:szCs w:val="22"/>
        </w:rPr>
      </w:pPr>
    </w:p>
    <w:p w:rsidR="00A61A7E" w:rsidRPr="003B3ECD" w:rsidP="00A61A7E" w14:paraId="04EA3D65" w14:textId="6684C41D">
      <w:pPr>
        <w:rPr>
          <w:color w:val="000000"/>
          <w:sz w:val="22"/>
          <w:szCs w:val="22"/>
        </w:rPr>
      </w:pPr>
      <w:r w:rsidRPr="003B3ECD">
        <w:rPr>
          <w:color w:val="000000"/>
          <w:sz w:val="22"/>
          <w:szCs w:val="22"/>
        </w:rPr>
        <w:tab/>
        <w:t xml:space="preserve">In </w:t>
      </w:r>
      <w:r>
        <w:rPr>
          <w:color w:val="000000"/>
          <w:sz w:val="22"/>
          <w:szCs w:val="22"/>
        </w:rPr>
        <w:t>August</w:t>
      </w:r>
      <w:r w:rsidRPr="003B3ECD">
        <w:rPr>
          <w:color w:val="000000"/>
          <w:sz w:val="22"/>
          <w:szCs w:val="22"/>
        </w:rPr>
        <w:t xml:space="preserve"> 2020</w:t>
      </w:r>
      <w:r>
        <w:rPr>
          <w:color w:val="000000"/>
          <w:sz w:val="22"/>
          <w:szCs w:val="22"/>
        </w:rPr>
        <w:t xml:space="preserve"> and again in March 2021</w:t>
      </w:r>
      <w:r w:rsidRPr="003B3ECD">
        <w:rPr>
          <w:color w:val="000000"/>
          <w:sz w:val="22"/>
          <w:szCs w:val="22"/>
        </w:rPr>
        <w:t xml:space="preserve">, </w:t>
      </w:r>
      <w:r w:rsidR="008D6A2E">
        <w:rPr>
          <w:color w:val="000000"/>
          <w:sz w:val="22"/>
          <w:szCs w:val="22"/>
        </w:rPr>
        <w:t xml:space="preserve">Bureau </w:t>
      </w:r>
      <w:r>
        <w:rPr>
          <w:color w:val="000000"/>
          <w:sz w:val="22"/>
          <w:szCs w:val="22"/>
        </w:rPr>
        <w:t>staff</w:t>
      </w:r>
      <w:r w:rsidRPr="003B3ECD">
        <w:rPr>
          <w:color w:val="000000"/>
          <w:sz w:val="22"/>
          <w:szCs w:val="22"/>
        </w:rPr>
        <w:t xml:space="preserve"> </w:t>
      </w:r>
      <w:r>
        <w:rPr>
          <w:color w:val="000000"/>
          <w:sz w:val="22"/>
          <w:szCs w:val="22"/>
        </w:rPr>
        <w:t>attempted</w:t>
      </w:r>
      <w:r w:rsidRPr="003B3ECD">
        <w:rPr>
          <w:color w:val="000000"/>
          <w:sz w:val="22"/>
          <w:szCs w:val="22"/>
        </w:rPr>
        <w:t xml:space="preserve"> to contact </w:t>
      </w:r>
      <w:r>
        <w:rPr>
          <w:color w:val="000000"/>
          <w:sz w:val="22"/>
          <w:szCs w:val="22"/>
        </w:rPr>
        <w:t>TGI</w:t>
      </w:r>
      <w:r w:rsidRPr="003B3ECD">
        <w:rPr>
          <w:color w:val="000000"/>
          <w:sz w:val="22"/>
          <w:szCs w:val="22"/>
        </w:rPr>
        <w:t xml:space="preserve"> to ascertain whether it is using its assigned ISPC.  On </w:t>
      </w:r>
      <w:r>
        <w:rPr>
          <w:color w:val="000000"/>
          <w:sz w:val="22"/>
          <w:szCs w:val="22"/>
        </w:rPr>
        <w:t>August 5,</w:t>
      </w:r>
      <w:r w:rsidRPr="003B3ECD">
        <w:rPr>
          <w:color w:val="000000"/>
          <w:sz w:val="22"/>
          <w:szCs w:val="22"/>
        </w:rPr>
        <w:t xml:space="preserve"> 2020, the staff sent inquiries to the email addresses on file, which were returned due to an unknown host error.</w:t>
      </w:r>
      <w:r>
        <w:rPr>
          <w:color w:val="000000"/>
          <w:sz w:val="22"/>
          <w:szCs w:val="22"/>
          <w:vertAlign w:val="superscript"/>
        </w:rPr>
        <w:footnoteReference w:id="11"/>
      </w:r>
      <w:r>
        <w:rPr>
          <w:color w:val="000000"/>
          <w:sz w:val="22"/>
          <w:szCs w:val="22"/>
        </w:rPr>
        <w:t xml:space="preserve"> On March 17 and 22, 2021, </w:t>
      </w:r>
      <w:r w:rsidRPr="003B3ECD">
        <w:rPr>
          <w:color w:val="000000"/>
          <w:sz w:val="22"/>
          <w:szCs w:val="22"/>
        </w:rPr>
        <w:t xml:space="preserve">staff called </w:t>
      </w:r>
      <w:r>
        <w:rPr>
          <w:color w:val="000000"/>
          <w:sz w:val="22"/>
          <w:szCs w:val="22"/>
        </w:rPr>
        <w:t>TGI’s</w:t>
      </w:r>
      <w:r w:rsidRPr="003B3ECD">
        <w:rPr>
          <w:color w:val="000000"/>
          <w:sz w:val="22"/>
          <w:szCs w:val="22"/>
        </w:rPr>
        <w:t xml:space="preserve"> phone numbers on record, </w:t>
      </w:r>
      <w:r>
        <w:rPr>
          <w:color w:val="000000"/>
          <w:sz w:val="22"/>
          <w:szCs w:val="22"/>
        </w:rPr>
        <w:t xml:space="preserve">one of </w:t>
      </w:r>
      <w:r w:rsidR="00B96076">
        <w:rPr>
          <w:color w:val="000000"/>
          <w:sz w:val="22"/>
          <w:szCs w:val="22"/>
        </w:rPr>
        <w:t xml:space="preserve">which </w:t>
      </w:r>
      <w:r>
        <w:rPr>
          <w:color w:val="000000"/>
          <w:sz w:val="22"/>
          <w:szCs w:val="22"/>
        </w:rPr>
        <w:t>went unanswered and the other now belongs to a different company</w:t>
      </w:r>
      <w:r w:rsidRPr="003B3ECD">
        <w:rPr>
          <w:color w:val="000000"/>
          <w:sz w:val="22"/>
          <w:szCs w:val="22"/>
        </w:rPr>
        <w:t>.</w:t>
      </w:r>
      <w:r>
        <w:rPr>
          <w:rStyle w:val="FootnoteReference"/>
          <w:szCs w:val="22"/>
        </w:rPr>
        <w:footnoteReference w:id="12"/>
      </w:r>
      <w:r>
        <w:rPr>
          <w:color w:val="000000"/>
          <w:sz w:val="22"/>
          <w:szCs w:val="22"/>
        </w:rPr>
        <w:t xml:space="preserve">  According to the Commission’s 499 database, TGI’s status has been inactive since March 8, 2007, and all assets</w:t>
      </w:r>
      <w:r w:rsidRPr="006771A8">
        <w:rPr>
          <w:color w:val="000000"/>
          <w:sz w:val="22"/>
          <w:szCs w:val="22"/>
        </w:rPr>
        <w:t xml:space="preserve"> </w:t>
      </w:r>
      <w:r>
        <w:rPr>
          <w:color w:val="000000"/>
          <w:sz w:val="22"/>
          <w:szCs w:val="22"/>
        </w:rPr>
        <w:t>“</w:t>
      </w:r>
      <w:r w:rsidRPr="006771A8">
        <w:rPr>
          <w:color w:val="000000"/>
          <w:sz w:val="22"/>
          <w:szCs w:val="22"/>
        </w:rPr>
        <w:t>have been sold to another party.</w:t>
      </w:r>
      <w:r>
        <w:rPr>
          <w:color w:val="000000"/>
          <w:sz w:val="22"/>
          <w:szCs w:val="22"/>
        </w:rPr>
        <w:t>”</w:t>
      </w:r>
      <w:r>
        <w:rPr>
          <w:rStyle w:val="FootnoteReference"/>
          <w:szCs w:val="22"/>
        </w:rPr>
        <w:footnoteReference w:id="13"/>
      </w:r>
      <w:r>
        <w:rPr>
          <w:color w:val="000000"/>
          <w:sz w:val="22"/>
          <w:szCs w:val="22"/>
        </w:rPr>
        <w:t xml:space="preserve">  We have no records on file to indicate that TGI </w:t>
      </w:r>
      <w:r>
        <w:rPr>
          <w:color w:val="000000"/>
          <w:sz w:val="22"/>
          <w:szCs w:val="22"/>
        </w:rPr>
        <w:t xml:space="preserve">transferred ISPC </w:t>
      </w:r>
      <w:r w:rsidRPr="006771A8">
        <w:rPr>
          <w:bCs/>
          <w:color w:val="000000"/>
          <w:sz w:val="22"/>
          <w:szCs w:val="22"/>
        </w:rPr>
        <w:t>3-195-1</w:t>
      </w:r>
      <w:r>
        <w:rPr>
          <w:bCs/>
          <w:color w:val="000000"/>
          <w:sz w:val="22"/>
          <w:szCs w:val="22"/>
        </w:rPr>
        <w:t xml:space="preserve"> to another entity.</w:t>
      </w:r>
      <w:r>
        <w:rPr>
          <w:rStyle w:val="FootnoteReference"/>
          <w:bCs/>
          <w:szCs w:val="22"/>
        </w:rPr>
        <w:footnoteReference w:id="14"/>
      </w:r>
      <w:r>
        <w:rPr>
          <w:bCs/>
          <w:color w:val="000000"/>
          <w:sz w:val="22"/>
          <w:szCs w:val="22"/>
        </w:rPr>
        <w:t xml:space="preserve"> </w:t>
      </w:r>
      <w:r w:rsidRPr="006771A8">
        <w:rPr>
          <w:color w:val="000000"/>
          <w:sz w:val="22"/>
          <w:szCs w:val="22"/>
        </w:rPr>
        <w:t xml:space="preserve"> </w:t>
      </w:r>
      <w:r w:rsidRPr="003B3ECD">
        <w:rPr>
          <w:color w:val="000000"/>
          <w:sz w:val="22"/>
          <w:szCs w:val="22"/>
        </w:rPr>
        <w:t xml:space="preserve">Finally, staff viewed New York’s Department of State, Division of Corporations website, and according to that website, </w:t>
      </w:r>
      <w:r>
        <w:rPr>
          <w:color w:val="000000"/>
          <w:sz w:val="22"/>
          <w:szCs w:val="22"/>
        </w:rPr>
        <w:t>TGI is still active and its Flushing, NY address remains unchanged</w:t>
      </w:r>
      <w:r w:rsidRPr="003B3ECD">
        <w:rPr>
          <w:color w:val="000000"/>
          <w:sz w:val="22"/>
          <w:szCs w:val="22"/>
        </w:rPr>
        <w:t>.</w:t>
      </w:r>
      <w:r>
        <w:rPr>
          <w:color w:val="000000"/>
          <w:sz w:val="22"/>
          <w:szCs w:val="22"/>
          <w:vertAlign w:val="superscript"/>
        </w:rPr>
        <w:footnoteReference w:id="15"/>
      </w:r>
      <w:r w:rsidRPr="003B3ECD">
        <w:rPr>
          <w:color w:val="000000"/>
          <w:sz w:val="22"/>
          <w:szCs w:val="22"/>
        </w:rPr>
        <w:t xml:space="preserve">  Based on our </w:t>
      </w:r>
      <w:r>
        <w:rPr>
          <w:color w:val="000000"/>
          <w:sz w:val="22"/>
          <w:szCs w:val="22"/>
        </w:rPr>
        <w:t xml:space="preserve">records and our </w:t>
      </w:r>
      <w:r w:rsidRPr="003B3ECD">
        <w:rPr>
          <w:color w:val="000000"/>
          <w:sz w:val="22"/>
          <w:szCs w:val="22"/>
        </w:rPr>
        <w:t xml:space="preserve">inability to contact </w:t>
      </w:r>
      <w:r>
        <w:rPr>
          <w:color w:val="000000"/>
          <w:sz w:val="22"/>
          <w:szCs w:val="22"/>
        </w:rPr>
        <w:t xml:space="preserve">a representative for TGI </w:t>
      </w:r>
      <w:r w:rsidR="00490904">
        <w:rPr>
          <w:color w:val="000000"/>
          <w:sz w:val="22"/>
          <w:szCs w:val="22"/>
        </w:rPr>
        <w:t>however</w:t>
      </w:r>
      <w:r w:rsidRPr="003B3ECD">
        <w:rPr>
          <w:color w:val="000000"/>
          <w:sz w:val="22"/>
          <w:szCs w:val="22"/>
        </w:rPr>
        <w:t xml:space="preserve">, we believe </w:t>
      </w:r>
      <w:r w:rsidR="00490904">
        <w:rPr>
          <w:color w:val="000000"/>
          <w:sz w:val="22"/>
          <w:szCs w:val="22"/>
        </w:rPr>
        <w:t xml:space="preserve">that </w:t>
      </w:r>
      <w:r>
        <w:rPr>
          <w:color w:val="000000"/>
          <w:sz w:val="22"/>
          <w:szCs w:val="22"/>
        </w:rPr>
        <w:t>TGI</w:t>
      </w:r>
      <w:r w:rsidRPr="003B3ECD">
        <w:rPr>
          <w:color w:val="000000"/>
          <w:sz w:val="22"/>
          <w:szCs w:val="22"/>
        </w:rPr>
        <w:t xml:space="preserve"> </w:t>
      </w:r>
      <w:r>
        <w:rPr>
          <w:color w:val="000000"/>
          <w:sz w:val="22"/>
          <w:szCs w:val="22"/>
        </w:rPr>
        <w:t>may</w:t>
      </w:r>
      <w:r w:rsidRPr="003B3ECD">
        <w:rPr>
          <w:color w:val="000000"/>
          <w:sz w:val="22"/>
          <w:szCs w:val="22"/>
        </w:rPr>
        <w:t xml:space="preserve"> no longer </w:t>
      </w:r>
      <w:r>
        <w:rPr>
          <w:color w:val="000000"/>
          <w:sz w:val="22"/>
          <w:szCs w:val="22"/>
        </w:rPr>
        <w:t xml:space="preserve">be providing telecommunications services and therefore </w:t>
      </w:r>
      <w:r w:rsidR="00490904">
        <w:rPr>
          <w:color w:val="000000"/>
          <w:sz w:val="22"/>
          <w:szCs w:val="22"/>
        </w:rPr>
        <w:t xml:space="preserve">is </w:t>
      </w:r>
      <w:r>
        <w:rPr>
          <w:color w:val="000000"/>
          <w:sz w:val="22"/>
          <w:szCs w:val="22"/>
        </w:rPr>
        <w:t xml:space="preserve">no longer </w:t>
      </w:r>
      <w:r w:rsidRPr="003B3ECD">
        <w:rPr>
          <w:color w:val="000000"/>
          <w:sz w:val="22"/>
          <w:szCs w:val="22"/>
        </w:rPr>
        <w:t xml:space="preserve">using its assigned ISPC.  </w:t>
      </w:r>
    </w:p>
    <w:p w:rsidR="00A61A7E" w:rsidRPr="003B3ECD" w:rsidP="00A61A7E" w14:paraId="2941EC5D" w14:textId="77777777">
      <w:pPr>
        <w:rPr>
          <w:color w:val="000000"/>
          <w:sz w:val="22"/>
          <w:szCs w:val="22"/>
        </w:rPr>
      </w:pPr>
    </w:p>
    <w:p w:rsidR="00A61A7E" w:rsidP="00A61A7E" w14:paraId="611566C1" w14:textId="237CEAFF">
      <w:pPr>
        <w:ind w:firstLine="720"/>
        <w:rPr>
          <w:color w:val="000000"/>
          <w:sz w:val="22"/>
          <w:szCs w:val="22"/>
        </w:rPr>
      </w:pPr>
      <w:r w:rsidRPr="003B3ECD">
        <w:rPr>
          <w:color w:val="000000"/>
          <w:sz w:val="22"/>
          <w:szCs w:val="22"/>
        </w:rPr>
        <w:t xml:space="preserve">We request that you respond to this letter by </w:t>
      </w:r>
      <w:r>
        <w:rPr>
          <w:b/>
          <w:bCs/>
          <w:color w:val="000000"/>
          <w:sz w:val="22"/>
          <w:szCs w:val="22"/>
        </w:rPr>
        <w:t>Ju</w:t>
      </w:r>
      <w:r w:rsidR="00490904">
        <w:rPr>
          <w:b/>
          <w:bCs/>
          <w:color w:val="000000"/>
          <w:sz w:val="22"/>
          <w:szCs w:val="22"/>
        </w:rPr>
        <w:t>ly</w:t>
      </w:r>
      <w:r>
        <w:rPr>
          <w:b/>
          <w:bCs/>
          <w:color w:val="000000"/>
          <w:sz w:val="22"/>
          <w:szCs w:val="22"/>
        </w:rPr>
        <w:t xml:space="preserve"> </w:t>
      </w:r>
      <w:r w:rsidR="00FE52F2">
        <w:rPr>
          <w:b/>
          <w:bCs/>
          <w:color w:val="000000"/>
          <w:sz w:val="22"/>
          <w:szCs w:val="22"/>
        </w:rPr>
        <w:t>30</w:t>
      </w:r>
      <w:r w:rsidRPr="000E5752">
        <w:rPr>
          <w:b/>
          <w:bCs/>
          <w:color w:val="000000"/>
          <w:sz w:val="22"/>
          <w:szCs w:val="22"/>
        </w:rPr>
        <w:t>, 2021</w:t>
      </w:r>
      <w:r w:rsidRPr="003B3ECD">
        <w:rPr>
          <w:color w:val="000000"/>
          <w:sz w:val="22"/>
          <w:szCs w:val="22"/>
        </w:rPr>
        <w:t xml:space="preserve">, and </w:t>
      </w:r>
      <w:r>
        <w:rPr>
          <w:color w:val="000000"/>
          <w:sz w:val="22"/>
          <w:szCs w:val="22"/>
        </w:rPr>
        <w:t xml:space="preserve">indicate the date the code was implemented and </w:t>
      </w:r>
      <w:r w:rsidRPr="003B3ECD">
        <w:rPr>
          <w:color w:val="000000"/>
          <w:sz w:val="22"/>
          <w:szCs w:val="22"/>
        </w:rPr>
        <w:t xml:space="preserve">describe the current use of </w:t>
      </w:r>
      <w:r>
        <w:rPr>
          <w:color w:val="000000"/>
          <w:sz w:val="22"/>
          <w:szCs w:val="22"/>
        </w:rPr>
        <w:t>TGI’s</w:t>
      </w:r>
      <w:r w:rsidRPr="003B3ECD">
        <w:rPr>
          <w:color w:val="000000"/>
          <w:sz w:val="22"/>
          <w:szCs w:val="22"/>
        </w:rPr>
        <w:t xml:space="preserve"> ISPC (3-</w:t>
      </w:r>
      <w:r>
        <w:rPr>
          <w:color w:val="000000"/>
          <w:sz w:val="22"/>
          <w:szCs w:val="22"/>
        </w:rPr>
        <w:t>195-1</w:t>
      </w:r>
      <w:r w:rsidRPr="003B3ECD">
        <w:rPr>
          <w:color w:val="000000"/>
          <w:sz w:val="22"/>
          <w:szCs w:val="22"/>
        </w:rPr>
        <w:t xml:space="preserve">).  </w:t>
      </w:r>
      <w:r>
        <w:rPr>
          <w:color w:val="000000"/>
          <w:sz w:val="22"/>
          <w:szCs w:val="22"/>
        </w:rPr>
        <w:t>A failure to respond to this letter will serve as confirmation that TGI is no longer using its provisionally assigned ISPC and has failed to comply with our ISPC requirements.  Consistent with the terms of ITU-T Recommendation Q.708, w</w:t>
      </w:r>
      <w:r w:rsidRPr="00BC7A74">
        <w:rPr>
          <w:color w:val="000000"/>
          <w:sz w:val="22"/>
          <w:szCs w:val="22"/>
        </w:rPr>
        <w:t>e will reclaim the ISPC (3-</w:t>
      </w:r>
      <w:r>
        <w:rPr>
          <w:color w:val="000000"/>
          <w:sz w:val="22"/>
          <w:szCs w:val="22"/>
        </w:rPr>
        <w:t>195-1</w:t>
      </w:r>
      <w:r w:rsidRPr="00BC7A74">
        <w:rPr>
          <w:color w:val="000000"/>
          <w:sz w:val="22"/>
          <w:szCs w:val="22"/>
        </w:rPr>
        <w:t xml:space="preserve">) and </w:t>
      </w:r>
      <w:r>
        <w:rPr>
          <w:color w:val="000000"/>
          <w:sz w:val="22"/>
          <w:szCs w:val="22"/>
        </w:rPr>
        <w:t xml:space="preserve">immediately </w:t>
      </w:r>
      <w:r w:rsidRPr="00BC7A74">
        <w:rPr>
          <w:color w:val="000000"/>
          <w:sz w:val="22"/>
          <w:szCs w:val="22"/>
        </w:rPr>
        <w:t>make the code available for reassignment</w:t>
      </w:r>
      <w:r w:rsidR="00CA4873">
        <w:rPr>
          <w:color w:val="000000"/>
          <w:sz w:val="22"/>
          <w:szCs w:val="22"/>
        </w:rPr>
        <w:t xml:space="preserve"> if you fail to respond to this letter as requested</w:t>
      </w:r>
      <w:r w:rsidRPr="00BC7A74">
        <w:rPr>
          <w:color w:val="000000"/>
          <w:sz w:val="22"/>
          <w:szCs w:val="22"/>
        </w:rPr>
        <w:t xml:space="preserve">. </w:t>
      </w:r>
      <w:r w:rsidRPr="003B3ECD">
        <w:rPr>
          <w:color w:val="000000"/>
          <w:sz w:val="22"/>
          <w:szCs w:val="22"/>
        </w:rPr>
        <w:t xml:space="preserve"> We are addressing this letter to the most recent contact</w:t>
      </w:r>
      <w:r w:rsidR="00B77163">
        <w:rPr>
          <w:color w:val="000000"/>
          <w:sz w:val="22"/>
          <w:szCs w:val="22"/>
        </w:rPr>
        <w:t>s</w:t>
      </w:r>
      <w:r w:rsidRPr="003B3ECD">
        <w:rPr>
          <w:color w:val="000000"/>
          <w:sz w:val="22"/>
          <w:szCs w:val="22"/>
        </w:rPr>
        <w:t xml:space="preserve"> and addresses of record provided by </w:t>
      </w:r>
      <w:r>
        <w:rPr>
          <w:color w:val="000000"/>
          <w:sz w:val="22"/>
          <w:szCs w:val="22"/>
        </w:rPr>
        <w:t>TGI</w:t>
      </w:r>
      <w:r w:rsidRPr="003B3ECD">
        <w:rPr>
          <w:color w:val="000000"/>
          <w:sz w:val="22"/>
          <w:szCs w:val="22"/>
        </w:rPr>
        <w:t xml:space="preserve">. </w:t>
      </w:r>
    </w:p>
    <w:p w:rsidR="00A61A7E" w:rsidP="00A61A7E" w14:paraId="0D13D215" w14:textId="77777777">
      <w:pPr>
        <w:ind w:firstLine="720"/>
        <w:rPr>
          <w:color w:val="000000"/>
          <w:sz w:val="22"/>
          <w:szCs w:val="22"/>
        </w:rPr>
      </w:pPr>
    </w:p>
    <w:p w:rsidR="00A61A7E" w:rsidRPr="003B3ECD" w:rsidP="00A61A7E" w14:paraId="4C6F2C8C" w14:textId="03BF95DD">
      <w:pPr>
        <w:ind w:firstLine="720"/>
        <w:rPr>
          <w:color w:val="000000"/>
          <w:sz w:val="22"/>
          <w:szCs w:val="22"/>
        </w:rPr>
      </w:pPr>
      <w:r w:rsidRPr="003B3ECD">
        <w:rPr>
          <w:color w:val="000000"/>
          <w:sz w:val="22"/>
          <w:szCs w:val="22"/>
        </w:rPr>
        <w:t>If you have any questions please contact me at (202) 418-</w:t>
      </w:r>
      <w:r w:rsidR="00B77163">
        <w:rPr>
          <w:color w:val="000000"/>
          <w:sz w:val="22"/>
          <w:szCs w:val="22"/>
        </w:rPr>
        <w:t>7370</w:t>
      </w:r>
      <w:r w:rsidRPr="003B3ECD" w:rsidR="00B77163">
        <w:rPr>
          <w:color w:val="000000"/>
          <w:sz w:val="22"/>
          <w:szCs w:val="22"/>
        </w:rPr>
        <w:t xml:space="preserve"> </w:t>
      </w:r>
      <w:r w:rsidRPr="003B3ECD">
        <w:rPr>
          <w:color w:val="000000"/>
          <w:sz w:val="22"/>
          <w:szCs w:val="22"/>
        </w:rPr>
        <w:t xml:space="preserve">or </w:t>
      </w:r>
      <w:hyperlink r:id="rId5" w:history="1">
        <w:r>
          <w:rPr>
            <w:rStyle w:val="Hyperlink"/>
            <w:sz w:val="22"/>
            <w:szCs w:val="22"/>
          </w:rPr>
          <w:t>Francis.Gutierrez</w:t>
        </w:r>
        <w:r w:rsidRPr="003B3ECD">
          <w:rPr>
            <w:rStyle w:val="Hyperlink"/>
            <w:sz w:val="22"/>
            <w:szCs w:val="22"/>
          </w:rPr>
          <w:t>@fcc.gov</w:t>
        </w:r>
      </w:hyperlink>
      <w:r w:rsidRPr="003B3ECD">
        <w:rPr>
          <w:color w:val="000000"/>
          <w:sz w:val="22"/>
          <w:szCs w:val="22"/>
        </w:rPr>
        <w:t xml:space="preserve"> or</w:t>
      </w:r>
      <w:r w:rsidR="00CA4873">
        <w:rPr>
          <w:color w:val="000000"/>
          <w:sz w:val="22"/>
          <w:szCs w:val="22"/>
        </w:rPr>
        <w:t xml:space="preserve"> my colleague</w:t>
      </w:r>
      <w:r w:rsidRPr="003B3ECD">
        <w:rPr>
          <w:color w:val="000000"/>
          <w:sz w:val="22"/>
          <w:szCs w:val="22"/>
        </w:rPr>
        <w:t xml:space="preserve"> Arthur Lechtman</w:t>
      </w:r>
      <w:r w:rsidR="00CA4873">
        <w:rPr>
          <w:color w:val="000000"/>
          <w:sz w:val="22"/>
          <w:szCs w:val="22"/>
        </w:rPr>
        <w:t xml:space="preserve"> at (202) 418-1465 or</w:t>
      </w:r>
      <w:r w:rsidRPr="003B3ECD">
        <w:rPr>
          <w:color w:val="000000"/>
          <w:sz w:val="22"/>
          <w:szCs w:val="22"/>
        </w:rPr>
        <w:t xml:space="preserve"> </w:t>
      </w:r>
      <w:hyperlink r:id="rId6" w:history="1">
        <w:r w:rsidRPr="003B3ECD">
          <w:rPr>
            <w:rStyle w:val="Hyperlink"/>
            <w:sz w:val="22"/>
            <w:szCs w:val="22"/>
          </w:rPr>
          <w:t>Arthur.Lechtman@fcc.gov</w:t>
        </w:r>
      </w:hyperlink>
      <w:r w:rsidRPr="003B3ECD">
        <w:rPr>
          <w:color w:val="000000"/>
          <w:sz w:val="22"/>
          <w:szCs w:val="22"/>
        </w:rPr>
        <w:t>.</w:t>
      </w:r>
    </w:p>
    <w:p w:rsidR="00A61A7E" w:rsidP="00A61A7E" w14:paraId="600CC42F" w14:textId="77777777">
      <w:pPr>
        <w:rPr>
          <w:color w:val="000000"/>
          <w:sz w:val="22"/>
          <w:szCs w:val="22"/>
        </w:rPr>
      </w:pPr>
      <w:r w:rsidRPr="003B3ECD">
        <w:rPr>
          <w:color w:val="000000"/>
          <w:sz w:val="22"/>
          <w:szCs w:val="22"/>
        </w:rPr>
        <w:tab/>
      </w:r>
      <w:r w:rsidRPr="003B3ECD">
        <w:rPr>
          <w:color w:val="000000"/>
          <w:sz w:val="22"/>
          <w:szCs w:val="22"/>
        </w:rPr>
        <w:tab/>
      </w:r>
      <w:r w:rsidRPr="003B3ECD">
        <w:rPr>
          <w:color w:val="000000"/>
          <w:sz w:val="22"/>
          <w:szCs w:val="22"/>
        </w:rPr>
        <w:tab/>
      </w:r>
      <w:r w:rsidRPr="003B3ECD">
        <w:rPr>
          <w:color w:val="000000"/>
          <w:sz w:val="22"/>
          <w:szCs w:val="22"/>
        </w:rPr>
        <w:tab/>
      </w:r>
      <w:r w:rsidRPr="003B3ECD">
        <w:rPr>
          <w:color w:val="000000"/>
          <w:sz w:val="22"/>
          <w:szCs w:val="22"/>
        </w:rPr>
        <w:tab/>
      </w:r>
      <w:r w:rsidRPr="003B3ECD">
        <w:rPr>
          <w:color w:val="000000"/>
          <w:sz w:val="22"/>
          <w:szCs w:val="22"/>
        </w:rPr>
        <w:tab/>
      </w:r>
    </w:p>
    <w:p w:rsidR="00A61A7E" w:rsidRPr="003B3ECD" w:rsidP="00A61A7E" w14:paraId="64CF2A4B" w14:textId="77777777">
      <w:pPr>
        <w:ind w:left="3600" w:firstLine="720"/>
        <w:rPr>
          <w:color w:val="000000"/>
          <w:sz w:val="22"/>
          <w:szCs w:val="22"/>
        </w:rPr>
      </w:pPr>
      <w:r w:rsidRPr="003B3ECD">
        <w:rPr>
          <w:color w:val="000000"/>
          <w:sz w:val="22"/>
          <w:szCs w:val="22"/>
        </w:rPr>
        <w:t>Sincerely,</w:t>
      </w:r>
    </w:p>
    <w:p w:rsidR="00A61A7E" w:rsidRPr="003B3ECD" w:rsidP="00A61A7E" w14:paraId="7A967CAC" w14:textId="77777777">
      <w:pPr>
        <w:rPr>
          <w:color w:val="000000"/>
          <w:sz w:val="22"/>
          <w:szCs w:val="22"/>
        </w:rPr>
      </w:pPr>
    </w:p>
    <w:p w:rsidR="00A61A7E" w:rsidRPr="003B3ECD" w:rsidP="00A61A7E" w14:paraId="7A39D53B" w14:textId="77777777">
      <w:pP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0E5752">
        <w:rPr>
          <w:color w:val="000000"/>
          <w:sz w:val="22"/>
          <w:szCs w:val="22"/>
        </w:rPr>
        <w:t>/</w:t>
      </w:r>
      <w:r w:rsidRPr="00221CB0">
        <w:rPr>
          <w:i/>
          <w:iCs/>
          <w:color w:val="000000"/>
          <w:sz w:val="22"/>
          <w:szCs w:val="22"/>
          <w:u w:val="single"/>
        </w:rPr>
        <w:t>Francis Gutierrez</w:t>
      </w:r>
      <w:r w:rsidRPr="000E5752">
        <w:rPr>
          <w:color w:val="000000"/>
          <w:sz w:val="22"/>
          <w:szCs w:val="22"/>
        </w:rPr>
        <w:t>/</w:t>
      </w:r>
    </w:p>
    <w:p w:rsidR="00A61A7E" w:rsidRPr="003B3ECD" w:rsidP="00A61A7E" w14:paraId="17B6374A" w14:textId="77777777">
      <w:pPr>
        <w:rPr>
          <w:color w:val="000000"/>
          <w:sz w:val="22"/>
          <w:szCs w:val="22"/>
        </w:rPr>
      </w:pPr>
    </w:p>
    <w:p w:rsidR="00A61A7E" w:rsidRPr="003B3ECD" w:rsidP="00A61A7E" w14:paraId="4473D94A" w14:textId="77777777">
      <w:pPr>
        <w:ind w:left="3600" w:firstLine="720"/>
        <w:rPr>
          <w:color w:val="000000"/>
          <w:sz w:val="22"/>
          <w:szCs w:val="22"/>
        </w:rPr>
      </w:pPr>
      <w:r>
        <w:rPr>
          <w:color w:val="000000"/>
          <w:sz w:val="22"/>
          <w:szCs w:val="22"/>
        </w:rPr>
        <w:t>Francis Gutierrez</w:t>
      </w:r>
    </w:p>
    <w:p w:rsidR="00A61A7E" w:rsidRPr="003B3ECD" w:rsidP="00A61A7E" w14:paraId="2B63C9B2" w14:textId="77777777">
      <w:pPr>
        <w:ind w:left="4320"/>
        <w:rPr>
          <w:color w:val="000000"/>
          <w:sz w:val="22"/>
          <w:szCs w:val="22"/>
        </w:rPr>
      </w:pPr>
      <w:r>
        <w:rPr>
          <w:color w:val="000000"/>
          <w:sz w:val="22"/>
          <w:szCs w:val="22"/>
        </w:rPr>
        <w:t xml:space="preserve">Deputy </w:t>
      </w:r>
      <w:r w:rsidRPr="003B3ECD">
        <w:rPr>
          <w:color w:val="000000"/>
          <w:sz w:val="22"/>
          <w:szCs w:val="22"/>
        </w:rPr>
        <w:t>Chief</w:t>
      </w:r>
      <w:r>
        <w:rPr>
          <w:color w:val="000000"/>
          <w:sz w:val="22"/>
          <w:szCs w:val="22"/>
        </w:rPr>
        <w:t xml:space="preserve">, </w:t>
      </w:r>
      <w:r w:rsidRPr="003B3ECD">
        <w:rPr>
          <w:color w:val="000000"/>
          <w:sz w:val="22"/>
          <w:szCs w:val="22"/>
        </w:rPr>
        <w:t>Telecommunications and Analysis Division</w:t>
      </w:r>
    </w:p>
    <w:p w:rsidR="00A61A7E" w:rsidP="00A61A7E" w14:paraId="2E3D7507" w14:textId="77777777">
      <w:pPr>
        <w:ind w:left="4320"/>
        <w:rPr>
          <w:color w:val="000000"/>
          <w:sz w:val="22"/>
          <w:szCs w:val="22"/>
        </w:rPr>
      </w:pPr>
      <w:r w:rsidRPr="003B3ECD">
        <w:rPr>
          <w:color w:val="000000"/>
          <w:sz w:val="22"/>
          <w:szCs w:val="22"/>
        </w:rPr>
        <w:t xml:space="preserve">International Bureau                 </w:t>
      </w:r>
    </w:p>
    <w:p w:rsidR="00A61A7E" w:rsidP="00A61A7E" w14:paraId="06BF4C56" w14:textId="77777777">
      <w:pPr>
        <w:ind w:left="4320"/>
        <w:rPr>
          <w:color w:val="000000"/>
          <w:sz w:val="22"/>
          <w:szCs w:val="22"/>
        </w:rPr>
      </w:pPr>
    </w:p>
    <w:p w:rsidR="00A61A7E" w:rsidP="00A61A7E" w14:paraId="73E03AF5" w14:textId="77777777">
      <w:pPr>
        <w:ind w:left="4320"/>
        <w:rPr>
          <w:color w:val="000000"/>
          <w:sz w:val="22"/>
          <w:szCs w:val="22"/>
        </w:rPr>
      </w:pPr>
      <w:r w:rsidRPr="003B3ECD">
        <w:rPr>
          <w:color w:val="000000"/>
          <w:sz w:val="22"/>
          <w:szCs w:val="22"/>
        </w:rPr>
        <w:t xml:space="preserve"> </w:t>
      </w:r>
    </w:p>
    <w:p w:rsidR="00A61A7E" w:rsidRPr="003B3ECD" w:rsidP="00A61A7E" w14:paraId="7C42C049" w14:textId="77777777">
      <w:pPr>
        <w:ind w:left="4320"/>
        <w:rPr>
          <w:color w:val="000000"/>
          <w:sz w:val="22"/>
          <w:szCs w:val="22"/>
        </w:rPr>
      </w:pPr>
      <w:r w:rsidRPr="003B3ECD">
        <w:rPr>
          <w:color w:val="000000"/>
          <w:sz w:val="22"/>
          <w:szCs w:val="22"/>
        </w:rPr>
        <w:t xml:space="preserve">                                                                                                                                                                                                         </w:t>
      </w:r>
    </w:p>
    <w:p w:rsidR="00A61A7E" w:rsidRPr="003B3ECD" w:rsidP="00A61A7E" w14:paraId="27D7B751" w14:textId="77777777">
      <w:pPr>
        <w:ind w:left="4320" w:firstLine="720"/>
        <w:rPr>
          <w:color w:val="000000"/>
          <w:sz w:val="22"/>
          <w:szCs w:val="22"/>
        </w:rPr>
      </w:pPr>
    </w:p>
    <w:p w:rsidR="00A61A7E" w:rsidRPr="003B3ECD" w:rsidP="00A61A7E" w14:paraId="19A06F93" w14:textId="77777777">
      <w:pPr>
        <w:rPr>
          <w:color w:val="000000"/>
          <w:sz w:val="22"/>
          <w:szCs w:val="22"/>
        </w:rPr>
      </w:pPr>
      <w:r>
        <w:rPr>
          <w:color w:val="000000"/>
          <w:sz w:val="22"/>
          <w:szCs w:val="22"/>
        </w:rPr>
        <w:t>c</w:t>
      </w:r>
      <w:r w:rsidRPr="003B3ECD">
        <w:rPr>
          <w:color w:val="000000"/>
          <w:sz w:val="22"/>
          <w:szCs w:val="22"/>
        </w:rPr>
        <w:t>c:</w:t>
      </w:r>
      <w:r>
        <w:rPr>
          <w:color w:val="000000"/>
          <w:sz w:val="22"/>
          <w:szCs w:val="22"/>
        </w:rPr>
        <w:tab/>
        <w:t>National Registered Agents, Inc</w:t>
      </w:r>
      <w:r w:rsidRPr="003B3ECD">
        <w:rPr>
          <w:color w:val="000000"/>
          <w:sz w:val="22"/>
          <w:szCs w:val="22"/>
        </w:rPr>
        <w:t>. (DC Agent for Service of Process)</w:t>
      </w:r>
    </w:p>
    <w:p w:rsidR="00A61A7E" w:rsidRPr="003B3ECD" w:rsidP="00A61A7E" w14:paraId="3AE52961" w14:textId="77777777">
      <w:pPr>
        <w:ind w:firstLine="720"/>
        <w:rPr>
          <w:color w:val="000000"/>
          <w:sz w:val="22"/>
          <w:szCs w:val="22"/>
        </w:rPr>
      </w:pPr>
      <w:r w:rsidRPr="003B3ECD">
        <w:rPr>
          <w:color w:val="000000"/>
          <w:sz w:val="22"/>
          <w:szCs w:val="22"/>
        </w:rPr>
        <w:t>10</w:t>
      </w:r>
      <w:r>
        <w:rPr>
          <w:color w:val="000000"/>
          <w:sz w:val="22"/>
          <w:szCs w:val="22"/>
        </w:rPr>
        <w:t>90 Vermont Avenue, NW, Suite 910</w:t>
      </w:r>
    </w:p>
    <w:p w:rsidR="00A61A7E" w:rsidP="00A61A7E" w14:paraId="047132F4" w14:textId="77777777">
      <w:pPr>
        <w:ind w:firstLine="720"/>
        <w:rPr>
          <w:color w:val="000000"/>
          <w:sz w:val="22"/>
          <w:szCs w:val="22"/>
        </w:rPr>
      </w:pPr>
      <w:r w:rsidRPr="003B3ECD">
        <w:rPr>
          <w:color w:val="000000"/>
          <w:sz w:val="22"/>
          <w:szCs w:val="22"/>
        </w:rPr>
        <w:t>Washington, DC  20005</w:t>
      </w:r>
    </w:p>
    <w:p w:rsidR="00A61A7E" w:rsidRPr="003B3ECD" w:rsidP="00A61A7E" w14:paraId="05BC5D69" w14:textId="77777777">
      <w:pPr>
        <w:ind w:firstLine="720"/>
        <w:rPr>
          <w:color w:val="000000"/>
          <w:sz w:val="22"/>
          <w:szCs w:val="22"/>
        </w:rPr>
      </w:pPr>
      <w:r w:rsidRPr="00AD2EED">
        <w:rPr>
          <w:color w:val="000000"/>
          <w:sz w:val="22"/>
          <w:szCs w:val="22"/>
        </w:rPr>
        <w:t>accounting@nrai.com</w:t>
      </w:r>
    </w:p>
    <w:p w:rsidR="00A61A7E" w:rsidP="00A61A7E" w14:paraId="26584369" w14:textId="77777777">
      <w:pPr>
        <w:rPr>
          <w:color w:val="000000"/>
          <w:sz w:val="22"/>
          <w:szCs w:val="22"/>
        </w:rPr>
      </w:pPr>
    </w:p>
    <w:p w:rsidR="00A61A7E" w:rsidP="00A61A7E" w14:paraId="231EEAD0" w14:textId="77777777">
      <w:pPr>
        <w:ind w:left="720"/>
        <w:rPr>
          <w:color w:val="000000"/>
          <w:sz w:val="22"/>
          <w:szCs w:val="22"/>
        </w:rPr>
      </w:pPr>
      <w:r>
        <w:rPr>
          <w:color w:val="000000"/>
          <w:sz w:val="22"/>
          <w:szCs w:val="22"/>
        </w:rPr>
        <w:t>Telco Group, Inc. c/o Herrick Feinstein LLP</w:t>
      </w:r>
    </w:p>
    <w:p w:rsidR="00A61A7E" w:rsidP="00A61A7E" w14:paraId="7422F4F7" w14:textId="77777777">
      <w:pPr>
        <w:ind w:left="720"/>
        <w:rPr>
          <w:color w:val="000000"/>
          <w:sz w:val="22"/>
          <w:szCs w:val="22"/>
        </w:rPr>
      </w:pPr>
      <w:r>
        <w:rPr>
          <w:color w:val="000000"/>
          <w:sz w:val="22"/>
          <w:szCs w:val="22"/>
        </w:rPr>
        <w:t>ATTN: John R. Goldman</w:t>
      </w:r>
    </w:p>
    <w:p w:rsidR="00A61A7E" w:rsidP="00A61A7E" w14:paraId="7C1CABE7" w14:textId="77777777">
      <w:pPr>
        <w:ind w:left="720"/>
        <w:rPr>
          <w:color w:val="000000"/>
          <w:sz w:val="22"/>
          <w:szCs w:val="22"/>
        </w:rPr>
      </w:pPr>
      <w:r>
        <w:rPr>
          <w:color w:val="000000"/>
          <w:sz w:val="22"/>
          <w:szCs w:val="22"/>
        </w:rPr>
        <w:t>2 Park Avenue</w:t>
      </w:r>
    </w:p>
    <w:p w:rsidR="00A61A7E" w:rsidRPr="003B3ECD" w:rsidP="00A61A7E" w14:paraId="72FBA6A4" w14:textId="77777777">
      <w:pPr>
        <w:ind w:left="720"/>
        <w:rPr>
          <w:color w:val="000000"/>
          <w:sz w:val="22"/>
          <w:szCs w:val="22"/>
        </w:rPr>
      </w:pPr>
      <w:r>
        <w:rPr>
          <w:color w:val="000000"/>
          <w:sz w:val="22"/>
          <w:szCs w:val="22"/>
        </w:rPr>
        <w:t>New York, NY 10016</w:t>
      </w:r>
    </w:p>
    <w:p w:rsidR="00A61A7E" w:rsidRPr="003B3ECD" w:rsidP="00A61A7E" w14:paraId="3B34C6CF" w14:textId="77777777">
      <w:pPr>
        <w:rPr>
          <w:color w:val="000000"/>
          <w:sz w:val="22"/>
          <w:szCs w:val="22"/>
        </w:rPr>
      </w:pPr>
    </w:p>
    <w:p w:rsidR="00A61A7E" w:rsidRPr="00531E62" w:rsidP="00531E62" w14:paraId="72BBB5F5" w14:textId="1CE8AD55">
      <w:pPr>
        <w:jc w:val="center"/>
        <w:rPr>
          <w:b/>
          <w:bCs/>
          <w:color w:val="000000"/>
          <w:sz w:val="22"/>
          <w:szCs w:val="22"/>
        </w:rPr>
      </w:pPr>
      <w:r w:rsidRPr="00531E62">
        <w:rPr>
          <w:b/>
          <w:bCs/>
          <w:color w:val="000000"/>
          <w:sz w:val="22"/>
          <w:szCs w:val="22"/>
        </w:rPr>
        <w:br w:type="page"/>
      </w:r>
      <w:r w:rsidRPr="00531E62" w:rsidR="00531E62">
        <w:rPr>
          <w:b/>
          <w:bCs/>
          <w:color w:val="000000"/>
          <w:sz w:val="22"/>
          <w:szCs w:val="22"/>
        </w:rPr>
        <w:t>Attachment A</w:t>
      </w:r>
    </w:p>
    <w:p w:rsidR="00531E62" w:rsidRPr="00A61A7E" w:rsidP="00A61A7E" w14:paraId="48BEF733" w14:textId="77777777">
      <w:pPr>
        <w:rPr>
          <w:rFonts w:ascii="Calibri" w:hAnsi="Calibri"/>
        </w:rPr>
      </w:pPr>
    </w:p>
    <w:p w:rsidR="00A61A7E" w:rsidRPr="00531E62" w:rsidP="00A61A7E" w14:paraId="26407224" w14:textId="77777777">
      <w:pPr>
        <w:pStyle w:val="PlainText"/>
        <w:rPr>
          <w:rFonts w:ascii="Times New Roman" w:hAnsi="Times New Roman"/>
          <w:szCs w:val="22"/>
        </w:rPr>
      </w:pPr>
      <w:bookmarkStart w:id="0" w:name="_MailOriginal"/>
      <w:r w:rsidRPr="00531E62">
        <w:rPr>
          <w:rFonts w:ascii="Times New Roman" w:hAnsi="Times New Roman"/>
          <w:szCs w:val="22"/>
        </w:rPr>
        <w:t>-----Original Message-----</w:t>
      </w:r>
      <w:r w:rsidRPr="00531E62">
        <w:rPr>
          <w:rFonts w:ascii="Times New Roman" w:hAnsi="Times New Roman"/>
          <w:szCs w:val="22"/>
        </w:rPr>
        <w:br/>
        <w:t xml:space="preserve">From: Mail Delivery Subsystem &lt;MAILER-DAEMON@mx0a-0024ed01.pphosted.com&gt; </w:t>
      </w:r>
      <w:r w:rsidRPr="00531E62">
        <w:rPr>
          <w:rFonts w:ascii="Times New Roman" w:hAnsi="Times New Roman"/>
          <w:szCs w:val="22"/>
        </w:rPr>
        <w:br/>
        <w:t>Sent: Wednesday, August 5, 2020 9:22 AM</w:t>
      </w:r>
      <w:r w:rsidRPr="00531E62">
        <w:rPr>
          <w:rFonts w:ascii="Times New Roman" w:hAnsi="Times New Roman"/>
          <w:szCs w:val="22"/>
        </w:rPr>
        <w:br/>
        <w:t>To: prvs=54865c8718=arthur.lechtman@fcc.gov</w:t>
      </w:r>
      <w:r w:rsidRPr="00531E62">
        <w:rPr>
          <w:rFonts w:ascii="Times New Roman" w:hAnsi="Times New Roman"/>
          <w:szCs w:val="22"/>
        </w:rPr>
        <w:br/>
        <w:t>Subject: Returned mail: see transcript for details</w:t>
      </w:r>
    </w:p>
    <w:p w:rsidR="00A61A7E" w:rsidRPr="00531E62" w:rsidP="00A61A7E" w14:paraId="1167858E" w14:textId="77777777">
      <w:pPr>
        <w:pStyle w:val="PlainText"/>
        <w:rPr>
          <w:rFonts w:ascii="Times New Roman" w:hAnsi="Times New Roman"/>
          <w:szCs w:val="22"/>
        </w:rPr>
      </w:pPr>
    </w:p>
    <w:p w:rsidR="00A61A7E" w:rsidRPr="00531E62" w:rsidP="00A61A7E" w14:paraId="4B7B4E16" w14:textId="77777777">
      <w:pPr>
        <w:pStyle w:val="PlainText"/>
        <w:rPr>
          <w:rFonts w:ascii="Times New Roman" w:hAnsi="Times New Roman"/>
          <w:szCs w:val="22"/>
        </w:rPr>
      </w:pPr>
      <w:r w:rsidRPr="00531E62">
        <w:rPr>
          <w:rFonts w:ascii="Times New Roman" w:hAnsi="Times New Roman"/>
          <w:szCs w:val="22"/>
        </w:rPr>
        <w:t>The original message was received at Wed, 5 Aug 2020 13:22:05 GMT from m0102176.ppops.net [127.0.0.1]</w:t>
      </w:r>
    </w:p>
    <w:p w:rsidR="00A61A7E" w:rsidRPr="00531E62" w:rsidP="00A61A7E" w14:paraId="546F6FFE" w14:textId="77777777">
      <w:pPr>
        <w:pStyle w:val="PlainText"/>
        <w:rPr>
          <w:rFonts w:ascii="Times New Roman" w:hAnsi="Times New Roman"/>
          <w:szCs w:val="22"/>
        </w:rPr>
      </w:pPr>
    </w:p>
    <w:p w:rsidR="00A61A7E" w:rsidRPr="00531E62" w:rsidP="00A61A7E" w14:paraId="5228407C" w14:textId="77777777">
      <w:pPr>
        <w:pStyle w:val="PlainText"/>
        <w:rPr>
          <w:rFonts w:ascii="Times New Roman" w:hAnsi="Times New Roman"/>
          <w:szCs w:val="22"/>
        </w:rPr>
      </w:pPr>
      <w:r w:rsidRPr="00531E62">
        <w:rPr>
          <w:rFonts w:ascii="Times New Roman" w:hAnsi="Times New Roman"/>
          <w:szCs w:val="22"/>
        </w:rPr>
        <w:t xml:space="preserve">   ----- The following addresses had permanent fatal errors ----- &lt;</w:t>
      </w:r>
      <w:hyperlink r:id="rId7" w:history="1">
        <w:r w:rsidRPr="00531E62">
          <w:rPr>
            <w:rStyle w:val="Hyperlink"/>
            <w:rFonts w:ascii="Times New Roman" w:hAnsi="Times New Roman"/>
            <w:szCs w:val="22"/>
          </w:rPr>
          <w:t>mariep@telcogroupinc.com</w:t>
        </w:r>
      </w:hyperlink>
      <w:r w:rsidRPr="00531E62">
        <w:rPr>
          <w:rFonts w:ascii="Times New Roman" w:hAnsi="Times New Roman"/>
          <w:szCs w:val="22"/>
        </w:rPr>
        <w:t>&gt;</w:t>
      </w:r>
    </w:p>
    <w:p w:rsidR="00A61A7E" w:rsidRPr="00531E62" w:rsidP="00A61A7E" w14:paraId="6D3EAD63" w14:textId="77777777">
      <w:pPr>
        <w:pStyle w:val="PlainText"/>
        <w:rPr>
          <w:rFonts w:ascii="Times New Roman" w:hAnsi="Times New Roman"/>
          <w:szCs w:val="22"/>
        </w:rPr>
      </w:pPr>
      <w:r w:rsidRPr="00531E62">
        <w:rPr>
          <w:rFonts w:ascii="Times New Roman" w:hAnsi="Times New Roman"/>
          <w:szCs w:val="22"/>
        </w:rPr>
        <w:t xml:space="preserve">    (reason: 550 Host unknown)</w:t>
      </w:r>
    </w:p>
    <w:p w:rsidR="00A61A7E" w:rsidRPr="00531E62" w:rsidP="00A61A7E" w14:paraId="188E8EBA" w14:textId="77777777">
      <w:pPr>
        <w:pStyle w:val="PlainText"/>
        <w:rPr>
          <w:rFonts w:ascii="Times New Roman" w:hAnsi="Times New Roman"/>
          <w:szCs w:val="22"/>
        </w:rPr>
      </w:pPr>
      <w:r w:rsidRPr="00531E62">
        <w:rPr>
          <w:rFonts w:ascii="Times New Roman" w:hAnsi="Times New Roman"/>
          <w:szCs w:val="22"/>
        </w:rPr>
        <w:t>&lt;</w:t>
      </w:r>
      <w:hyperlink r:id="rId8" w:history="1">
        <w:r w:rsidRPr="00531E62">
          <w:rPr>
            <w:rStyle w:val="Hyperlink"/>
            <w:rFonts w:ascii="Times New Roman" w:hAnsi="Times New Roman"/>
            <w:szCs w:val="22"/>
          </w:rPr>
          <w:t>juliem@telcogroupinc.com</w:t>
        </w:r>
      </w:hyperlink>
      <w:r w:rsidRPr="00531E62">
        <w:rPr>
          <w:rFonts w:ascii="Times New Roman" w:hAnsi="Times New Roman"/>
          <w:szCs w:val="22"/>
        </w:rPr>
        <w:t>&gt;</w:t>
      </w:r>
    </w:p>
    <w:p w:rsidR="00A61A7E" w:rsidRPr="00531E62" w:rsidP="00A61A7E" w14:paraId="30062E71" w14:textId="77777777">
      <w:pPr>
        <w:pStyle w:val="PlainText"/>
        <w:rPr>
          <w:rFonts w:ascii="Times New Roman" w:hAnsi="Times New Roman"/>
          <w:szCs w:val="22"/>
        </w:rPr>
      </w:pPr>
      <w:r w:rsidRPr="00531E62">
        <w:rPr>
          <w:rFonts w:ascii="Times New Roman" w:hAnsi="Times New Roman"/>
          <w:szCs w:val="22"/>
        </w:rPr>
        <w:t xml:space="preserve">    (reason: 550 Host unknown)</w:t>
      </w:r>
    </w:p>
    <w:p w:rsidR="00A61A7E" w:rsidRPr="00531E62" w:rsidP="00A61A7E" w14:paraId="783079B7" w14:textId="77777777">
      <w:pPr>
        <w:pStyle w:val="PlainText"/>
        <w:rPr>
          <w:rFonts w:ascii="Times New Roman" w:hAnsi="Times New Roman"/>
          <w:szCs w:val="22"/>
        </w:rPr>
      </w:pPr>
    </w:p>
    <w:p w:rsidR="00A61A7E" w:rsidRPr="00531E62" w:rsidP="00A61A7E" w14:paraId="76BA6B6C" w14:textId="77777777">
      <w:pPr>
        <w:pStyle w:val="PlainText"/>
        <w:rPr>
          <w:rFonts w:ascii="Times New Roman" w:hAnsi="Times New Roman"/>
          <w:szCs w:val="22"/>
        </w:rPr>
      </w:pPr>
      <w:r w:rsidRPr="00531E62">
        <w:rPr>
          <w:rFonts w:ascii="Times New Roman" w:hAnsi="Times New Roman"/>
          <w:szCs w:val="22"/>
        </w:rPr>
        <w:t xml:space="preserve">   ----- Transcript of session follows -----</w:t>
      </w:r>
    </w:p>
    <w:p w:rsidR="00A61A7E" w:rsidRPr="00531E62" w:rsidP="00A61A7E" w14:paraId="68B7F782" w14:textId="77777777">
      <w:pPr>
        <w:pStyle w:val="PlainText"/>
        <w:rPr>
          <w:rFonts w:ascii="Times New Roman" w:hAnsi="Times New Roman"/>
          <w:szCs w:val="22"/>
        </w:rPr>
      </w:pPr>
      <w:r w:rsidRPr="00531E62">
        <w:rPr>
          <w:rFonts w:ascii="Times New Roman" w:hAnsi="Times New Roman"/>
          <w:szCs w:val="22"/>
        </w:rPr>
        <w:t>550 5.1.2 &lt;</w:t>
      </w:r>
      <w:hyperlink r:id="rId8" w:history="1">
        <w:r w:rsidRPr="00531E62">
          <w:rPr>
            <w:rStyle w:val="Hyperlink"/>
            <w:rFonts w:ascii="Times New Roman" w:hAnsi="Times New Roman"/>
            <w:szCs w:val="22"/>
          </w:rPr>
          <w:t>juliem@telcogroupinc.com</w:t>
        </w:r>
      </w:hyperlink>
      <w:r w:rsidRPr="00531E62">
        <w:rPr>
          <w:rFonts w:ascii="Times New Roman" w:hAnsi="Times New Roman"/>
          <w:szCs w:val="22"/>
        </w:rPr>
        <w:t>&gt;,&lt;</w:t>
      </w:r>
      <w:hyperlink r:id="rId7" w:history="1">
        <w:r w:rsidRPr="00531E62">
          <w:rPr>
            <w:rStyle w:val="Hyperlink"/>
            <w:rFonts w:ascii="Times New Roman" w:hAnsi="Times New Roman"/>
            <w:szCs w:val="22"/>
          </w:rPr>
          <w:t>mariep@telcogroupinc.com</w:t>
        </w:r>
      </w:hyperlink>
      <w:r w:rsidRPr="00531E62">
        <w:rPr>
          <w:rFonts w:ascii="Times New Roman" w:hAnsi="Times New Roman"/>
          <w:szCs w:val="22"/>
        </w:rPr>
        <w:t>&gt;... Host unknown (Name server: telcogroupinc.com.: host not found)</w:t>
      </w:r>
    </w:p>
    <w:p w:rsidR="00A61A7E" w:rsidRPr="00531E62" w:rsidP="00A61A7E" w14:paraId="749F1801" w14:textId="77777777">
      <w:pPr>
        <w:rPr>
          <w:sz w:val="22"/>
          <w:szCs w:val="22"/>
        </w:rPr>
      </w:pPr>
    </w:p>
    <w:p w:rsidR="00A61A7E" w:rsidRPr="00531E62" w:rsidP="00A61A7E" w14:paraId="1668E024" w14:textId="77777777">
      <w:pPr>
        <w:rPr>
          <w:sz w:val="22"/>
          <w:szCs w:val="22"/>
        </w:rPr>
      </w:pPr>
    </w:p>
    <w:p w:rsidR="00A61A7E" w:rsidRPr="00531E62" w:rsidP="00A61A7E" w14:paraId="506B8FA2" w14:textId="77777777">
      <w:pPr>
        <w:rPr>
          <w:b/>
          <w:bCs/>
          <w:sz w:val="22"/>
          <w:szCs w:val="22"/>
        </w:rPr>
      </w:pPr>
    </w:p>
    <w:p w:rsidR="00A61A7E" w:rsidRPr="00531E62" w:rsidP="00A61A7E" w14:paraId="4972096D" w14:textId="77777777">
      <w:pPr>
        <w:rPr>
          <w:sz w:val="22"/>
          <w:szCs w:val="22"/>
        </w:rPr>
      </w:pPr>
      <w:r w:rsidRPr="00531E62">
        <w:rPr>
          <w:b/>
          <w:bCs/>
          <w:sz w:val="22"/>
          <w:szCs w:val="22"/>
        </w:rPr>
        <w:t>From:</w:t>
      </w:r>
      <w:r w:rsidRPr="00531E62">
        <w:rPr>
          <w:sz w:val="22"/>
          <w:szCs w:val="22"/>
        </w:rPr>
        <w:t xml:space="preserve"> Arthur Lechtman &lt;Arthur.Lechtman@fcc.gov&gt; </w:t>
      </w:r>
      <w:r w:rsidRPr="00531E62">
        <w:rPr>
          <w:sz w:val="22"/>
          <w:szCs w:val="22"/>
        </w:rPr>
        <w:br/>
      </w:r>
      <w:r w:rsidRPr="00531E62">
        <w:rPr>
          <w:b/>
          <w:bCs/>
          <w:sz w:val="22"/>
          <w:szCs w:val="22"/>
        </w:rPr>
        <w:t>Sent:</w:t>
      </w:r>
      <w:r w:rsidRPr="00531E62">
        <w:rPr>
          <w:sz w:val="22"/>
          <w:szCs w:val="22"/>
        </w:rPr>
        <w:t xml:space="preserve"> Wednesday, August 5, 2020 9:22 AM</w:t>
      </w:r>
      <w:r w:rsidRPr="00531E62">
        <w:rPr>
          <w:sz w:val="22"/>
          <w:szCs w:val="22"/>
        </w:rPr>
        <w:br/>
      </w:r>
      <w:r w:rsidRPr="00531E62">
        <w:rPr>
          <w:b/>
          <w:bCs/>
          <w:sz w:val="22"/>
          <w:szCs w:val="22"/>
        </w:rPr>
        <w:t>To:</w:t>
      </w:r>
      <w:r w:rsidRPr="00531E62">
        <w:rPr>
          <w:sz w:val="22"/>
          <w:szCs w:val="22"/>
        </w:rPr>
        <w:t xml:space="preserve"> mariep@telcogroupinc.com; juliem@telcogroupinc.com</w:t>
      </w:r>
      <w:r w:rsidRPr="00531E62">
        <w:rPr>
          <w:sz w:val="22"/>
          <w:szCs w:val="22"/>
        </w:rPr>
        <w:br/>
      </w:r>
      <w:r w:rsidRPr="00531E62">
        <w:rPr>
          <w:b/>
          <w:bCs/>
          <w:sz w:val="22"/>
          <w:szCs w:val="22"/>
        </w:rPr>
        <w:t>Cc:</w:t>
      </w:r>
      <w:r w:rsidRPr="00531E62">
        <w:rPr>
          <w:sz w:val="22"/>
          <w:szCs w:val="22"/>
        </w:rPr>
        <w:t xml:space="preserve"> Francis Gutierrez &lt;Francis.Gutierrez@fcc.gov&gt;; Stacey Ashton &lt;Stacey.Ashton@fcc.gov&gt;</w:t>
      </w:r>
      <w:r w:rsidRPr="00531E62">
        <w:rPr>
          <w:sz w:val="22"/>
          <w:szCs w:val="22"/>
        </w:rPr>
        <w:br/>
      </w:r>
      <w:r w:rsidRPr="00531E62">
        <w:rPr>
          <w:b/>
          <w:bCs/>
          <w:sz w:val="22"/>
          <w:szCs w:val="22"/>
        </w:rPr>
        <w:t>Subject:</w:t>
      </w:r>
      <w:r w:rsidRPr="00531E62">
        <w:rPr>
          <w:sz w:val="22"/>
          <w:szCs w:val="22"/>
        </w:rPr>
        <w:t xml:space="preserve"> Telco Group, Inc. International Signaling Point Code, file no. SPC-NEW-20031009-00041</w:t>
      </w:r>
    </w:p>
    <w:p w:rsidR="00A61A7E" w:rsidRPr="00531E62" w:rsidP="00A61A7E" w14:paraId="36E070B1" w14:textId="77777777">
      <w:pPr>
        <w:rPr>
          <w:rFonts w:eastAsia="Calibri"/>
          <w:sz w:val="22"/>
          <w:szCs w:val="22"/>
        </w:rPr>
      </w:pPr>
    </w:p>
    <w:p w:rsidR="00A61A7E" w:rsidRPr="00531E62" w:rsidP="00A61A7E" w14:paraId="5B5004D3" w14:textId="77777777">
      <w:pPr>
        <w:rPr>
          <w:sz w:val="22"/>
          <w:szCs w:val="22"/>
        </w:rPr>
      </w:pPr>
      <w:r w:rsidRPr="00531E62">
        <w:rPr>
          <w:sz w:val="22"/>
          <w:szCs w:val="22"/>
        </w:rPr>
        <w:t xml:space="preserve">Mr. Sam Tawfik and Ms. Julie Mathis,      </w:t>
      </w:r>
    </w:p>
    <w:p w:rsidR="00A61A7E" w:rsidRPr="00531E62" w:rsidP="00A61A7E" w14:paraId="27D5FA48" w14:textId="77777777">
      <w:pPr>
        <w:rPr>
          <w:sz w:val="22"/>
          <w:szCs w:val="22"/>
        </w:rPr>
      </w:pPr>
    </w:p>
    <w:p w:rsidR="00A61A7E" w:rsidRPr="00531E62" w:rsidP="00A61A7E" w14:paraId="56EF57A6" w14:textId="77777777">
      <w:pPr>
        <w:rPr>
          <w:sz w:val="22"/>
          <w:szCs w:val="22"/>
        </w:rPr>
      </w:pPr>
      <w:r w:rsidRPr="00531E62">
        <w:rPr>
          <w:sz w:val="22"/>
          <w:szCs w:val="22"/>
        </w:rPr>
        <w:t>We are reviewing our international signaling point code (ISPC) records.  I am writing to inquire whether Telco Group, Inc. is still using the ISPC that it was assigned in 2003 (3-195-1 for use in NY, NY).  Please let me know by email or call me at the number below if you have any questions.  Thank you,</w:t>
      </w:r>
    </w:p>
    <w:p w:rsidR="00A61A7E" w:rsidRPr="00531E62" w:rsidP="00A61A7E" w14:paraId="37025DB0" w14:textId="77777777">
      <w:pPr>
        <w:rPr>
          <w:sz w:val="22"/>
          <w:szCs w:val="22"/>
        </w:rPr>
      </w:pPr>
    </w:p>
    <w:p w:rsidR="00A61A7E" w:rsidRPr="00531E62" w:rsidP="00A61A7E" w14:paraId="70D0EF5E" w14:textId="77777777">
      <w:pPr>
        <w:rPr>
          <w:sz w:val="22"/>
          <w:szCs w:val="22"/>
        </w:rPr>
      </w:pPr>
    </w:p>
    <w:p w:rsidR="00A61A7E" w:rsidRPr="00531E62" w:rsidP="00A61A7E" w14:paraId="1A7BDF76" w14:textId="77777777">
      <w:pPr>
        <w:rPr>
          <w:sz w:val="22"/>
          <w:szCs w:val="22"/>
        </w:rPr>
      </w:pPr>
      <w:r w:rsidRPr="00531E62">
        <w:rPr>
          <w:sz w:val="22"/>
          <w:szCs w:val="22"/>
        </w:rPr>
        <w:t>Artie Lechtman</w:t>
      </w:r>
    </w:p>
    <w:p w:rsidR="00A61A7E" w:rsidRPr="00531E62" w:rsidP="00A61A7E" w14:paraId="1D388484" w14:textId="77777777">
      <w:pPr>
        <w:rPr>
          <w:sz w:val="22"/>
          <w:szCs w:val="22"/>
        </w:rPr>
      </w:pPr>
    </w:p>
    <w:p w:rsidR="00A61A7E" w:rsidRPr="00531E62" w:rsidP="00A61A7E" w14:paraId="1C407CD8" w14:textId="77777777">
      <w:pPr>
        <w:rPr>
          <w:sz w:val="22"/>
          <w:szCs w:val="22"/>
        </w:rPr>
      </w:pPr>
      <w:r w:rsidRPr="00531E62">
        <w:rPr>
          <w:sz w:val="22"/>
          <w:szCs w:val="22"/>
        </w:rPr>
        <w:t>Federal Communications Commission</w:t>
      </w:r>
    </w:p>
    <w:p w:rsidR="00A61A7E" w:rsidRPr="00531E62" w:rsidP="00A61A7E" w14:paraId="7102297B" w14:textId="77777777">
      <w:pPr>
        <w:rPr>
          <w:sz w:val="22"/>
          <w:szCs w:val="22"/>
        </w:rPr>
      </w:pPr>
      <w:r w:rsidRPr="00531E62">
        <w:rPr>
          <w:sz w:val="22"/>
          <w:szCs w:val="22"/>
        </w:rPr>
        <w:t>International Bureau</w:t>
      </w:r>
    </w:p>
    <w:p w:rsidR="00A61A7E" w:rsidRPr="00531E62" w:rsidP="00A61A7E" w14:paraId="7AFE4AAB" w14:textId="77777777">
      <w:pPr>
        <w:rPr>
          <w:sz w:val="22"/>
          <w:szCs w:val="22"/>
        </w:rPr>
      </w:pPr>
      <w:r w:rsidRPr="00531E62">
        <w:rPr>
          <w:sz w:val="22"/>
          <w:szCs w:val="22"/>
        </w:rPr>
        <w:t>202.418.1465</w:t>
      </w:r>
    </w:p>
    <w:p w:rsidR="00A61A7E" w:rsidRPr="00531E62" w:rsidP="00A61A7E" w14:paraId="08836D0C" w14:textId="77777777">
      <w:pPr>
        <w:rPr>
          <w:sz w:val="22"/>
          <w:szCs w:val="22"/>
        </w:rPr>
      </w:pPr>
    </w:p>
    <w:bookmarkEnd w:id="0"/>
    <w:p w:rsidR="00A61A7E" w:rsidRPr="00531E62" w:rsidP="00A61A7E" w14:paraId="211F8DF7" w14:textId="77777777">
      <w:pPr>
        <w:rPr>
          <w:sz w:val="22"/>
          <w:szCs w:val="22"/>
        </w:rPr>
      </w:pPr>
    </w:p>
    <w:p w:rsidR="00A61A7E" w:rsidRPr="00531E62" w:rsidP="00A61A7E" w14:paraId="52960F87" w14:textId="77777777">
      <w:pPr>
        <w:rPr>
          <w:color w:val="000000"/>
          <w:sz w:val="22"/>
          <w:szCs w:val="22"/>
        </w:rPr>
      </w:pPr>
    </w:p>
    <w:p w:rsidR="00A61A7E" w:rsidRPr="00204CE3" w14:paraId="02AB4D76" w14:textId="77777777">
      <w:pPr>
        <w:rPr>
          <w:sz w:val="22"/>
          <w:szCs w:val="22"/>
        </w:rPr>
      </w:pPr>
    </w:p>
    <w:sectPr>
      <w:headerReference w:type="first" r:id="rId9"/>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059E1" w14:paraId="5ECAA726" w14:textId="77777777">
      <w:r>
        <w:separator/>
      </w:r>
    </w:p>
  </w:footnote>
  <w:footnote w:type="continuationSeparator" w:id="1">
    <w:p w:rsidR="004059E1" w14:paraId="5A0AEEA4" w14:textId="77777777">
      <w:r>
        <w:continuationSeparator/>
      </w:r>
    </w:p>
  </w:footnote>
  <w:footnote w:id="2">
    <w:p w:rsidR="00A61A7E" w:rsidRPr="00BF5A28" w:rsidP="00A61A7E" w14:paraId="4D3A0490" w14:textId="785DF3FB">
      <w:pPr>
        <w:pStyle w:val="FootnoteText"/>
      </w:pPr>
      <w:r w:rsidRPr="00BF5A28">
        <w:rPr>
          <w:rStyle w:val="FootnoteReference"/>
        </w:rPr>
        <w:footnoteRef/>
      </w:r>
      <w:r w:rsidRPr="00BF5A28">
        <w:t xml:space="preserve"> </w:t>
      </w:r>
      <w:r>
        <w:t>International Telecommunication Union (ITU), ITU-T Recommendation Q.708 (03/99), Series Q: Switching and Signalling, Specifications of Signalling System No. 7</w:t>
      </w:r>
      <w:r w:rsidR="001E1A44">
        <w:t>—</w:t>
      </w:r>
      <w:r>
        <w:t>Message</w:t>
      </w:r>
      <w:r w:rsidR="001E1A44">
        <w:t xml:space="preserve"> </w:t>
      </w:r>
      <w:r>
        <w:t xml:space="preserve">Transfer Part (MTP), Assignment procedures for international signalling point codes, </w:t>
      </w:r>
      <w:hyperlink r:id="rId1" w:history="1">
        <w:r w:rsidRPr="00C0510B">
          <w:rPr>
            <w:rStyle w:val="Hyperlink"/>
          </w:rPr>
          <w:t>https://www.itu.int/rec/recommendation.asp?lang=en&amp;parent=T-REC-Q.708-199903-I</w:t>
        </w:r>
      </w:hyperlink>
      <w:r>
        <w:rPr>
          <w:color w:val="0000FF"/>
        </w:rPr>
        <w:t xml:space="preserve"> </w:t>
      </w:r>
      <w:r>
        <w:t>(ITU-T Recommendation Q.708)</w:t>
      </w:r>
      <w:r w:rsidRPr="00BF5A28">
        <w:t>.</w:t>
      </w:r>
    </w:p>
  </w:footnote>
  <w:footnote w:id="3">
    <w:p w:rsidR="00A61A7E" w:rsidRPr="0022711A" w:rsidP="00A61A7E" w14:paraId="45CDF8B4" w14:textId="0E9ECF23">
      <w:pPr>
        <w:pStyle w:val="FootnoteText"/>
      </w:pPr>
      <w:r w:rsidRPr="006F7533">
        <w:rPr>
          <w:rStyle w:val="FootnoteReference"/>
        </w:rPr>
        <w:footnoteRef/>
      </w:r>
      <w:r w:rsidRPr="0022711A">
        <w:t xml:space="preserve"> </w:t>
      </w:r>
      <w:r>
        <w:t>Telco Group</w:t>
      </w:r>
      <w:r w:rsidRPr="001F7074">
        <w:t xml:space="preserve">, Inc., </w:t>
      </w:r>
      <w:r w:rsidRPr="0022711A">
        <w:t>File No.</w:t>
      </w:r>
      <w:r w:rsidRPr="0022711A">
        <w:rPr>
          <w:snapToGrid w:val="0"/>
        </w:rPr>
        <w:t xml:space="preserve"> SPC-NEW-200</w:t>
      </w:r>
      <w:r>
        <w:rPr>
          <w:snapToGrid w:val="0"/>
        </w:rPr>
        <w:t>31009-00041 (filed Oct. 9, 2003) (TGI ISPC Application)</w:t>
      </w:r>
      <w:r w:rsidRPr="0022711A">
        <w:rPr>
          <w:snapToGrid w:val="0"/>
        </w:rPr>
        <w:t>.</w:t>
      </w:r>
      <w:r w:rsidR="001E1A44">
        <w:rPr>
          <w:snapToGrid w:val="0"/>
        </w:rPr>
        <w:t xml:space="preserve">  </w:t>
      </w:r>
      <w:r w:rsidRPr="00B95D2D" w:rsidR="001E1A44">
        <w:t xml:space="preserve">Letter from Cathy Hsu, Policy Division, International Bureau, FCC to </w:t>
      </w:r>
      <w:r w:rsidR="00CA4873">
        <w:t>Jul</w:t>
      </w:r>
      <w:r w:rsidR="00DF31ED">
        <w:t>i</w:t>
      </w:r>
      <w:r w:rsidR="00CA4873">
        <w:t>e Mathis, VP – Domestic Network, Telco Group, Inc</w:t>
      </w:r>
      <w:r w:rsidRPr="00B95D2D" w:rsidR="001E1A44">
        <w:t>. (</w:t>
      </w:r>
      <w:r w:rsidR="00CA4873">
        <w:t>Oct. 31, 2003</w:t>
      </w:r>
      <w:r w:rsidRPr="00B95D2D" w:rsidR="001E1A44">
        <w:t>) (</w:t>
      </w:r>
      <w:r w:rsidRPr="00A21FE4" w:rsidR="00CA4873">
        <w:rPr>
          <w:i/>
          <w:iCs/>
        </w:rPr>
        <w:t>T</w:t>
      </w:r>
      <w:r w:rsidR="00CA4873">
        <w:rPr>
          <w:i/>
          <w:iCs/>
        </w:rPr>
        <w:t>GI</w:t>
      </w:r>
      <w:r w:rsidRPr="00A21FE4" w:rsidR="00CA4873">
        <w:rPr>
          <w:i/>
          <w:iCs/>
        </w:rPr>
        <w:t xml:space="preserve"> </w:t>
      </w:r>
      <w:r w:rsidRPr="00B95D2D" w:rsidR="001E1A44">
        <w:rPr>
          <w:i/>
          <w:iCs/>
        </w:rPr>
        <w:t>Grant Letter</w:t>
      </w:r>
      <w:r w:rsidRPr="00B95D2D" w:rsidR="001E1A44">
        <w:t>)</w:t>
      </w:r>
    </w:p>
  </w:footnote>
  <w:footnote w:id="4">
    <w:p w:rsidR="00A61A7E" w:rsidP="00A61A7E" w14:paraId="09CAFCEB" w14:textId="06FD3108">
      <w:pPr>
        <w:pStyle w:val="FootnoteText"/>
      </w:pPr>
      <w:r w:rsidRPr="006E143A">
        <w:rPr>
          <w:rStyle w:val="FootnoteReference"/>
        </w:rPr>
        <w:footnoteRef/>
      </w:r>
      <w:r w:rsidRPr="006E143A">
        <w:t xml:space="preserve"> </w:t>
      </w:r>
      <w:r w:rsidRPr="00BC7A74">
        <w:rPr>
          <w:i/>
          <w:iCs/>
        </w:rPr>
        <w:t>Reporting Requirements for U.S. Providers of International Telecommunications Services; Amendment of Part 43 of the Commission’s Rules</w:t>
      </w:r>
      <w:r w:rsidRPr="006E143A">
        <w:t xml:space="preserve">, Notice of Proposed Rulemaking, 19 FCC Rcd 6460, 6474, para. 36, n.83 (2004); </w:t>
      </w:r>
      <w:r w:rsidRPr="00BC7A74">
        <w:rPr>
          <w:i/>
          <w:iCs/>
        </w:rPr>
        <w:t>see also</w:t>
      </w:r>
      <w:r w:rsidRPr="006E143A">
        <w:t xml:space="preserve"> </w:t>
      </w:r>
      <w:r w:rsidRPr="00BC7A74">
        <w:rPr>
          <w:i/>
          <w:iCs/>
        </w:rPr>
        <w:t>China Telecom (Americas) Corporation</w:t>
      </w:r>
      <w:r w:rsidRPr="006E143A">
        <w:t xml:space="preserve">, GN Docket No. 20-109 </w:t>
      </w:r>
      <w:r w:rsidRPr="006E143A">
        <w:rPr>
          <w:i/>
          <w:iCs/>
        </w:rPr>
        <w:t>et al</w:t>
      </w:r>
      <w:r w:rsidRPr="006E143A">
        <w:t xml:space="preserve">., Order Instituting Proceedings on Revocation and Termination and Memorandum Opinion and Order, </w:t>
      </w:r>
      <w:r w:rsidRPr="00A64846" w:rsidR="00CA4873">
        <w:t>35 FCC Rcd 15006</w:t>
      </w:r>
      <w:r w:rsidRPr="006E143A" w:rsidR="00CA4873">
        <w:t xml:space="preserve">, </w:t>
      </w:r>
      <w:r w:rsidR="00CA4873">
        <w:t xml:space="preserve">15040, </w:t>
      </w:r>
      <w:r w:rsidRPr="006E143A" w:rsidR="00CA4873">
        <w:t>para</w:t>
      </w:r>
      <w:r w:rsidR="00CA4873">
        <w:t>.</w:t>
      </w:r>
      <w:r w:rsidRPr="006E143A" w:rsidR="00CA4873">
        <w:t xml:space="preserve"> 58 (2020)  </w:t>
      </w:r>
      <w:r w:rsidRPr="00BC7A74" w:rsidR="00CA4873">
        <w:t xml:space="preserve"> </w:t>
      </w:r>
      <w:r>
        <w:t>(</w:t>
      </w:r>
      <w:r w:rsidRPr="00BC7A74">
        <w:t>“</w:t>
      </w:r>
      <w:r w:rsidRPr="006E143A">
        <w:t>ISPCs are a scarce resource that are used by international Signaling System 7 (SS7) gateways as addresses for routing domestic voice traffic to an international provider and anyone seeking an ISPC assignment is required by rule to file an application with the Commission and comply with its procedures.”).</w:t>
      </w:r>
    </w:p>
  </w:footnote>
  <w:footnote w:id="5">
    <w:p w:rsidR="00A61A7E" w:rsidP="00A61A7E" w14:paraId="4B556996" w14:textId="77777777">
      <w:pPr>
        <w:pStyle w:val="FootnoteText"/>
      </w:pPr>
      <w:r>
        <w:rPr>
          <w:rStyle w:val="FootnoteReference"/>
        </w:rPr>
        <w:footnoteRef/>
      </w:r>
      <w:r>
        <w:t xml:space="preserve"> </w:t>
      </w:r>
      <w:r w:rsidRPr="00682226">
        <w:t>ITU-T Recommendation Q.708 at 6.</w:t>
      </w:r>
    </w:p>
  </w:footnote>
  <w:footnote w:id="6">
    <w:p w:rsidR="00A61A7E" w:rsidP="00A61A7E" w14:paraId="26C06B65" w14:textId="77777777">
      <w:pPr>
        <w:pStyle w:val="FootnoteText"/>
      </w:pPr>
      <w:r>
        <w:rPr>
          <w:rStyle w:val="FootnoteReference"/>
        </w:rPr>
        <w:footnoteRef/>
      </w:r>
      <w:r>
        <w:t xml:space="preserve"> TGI</w:t>
      </w:r>
      <w:r>
        <w:rPr>
          <w:snapToGrid w:val="0"/>
        </w:rPr>
        <w:t xml:space="preserve"> ISPC Application.</w:t>
      </w:r>
    </w:p>
  </w:footnote>
  <w:footnote w:id="7">
    <w:p w:rsidR="00A61A7E" w:rsidP="00A61A7E" w14:paraId="3EE4DB9B" w14:textId="79A6185D">
      <w:pPr>
        <w:pStyle w:val="FootnoteText"/>
      </w:pPr>
      <w:r>
        <w:rPr>
          <w:rStyle w:val="FootnoteReference"/>
        </w:rPr>
        <w:footnoteRef/>
      </w:r>
      <w:r>
        <w:t xml:space="preserve"> </w:t>
      </w:r>
      <w:r w:rsidRPr="00235B5D">
        <w:rPr>
          <w:i/>
          <w:iCs/>
        </w:rPr>
        <w:t>TGI Grant Letter</w:t>
      </w:r>
      <w:r w:rsidR="00DF31ED">
        <w:rPr>
          <w:i/>
          <w:iCs/>
        </w:rPr>
        <w:t xml:space="preserve"> </w:t>
      </w:r>
      <w:r w:rsidRPr="00A21FE4" w:rsidR="00DF31ED">
        <w:t>at 2</w:t>
      </w:r>
      <w:r w:rsidRPr="00235B5D">
        <w:t xml:space="preserve"> (“[Y]our implementation and notification to this office must occur on or before October 31, 2004.”).</w:t>
      </w:r>
    </w:p>
  </w:footnote>
  <w:footnote w:id="8">
    <w:p w:rsidR="00A61A7E" w:rsidP="00A61A7E" w14:paraId="6CC9A1F2" w14:textId="1553A6FC">
      <w:pPr>
        <w:pStyle w:val="FootnoteText"/>
      </w:pPr>
      <w:r>
        <w:rPr>
          <w:rStyle w:val="FootnoteReference"/>
        </w:rPr>
        <w:footnoteRef/>
      </w:r>
      <w:r>
        <w:t xml:space="preserve"> </w:t>
      </w:r>
      <w:r>
        <w:rPr>
          <w:snapToGrid w:val="0"/>
        </w:rPr>
        <w:t xml:space="preserve">TGI ISPC Application.  </w:t>
      </w:r>
      <w:r w:rsidRPr="006771A8">
        <w:t xml:space="preserve">In its </w:t>
      </w:r>
      <w:r w:rsidRPr="006771A8">
        <w:rPr>
          <w:i/>
          <w:iCs/>
        </w:rPr>
        <w:t>TGI Grant Letter</w:t>
      </w:r>
      <w:r w:rsidRPr="006771A8">
        <w:t xml:space="preserve">, the Bureau reiterated the certifications, adding that “[u]nless this office is specifically notified of the actual implementation of assignments for planned future service, it will be assumed that those implementations did not occur and such assignments will expire, making those particular codes available for reassignment.” </w:t>
      </w:r>
      <w:r w:rsidR="00490904">
        <w:t xml:space="preserve"> </w:t>
      </w:r>
      <w:r w:rsidRPr="006771A8">
        <w:rPr>
          <w:i/>
          <w:iCs/>
        </w:rPr>
        <w:t>TGI Grant Letter</w:t>
      </w:r>
      <w:r w:rsidRPr="006771A8">
        <w:t xml:space="preserve"> at 2.</w:t>
      </w:r>
    </w:p>
  </w:footnote>
  <w:footnote w:id="9">
    <w:p w:rsidR="00A61A7E" w:rsidRPr="0022711A" w:rsidP="00A61A7E" w14:paraId="0E56BC8D" w14:textId="77777777">
      <w:pPr>
        <w:pStyle w:val="FootnoteText"/>
      </w:pPr>
      <w:r w:rsidRPr="006F7533">
        <w:rPr>
          <w:rStyle w:val="FootnoteReference"/>
        </w:rPr>
        <w:footnoteRef/>
      </w:r>
      <w:r>
        <w:rPr>
          <w:snapToGrid w:val="0"/>
        </w:rPr>
        <w:t xml:space="preserve"> TGI ISPC Application</w:t>
      </w:r>
      <w:r w:rsidRPr="00BC7A74">
        <w:rPr>
          <w:snapToGrid w:val="0"/>
        </w:rPr>
        <w:t>.</w:t>
      </w:r>
      <w:r w:rsidRPr="006E143A">
        <w:rPr>
          <w:snapToGrid w:val="0"/>
        </w:rPr>
        <w:t xml:space="preserve">  </w:t>
      </w:r>
    </w:p>
  </w:footnote>
  <w:footnote w:id="10">
    <w:p w:rsidR="00A61A7E" w:rsidP="00A61A7E" w14:paraId="308C159C" w14:textId="3BB5042B">
      <w:pPr>
        <w:pStyle w:val="FootnoteText"/>
      </w:pPr>
      <w:r>
        <w:rPr>
          <w:rStyle w:val="FootnoteReference"/>
        </w:rPr>
        <w:footnoteRef/>
      </w:r>
      <w:r>
        <w:t xml:space="preserve"> In 2017, the Commission eliminated the requirement that U.S. providers of international telecommunications services file annual Traffic and Revenue Reports.  </w:t>
      </w:r>
      <w:r w:rsidRPr="003B3ECD">
        <w:rPr>
          <w:i/>
          <w:iCs/>
        </w:rPr>
        <w:t>See</w:t>
      </w:r>
      <w:r>
        <w:t xml:space="preserve"> </w:t>
      </w:r>
      <w:r w:rsidRPr="0029434A">
        <w:rPr>
          <w:i/>
          <w:iCs/>
        </w:rPr>
        <w:t>Section 43.62 Reporting Requirements for U.S. Providers of International Services; 2016 Biennial Review of Telecommunications Regulations</w:t>
      </w:r>
      <w:r>
        <w:t xml:space="preserve">, IB Docket Nos. 17-55, </w:t>
      </w:r>
      <w:r w:rsidRPr="005D78C2">
        <w:t>16-131</w:t>
      </w:r>
      <w:r>
        <w:t xml:space="preserve">, Report and Order, 32 FCC Rcd 8115 (2017).  Providers, including TGI, were required to file the final traffic and revenue data for calendar year 2015.  Our records show that </w:t>
      </w:r>
      <w:r>
        <w:t>STi</w:t>
      </w:r>
      <w:r>
        <w:t xml:space="preserve"> Prepaid, LLC acquired the assets of TGI in 2007. </w:t>
      </w:r>
      <w:r w:rsidR="00DF31ED">
        <w:t xml:space="preserve"> </w:t>
      </w:r>
      <w:r w:rsidRPr="00221CB0">
        <w:rPr>
          <w:i/>
          <w:iCs/>
        </w:rPr>
        <w:t>International Authorizations Granted</w:t>
      </w:r>
      <w:r w:rsidRPr="00E92728">
        <w:t>, Report No. TEL-01122</w:t>
      </w:r>
      <w:r>
        <w:t xml:space="preserve">, DA No. 07-1085, Public Notice, </w:t>
      </w:r>
      <w:r w:rsidRPr="003437CE">
        <w:t>22 FCC Rcd. 4594</w:t>
      </w:r>
      <w:r>
        <w:t xml:space="preserve"> (IB 2007).  However, we have no records to indicate specifically that TGI transferred its ISPC to </w:t>
      </w:r>
      <w:r>
        <w:t>STi</w:t>
      </w:r>
      <w:r>
        <w:t xml:space="preserve"> Prepaid, LLC as the application for the assignment of TGI’s international section 214 authorization to </w:t>
      </w:r>
      <w:r>
        <w:t>STi</w:t>
      </w:r>
      <w:r>
        <w:t xml:space="preserve"> Prepaid, LCC did not mention TGI’s ISPC.  TELCO GROUP, INC. and </w:t>
      </w:r>
      <w:r>
        <w:t>STi</w:t>
      </w:r>
      <w:r>
        <w:t xml:space="preserve"> PREPAID, LLC, Application for Consent to Assign International Authorization and Blanket Domestic Authorization pursuant to Section 214 of the Communications Act of 1934, as Amended, </w:t>
      </w:r>
      <w:r w:rsidRPr="00D00BD9">
        <w:t>ITC-ASG-20070124-00033</w:t>
      </w:r>
      <w:r>
        <w:t xml:space="preserve"> (filed Jan. 24, 2007).</w:t>
      </w:r>
    </w:p>
  </w:footnote>
  <w:footnote w:id="11">
    <w:p w:rsidR="00A61A7E" w:rsidP="00A61A7E" w14:paraId="0925D7D8" w14:textId="50DAF214">
      <w:pPr>
        <w:pStyle w:val="FootnoteText"/>
      </w:pPr>
      <w:r>
        <w:rPr>
          <w:rStyle w:val="FootnoteReference"/>
        </w:rPr>
        <w:footnoteRef/>
      </w:r>
      <w:r>
        <w:t xml:space="preserve"> Emails from Arthur Lechtman, Attorney-Advisor, Telecommunications and Analysis Division, International Bureau to</w:t>
      </w:r>
      <w:r w:rsidRPr="00893382">
        <w:t xml:space="preserve"> Sam Tawfik and Julie Mathis</w:t>
      </w:r>
      <w:r>
        <w:t>, Telco Group, Inc. (</w:t>
      </w:r>
      <w:hyperlink r:id="rId2" w:history="1">
        <w:r w:rsidRPr="00D03FF2">
          <w:rPr>
            <w:rStyle w:val="Hyperlink"/>
          </w:rPr>
          <w:t>mariep@telcogroupinc.com</w:t>
        </w:r>
      </w:hyperlink>
      <w:r w:rsidRPr="00893382">
        <w:t xml:space="preserve">; </w:t>
      </w:r>
      <w:hyperlink r:id="rId3" w:history="1">
        <w:r w:rsidRPr="00D03FF2">
          <w:rPr>
            <w:rStyle w:val="Hyperlink"/>
          </w:rPr>
          <w:t>juliem@telcogroupinc.com</w:t>
        </w:r>
      </w:hyperlink>
      <w:r>
        <w:t xml:space="preserve">) (Aug. 5, 2020, 9:22 AM); Return email from </w:t>
      </w:r>
      <w:r w:rsidRPr="003B3ECD">
        <w:t xml:space="preserve">Mail Delivery Subsystem </w:t>
      </w:r>
      <w:r>
        <w:t>to Arthur Lechtman, Attorney-Advisor, Telecommunications and Analysis Division, International Bureau (Aug. 5, 2020, 9:22 AM).</w:t>
      </w:r>
      <w:r w:rsidR="00490904">
        <w:t xml:space="preserve">  </w:t>
      </w:r>
      <w:r w:rsidRPr="00DB3675" w:rsidR="00490904">
        <w:rPr>
          <w:i/>
          <w:iCs/>
        </w:rPr>
        <w:t>See also</w:t>
      </w:r>
      <w:r w:rsidR="00490904">
        <w:t xml:space="preserve"> Attachment A.</w:t>
      </w:r>
    </w:p>
  </w:footnote>
  <w:footnote w:id="12">
    <w:p w:rsidR="00A61A7E" w:rsidP="00A61A7E" w14:paraId="0BD6289A" w14:textId="77777777">
      <w:pPr>
        <w:pStyle w:val="FootnoteText"/>
      </w:pPr>
      <w:r>
        <w:rPr>
          <w:rStyle w:val="FootnoteReference"/>
        </w:rPr>
        <w:footnoteRef/>
      </w:r>
      <w:r>
        <w:t xml:space="preserve"> Staff called the following telephone numbers: </w:t>
      </w:r>
      <w:r w:rsidRPr="0049640D">
        <w:t>718-358-5390</w:t>
      </w:r>
      <w:r>
        <w:t xml:space="preserve"> and </w:t>
      </w:r>
      <w:r w:rsidRPr="00893382">
        <w:t>888-784-8750</w:t>
      </w:r>
      <w:r>
        <w:t>.</w:t>
      </w:r>
    </w:p>
  </w:footnote>
  <w:footnote w:id="13">
    <w:p w:rsidR="00A61A7E" w:rsidP="00A61A7E" w14:paraId="31E05917" w14:textId="4322F6CA">
      <w:pPr>
        <w:pStyle w:val="FootnoteText"/>
      </w:pPr>
      <w:r>
        <w:rPr>
          <w:rStyle w:val="FootnoteReference"/>
        </w:rPr>
        <w:footnoteRef/>
      </w:r>
      <w:r>
        <w:t xml:space="preserve"> </w:t>
      </w:r>
      <w:r w:rsidRPr="00156C92">
        <w:t>FCC Form 499 Filer Database</w:t>
      </w:r>
      <w:r>
        <w:t xml:space="preserve">, </w:t>
      </w:r>
      <w:hyperlink r:id="rId4" w:history="1">
        <w:r w:rsidRPr="006026C4">
          <w:rPr>
            <w:rStyle w:val="Hyperlink"/>
          </w:rPr>
          <w:t>https://apps.fcc.gov/cgb/form499/499detail.cfm?FilerNum=823006</w:t>
        </w:r>
      </w:hyperlink>
      <w:r>
        <w:t xml:space="preserve"> (viewed Apr</w:t>
      </w:r>
      <w:r w:rsidR="008464D7">
        <w:t>.</w:t>
      </w:r>
      <w:r>
        <w:t xml:space="preserve"> 1, 2021).</w:t>
      </w:r>
    </w:p>
  </w:footnote>
  <w:footnote w:id="14">
    <w:p w:rsidR="00A61A7E" w:rsidP="00A61A7E" w14:paraId="06C6833A" w14:textId="3B743F7D">
      <w:pPr>
        <w:pStyle w:val="FootnoteText"/>
      </w:pPr>
      <w:r>
        <w:rPr>
          <w:rStyle w:val="FootnoteReference"/>
        </w:rPr>
        <w:footnoteRef/>
      </w:r>
      <w:r>
        <w:t xml:space="preserve"> TGI’s</w:t>
      </w:r>
      <w:r w:rsidRPr="006771A8">
        <w:t xml:space="preserve"> ISPC assignment was</w:t>
      </w:r>
      <w:r>
        <w:t xml:space="preserve"> to</w:t>
      </w:r>
      <w:r w:rsidRPr="006771A8">
        <w:t xml:space="preserve"> </w:t>
      </w:r>
      <w:r>
        <w:t xml:space="preserve">“strictly fit the [ITU] guidelines,” which include a requirement that operators </w:t>
      </w:r>
      <w:r w:rsidRPr="006771A8">
        <w:t xml:space="preserve">notify </w:t>
      </w:r>
      <w:r>
        <w:t>an administrator</w:t>
      </w:r>
      <w:r w:rsidRPr="006771A8">
        <w:t xml:space="preserve"> of any transfer of the ISPC such as in the case of a merger or acquisition.  </w:t>
      </w:r>
      <w:r w:rsidRPr="00156C92">
        <w:rPr>
          <w:i/>
          <w:iCs/>
        </w:rPr>
        <w:t>See TGI Grant Letter</w:t>
      </w:r>
      <w:r w:rsidRPr="006771A8">
        <w:t xml:space="preserve"> at </w:t>
      </w:r>
      <w:r>
        <w:t>1</w:t>
      </w:r>
      <w:r w:rsidR="008464D7">
        <w:t>;</w:t>
      </w:r>
      <w:r w:rsidRPr="006771A8">
        <w:t xml:space="preserve"> ITU-T Recommendation Q.708</w:t>
      </w:r>
      <w:r w:rsidR="008464D7">
        <w:t>,</w:t>
      </w:r>
      <w:r w:rsidRPr="006771A8">
        <w:t>Section 7.10.</w:t>
      </w:r>
      <w:r>
        <w:t xml:space="preserve">  Absent any record </w:t>
      </w:r>
      <w:r w:rsidR="008464D7">
        <w:t xml:space="preserve">evidence </w:t>
      </w:r>
      <w:r>
        <w:t xml:space="preserve">that TGI specifically transferred its ISPC, we presume that TGI has retained its ISPC continuously since it </w:t>
      </w:r>
      <w:r w:rsidR="008464D7">
        <w:t xml:space="preserve">received this provisional </w:t>
      </w:r>
      <w:r>
        <w:t xml:space="preserve"> assign</w:t>
      </w:r>
      <w:r w:rsidR="008464D7">
        <w:t>ment</w:t>
      </w:r>
      <w:r>
        <w:t xml:space="preserve">.  </w:t>
      </w:r>
      <w:r w:rsidRPr="00347C5D">
        <w:rPr>
          <w:i/>
          <w:iCs/>
        </w:rPr>
        <w:t>See also</w:t>
      </w:r>
      <w:r>
        <w:t xml:space="preserve"> n. 9, </w:t>
      </w:r>
      <w:r w:rsidRPr="00347C5D">
        <w:rPr>
          <w:i/>
          <w:iCs/>
        </w:rPr>
        <w:t>supra</w:t>
      </w:r>
      <w:r>
        <w:t>.</w:t>
      </w:r>
    </w:p>
  </w:footnote>
  <w:footnote w:id="15">
    <w:p w:rsidR="00A61A7E" w:rsidRPr="00BF5A28" w:rsidP="00A61A7E" w14:paraId="08A50092" w14:textId="29646AAE">
      <w:pPr>
        <w:pStyle w:val="FootnoteText"/>
      </w:pPr>
      <w:r w:rsidRPr="00BF5A28">
        <w:rPr>
          <w:rStyle w:val="FootnoteReference"/>
        </w:rPr>
        <w:footnoteRef/>
      </w:r>
      <w:r w:rsidRPr="00BF5A28">
        <w:t xml:space="preserve"> </w:t>
      </w:r>
      <w:r w:rsidRPr="00BF5A28">
        <w:rPr>
          <w:i/>
          <w:iCs/>
        </w:rPr>
        <w:t>See</w:t>
      </w:r>
      <w:r w:rsidRPr="00BF5A28">
        <w:t xml:space="preserve"> </w:t>
      </w:r>
      <w:r>
        <w:t>New York</w:t>
      </w:r>
      <w:r w:rsidRPr="00BF5A28">
        <w:t>,</w:t>
      </w:r>
      <w:r w:rsidRPr="004D10DE">
        <w:t xml:space="preserve"> </w:t>
      </w:r>
      <w:r>
        <w:t>Department of State, Division of Corporations, Search Our Corporation and Business Entity Database,</w:t>
      </w:r>
      <w:r w:rsidR="006C5224">
        <w:t xml:space="preserve"> </w:t>
      </w:r>
      <w:hyperlink r:id="rId5" w:history="1">
        <w:r w:rsidRPr="00EB5EAC" w:rsidR="008464D7">
          <w:rPr>
            <w:rStyle w:val="Hyperlink"/>
          </w:rPr>
          <w:t>https://apps.dos.ny.gov/publicInquiry/</w:t>
        </w:r>
      </w:hyperlink>
      <w:r>
        <w:t>.</w:t>
      </w:r>
      <w:r w:rsidR="008464D7">
        <w:t xml:space="preserve"> </w:t>
      </w:r>
      <w:r>
        <w:t xml:space="preserve"> The New York records also provide the name and address of an entity for </w:t>
      </w:r>
      <w:r w:rsidR="008464D7">
        <w:t xml:space="preserve">service of </w:t>
      </w:r>
      <w:r>
        <w:t>process, to which we are sending a copy of this letter (the law firm of Herrick Feinstein LLP).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20F51519" w14:textId="77777777">
    <w:pPr>
      <w:pStyle w:val="Header"/>
      <w:tabs>
        <w:tab w:val="clear" w:pos="4320"/>
        <w:tab w:val="clear" w:pos="8640"/>
      </w:tabs>
      <w:spacing w:before="360" w:line="228"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59.25pt;height:59.25pt;margin-top:0;margin-left:-31.8pt;position:absolute;z-index:-251658240" wrapcoords="7656 0 5742 547 1367 3828 273 6562 -273 8203 -273 13397 1641 17499 1641 18046 6835 21327 7656 21327 13671 21327 14491 21327 19686 18046 19686 17499 21600 13397 21600 8203 20233 3828 15858 820 13671 0 7656 0">
          <v:imagedata r:id="rId1" o:title="fcc-seal-rgb-2020"/>
          <w10:wrap type="tight"/>
        </v:shape>
      </w:pict>
    </w:r>
    <w:r>
      <w:rPr>
        <w:rFonts w:ascii="CG Times (W1)" w:hAnsi="CG Times (W1)"/>
        <w:sz w:val="28"/>
      </w:rPr>
      <w:t>Federal Communications Commission</w:t>
    </w:r>
  </w:p>
  <w:p w:rsidR="002B54DB" w:rsidP="001333F1" w14:paraId="75373366" w14:textId="77777777">
    <w:pPr>
      <w:tabs>
        <w:tab w:val="center" w:pos="4680"/>
        <w:tab w:val="left" w:pos="8400"/>
      </w:tabs>
    </w:pPr>
    <w:r>
      <w:rPr>
        <w:rFonts w:ascii="CG Times (W1)" w:hAnsi="CG Times (W1)"/>
        <w:sz w:val="28"/>
      </w:rPr>
      <w:tab/>
    </w:r>
    <w:r>
      <w:rPr>
        <w:rFonts w:ascii="CG Times (W1)" w:hAnsi="CG Times (W1)"/>
        <w:sz w:val="28"/>
      </w:rPr>
      <w:t>Washington, D.C. 20554</w:t>
    </w:r>
    <w:r>
      <w:rPr>
        <w:rFonts w:ascii="CG Times (W1)" w:hAnsi="CG Times (W1)"/>
        <w:sz w:val="28"/>
      </w:rPr>
      <w:tab/>
    </w:r>
  </w:p>
  <w:p w:rsidR="002B54DB" w14:paraId="61BBCFA8" w14:textId="77777777">
    <w:pPr>
      <w:pStyle w:val="Header"/>
      <w:tabs>
        <w:tab w:val="clear" w:pos="4320"/>
      </w:tabs>
      <w:jc w:val="center"/>
      <w:rPr>
        <w:sz w:val="22"/>
      </w:rPr>
    </w:pPr>
  </w:p>
  <w:p w:rsidR="002B54DB" w14:paraId="7D1A46C1" w14:textId="77777777">
    <w:pPr>
      <w:pStyle w:val="Header"/>
      <w:tabs>
        <w:tab w:val="clear" w:pos="4320"/>
      </w:tabs>
      <w:jc w:val="center"/>
      <w:rPr>
        <w:sz w:val="22"/>
      </w:rPr>
    </w:pPr>
  </w:p>
  <w:p w:rsidR="002B54DB" w14:paraId="74195B70" w14:textId="67538FFA">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5A7A4E">
      <w:rPr>
        <w:noProof/>
        <w:sz w:val="24"/>
      </w:rPr>
      <w:t>June 30, 2021</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A7E"/>
    <w:rsid w:val="00035EA3"/>
    <w:rsid w:val="000626FF"/>
    <w:rsid w:val="000E5752"/>
    <w:rsid w:val="001333F1"/>
    <w:rsid w:val="00156C92"/>
    <w:rsid w:val="001E1A44"/>
    <w:rsid w:val="001F7074"/>
    <w:rsid w:val="00204CE3"/>
    <w:rsid w:val="00221CB0"/>
    <w:rsid w:val="0022711A"/>
    <w:rsid w:val="00235B5D"/>
    <w:rsid w:val="0029434A"/>
    <w:rsid w:val="002B54DB"/>
    <w:rsid w:val="003437CE"/>
    <w:rsid w:val="00347C5D"/>
    <w:rsid w:val="0035310D"/>
    <w:rsid w:val="003B3ECD"/>
    <w:rsid w:val="004059E1"/>
    <w:rsid w:val="00490904"/>
    <w:rsid w:val="0049640D"/>
    <w:rsid w:val="004D10DE"/>
    <w:rsid w:val="004D3B53"/>
    <w:rsid w:val="004D6B0C"/>
    <w:rsid w:val="00531E62"/>
    <w:rsid w:val="005A7A4E"/>
    <w:rsid w:val="005D78C2"/>
    <w:rsid w:val="006026C4"/>
    <w:rsid w:val="006771A8"/>
    <w:rsid w:val="00682226"/>
    <w:rsid w:val="006C5224"/>
    <w:rsid w:val="006E143A"/>
    <w:rsid w:val="008464D7"/>
    <w:rsid w:val="00893382"/>
    <w:rsid w:val="008D6A2E"/>
    <w:rsid w:val="008E1AC1"/>
    <w:rsid w:val="00915F4F"/>
    <w:rsid w:val="00917564"/>
    <w:rsid w:val="009D22E7"/>
    <w:rsid w:val="00A21FE4"/>
    <w:rsid w:val="00A514C1"/>
    <w:rsid w:val="00A61A7E"/>
    <w:rsid w:val="00A64846"/>
    <w:rsid w:val="00AD2EED"/>
    <w:rsid w:val="00B77163"/>
    <w:rsid w:val="00B95D2D"/>
    <w:rsid w:val="00B96076"/>
    <w:rsid w:val="00BC7A74"/>
    <w:rsid w:val="00BF5A28"/>
    <w:rsid w:val="00C0510B"/>
    <w:rsid w:val="00CA4873"/>
    <w:rsid w:val="00D00BD9"/>
    <w:rsid w:val="00D03FF2"/>
    <w:rsid w:val="00D578EB"/>
    <w:rsid w:val="00DB3675"/>
    <w:rsid w:val="00DF31ED"/>
    <w:rsid w:val="00E21875"/>
    <w:rsid w:val="00E92728"/>
    <w:rsid w:val="00EB5EAC"/>
    <w:rsid w:val="00FE52F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DE7A1C"/>
  <w15:chartTrackingRefBased/>
  <w15:docId w15:val="{56F7505B-B195-4B21-B90D-163B4518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61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ALTS FOOTNOTE Char Char,ALTS FOOTNOTE Char Char Char1 Char Char,Footnote Text Char Char Char,Footnote Text Char Char Char Char Char,Footnote Text Char1 Char,Footnote Text Char1 Char Char Char,f,fn Char Char"/>
    <w:link w:val="FootnoteTextChar1"/>
    <w:rsid w:val="00A61A7E"/>
    <w:pPr>
      <w:spacing w:after="120"/>
    </w:pPr>
  </w:style>
  <w:style w:type="character" w:customStyle="1" w:styleId="FootnoteTextChar">
    <w:name w:val="Footnote Text Char"/>
    <w:basedOn w:val="DefaultParagraphFont"/>
    <w:uiPriority w:val="99"/>
    <w:semiHidden/>
    <w:rsid w:val="00A61A7E"/>
  </w:style>
  <w:style w:type="character" w:styleId="FootnoteReference">
    <w:name w:val="footnote reference"/>
    <w:rsid w:val="00A61A7E"/>
    <w:rPr>
      <w:rFonts w:ascii="Times New Roman" w:hAnsi="Times New Roman"/>
      <w:dstrike w:val="0"/>
      <w:color w:val="auto"/>
      <w:sz w:val="20"/>
      <w:vertAlign w:val="superscript"/>
    </w:rPr>
  </w:style>
  <w:style w:type="character" w:customStyle="1" w:styleId="FootnoteTextChar1">
    <w:name w:val="Footnote Text Char1"/>
    <w:aliases w:val="ALTS FOOTNOTE Char Char Char,Footnote Text Char Char Char Char,Footnote Text Char Char Char Char Char Char,Footnote Text Char1 Char Char,Footnote Text Char1 Char Char Char Char,f Char,fn Char Char Char"/>
    <w:link w:val="FootnoteText"/>
    <w:rsid w:val="00A61A7E"/>
  </w:style>
  <w:style w:type="character" w:styleId="CommentReference">
    <w:name w:val="annotation reference"/>
    <w:uiPriority w:val="99"/>
    <w:unhideWhenUsed/>
    <w:rsid w:val="00A61A7E"/>
    <w:rPr>
      <w:sz w:val="16"/>
      <w:szCs w:val="16"/>
    </w:rPr>
  </w:style>
  <w:style w:type="character" w:styleId="Hyperlink">
    <w:name w:val="Hyperlink"/>
    <w:rsid w:val="00A61A7E"/>
    <w:rPr>
      <w:color w:val="0000FF"/>
      <w:u w:val="single"/>
    </w:rPr>
  </w:style>
  <w:style w:type="paragraph" w:styleId="CommentText">
    <w:name w:val="annotation text"/>
    <w:basedOn w:val="Normal"/>
    <w:link w:val="CommentTextChar"/>
    <w:uiPriority w:val="99"/>
    <w:rsid w:val="00A61A7E"/>
  </w:style>
  <w:style w:type="character" w:customStyle="1" w:styleId="CommentTextChar">
    <w:name w:val="Comment Text Char"/>
    <w:basedOn w:val="DefaultParagraphFont"/>
    <w:link w:val="CommentText"/>
    <w:uiPriority w:val="99"/>
    <w:rsid w:val="00A61A7E"/>
  </w:style>
  <w:style w:type="paragraph" w:styleId="PlainText">
    <w:name w:val="Plain Text"/>
    <w:basedOn w:val="Normal"/>
    <w:link w:val="PlainTextChar"/>
    <w:uiPriority w:val="99"/>
    <w:semiHidden/>
    <w:unhideWhenUsed/>
    <w:rsid w:val="00A61A7E"/>
    <w:rPr>
      <w:rFonts w:ascii="Calibri" w:eastAsia="Calibri" w:hAnsi="Calibri"/>
      <w:sz w:val="22"/>
      <w:szCs w:val="21"/>
    </w:rPr>
  </w:style>
  <w:style w:type="character" w:customStyle="1" w:styleId="PlainTextChar">
    <w:name w:val="Plain Text Char"/>
    <w:link w:val="PlainText"/>
    <w:uiPriority w:val="99"/>
    <w:semiHidden/>
    <w:rsid w:val="00A61A7E"/>
    <w:rPr>
      <w:rFonts w:ascii="Calibri" w:eastAsia="Calibri" w:hAnsi="Calibri"/>
      <w:sz w:val="22"/>
      <w:szCs w:val="21"/>
    </w:rPr>
  </w:style>
  <w:style w:type="paragraph" w:styleId="BalloonText">
    <w:name w:val="Balloon Text"/>
    <w:basedOn w:val="Normal"/>
    <w:link w:val="BalloonTextChar"/>
    <w:uiPriority w:val="99"/>
    <w:semiHidden/>
    <w:unhideWhenUsed/>
    <w:rsid w:val="00A61A7E"/>
    <w:rPr>
      <w:rFonts w:ascii="Segoe UI" w:hAnsi="Segoe UI" w:cs="Segoe UI"/>
      <w:sz w:val="18"/>
      <w:szCs w:val="18"/>
    </w:rPr>
  </w:style>
  <w:style w:type="character" w:customStyle="1" w:styleId="BalloonTextChar">
    <w:name w:val="Balloon Text Char"/>
    <w:link w:val="BalloonText"/>
    <w:uiPriority w:val="99"/>
    <w:semiHidden/>
    <w:rsid w:val="00A61A7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31E62"/>
    <w:rPr>
      <w:b/>
      <w:bCs/>
    </w:rPr>
  </w:style>
  <w:style w:type="character" w:customStyle="1" w:styleId="CommentSubjectChar">
    <w:name w:val="Comment Subject Char"/>
    <w:link w:val="CommentSubject"/>
    <w:uiPriority w:val="99"/>
    <w:semiHidden/>
    <w:rsid w:val="00531E62"/>
    <w:rPr>
      <w:b/>
      <w:bCs/>
    </w:rPr>
  </w:style>
  <w:style w:type="character" w:styleId="FollowedHyperlink">
    <w:name w:val="FollowedHyperlink"/>
    <w:uiPriority w:val="99"/>
    <w:semiHidden/>
    <w:unhideWhenUsed/>
    <w:rsid w:val="00E21875"/>
    <w:rPr>
      <w:color w:val="954F72"/>
      <w:u w:val="single"/>
    </w:rPr>
  </w:style>
  <w:style w:type="character" w:customStyle="1" w:styleId="UnresolvedMention">
    <w:name w:val="Unresolved Mention"/>
    <w:uiPriority w:val="99"/>
    <w:semiHidden/>
    <w:unhideWhenUsed/>
    <w:rsid w:val="00846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enise.Coca@fcc.gov" TargetMode="External" /><Relationship Id="rId6" Type="http://schemas.openxmlformats.org/officeDocument/2006/relationships/hyperlink" Target="mailto:Arthur.Lechtman@fcc.gov" TargetMode="External" /><Relationship Id="rId7" Type="http://schemas.openxmlformats.org/officeDocument/2006/relationships/hyperlink" Target="mailto:mariep@telcogroupinc.com" TargetMode="External" /><Relationship Id="rId8" Type="http://schemas.openxmlformats.org/officeDocument/2006/relationships/hyperlink" Target="mailto:juliem@telcogroupinc.com"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itu.int/rec/recommendation.asp?lang=en&amp;parent=T-REC-Q.708-199903-I" TargetMode="External" /><Relationship Id="rId2" Type="http://schemas.openxmlformats.org/officeDocument/2006/relationships/hyperlink" Target="mailto:mariep@telcogroupinc.com" TargetMode="External" /><Relationship Id="rId3" Type="http://schemas.openxmlformats.org/officeDocument/2006/relationships/hyperlink" Target="mailto:juliem@telcogroupinc.com" TargetMode="External" /><Relationship Id="rId4" Type="http://schemas.openxmlformats.org/officeDocument/2006/relationships/hyperlink" Target="https://apps.fcc.gov/cgb/form499/499detail.cfm?FilerNum=823006" TargetMode="External" /><Relationship Id="rId5" Type="http://schemas.openxmlformats.org/officeDocument/2006/relationships/hyperlink" Target="https://apps.dos.ny.gov/publicInquir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