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191F58" w14:paraId="72AB0249" w14:textId="4159210B">
      <w:pPr>
        <w:jc w:val="right"/>
        <w:rPr>
          <w:b/>
          <w:sz w:val="24"/>
        </w:rPr>
      </w:pPr>
      <w:r>
        <w:rPr>
          <w:b/>
          <w:sz w:val="24"/>
        </w:rPr>
        <w:t>DA 2</w:t>
      </w:r>
      <w:r w:rsidR="00A42CF9">
        <w:rPr>
          <w:b/>
          <w:sz w:val="24"/>
        </w:rPr>
        <w:t>1</w:t>
      </w:r>
      <w:r>
        <w:rPr>
          <w:b/>
          <w:sz w:val="24"/>
        </w:rPr>
        <w:t>-</w:t>
      </w:r>
      <w:r w:rsidR="007241C0">
        <w:rPr>
          <w:b/>
          <w:sz w:val="24"/>
        </w:rPr>
        <w:t>77</w:t>
      </w:r>
    </w:p>
    <w:p w:rsidR="00013A8B" w:rsidRPr="00B20363" w:rsidP="00013A8B" w14:paraId="25839884" w14:textId="7544B5E2">
      <w:pPr>
        <w:spacing w:before="60"/>
        <w:jc w:val="right"/>
        <w:rPr>
          <w:b/>
          <w:sz w:val="24"/>
        </w:rPr>
      </w:pPr>
      <w:r>
        <w:rPr>
          <w:b/>
          <w:sz w:val="24"/>
        </w:rPr>
        <w:t xml:space="preserve">Released:  </w:t>
      </w:r>
      <w:r w:rsidR="00A42CF9">
        <w:rPr>
          <w:b/>
          <w:sz w:val="24"/>
        </w:rPr>
        <w:t>January</w:t>
      </w:r>
      <w:r w:rsidR="00451613">
        <w:rPr>
          <w:b/>
          <w:sz w:val="24"/>
        </w:rPr>
        <w:t xml:space="preserve"> </w:t>
      </w:r>
      <w:r w:rsidR="00A42CF9">
        <w:rPr>
          <w:b/>
          <w:sz w:val="24"/>
        </w:rPr>
        <w:t>19</w:t>
      </w:r>
      <w:r w:rsidR="00451613">
        <w:rPr>
          <w:b/>
          <w:sz w:val="24"/>
        </w:rPr>
        <w:t>, 202</w:t>
      </w:r>
      <w:r w:rsidR="00191F58">
        <w:rPr>
          <w:b/>
          <w:sz w:val="24"/>
        </w:rPr>
        <w:t>1</w:t>
      </w:r>
    </w:p>
    <w:p w:rsidR="00013A8B" w:rsidP="00013A8B" w14:paraId="447ECC4E" w14:textId="77777777">
      <w:pPr>
        <w:jc w:val="right"/>
        <w:rPr>
          <w:sz w:val="24"/>
        </w:rPr>
      </w:pPr>
    </w:p>
    <w:p w:rsidR="00013A8B" w:rsidRPr="00B20363" w:rsidP="00013A8B" w14:paraId="4F70A9B2" w14:textId="6677C4D5">
      <w:pPr>
        <w:spacing w:after="240"/>
        <w:jc w:val="center"/>
        <w:rPr>
          <w:rFonts w:ascii="Times New Roman Bold" w:hAnsi="Times New Roman Bold"/>
          <w:b/>
          <w:caps/>
          <w:sz w:val="24"/>
        </w:rPr>
      </w:pPr>
      <w:bookmarkStart w:id="0" w:name="_Hlk59119568"/>
      <w:r>
        <w:rPr>
          <w:rFonts w:ascii="Times New Roman Bold" w:hAnsi="Times New Roman Bold"/>
          <w:b/>
          <w:caps/>
          <w:sz w:val="24"/>
        </w:rPr>
        <w:t xml:space="preserve">Charter Communications, Inc. </w:t>
      </w:r>
      <w:r w:rsidR="005B5AF4">
        <w:rPr>
          <w:rFonts w:ascii="Times New Roman Bold" w:hAnsi="Times New Roman Bold"/>
          <w:b/>
          <w:caps/>
          <w:sz w:val="24"/>
        </w:rPr>
        <w:t xml:space="preserve">withdraws petition </w:t>
      </w:r>
      <w:r>
        <w:rPr>
          <w:rFonts w:ascii="Times New Roman Bold" w:hAnsi="Times New Roman Bold"/>
          <w:b/>
          <w:caps/>
          <w:sz w:val="24"/>
        </w:rPr>
        <w:t>to sunset Merger Conditions</w:t>
      </w:r>
    </w:p>
    <w:bookmarkEnd w:id="0"/>
    <w:p w:rsidR="00013A8B" w:rsidRPr="00191F58" w:rsidP="00013A8B" w14:paraId="7B76B010" w14:textId="77777777">
      <w:pPr>
        <w:jc w:val="center"/>
        <w:rPr>
          <w:b/>
          <w:szCs w:val="18"/>
        </w:rPr>
      </w:pPr>
      <w:r w:rsidRPr="00191F58">
        <w:rPr>
          <w:b/>
          <w:szCs w:val="18"/>
        </w:rPr>
        <w:t>WC Docket No. 16-197</w:t>
      </w:r>
    </w:p>
    <w:p w:rsidR="00863DDB" w:rsidRPr="00191F58" w:rsidP="00863DDB" w14:paraId="134D5C03" w14:textId="77777777">
      <w:pPr>
        <w:rPr>
          <w:b/>
          <w:szCs w:val="18"/>
        </w:rPr>
      </w:pPr>
    </w:p>
    <w:p w:rsidR="007241C0" w:rsidP="007241C0" w14:paraId="757702E0" w14:textId="77777777">
      <w:pPr>
        <w:spacing w:after="120"/>
        <w:ind w:firstLine="720"/>
        <w:rPr>
          <w:szCs w:val="18"/>
        </w:rPr>
      </w:pPr>
      <w:bookmarkStart w:id="1" w:name="TOChere"/>
      <w:r w:rsidRPr="00191F58">
        <w:rPr>
          <w:szCs w:val="18"/>
        </w:rPr>
        <w:t>By this Public Notice, the Wireline Competition Bureau (</w:t>
      </w:r>
      <w:r w:rsidRPr="00191F58" w:rsidR="00BD3989">
        <w:rPr>
          <w:szCs w:val="18"/>
        </w:rPr>
        <w:t>Bureau</w:t>
      </w:r>
      <w:r w:rsidRPr="00191F58">
        <w:rPr>
          <w:szCs w:val="18"/>
        </w:rPr>
        <w:t xml:space="preserve">) </w:t>
      </w:r>
      <w:r w:rsidRPr="00191F58" w:rsidR="00BD3989">
        <w:rPr>
          <w:szCs w:val="18"/>
        </w:rPr>
        <w:t>acknowledges</w:t>
      </w:r>
      <w:r w:rsidRPr="00191F58">
        <w:rPr>
          <w:szCs w:val="18"/>
        </w:rPr>
        <w:t xml:space="preserve"> Charter Communication, Inc.’s (Charter) withdrawal</w:t>
      </w:r>
      <w:r>
        <w:rPr>
          <w:rStyle w:val="FootnoteReference"/>
          <w:sz w:val="20"/>
          <w:szCs w:val="18"/>
        </w:rPr>
        <w:footnoteReference w:id="3"/>
      </w:r>
      <w:r w:rsidRPr="00191F58">
        <w:rPr>
          <w:szCs w:val="18"/>
        </w:rPr>
        <w:t xml:space="preserve"> of its petition</w:t>
      </w:r>
      <w:r>
        <w:rPr>
          <w:rStyle w:val="FootnoteReference"/>
          <w:sz w:val="20"/>
          <w:szCs w:val="18"/>
        </w:rPr>
        <w:footnoteReference w:id="4"/>
      </w:r>
      <w:r w:rsidRPr="00191F58">
        <w:rPr>
          <w:szCs w:val="18"/>
        </w:rPr>
        <w:t xml:space="preserve"> for consent to sunset two conditions from its merger with Time Warner Cable</w:t>
      </w:r>
      <w:r w:rsidRPr="00191F58" w:rsidR="00CE25D5">
        <w:rPr>
          <w:szCs w:val="18"/>
        </w:rPr>
        <w:t>,</w:t>
      </w:r>
      <w:r w:rsidRPr="00191F58">
        <w:rPr>
          <w:szCs w:val="18"/>
        </w:rPr>
        <w:t xml:space="preserve"> Inc. and Bright House N</w:t>
      </w:r>
      <w:r w:rsidRPr="00191F58" w:rsidR="00597BE0">
        <w:rPr>
          <w:szCs w:val="18"/>
        </w:rPr>
        <w:t>e</w:t>
      </w:r>
      <w:r w:rsidRPr="00191F58">
        <w:rPr>
          <w:szCs w:val="18"/>
        </w:rPr>
        <w:t xml:space="preserve">tworks, LLC: </w:t>
      </w:r>
      <w:r w:rsidRPr="00191F58" w:rsidR="00610A43">
        <w:rPr>
          <w:szCs w:val="18"/>
        </w:rPr>
        <w:t xml:space="preserve"> </w:t>
      </w:r>
      <w:r w:rsidRPr="00191F58">
        <w:rPr>
          <w:szCs w:val="18"/>
        </w:rPr>
        <w:t>(</w:t>
      </w:r>
      <w:r w:rsidRPr="00191F58" w:rsidR="00CD428E">
        <w:rPr>
          <w:szCs w:val="18"/>
        </w:rPr>
        <w:t>1) the prohibition on Charter imposing data caps and usage-based pricing mechanisms; and (2) the requirement for Charter to offer to connect its Internet protocol network to any qualifying entity free of charge and on standardized terms.</w:t>
      </w:r>
      <w:r>
        <w:rPr>
          <w:rStyle w:val="FootnoteReference"/>
          <w:sz w:val="20"/>
          <w:szCs w:val="18"/>
        </w:rPr>
        <w:footnoteReference w:id="5"/>
      </w:r>
      <w:r w:rsidRPr="00191F58" w:rsidR="00CD428E">
        <w:rPr>
          <w:szCs w:val="18"/>
        </w:rPr>
        <w:t xml:space="preserve">  At this time, </w:t>
      </w:r>
      <w:r w:rsidRPr="00191F58" w:rsidR="00BD3989">
        <w:rPr>
          <w:szCs w:val="18"/>
        </w:rPr>
        <w:t>the Bureau</w:t>
      </w:r>
      <w:r w:rsidRPr="00191F58" w:rsidR="00CD428E">
        <w:rPr>
          <w:szCs w:val="18"/>
        </w:rPr>
        <w:t xml:space="preserve"> will no longer consider filings </w:t>
      </w:r>
      <w:r w:rsidRPr="00191F58" w:rsidR="00276BB0">
        <w:rPr>
          <w:szCs w:val="18"/>
        </w:rPr>
        <w:t>specific</w:t>
      </w:r>
      <w:r w:rsidRPr="00191F58" w:rsidR="00CD428E">
        <w:rPr>
          <w:szCs w:val="18"/>
        </w:rPr>
        <w:t xml:space="preserve"> to th</w:t>
      </w:r>
      <w:r w:rsidRPr="00191F58" w:rsidR="00754B58">
        <w:rPr>
          <w:szCs w:val="18"/>
        </w:rPr>
        <w:t>is petition</w:t>
      </w:r>
      <w:r w:rsidRPr="00191F58" w:rsidR="00CD428E">
        <w:rPr>
          <w:szCs w:val="18"/>
        </w:rPr>
        <w:t>, but</w:t>
      </w:r>
      <w:r w:rsidRPr="00191F58" w:rsidR="00BD3989">
        <w:rPr>
          <w:szCs w:val="18"/>
        </w:rPr>
        <w:t xml:space="preserve"> the</w:t>
      </w:r>
      <w:r w:rsidRPr="00191F58" w:rsidR="00201037">
        <w:rPr>
          <w:szCs w:val="18"/>
        </w:rPr>
        <w:t xml:space="preserve"> docket will remain open</w:t>
      </w:r>
      <w:r w:rsidRPr="00191F58" w:rsidR="00CD428E">
        <w:rPr>
          <w:szCs w:val="18"/>
        </w:rPr>
        <w:t xml:space="preserve"> for additional filings</w:t>
      </w:r>
      <w:r w:rsidRPr="00191F58" w:rsidR="00FE68E4">
        <w:rPr>
          <w:szCs w:val="18"/>
        </w:rPr>
        <w:t xml:space="preserve">, such as </w:t>
      </w:r>
      <w:r w:rsidRPr="00191F58" w:rsidR="00084A3D">
        <w:rPr>
          <w:szCs w:val="18"/>
        </w:rPr>
        <w:t xml:space="preserve">those required </w:t>
      </w:r>
      <w:r w:rsidRPr="00191F58" w:rsidR="00FE68E4">
        <w:rPr>
          <w:szCs w:val="18"/>
        </w:rPr>
        <w:t>by</w:t>
      </w:r>
      <w:r w:rsidRPr="00191F58" w:rsidR="00CD428E">
        <w:rPr>
          <w:szCs w:val="18"/>
        </w:rPr>
        <w:t xml:space="preserve"> Charter</w:t>
      </w:r>
      <w:r w:rsidRPr="00191F58" w:rsidR="00FE68E4">
        <w:rPr>
          <w:szCs w:val="18"/>
        </w:rPr>
        <w:t xml:space="preserve"> or</w:t>
      </w:r>
      <w:r w:rsidRPr="00191F58" w:rsidR="00CD428E">
        <w:rPr>
          <w:szCs w:val="18"/>
        </w:rPr>
        <w:t xml:space="preserve"> the </w:t>
      </w:r>
      <w:r w:rsidRPr="00191F58" w:rsidR="00BD3989">
        <w:rPr>
          <w:szCs w:val="18"/>
        </w:rPr>
        <w:t>I</w:t>
      </w:r>
      <w:r w:rsidRPr="00191F58" w:rsidR="00CD428E">
        <w:rPr>
          <w:szCs w:val="18"/>
        </w:rPr>
        <w:t xml:space="preserve">ndependent </w:t>
      </w:r>
      <w:r w:rsidRPr="00191F58" w:rsidR="00BD3989">
        <w:rPr>
          <w:szCs w:val="18"/>
        </w:rPr>
        <w:t>C</w:t>
      </w:r>
      <w:r w:rsidRPr="00191F58" w:rsidR="00CD428E">
        <w:rPr>
          <w:szCs w:val="18"/>
        </w:rPr>
        <w:t xml:space="preserve">ompliance </w:t>
      </w:r>
      <w:r w:rsidRPr="00191F58" w:rsidR="00FE68E4">
        <w:rPr>
          <w:szCs w:val="18"/>
        </w:rPr>
        <w:t>Of</w:t>
      </w:r>
      <w:r w:rsidRPr="00191F58" w:rsidR="00CD428E">
        <w:rPr>
          <w:szCs w:val="18"/>
        </w:rPr>
        <w:t>ficer</w:t>
      </w:r>
      <w:r w:rsidRPr="00191F58" w:rsidR="00FE68E4">
        <w:rPr>
          <w:szCs w:val="18"/>
        </w:rPr>
        <w:t>.</w:t>
      </w:r>
      <w:r>
        <w:rPr>
          <w:rStyle w:val="FootnoteReference"/>
          <w:sz w:val="20"/>
          <w:szCs w:val="18"/>
        </w:rPr>
        <w:footnoteReference w:id="6"/>
      </w:r>
      <w:r w:rsidRPr="00191F58" w:rsidR="0091299A">
        <w:rPr>
          <w:szCs w:val="18"/>
        </w:rPr>
        <w:t xml:space="preserve">  </w:t>
      </w:r>
      <w:r w:rsidRPr="00191F58" w:rsidR="00535EDE">
        <w:rPr>
          <w:szCs w:val="18"/>
        </w:rPr>
        <w:t xml:space="preserve">Pursuant to </w:t>
      </w:r>
      <w:r w:rsidRPr="00191F58" w:rsidR="0091299A">
        <w:rPr>
          <w:szCs w:val="18"/>
        </w:rPr>
        <w:t>the terms of the Order approving the merger, all</w:t>
      </w:r>
      <w:r w:rsidRPr="00191F58" w:rsidR="008335B9">
        <w:rPr>
          <w:szCs w:val="18"/>
        </w:rPr>
        <w:t xml:space="preserve"> </w:t>
      </w:r>
      <w:r w:rsidRPr="00191F58" w:rsidR="0091299A">
        <w:rPr>
          <w:szCs w:val="18"/>
        </w:rPr>
        <w:t>conditions</w:t>
      </w:r>
      <w:r w:rsidRPr="00191F58" w:rsidR="008335B9">
        <w:rPr>
          <w:szCs w:val="18"/>
        </w:rPr>
        <w:t xml:space="preserve"> that remain in effect</w:t>
      </w:r>
      <w:r w:rsidRPr="00191F58" w:rsidR="0091299A">
        <w:rPr>
          <w:szCs w:val="18"/>
        </w:rPr>
        <w:t xml:space="preserve"> will expire on </w:t>
      </w:r>
      <w:r w:rsidRPr="00191F58" w:rsidR="008335B9">
        <w:rPr>
          <w:szCs w:val="18"/>
        </w:rPr>
        <w:t>May 18, 2023</w:t>
      </w:r>
      <w:r w:rsidRPr="00191F58" w:rsidR="0091299A">
        <w:rPr>
          <w:szCs w:val="18"/>
        </w:rPr>
        <w:t xml:space="preserve">, </w:t>
      </w:r>
      <w:r w:rsidRPr="00191F58" w:rsidR="00451613">
        <w:rPr>
          <w:szCs w:val="18"/>
        </w:rPr>
        <w:t>seven</w:t>
      </w:r>
      <w:r w:rsidRPr="00191F58" w:rsidR="0091299A">
        <w:rPr>
          <w:szCs w:val="18"/>
        </w:rPr>
        <w:t xml:space="preserve"> years from the Closing Date of the transaction.</w:t>
      </w:r>
      <w:r>
        <w:rPr>
          <w:rStyle w:val="FootnoteReference"/>
          <w:sz w:val="20"/>
          <w:szCs w:val="18"/>
        </w:rPr>
        <w:footnoteReference w:id="7"/>
      </w:r>
      <w:r w:rsidRPr="00191F58" w:rsidR="0091299A">
        <w:rPr>
          <w:szCs w:val="18"/>
        </w:rPr>
        <w:t xml:space="preserve"> </w:t>
      </w:r>
      <w:r w:rsidRPr="00191F58" w:rsidR="00CD428E">
        <w:rPr>
          <w:szCs w:val="18"/>
        </w:rPr>
        <w:t xml:space="preserve">  </w:t>
      </w:r>
      <w:bookmarkEnd w:id="1"/>
    </w:p>
    <w:p w:rsidR="00754B58" w:rsidRPr="00191F58" w:rsidP="007241C0" w14:paraId="2D4E83CB" w14:textId="60CB61E2">
      <w:pPr>
        <w:spacing w:after="120"/>
        <w:ind w:firstLine="720"/>
        <w:rPr>
          <w:szCs w:val="18"/>
        </w:rPr>
      </w:pPr>
      <w:r w:rsidRPr="00191F58">
        <w:rPr>
          <w:szCs w:val="18"/>
        </w:rPr>
        <w:t xml:space="preserve">For further information, please contact </w:t>
      </w:r>
      <w:r w:rsidRPr="00191F58" w:rsidR="00610A43">
        <w:rPr>
          <w:szCs w:val="18"/>
        </w:rPr>
        <w:t xml:space="preserve">Zachary Ross, Wireline Competition Bureau, (202) 418-1033 or </w:t>
      </w:r>
      <w:hyperlink r:id="rId5" w:history="1">
        <w:r w:rsidRPr="00500050" w:rsidR="00191F58">
          <w:rPr>
            <w:rStyle w:val="Hyperlink"/>
            <w:szCs w:val="18"/>
          </w:rPr>
          <w:t>zachary.ross@fcc.gov</w:t>
        </w:r>
      </w:hyperlink>
      <w:r w:rsidRPr="00191F58">
        <w:rPr>
          <w:szCs w:val="18"/>
        </w:rPr>
        <w:t>.</w:t>
      </w:r>
      <w:r w:rsidR="00191F58">
        <w:rPr>
          <w:szCs w:val="18"/>
        </w:rPr>
        <w:t xml:space="preserve"> </w:t>
      </w:r>
    </w:p>
    <w:p w:rsidR="00754B58" w:rsidRPr="00191F58" w:rsidP="00754B58" w14:paraId="3822C1B0" w14:textId="77777777">
      <w:pPr>
        <w:ind w:firstLine="720"/>
        <w:rPr>
          <w:szCs w:val="18"/>
        </w:rPr>
      </w:pPr>
    </w:p>
    <w:p w:rsidR="00754B58" w:rsidRPr="00191F58" w:rsidP="00754B58" w14:paraId="286D4698" w14:textId="77777777">
      <w:pPr>
        <w:ind w:firstLine="720"/>
        <w:rPr>
          <w:szCs w:val="18"/>
        </w:rPr>
      </w:pPr>
      <w:bookmarkStart w:id="2" w:name="_GoBack"/>
      <w:bookmarkEnd w:id="2"/>
    </w:p>
    <w:p w:rsidR="00930ECF" w:rsidRPr="00191F58" w:rsidP="00610A43" w14:paraId="0339FDE7" w14:textId="0A5C60F9">
      <w:pPr>
        <w:jc w:val="center"/>
        <w:rPr>
          <w:b/>
          <w:bCs/>
          <w:szCs w:val="18"/>
        </w:rPr>
      </w:pPr>
      <w:r>
        <w:rPr>
          <w:b/>
          <w:bCs/>
          <w:szCs w:val="18"/>
        </w:rPr>
        <w:t xml:space="preserve">- </w:t>
      </w:r>
      <w:r w:rsidRPr="00191F58" w:rsidR="00754B58">
        <w:rPr>
          <w:b/>
          <w:bCs/>
          <w:szCs w:val="18"/>
        </w:rPr>
        <w:t>FCC</w:t>
      </w:r>
      <w:r>
        <w:rPr>
          <w:b/>
          <w:bCs/>
          <w:szCs w:val="18"/>
        </w:rPr>
        <w:t xml:space="preserve"> </w:t>
      </w:r>
      <w:r w:rsidRPr="00191F58" w:rsidR="00754B58">
        <w:rPr>
          <w:b/>
          <w:bCs/>
          <w:szCs w:val="18"/>
        </w:rPr>
        <w:t>-</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95D9B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72EF7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B5E2F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6C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1E6C" w14:paraId="5A5E804A" w14:textId="77777777">
      <w:r>
        <w:separator/>
      </w:r>
    </w:p>
  </w:footnote>
  <w:footnote w:type="continuationSeparator" w:id="1">
    <w:p w:rsidR="004E1E6C" w14:paraId="3A862B5C" w14:textId="77777777">
      <w:pPr>
        <w:rPr>
          <w:sz w:val="20"/>
        </w:rPr>
      </w:pPr>
      <w:r>
        <w:rPr>
          <w:sz w:val="20"/>
        </w:rPr>
        <w:t xml:space="preserve">(Continued from previous page)  </w:t>
      </w:r>
      <w:r>
        <w:rPr>
          <w:sz w:val="20"/>
        </w:rPr>
        <w:separator/>
      </w:r>
    </w:p>
  </w:footnote>
  <w:footnote w:type="continuationNotice" w:id="2">
    <w:p w:rsidR="004E1E6C" w:rsidP="00910F12" w14:paraId="7EA24F49" w14:textId="77777777">
      <w:pPr>
        <w:jc w:val="right"/>
        <w:rPr>
          <w:sz w:val="20"/>
        </w:rPr>
      </w:pPr>
      <w:r>
        <w:rPr>
          <w:sz w:val="20"/>
        </w:rPr>
        <w:t>(continued….)</w:t>
      </w:r>
    </w:p>
  </w:footnote>
  <w:footnote w:id="3">
    <w:p w:rsidR="0091299A" w:rsidP="0091299A" w14:paraId="01B3791F" w14:textId="76348ACB">
      <w:pPr>
        <w:pStyle w:val="FootnoteText"/>
      </w:pPr>
      <w:r>
        <w:rPr>
          <w:rStyle w:val="FootnoteReference"/>
        </w:rPr>
        <w:footnoteRef/>
      </w:r>
      <w:r>
        <w:t xml:space="preserve"> Letter from </w:t>
      </w:r>
      <w:r w:rsidR="006F4E1B">
        <w:t>John L. Flynn</w:t>
      </w:r>
      <w:r>
        <w:t xml:space="preserve">, Counsel for Charter Communications, Inc., to Marlene H. Dortch, Secretary, FCC, WC Docket No. 16-197 (filed </w:t>
      </w:r>
      <w:r w:rsidR="006F4E1B">
        <w:t>Jan</w:t>
      </w:r>
      <w:r>
        <w:t xml:space="preserve">. </w:t>
      </w:r>
      <w:r w:rsidR="006F4E1B">
        <w:t>15</w:t>
      </w:r>
      <w:r>
        <w:t>, 202</w:t>
      </w:r>
      <w:r w:rsidR="006F4E1B">
        <w:t>1</w:t>
      </w:r>
      <w:r>
        <w:t>).</w:t>
      </w:r>
    </w:p>
  </w:footnote>
  <w:footnote w:id="4">
    <w:p w:rsidR="009835A2" w:rsidP="009835A2" w14:paraId="5AF08892" w14:textId="1CB64343">
      <w:pPr>
        <w:pStyle w:val="FootnoteText"/>
      </w:pPr>
      <w:r>
        <w:rPr>
          <w:rStyle w:val="FootnoteReference"/>
        </w:rPr>
        <w:footnoteRef/>
      </w:r>
      <w:r>
        <w:t xml:space="preserve"> </w:t>
      </w:r>
      <w:r w:rsidRPr="00CD428E">
        <w:t>Petition of Charter Communications, Inc., WC Docket No. 16-197, at 8-9</w:t>
      </w:r>
      <w:r>
        <w:t xml:space="preserve"> </w:t>
      </w:r>
      <w:r w:rsidRPr="00CD428E">
        <w:t>(filed June 18, 2020)</w:t>
      </w:r>
      <w:r>
        <w:t xml:space="preserve">.  </w:t>
      </w:r>
    </w:p>
  </w:footnote>
  <w:footnote w:id="5">
    <w:p w:rsidR="009835A2" w14:paraId="157C3771" w14:textId="0131FF58">
      <w:pPr>
        <w:pStyle w:val="FootnoteText"/>
      </w:pPr>
      <w:r>
        <w:rPr>
          <w:rStyle w:val="FootnoteReference"/>
        </w:rPr>
        <w:footnoteRef/>
      </w:r>
      <w:r>
        <w:t xml:space="preserve"> In August 2020, after Charter filed its petition, the United States Court of Appeals for the District of Columbia Circuit set aside this second condition related to interconnection. </w:t>
      </w:r>
      <w:r w:rsidRPr="003100DD">
        <w:rPr>
          <w:i/>
          <w:iCs/>
        </w:rPr>
        <w:t xml:space="preserve"> </w:t>
      </w:r>
      <w:r w:rsidRPr="00FE68E4">
        <w:rPr>
          <w:i/>
          <w:iCs/>
        </w:rPr>
        <w:t>Competitive Enterprise Institute, et al. v. Federal Communications Commission</w:t>
      </w:r>
      <w:r w:rsidRPr="009C135F">
        <w:t>, 970 F.3d 372</w:t>
      </w:r>
      <w:r>
        <w:t>, 388-89</w:t>
      </w:r>
      <w:r w:rsidRPr="009C135F">
        <w:t xml:space="preserve"> (D.C. Cir. 2020)</w:t>
      </w:r>
      <w:r>
        <w:t xml:space="preserve">.  As such, the Independent Compliance Officer, appointed to oversee Charter’s compliance with the conditions the Commission imposed in connection with the merger, subsequently concluded that her review no longer encompassed this interconnection condition, along with a second condition relating to Charter’s offering of a low income broadband program that the </w:t>
      </w:r>
      <w:r w:rsidR="00D86DCA">
        <w:t>court</w:t>
      </w:r>
      <w:r>
        <w:t xml:space="preserve"> also set aside.  </w:t>
      </w:r>
      <w:r w:rsidRPr="00201037">
        <w:rPr>
          <w:i/>
          <w:iCs/>
        </w:rPr>
        <w:t>See</w:t>
      </w:r>
      <w:r>
        <w:t xml:space="preserve"> Letter from Barbara S. Jones, Independent Compliance Officer, to </w:t>
      </w:r>
      <w:r w:rsidRPr="00754B58">
        <w:t>Marlene H. Dortch</w:t>
      </w:r>
      <w:r>
        <w:t>, Secretary, FCC (</w:t>
      </w:r>
      <w:r w:rsidR="00D86DCA">
        <w:t xml:space="preserve">filed </w:t>
      </w:r>
      <w:r>
        <w:t>Oct. 15, 2020).</w:t>
      </w:r>
    </w:p>
  </w:footnote>
  <w:footnote w:id="6">
    <w:p w:rsidR="00276BB0" w14:paraId="589C563E" w14:textId="38E197C7">
      <w:pPr>
        <w:pStyle w:val="FootnoteText"/>
      </w:pPr>
      <w:r>
        <w:rPr>
          <w:rStyle w:val="FootnoteReference"/>
        </w:rPr>
        <w:footnoteRef/>
      </w:r>
      <w:r>
        <w:t xml:space="preserve"> </w:t>
      </w:r>
      <w:r w:rsidR="00084A3D">
        <w:rPr>
          <w:i/>
          <w:iCs/>
        </w:rPr>
        <w:t xml:space="preserve">See </w:t>
      </w:r>
      <w:r w:rsidRPr="00E676BC" w:rsidR="00084A3D">
        <w:rPr>
          <w:i/>
          <w:iCs/>
        </w:rPr>
        <w:t>Applications of Charter Communications, Inc., Time Warner Cable, Inc., and Advance/Newhouse Partnership for Consent to Assign or Transfer Control of Licenses and Authorizations</w:t>
      </w:r>
      <w:r w:rsidRPr="00E676BC" w:rsidR="00084A3D">
        <w:t>, MB Docket No. 15-149, Memorandum Opinion and Order, 31 FCC Rcd 6327</w:t>
      </w:r>
      <w:r w:rsidR="00084A3D">
        <w:t xml:space="preserve">, 6553-57 </w:t>
      </w:r>
      <w:r w:rsidRPr="00E676BC" w:rsidR="00084A3D">
        <w:t>(2016)</w:t>
      </w:r>
      <w:r w:rsidR="00084A3D">
        <w:t xml:space="preserve">.  </w:t>
      </w:r>
    </w:p>
  </w:footnote>
  <w:footnote w:id="7">
    <w:p w:rsidR="0091299A" w14:paraId="41EA85CF" w14:textId="067E7419">
      <w:pPr>
        <w:pStyle w:val="FootnoteText"/>
      </w:pPr>
      <w:r>
        <w:rPr>
          <w:rStyle w:val="FootnoteReference"/>
        </w:rPr>
        <w:footnoteRef/>
      </w:r>
      <w:r>
        <w:t xml:space="preserve"> </w:t>
      </w:r>
      <w:r w:rsidRPr="00F40B5E" w:rsidR="00F40B5E">
        <w:rPr>
          <w:i/>
          <w:iCs/>
        </w:rPr>
        <w:t>Id.</w:t>
      </w:r>
      <w:r w:rsidRPr="00E676BC">
        <w:t xml:space="preserve"> </w:t>
      </w:r>
      <w:r w:rsidR="00084A3D">
        <w:t>at</w:t>
      </w:r>
      <w:r>
        <w:t xml:space="preserve"> 6558</w:t>
      </w:r>
      <w:r w:rsidR="00084A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8FCFB1"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81F818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BB91C2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35CAB4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0788A0C3" w14:textId="77777777">
                <w:pPr>
                  <w:rPr>
                    <w:rFonts w:ascii="Arial" w:hAnsi="Arial"/>
                    <w:b/>
                  </w:rPr>
                </w:pPr>
                <w:r>
                  <w:rPr>
                    <w:rFonts w:ascii="Arial" w:hAnsi="Arial"/>
                    <w:b/>
                  </w:rPr>
                  <w:t>Federal Communications Commission</w:t>
                </w:r>
              </w:p>
              <w:p w:rsidR="009838BC" w:rsidP="009838BC" w14:paraId="1F8C1F0D" w14:textId="07B8C504">
                <w:pPr>
                  <w:rPr>
                    <w:rFonts w:ascii="Arial" w:hAnsi="Arial"/>
                    <w:b/>
                  </w:rPr>
                </w:pPr>
                <w:r w:rsidRPr="00184BB4">
                  <w:rPr>
                    <w:rFonts w:ascii="Arial" w:hAnsi="Arial"/>
                    <w:b/>
                  </w:rPr>
                  <w:t>45 L Street NE</w:t>
                </w:r>
              </w:p>
              <w:p w:rsidR="009838BC" w:rsidP="009838BC" w14:paraId="5D9007C2" w14:textId="5F57880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523AA1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012.8pt,56.7pt" to="5480.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97A9F18" w14:textId="77777777">
                <w:pPr>
                  <w:spacing w:before="40"/>
                  <w:jc w:val="right"/>
                  <w:rPr>
                    <w:rFonts w:ascii="Arial" w:hAnsi="Arial"/>
                    <w:b/>
                    <w:sz w:val="16"/>
                  </w:rPr>
                </w:pPr>
                <w:r>
                  <w:rPr>
                    <w:rFonts w:ascii="Arial" w:hAnsi="Arial"/>
                    <w:b/>
                    <w:sz w:val="16"/>
                  </w:rPr>
                  <w:t>News Media Information 202 / 418-0500</w:t>
                </w:r>
              </w:p>
              <w:p w:rsidR="009838BC" w:rsidP="009838BC" w14:paraId="3036277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89518F0" w14:textId="77777777">
                <w:pPr>
                  <w:jc w:val="right"/>
                </w:pPr>
                <w:r>
                  <w:rPr>
                    <w:rFonts w:ascii="Arial" w:hAnsi="Arial"/>
                    <w:b/>
                    <w:sz w:val="16"/>
                  </w:rPr>
                  <w:t>TTY: 1-888-835-5322</w:t>
                </w:r>
              </w:p>
            </w:txbxContent>
          </v:textbox>
        </v:shape>
      </w:pict>
    </w:r>
  </w:p>
  <w:p w:rsidR="006F7393" w:rsidRPr="009838BC" w:rsidP="009838BC" w14:paraId="24422D3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DB"/>
    <w:rsid w:val="000072CE"/>
    <w:rsid w:val="00013A8B"/>
    <w:rsid w:val="00021445"/>
    <w:rsid w:val="00036039"/>
    <w:rsid w:val="00037F90"/>
    <w:rsid w:val="00084A3D"/>
    <w:rsid w:val="000875BF"/>
    <w:rsid w:val="00096D8C"/>
    <w:rsid w:val="000C0B65"/>
    <w:rsid w:val="000E3D42"/>
    <w:rsid w:val="000E5884"/>
    <w:rsid w:val="00122BD5"/>
    <w:rsid w:val="001608F5"/>
    <w:rsid w:val="00184BB4"/>
    <w:rsid w:val="00191F58"/>
    <w:rsid w:val="001979D9"/>
    <w:rsid w:val="001A64DB"/>
    <w:rsid w:val="001D6BCF"/>
    <w:rsid w:val="001E01CA"/>
    <w:rsid w:val="00201037"/>
    <w:rsid w:val="002060D9"/>
    <w:rsid w:val="00226822"/>
    <w:rsid w:val="00260594"/>
    <w:rsid w:val="00276BB0"/>
    <w:rsid w:val="00285017"/>
    <w:rsid w:val="002A2D2E"/>
    <w:rsid w:val="003100DD"/>
    <w:rsid w:val="00343749"/>
    <w:rsid w:val="00357D50"/>
    <w:rsid w:val="003925DC"/>
    <w:rsid w:val="003B0550"/>
    <w:rsid w:val="003B694F"/>
    <w:rsid w:val="003F171C"/>
    <w:rsid w:val="00412FC5"/>
    <w:rsid w:val="00422276"/>
    <w:rsid w:val="004242F1"/>
    <w:rsid w:val="00445A00"/>
    <w:rsid w:val="00451613"/>
    <w:rsid w:val="00451B0F"/>
    <w:rsid w:val="0046125F"/>
    <w:rsid w:val="00487524"/>
    <w:rsid w:val="00496106"/>
    <w:rsid w:val="004C12D0"/>
    <w:rsid w:val="004C2EE3"/>
    <w:rsid w:val="004E1E6C"/>
    <w:rsid w:val="004E4A22"/>
    <w:rsid w:val="00500050"/>
    <w:rsid w:val="00511968"/>
    <w:rsid w:val="00535EDE"/>
    <w:rsid w:val="0055614C"/>
    <w:rsid w:val="00597BE0"/>
    <w:rsid w:val="005B5AF4"/>
    <w:rsid w:val="00607BA5"/>
    <w:rsid w:val="00610A43"/>
    <w:rsid w:val="00626EB6"/>
    <w:rsid w:val="006353A3"/>
    <w:rsid w:val="00655D03"/>
    <w:rsid w:val="00683F84"/>
    <w:rsid w:val="006A6A81"/>
    <w:rsid w:val="006D24F3"/>
    <w:rsid w:val="006E26AF"/>
    <w:rsid w:val="006F4E1B"/>
    <w:rsid w:val="006F7393"/>
    <w:rsid w:val="0070224F"/>
    <w:rsid w:val="007115F7"/>
    <w:rsid w:val="007241C0"/>
    <w:rsid w:val="00754B58"/>
    <w:rsid w:val="00785689"/>
    <w:rsid w:val="0079754B"/>
    <w:rsid w:val="007A1E6D"/>
    <w:rsid w:val="00822CE0"/>
    <w:rsid w:val="008335B9"/>
    <w:rsid w:val="00837C62"/>
    <w:rsid w:val="00841AB1"/>
    <w:rsid w:val="00863DDB"/>
    <w:rsid w:val="008C22FD"/>
    <w:rsid w:val="008F7FDC"/>
    <w:rsid w:val="00910F12"/>
    <w:rsid w:val="0091299A"/>
    <w:rsid w:val="00926503"/>
    <w:rsid w:val="00930ECF"/>
    <w:rsid w:val="00943AEE"/>
    <w:rsid w:val="009835A2"/>
    <w:rsid w:val="009838BC"/>
    <w:rsid w:val="009C135F"/>
    <w:rsid w:val="00A16C4B"/>
    <w:rsid w:val="00A42CF9"/>
    <w:rsid w:val="00A45F4F"/>
    <w:rsid w:val="00A600A9"/>
    <w:rsid w:val="00A665BF"/>
    <w:rsid w:val="00A866AC"/>
    <w:rsid w:val="00AA55B7"/>
    <w:rsid w:val="00AA5B9E"/>
    <w:rsid w:val="00AB2407"/>
    <w:rsid w:val="00AB53DF"/>
    <w:rsid w:val="00B07E5C"/>
    <w:rsid w:val="00B20363"/>
    <w:rsid w:val="00B326E3"/>
    <w:rsid w:val="00B807BB"/>
    <w:rsid w:val="00B811F7"/>
    <w:rsid w:val="00BA5DC6"/>
    <w:rsid w:val="00BA6196"/>
    <w:rsid w:val="00BC6D8C"/>
    <w:rsid w:val="00BD3989"/>
    <w:rsid w:val="00BE2B84"/>
    <w:rsid w:val="00C16AF2"/>
    <w:rsid w:val="00C34006"/>
    <w:rsid w:val="00C426B1"/>
    <w:rsid w:val="00C82B6B"/>
    <w:rsid w:val="00C90D6A"/>
    <w:rsid w:val="00CC72B6"/>
    <w:rsid w:val="00CD428E"/>
    <w:rsid w:val="00CE25D5"/>
    <w:rsid w:val="00D0218D"/>
    <w:rsid w:val="00D216CD"/>
    <w:rsid w:val="00D86DCA"/>
    <w:rsid w:val="00DA2529"/>
    <w:rsid w:val="00DB130A"/>
    <w:rsid w:val="00DC086F"/>
    <w:rsid w:val="00DC10A1"/>
    <w:rsid w:val="00DC655F"/>
    <w:rsid w:val="00DD7EBD"/>
    <w:rsid w:val="00DF62B6"/>
    <w:rsid w:val="00E07225"/>
    <w:rsid w:val="00E155B7"/>
    <w:rsid w:val="00E5409F"/>
    <w:rsid w:val="00E676BC"/>
    <w:rsid w:val="00EC0185"/>
    <w:rsid w:val="00F021FA"/>
    <w:rsid w:val="00F40B5E"/>
    <w:rsid w:val="00F57ACA"/>
    <w:rsid w:val="00F62E97"/>
    <w:rsid w:val="00F64209"/>
    <w:rsid w:val="00F93BF5"/>
    <w:rsid w:val="00F96F63"/>
    <w:rsid w:val="00FE15AD"/>
    <w:rsid w:val="00FE68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05BFF53-55B3-40E4-98C8-24736FC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1C0"/>
    <w:pPr>
      <w:widowControl w:val="0"/>
    </w:pPr>
    <w:rPr>
      <w:snapToGrid w:val="0"/>
      <w:kern w:val="28"/>
      <w:sz w:val="22"/>
    </w:rPr>
  </w:style>
  <w:style w:type="paragraph" w:styleId="Heading1">
    <w:name w:val="heading 1"/>
    <w:basedOn w:val="Normal"/>
    <w:next w:val="ParaNum"/>
    <w:qFormat/>
    <w:rsid w:val="007241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41C0"/>
    <w:pPr>
      <w:keepNext/>
      <w:numPr>
        <w:ilvl w:val="1"/>
        <w:numId w:val="3"/>
      </w:numPr>
      <w:spacing w:after="120"/>
      <w:outlineLvl w:val="1"/>
    </w:pPr>
    <w:rPr>
      <w:b/>
    </w:rPr>
  </w:style>
  <w:style w:type="paragraph" w:styleId="Heading3">
    <w:name w:val="heading 3"/>
    <w:basedOn w:val="Normal"/>
    <w:next w:val="ParaNum"/>
    <w:qFormat/>
    <w:rsid w:val="007241C0"/>
    <w:pPr>
      <w:keepNext/>
      <w:numPr>
        <w:ilvl w:val="2"/>
        <w:numId w:val="3"/>
      </w:numPr>
      <w:tabs>
        <w:tab w:val="left" w:pos="2160"/>
      </w:tabs>
      <w:spacing w:after="120"/>
      <w:outlineLvl w:val="2"/>
    </w:pPr>
    <w:rPr>
      <w:b/>
    </w:rPr>
  </w:style>
  <w:style w:type="paragraph" w:styleId="Heading4">
    <w:name w:val="heading 4"/>
    <w:basedOn w:val="Normal"/>
    <w:next w:val="ParaNum"/>
    <w:qFormat/>
    <w:rsid w:val="007241C0"/>
    <w:pPr>
      <w:keepNext/>
      <w:numPr>
        <w:ilvl w:val="3"/>
        <w:numId w:val="3"/>
      </w:numPr>
      <w:tabs>
        <w:tab w:val="left" w:pos="2880"/>
      </w:tabs>
      <w:spacing w:after="120"/>
      <w:outlineLvl w:val="3"/>
    </w:pPr>
    <w:rPr>
      <w:b/>
    </w:rPr>
  </w:style>
  <w:style w:type="paragraph" w:styleId="Heading5">
    <w:name w:val="heading 5"/>
    <w:basedOn w:val="Normal"/>
    <w:next w:val="ParaNum"/>
    <w:qFormat/>
    <w:rsid w:val="007241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241C0"/>
    <w:pPr>
      <w:numPr>
        <w:ilvl w:val="5"/>
        <w:numId w:val="3"/>
      </w:numPr>
      <w:tabs>
        <w:tab w:val="left" w:pos="4320"/>
      </w:tabs>
      <w:spacing w:after="120"/>
      <w:outlineLvl w:val="5"/>
    </w:pPr>
    <w:rPr>
      <w:b/>
    </w:rPr>
  </w:style>
  <w:style w:type="paragraph" w:styleId="Heading7">
    <w:name w:val="heading 7"/>
    <w:basedOn w:val="Normal"/>
    <w:next w:val="ParaNum"/>
    <w:qFormat/>
    <w:rsid w:val="007241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241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241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241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41C0"/>
  </w:style>
  <w:style w:type="paragraph" w:customStyle="1" w:styleId="ParaNum">
    <w:name w:val="ParaNum"/>
    <w:basedOn w:val="Normal"/>
    <w:rsid w:val="007241C0"/>
    <w:pPr>
      <w:numPr>
        <w:numId w:val="2"/>
      </w:numPr>
      <w:tabs>
        <w:tab w:val="clear" w:pos="1080"/>
        <w:tab w:val="num" w:pos="1440"/>
      </w:tabs>
      <w:spacing w:after="120"/>
    </w:pPr>
  </w:style>
  <w:style w:type="paragraph" w:styleId="EndnoteText">
    <w:name w:val="endnote text"/>
    <w:basedOn w:val="Normal"/>
    <w:semiHidden/>
    <w:rsid w:val="007241C0"/>
    <w:rPr>
      <w:sz w:val="20"/>
    </w:rPr>
  </w:style>
  <w:style w:type="character" w:styleId="EndnoteReference">
    <w:name w:val="endnote reference"/>
    <w:semiHidden/>
    <w:rsid w:val="007241C0"/>
    <w:rPr>
      <w:vertAlign w:val="superscript"/>
    </w:rPr>
  </w:style>
  <w:style w:type="paragraph" w:styleId="FootnoteText">
    <w:name w:val="footnote text"/>
    <w:semiHidden/>
    <w:rsid w:val="007241C0"/>
    <w:pPr>
      <w:spacing w:after="120"/>
    </w:pPr>
  </w:style>
  <w:style w:type="character" w:styleId="FootnoteReference">
    <w:name w:val="footnote reference"/>
    <w:semiHidden/>
    <w:rsid w:val="007241C0"/>
    <w:rPr>
      <w:rFonts w:ascii="Times New Roman" w:hAnsi="Times New Roman"/>
      <w:dstrike w:val="0"/>
      <w:color w:val="auto"/>
      <w:sz w:val="22"/>
      <w:vertAlign w:val="superscript"/>
    </w:rPr>
  </w:style>
  <w:style w:type="paragraph" w:styleId="TOC1">
    <w:name w:val="toc 1"/>
    <w:basedOn w:val="Normal"/>
    <w:next w:val="Normal"/>
    <w:uiPriority w:val="39"/>
    <w:rsid w:val="007241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241C0"/>
    <w:pPr>
      <w:tabs>
        <w:tab w:val="left" w:pos="720"/>
        <w:tab w:val="right" w:leader="dot" w:pos="9360"/>
      </w:tabs>
      <w:suppressAutoHyphens/>
      <w:ind w:left="720" w:right="720" w:hanging="360"/>
    </w:pPr>
    <w:rPr>
      <w:noProof/>
    </w:rPr>
  </w:style>
  <w:style w:type="paragraph" w:styleId="TOC3">
    <w:name w:val="toc 3"/>
    <w:basedOn w:val="Normal"/>
    <w:next w:val="Normal"/>
    <w:semiHidden/>
    <w:rsid w:val="007241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41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41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41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41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41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41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241C0"/>
    <w:pPr>
      <w:tabs>
        <w:tab w:val="right" w:pos="9360"/>
      </w:tabs>
      <w:suppressAutoHyphens/>
    </w:pPr>
  </w:style>
  <w:style w:type="character" w:customStyle="1" w:styleId="EquationCaption">
    <w:name w:val="_Equation Caption"/>
    <w:rsid w:val="007241C0"/>
  </w:style>
  <w:style w:type="paragraph" w:styleId="Header">
    <w:name w:val="header"/>
    <w:basedOn w:val="Normal"/>
    <w:autoRedefine/>
    <w:rsid w:val="007241C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241C0"/>
    <w:pPr>
      <w:tabs>
        <w:tab w:val="center" w:pos="4320"/>
        <w:tab w:val="right" w:pos="8640"/>
      </w:tabs>
    </w:pPr>
  </w:style>
  <w:style w:type="character" w:styleId="PageNumber">
    <w:name w:val="page number"/>
    <w:basedOn w:val="DefaultParagraphFont"/>
    <w:rsid w:val="007241C0"/>
  </w:style>
  <w:style w:type="paragraph" w:styleId="BlockText">
    <w:name w:val="Block Text"/>
    <w:basedOn w:val="Normal"/>
    <w:rsid w:val="007241C0"/>
    <w:pPr>
      <w:spacing w:after="240"/>
      <w:ind w:left="1440" w:right="1440"/>
    </w:pPr>
  </w:style>
  <w:style w:type="paragraph" w:customStyle="1" w:styleId="Paratitle">
    <w:name w:val="Para title"/>
    <w:basedOn w:val="Normal"/>
    <w:rsid w:val="007241C0"/>
    <w:pPr>
      <w:tabs>
        <w:tab w:val="center" w:pos="9270"/>
      </w:tabs>
      <w:spacing w:after="240"/>
    </w:pPr>
    <w:rPr>
      <w:spacing w:val="-2"/>
    </w:rPr>
  </w:style>
  <w:style w:type="paragraph" w:customStyle="1" w:styleId="Bullet">
    <w:name w:val="Bullet"/>
    <w:basedOn w:val="Normal"/>
    <w:rsid w:val="007241C0"/>
    <w:pPr>
      <w:numPr>
        <w:numId w:val="1"/>
      </w:numPr>
      <w:tabs>
        <w:tab w:val="clear" w:pos="360"/>
        <w:tab w:val="left" w:pos="2160"/>
      </w:tabs>
      <w:spacing w:after="220"/>
      <w:ind w:left="2160" w:hanging="720"/>
    </w:pPr>
  </w:style>
  <w:style w:type="paragraph" w:customStyle="1" w:styleId="TableFormat">
    <w:name w:val="TableFormat"/>
    <w:basedOn w:val="Bullet"/>
    <w:rsid w:val="007241C0"/>
    <w:pPr>
      <w:numPr>
        <w:numId w:val="0"/>
      </w:numPr>
      <w:tabs>
        <w:tab w:val="clear" w:pos="2160"/>
        <w:tab w:val="left" w:pos="5040"/>
      </w:tabs>
      <w:ind w:left="5040" w:hanging="3600"/>
    </w:pPr>
  </w:style>
  <w:style w:type="paragraph" w:customStyle="1" w:styleId="TOCTitle">
    <w:name w:val="TOC Title"/>
    <w:basedOn w:val="Normal"/>
    <w:rsid w:val="007241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41C0"/>
    <w:pPr>
      <w:jc w:val="center"/>
    </w:pPr>
    <w:rPr>
      <w:rFonts w:ascii="Times New Roman Bold" w:hAnsi="Times New Roman Bold"/>
      <w:b/>
      <w:bCs/>
      <w:caps/>
      <w:szCs w:val="22"/>
    </w:rPr>
  </w:style>
  <w:style w:type="character" w:styleId="Hyperlink">
    <w:name w:val="Hyperlink"/>
    <w:rsid w:val="007241C0"/>
    <w:rPr>
      <w:color w:val="0000FF"/>
      <w:u w:val="single"/>
    </w:rPr>
  </w:style>
  <w:style w:type="character" w:customStyle="1" w:styleId="FooterChar">
    <w:name w:val="Footer Char"/>
    <w:link w:val="Footer"/>
    <w:uiPriority w:val="99"/>
    <w:rsid w:val="007241C0"/>
    <w:rPr>
      <w:snapToGrid w:val="0"/>
      <w:kern w:val="28"/>
      <w:sz w:val="22"/>
    </w:rPr>
  </w:style>
  <w:style w:type="character" w:styleId="CommentReference">
    <w:name w:val="annotation reference"/>
    <w:uiPriority w:val="99"/>
    <w:semiHidden/>
    <w:unhideWhenUsed/>
    <w:rsid w:val="00BD3989"/>
    <w:rPr>
      <w:sz w:val="16"/>
      <w:szCs w:val="16"/>
    </w:rPr>
  </w:style>
  <w:style w:type="paragraph" w:styleId="CommentText">
    <w:name w:val="annotation text"/>
    <w:basedOn w:val="Normal"/>
    <w:link w:val="CommentTextChar"/>
    <w:uiPriority w:val="99"/>
    <w:semiHidden/>
    <w:unhideWhenUsed/>
    <w:rsid w:val="00BD3989"/>
    <w:rPr>
      <w:sz w:val="20"/>
    </w:rPr>
  </w:style>
  <w:style w:type="character" w:customStyle="1" w:styleId="CommentTextChar">
    <w:name w:val="Comment Text Char"/>
    <w:link w:val="CommentText"/>
    <w:uiPriority w:val="99"/>
    <w:semiHidden/>
    <w:rsid w:val="00BD3989"/>
    <w:rPr>
      <w:snapToGrid w:val="0"/>
      <w:kern w:val="28"/>
    </w:rPr>
  </w:style>
  <w:style w:type="paragraph" w:styleId="CommentSubject">
    <w:name w:val="annotation subject"/>
    <w:basedOn w:val="CommentText"/>
    <w:next w:val="CommentText"/>
    <w:link w:val="CommentSubjectChar"/>
    <w:uiPriority w:val="99"/>
    <w:semiHidden/>
    <w:unhideWhenUsed/>
    <w:rsid w:val="00BD3989"/>
    <w:rPr>
      <w:b/>
      <w:bCs/>
    </w:rPr>
  </w:style>
  <w:style w:type="character" w:customStyle="1" w:styleId="CommentSubjectChar">
    <w:name w:val="Comment Subject Char"/>
    <w:link w:val="CommentSubject"/>
    <w:uiPriority w:val="99"/>
    <w:semiHidden/>
    <w:rsid w:val="00BD3989"/>
    <w:rPr>
      <w:b/>
      <w:bCs/>
      <w:snapToGrid w:val="0"/>
      <w:kern w:val="28"/>
    </w:rPr>
  </w:style>
  <w:style w:type="paragraph" w:styleId="BalloonText">
    <w:name w:val="Balloon Text"/>
    <w:basedOn w:val="Normal"/>
    <w:link w:val="BalloonTextChar"/>
    <w:uiPriority w:val="99"/>
    <w:semiHidden/>
    <w:unhideWhenUsed/>
    <w:rsid w:val="00BD3989"/>
    <w:rPr>
      <w:rFonts w:ascii="Segoe UI" w:hAnsi="Segoe UI" w:cs="Segoe UI"/>
      <w:sz w:val="18"/>
      <w:szCs w:val="18"/>
    </w:rPr>
  </w:style>
  <w:style w:type="character" w:customStyle="1" w:styleId="BalloonTextChar">
    <w:name w:val="Balloon Text Char"/>
    <w:link w:val="BalloonText"/>
    <w:uiPriority w:val="99"/>
    <w:semiHidden/>
    <w:rsid w:val="00BD398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19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zachary.ros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