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05E24" w:rsidRPr="00627465" w:rsidP="00B05E24" w14:paraId="022BFF1A" w14:textId="31335BC7">
      <w:pPr>
        <w:jc w:val="right"/>
        <w:rPr>
          <w:b/>
          <w:bCs/>
          <w:szCs w:val="22"/>
        </w:rPr>
      </w:pPr>
      <w:r w:rsidRPr="00574258">
        <w:rPr>
          <w:szCs w:val="22"/>
        </w:rPr>
        <w:t>DA 2</w:t>
      </w:r>
      <w:r>
        <w:rPr>
          <w:szCs w:val="22"/>
        </w:rPr>
        <w:t>1</w:t>
      </w:r>
      <w:r w:rsidRPr="00574258">
        <w:rPr>
          <w:szCs w:val="22"/>
        </w:rPr>
        <w:t>-</w:t>
      </w:r>
      <w:r w:rsidR="00C070E1">
        <w:rPr>
          <w:szCs w:val="22"/>
        </w:rPr>
        <w:t>783</w:t>
      </w:r>
    </w:p>
    <w:p w:rsidR="00B05E24" w:rsidP="00B05E24" w14:paraId="6CE632DA" w14:textId="77777777">
      <w:pPr>
        <w:spacing w:before="60"/>
        <w:jc w:val="right"/>
        <w:rPr>
          <w:sz w:val="24"/>
        </w:rPr>
      </w:pPr>
      <w:r w:rsidRPr="00574258">
        <w:rPr>
          <w:szCs w:val="22"/>
        </w:rPr>
        <w:t xml:space="preserve">Released:  </w:t>
      </w:r>
      <w:r>
        <w:rPr>
          <w:szCs w:val="22"/>
        </w:rPr>
        <w:t>July 1</w:t>
      </w:r>
      <w:r w:rsidRPr="00574258">
        <w:rPr>
          <w:szCs w:val="22"/>
        </w:rPr>
        <w:t>, 202</w:t>
      </w:r>
      <w:r>
        <w:rPr>
          <w:szCs w:val="22"/>
        </w:rPr>
        <w:t>1</w:t>
      </w:r>
    </w:p>
    <w:p w:rsidR="00B05E24" w:rsidP="00B05E24" w14:paraId="5639CE0E" w14:textId="77777777">
      <w:pPr>
        <w:jc w:val="right"/>
        <w:rPr>
          <w:sz w:val="24"/>
        </w:rPr>
      </w:pPr>
    </w:p>
    <w:p w:rsidR="00B05E24" w:rsidP="00B05E24" w14:paraId="02A2DF68" w14:textId="77777777">
      <w:pPr>
        <w:spacing w:after="240"/>
        <w:ind w:left="720" w:right="720"/>
        <w:jc w:val="center"/>
        <w:rPr>
          <w:rFonts w:eastAsia="Calibri"/>
          <w:b/>
          <w:caps/>
          <w:szCs w:val="22"/>
        </w:rPr>
      </w:pPr>
      <w:r w:rsidRPr="00574258">
        <w:rPr>
          <w:rFonts w:eastAsia="Calibri"/>
          <w:b/>
          <w:caps/>
          <w:szCs w:val="22"/>
        </w:rPr>
        <w:t xml:space="preserve">Media Bureau announces </w:t>
      </w:r>
      <w:r>
        <w:rPr>
          <w:rFonts w:eastAsia="Calibri"/>
          <w:b/>
          <w:caps/>
          <w:szCs w:val="22"/>
        </w:rPr>
        <w:t xml:space="preserve">june 30, 2021 </w:t>
      </w:r>
      <w:r w:rsidRPr="00574258">
        <w:rPr>
          <w:rFonts w:eastAsia="Calibri"/>
          <w:b/>
          <w:caps/>
          <w:szCs w:val="22"/>
        </w:rPr>
        <w:t xml:space="preserve">EFFECTIVE DATE OF </w:t>
      </w:r>
      <w:r>
        <w:rPr>
          <w:rFonts w:eastAsia="Calibri"/>
          <w:b/>
          <w:caps/>
          <w:szCs w:val="22"/>
        </w:rPr>
        <w:t>Reinstated Media ownership rules</w:t>
      </w:r>
    </w:p>
    <w:p w:rsidR="00B05E24" w:rsidP="00B05E24" w14:paraId="3D6156F9" w14:textId="77777777">
      <w:pPr>
        <w:spacing w:after="240"/>
        <w:ind w:left="720" w:right="720"/>
        <w:jc w:val="center"/>
        <w:rPr>
          <w:rFonts w:eastAsia="Calibri"/>
          <w:b/>
          <w:caps/>
          <w:szCs w:val="22"/>
        </w:rPr>
      </w:pPr>
      <w:r>
        <w:rPr>
          <w:rFonts w:eastAsia="Calibri"/>
          <w:b/>
          <w:caps/>
          <w:szCs w:val="22"/>
        </w:rPr>
        <w:t>(MB D</w:t>
      </w:r>
      <w:r>
        <w:rPr>
          <w:rFonts w:eastAsia="Calibri"/>
          <w:b/>
          <w:szCs w:val="22"/>
        </w:rPr>
        <w:t>ocket</w:t>
      </w:r>
      <w:r>
        <w:rPr>
          <w:rFonts w:eastAsia="Calibri"/>
          <w:b/>
          <w:caps/>
          <w:szCs w:val="22"/>
        </w:rPr>
        <w:t xml:space="preserve"> n</w:t>
      </w:r>
      <w:r>
        <w:rPr>
          <w:rFonts w:eastAsia="Calibri"/>
          <w:b/>
          <w:szCs w:val="22"/>
        </w:rPr>
        <w:t>os</w:t>
      </w:r>
      <w:r>
        <w:rPr>
          <w:rFonts w:eastAsia="Calibri"/>
          <w:b/>
          <w:caps/>
          <w:szCs w:val="22"/>
        </w:rPr>
        <w:t xml:space="preserve">. 14-50, </w:t>
      </w:r>
      <w:r w:rsidRPr="00F339B4">
        <w:rPr>
          <w:b/>
          <w:bCs/>
          <w:spacing w:val="-2"/>
        </w:rPr>
        <w:t>09-182, 07-294, 04-256, 17-289</w:t>
      </w:r>
      <w:r>
        <w:rPr>
          <w:b/>
          <w:bCs/>
          <w:spacing w:val="-2"/>
        </w:rPr>
        <w:t>)</w:t>
      </w:r>
    </w:p>
    <w:p w:rsidR="00B05E24" w:rsidP="00B05E24" w14:paraId="5A525F28" w14:textId="77777777">
      <w:pPr>
        <w:ind w:left="720" w:right="720"/>
        <w:jc w:val="center"/>
        <w:rPr>
          <w:rFonts w:eastAsia="Calibri"/>
          <w:b/>
          <w:caps/>
          <w:szCs w:val="22"/>
        </w:rPr>
      </w:pPr>
      <w:r>
        <w:rPr>
          <w:rFonts w:eastAsia="Calibri"/>
          <w:b/>
          <w:caps/>
          <w:szCs w:val="22"/>
        </w:rPr>
        <w:t>and comment and reply comment deadlines</w:t>
      </w:r>
    </w:p>
    <w:p w:rsidR="00B05E24" w:rsidP="00B05E24" w14:paraId="25196410" w14:textId="77777777">
      <w:pPr>
        <w:ind w:left="720" w:right="720"/>
        <w:jc w:val="center"/>
        <w:rPr>
          <w:rFonts w:eastAsia="Calibri"/>
          <w:b/>
          <w:caps/>
          <w:szCs w:val="22"/>
        </w:rPr>
      </w:pPr>
      <w:r>
        <w:rPr>
          <w:rFonts w:eastAsia="Calibri"/>
          <w:b/>
          <w:caps/>
          <w:szCs w:val="22"/>
        </w:rPr>
        <w:t xml:space="preserve"> to update the record in the 2018 quadrennial review</w:t>
      </w:r>
    </w:p>
    <w:p w:rsidR="00B05E24" w:rsidRPr="00574258" w:rsidP="00B05E24" w14:paraId="5A208E2E" w14:textId="77777777">
      <w:pPr>
        <w:ind w:left="720" w:right="720"/>
        <w:jc w:val="center"/>
        <w:rPr>
          <w:rFonts w:eastAsia="Calibri"/>
          <w:b/>
          <w:caps/>
          <w:szCs w:val="22"/>
        </w:rPr>
      </w:pPr>
      <w:r>
        <w:rPr>
          <w:rFonts w:eastAsia="Calibri"/>
          <w:b/>
          <w:caps/>
          <w:szCs w:val="22"/>
        </w:rPr>
        <w:t xml:space="preserve"> </w:t>
      </w:r>
    </w:p>
    <w:p w:rsidR="00B05E24" w:rsidRPr="006775AE" w:rsidP="00B05E24" w14:paraId="2DFB68C8" w14:textId="77777777">
      <w:pPr>
        <w:spacing w:after="240"/>
        <w:jc w:val="center"/>
        <w:rPr>
          <w:b/>
          <w:szCs w:val="22"/>
        </w:rPr>
      </w:pPr>
      <w:r>
        <w:rPr>
          <w:b/>
          <w:szCs w:val="22"/>
        </w:rPr>
        <w:t>(</w:t>
      </w:r>
      <w:r w:rsidRPr="006775AE">
        <w:rPr>
          <w:b/>
          <w:szCs w:val="22"/>
        </w:rPr>
        <w:t xml:space="preserve">MB Docket No. </w:t>
      </w:r>
      <w:r>
        <w:rPr>
          <w:b/>
          <w:szCs w:val="22"/>
        </w:rPr>
        <w:t>18</w:t>
      </w:r>
      <w:r w:rsidRPr="006775AE">
        <w:rPr>
          <w:b/>
          <w:szCs w:val="22"/>
        </w:rPr>
        <w:t>-</w:t>
      </w:r>
      <w:r>
        <w:rPr>
          <w:b/>
          <w:szCs w:val="22"/>
        </w:rPr>
        <w:t>349)</w:t>
      </w:r>
    </w:p>
    <w:p w:rsidR="00B05E24" w:rsidRPr="00B05E24" w:rsidP="00241664" w14:paraId="7BB65B8C" w14:textId="77777777">
      <w:pPr>
        <w:spacing w:after="240"/>
        <w:ind w:firstLine="720"/>
        <w:contextualSpacing/>
        <w:rPr>
          <w:szCs w:val="22"/>
        </w:rPr>
      </w:pPr>
      <w:r w:rsidRPr="00B05E24">
        <w:rPr>
          <w:szCs w:val="22"/>
        </w:rPr>
        <w:t>On June 4, 2021, the Media Bureau released an Order,</w:t>
      </w:r>
      <w:r>
        <w:rPr>
          <w:szCs w:val="22"/>
          <w:vertAlign w:val="superscript"/>
        </w:rPr>
        <w:footnoteReference w:id="2"/>
      </w:r>
      <w:r w:rsidRPr="00B05E24">
        <w:rPr>
          <w:szCs w:val="22"/>
        </w:rPr>
        <w:t xml:space="preserve"> consistent with the U.S. Supreme Court's decision in </w:t>
      </w:r>
      <w:r w:rsidRPr="00B05E24">
        <w:rPr>
          <w:i/>
          <w:iCs/>
          <w:szCs w:val="22"/>
        </w:rPr>
        <w:t>FCC v. Prometheus Radio Project</w:t>
      </w:r>
      <w:r w:rsidRPr="00B05E24">
        <w:rPr>
          <w:szCs w:val="22"/>
        </w:rPr>
        <w:t>,</w:t>
      </w:r>
      <w:r>
        <w:rPr>
          <w:szCs w:val="22"/>
          <w:vertAlign w:val="superscript"/>
        </w:rPr>
        <w:footnoteReference w:id="3"/>
      </w:r>
      <w:r w:rsidRPr="00B05E24">
        <w:rPr>
          <w:szCs w:val="22"/>
        </w:rPr>
        <w:t xml:space="preserve"> reinstating the rule changes previously adopted by the Commission in its media ownership proceedings but then vacated and remanded by the U.S. Third Circuit Court of Appeals in 2019.</w:t>
      </w:r>
      <w:r>
        <w:rPr>
          <w:szCs w:val="22"/>
          <w:vertAlign w:val="superscript"/>
        </w:rPr>
        <w:footnoteReference w:id="4"/>
      </w:r>
      <w:r w:rsidRPr="00B05E24">
        <w:rPr>
          <w:szCs w:val="22"/>
        </w:rPr>
        <w:t xml:space="preserve">  As such, the Newspaper/Broadcast Cross-Ownership Rule, the Radio/Television Cross-Ownership Rule, and the Television Joint Sales Agreement Attribution Rule were eliminated, and the Local Television Ownership Rule and Local Radio Ownership Rule were reinstated as adopted in the Commission's 2017 </w:t>
      </w:r>
      <w:r w:rsidRPr="00B05E24">
        <w:rPr>
          <w:i/>
          <w:iCs/>
          <w:szCs w:val="22"/>
        </w:rPr>
        <w:t>Order on Reconsideration</w:t>
      </w:r>
      <w:r w:rsidRPr="00B05E24">
        <w:rPr>
          <w:szCs w:val="22"/>
        </w:rPr>
        <w:t>.</w:t>
      </w:r>
      <w:r>
        <w:rPr>
          <w:szCs w:val="22"/>
          <w:vertAlign w:val="superscript"/>
        </w:rPr>
        <w:footnoteReference w:id="5"/>
      </w:r>
      <w:r w:rsidRPr="00B05E24">
        <w:rPr>
          <w:szCs w:val="22"/>
        </w:rPr>
        <w:t xml:space="preserve">  In addition, the eligible entity standard and its application to regulatory measures as set forth in the Commission's 2016 </w:t>
      </w:r>
      <w:r w:rsidRPr="00B05E24">
        <w:rPr>
          <w:i/>
          <w:iCs/>
          <w:szCs w:val="22"/>
        </w:rPr>
        <w:t>Second Report and Order</w:t>
      </w:r>
      <w:r w:rsidRPr="00B05E24">
        <w:rPr>
          <w:szCs w:val="22"/>
        </w:rPr>
        <w:t xml:space="preserve"> were reinstated.</w:t>
      </w:r>
      <w:r>
        <w:rPr>
          <w:szCs w:val="22"/>
          <w:vertAlign w:val="superscript"/>
        </w:rPr>
        <w:footnoteReference w:id="6"/>
      </w:r>
      <w:r w:rsidRPr="00B05E24">
        <w:rPr>
          <w:szCs w:val="22"/>
        </w:rPr>
        <w:t xml:space="preserve">  Finally, the regulatory measures adopted in the Commission's 2018 </w:t>
      </w:r>
      <w:r w:rsidRPr="00B05E24">
        <w:rPr>
          <w:i/>
          <w:iCs/>
          <w:szCs w:val="22"/>
        </w:rPr>
        <w:t>Incubator Order</w:t>
      </w:r>
      <w:r w:rsidRPr="00B05E24">
        <w:rPr>
          <w:szCs w:val="22"/>
        </w:rPr>
        <w:t xml:space="preserve"> were reinstated.</w:t>
      </w:r>
      <w:r>
        <w:rPr>
          <w:szCs w:val="22"/>
          <w:vertAlign w:val="superscript"/>
        </w:rPr>
        <w:footnoteReference w:id="7"/>
      </w:r>
      <w:r w:rsidRPr="00B05E24">
        <w:rPr>
          <w:szCs w:val="22"/>
        </w:rPr>
        <w:t xml:space="preserve">    </w:t>
      </w:r>
    </w:p>
    <w:p w:rsidR="00B05E24" w:rsidRPr="00B05E24" w:rsidP="00B05E24" w14:paraId="1DE2FF46" w14:textId="77777777">
      <w:pPr>
        <w:spacing w:after="240"/>
        <w:contextualSpacing/>
        <w:rPr>
          <w:szCs w:val="22"/>
        </w:rPr>
      </w:pPr>
    </w:p>
    <w:p w:rsidR="00B05E24" w:rsidRPr="00B05E24" w:rsidP="00241664" w14:paraId="2867EC2F" w14:textId="77777777">
      <w:pPr>
        <w:spacing w:after="240"/>
        <w:ind w:firstLine="720"/>
        <w:contextualSpacing/>
        <w:rPr>
          <w:szCs w:val="22"/>
        </w:rPr>
      </w:pPr>
      <w:r w:rsidRPr="00B05E24">
        <w:rPr>
          <w:szCs w:val="22"/>
        </w:rPr>
        <w:t xml:space="preserve">By this </w:t>
      </w:r>
      <w:r w:rsidRPr="00B05E24">
        <w:rPr>
          <w:i/>
          <w:szCs w:val="22"/>
        </w:rPr>
        <w:t>Public Notice</w:t>
      </w:r>
      <w:r w:rsidRPr="00B05E24">
        <w:rPr>
          <w:szCs w:val="22"/>
        </w:rPr>
        <w:t xml:space="preserve">, the Media Bureau announces that summary of the Order was published in the </w:t>
      </w:r>
      <w:r w:rsidRPr="00B05E24">
        <w:rPr>
          <w:i/>
          <w:iCs/>
          <w:szCs w:val="22"/>
        </w:rPr>
        <w:t>Federal Register</w:t>
      </w:r>
      <w:r w:rsidRPr="00B05E24">
        <w:rPr>
          <w:szCs w:val="22"/>
        </w:rPr>
        <w:t xml:space="preserve"> and the effective date for modified section 73.3555 is </w:t>
      </w:r>
      <w:r w:rsidRPr="00B05E24">
        <w:rPr>
          <w:b/>
          <w:bCs/>
          <w:szCs w:val="22"/>
        </w:rPr>
        <w:t>June 30, 2021</w:t>
      </w:r>
      <w:r w:rsidRPr="00B05E24">
        <w:rPr>
          <w:szCs w:val="22"/>
        </w:rPr>
        <w:t>.</w:t>
      </w:r>
      <w:r>
        <w:rPr>
          <w:szCs w:val="22"/>
          <w:vertAlign w:val="superscript"/>
        </w:rPr>
        <w:footnoteReference w:id="8"/>
      </w:r>
    </w:p>
    <w:p w:rsidR="00B05E24" w:rsidRPr="00B05E24" w:rsidP="00B05E24" w14:paraId="35DC930D" w14:textId="77777777">
      <w:pPr>
        <w:spacing w:after="240"/>
        <w:contextualSpacing/>
        <w:rPr>
          <w:szCs w:val="22"/>
        </w:rPr>
      </w:pPr>
    </w:p>
    <w:p w:rsidR="00B05E24" w:rsidRPr="00B05E24" w:rsidP="00241664" w14:paraId="6A023A9A" w14:textId="77777777">
      <w:pPr>
        <w:spacing w:after="240"/>
        <w:ind w:firstLine="720"/>
        <w:contextualSpacing/>
        <w:rPr>
          <w:szCs w:val="22"/>
        </w:rPr>
      </w:pPr>
      <w:r w:rsidRPr="00B05E24">
        <w:rPr>
          <w:szCs w:val="22"/>
        </w:rPr>
        <w:t>In addition, on June 4, 2021, the Media Bureau also released a Public Notice</w:t>
      </w:r>
      <w:r>
        <w:rPr>
          <w:szCs w:val="22"/>
          <w:vertAlign w:val="superscript"/>
        </w:rPr>
        <w:footnoteReference w:id="9"/>
      </w:r>
      <w:r w:rsidRPr="00B05E24">
        <w:rPr>
          <w:szCs w:val="22"/>
        </w:rPr>
        <w:t xml:space="preserve"> (Comment Public Notice) </w:t>
      </w:r>
      <w:r w:rsidRPr="00B05E24">
        <w:rPr>
          <w:bCs/>
          <w:szCs w:val="22"/>
        </w:rPr>
        <w:t xml:space="preserve">seeking to update the record in the 2018 Quadrennial Review proceeding, in which the Commission has sought comment, pursuant to its obligation under Section 202(h) of the Telecommunications Act of 1996, on </w:t>
      </w:r>
      <w:r w:rsidRPr="00B05E24">
        <w:rPr>
          <w:szCs w:val="22"/>
        </w:rPr>
        <w:t>whether its media ownership rules remain “necessary in the public interest as the result of competition.”</w:t>
      </w:r>
      <w:r>
        <w:rPr>
          <w:szCs w:val="22"/>
          <w:vertAlign w:val="superscript"/>
        </w:rPr>
        <w:footnoteReference w:id="10"/>
      </w:r>
      <w:r w:rsidRPr="00B05E24">
        <w:rPr>
          <w:szCs w:val="22"/>
        </w:rPr>
        <w:t xml:space="preserve">  The Media Bureau opened a new comment window to encourage the submission of new or additional information to update the 2018 quadrennial record, given the passage of time since the prior comment period ended, as well as the subsequent litigation culminating with the Supreme Court’s decision in </w:t>
      </w:r>
      <w:r w:rsidRPr="00B05E24">
        <w:rPr>
          <w:i/>
          <w:iCs/>
          <w:szCs w:val="22"/>
        </w:rPr>
        <w:t>FCC v. Prometheus Radio Project</w:t>
      </w:r>
      <w:r w:rsidRPr="00B05E24">
        <w:rPr>
          <w:szCs w:val="22"/>
        </w:rPr>
        <w:t>.</w:t>
      </w:r>
    </w:p>
    <w:p w:rsidR="00B05E24" w:rsidRPr="00B05E24" w:rsidP="00B05E24" w14:paraId="728F20D3" w14:textId="77777777">
      <w:pPr>
        <w:spacing w:after="240"/>
        <w:contextualSpacing/>
        <w:rPr>
          <w:szCs w:val="22"/>
        </w:rPr>
      </w:pPr>
    </w:p>
    <w:p w:rsidR="00B05E24" w:rsidRPr="00B05E24" w:rsidP="00241664" w14:paraId="77EB3AA8" w14:textId="77777777">
      <w:pPr>
        <w:spacing w:after="240"/>
        <w:ind w:firstLine="720"/>
        <w:contextualSpacing/>
        <w:rPr>
          <w:szCs w:val="22"/>
        </w:rPr>
      </w:pPr>
      <w:r w:rsidRPr="00B05E24">
        <w:rPr>
          <w:szCs w:val="22"/>
        </w:rPr>
        <w:t xml:space="preserve">By this </w:t>
      </w:r>
      <w:r w:rsidRPr="00B05E24">
        <w:rPr>
          <w:i/>
          <w:szCs w:val="22"/>
        </w:rPr>
        <w:t>Public Notice</w:t>
      </w:r>
      <w:r w:rsidRPr="00B05E24">
        <w:rPr>
          <w:szCs w:val="22"/>
        </w:rPr>
        <w:t xml:space="preserve">, the Media Bureau announces that summary of the Comment Public Notice, including notice of the deadlines for filing comments and reply comments to update the 2018 quadrennial record, was published in the </w:t>
      </w:r>
      <w:r w:rsidRPr="00B05E24">
        <w:rPr>
          <w:i/>
          <w:iCs/>
          <w:szCs w:val="22"/>
        </w:rPr>
        <w:t>Federal Register</w:t>
      </w:r>
      <w:r w:rsidRPr="00B05E24">
        <w:rPr>
          <w:szCs w:val="22"/>
        </w:rPr>
        <w:t xml:space="preserve"> on July 1, 2021.</w:t>
      </w:r>
      <w:r>
        <w:rPr>
          <w:szCs w:val="22"/>
          <w:vertAlign w:val="superscript"/>
        </w:rPr>
        <w:footnoteReference w:id="11"/>
      </w:r>
      <w:r w:rsidRPr="00B05E24">
        <w:rPr>
          <w:szCs w:val="22"/>
        </w:rPr>
        <w:t xml:space="preserve">  Accordingly, the deadline for filing comments is </w:t>
      </w:r>
      <w:r w:rsidRPr="00B05E24">
        <w:rPr>
          <w:b/>
          <w:bCs/>
          <w:szCs w:val="22"/>
        </w:rPr>
        <w:t>August 2, 2021</w:t>
      </w:r>
      <w:r w:rsidRPr="00B05E24">
        <w:rPr>
          <w:szCs w:val="22"/>
        </w:rPr>
        <w:t xml:space="preserve">, and the deadline for filing reply comments is </w:t>
      </w:r>
      <w:r w:rsidRPr="00B05E24">
        <w:rPr>
          <w:b/>
          <w:bCs/>
          <w:szCs w:val="22"/>
        </w:rPr>
        <w:t>August 30, 2021</w:t>
      </w:r>
      <w:r w:rsidRPr="00B05E24">
        <w:rPr>
          <w:szCs w:val="22"/>
        </w:rPr>
        <w:t xml:space="preserve">. </w:t>
      </w:r>
    </w:p>
    <w:p w:rsidR="00B05E24" w:rsidRPr="00B05E24" w:rsidP="00B05E24" w14:paraId="1636308D" w14:textId="77777777">
      <w:pPr>
        <w:spacing w:after="240"/>
        <w:contextualSpacing/>
        <w:rPr>
          <w:szCs w:val="22"/>
        </w:rPr>
      </w:pPr>
    </w:p>
    <w:p w:rsidR="00B05E24" w:rsidP="00241664" w14:paraId="37F14BE4" w14:textId="5C0BF372">
      <w:pPr>
        <w:spacing w:after="240"/>
        <w:ind w:firstLine="720"/>
        <w:contextualSpacing/>
        <w:rPr>
          <w:szCs w:val="22"/>
        </w:rPr>
      </w:pPr>
      <w:r w:rsidRPr="00B05E24">
        <w:rPr>
          <w:szCs w:val="22"/>
        </w:rPr>
        <w:t xml:space="preserve">For additional information on these proceedings, contact Ty Bream, </w:t>
      </w:r>
      <w:hyperlink r:id="rId5" w:history="1">
        <w:r w:rsidRPr="00B05E24">
          <w:rPr>
            <w:rStyle w:val="Hyperlink"/>
            <w:szCs w:val="22"/>
          </w:rPr>
          <w:t>Ty.Bream@fcc.gov</w:t>
        </w:r>
      </w:hyperlink>
      <w:r w:rsidRPr="00B05E24">
        <w:rPr>
          <w:szCs w:val="22"/>
        </w:rPr>
        <w:t xml:space="preserve">, of the Media Bureau, Industry Analysis Division.  Press inquiries should be directed to </w:t>
      </w:r>
      <w:bookmarkStart w:id="0" w:name="SR;1105"/>
      <w:bookmarkEnd w:id="0"/>
      <w:r w:rsidRPr="00B05E24">
        <w:rPr>
          <w:szCs w:val="22"/>
        </w:rPr>
        <w:t xml:space="preserve">Janice Wise, </w:t>
      </w:r>
      <w:hyperlink r:id="rId6" w:history="1">
        <w:r w:rsidRPr="00B05E24">
          <w:rPr>
            <w:rStyle w:val="Hyperlink"/>
            <w:szCs w:val="22"/>
          </w:rPr>
          <w:t>Janice.Wise@fcc.gov</w:t>
        </w:r>
      </w:hyperlink>
      <w:r w:rsidRPr="00B05E24">
        <w:rPr>
          <w:szCs w:val="22"/>
        </w:rPr>
        <w:t xml:space="preserve">, (202) 418-8165. </w:t>
      </w:r>
    </w:p>
    <w:p w:rsidR="00241664" w:rsidRPr="00B05E24" w:rsidP="00B05E24" w14:paraId="51873C9F" w14:textId="77777777">
      <w:pPr>
        <w:spacing w:after="240"/>
        <w:contextualSpacing/>
        <w:rPr>
          <w:szCs w:val="22"/>
        </w:rPr>
      </w:pPr>
    </w:p>
    <w:p w:rsidR="00B05E24" w:rsidRPr="00B05E24" w:rsidP="00241664" w14:paraId="3EF94C49" w14:textId="77777777">
      <w:pPr>
        <w:spacing w:after="240"/>
        <w:contextualSpacing/>
        <w:jc w:val="center"/>
        <w:rPr>
          <w:szCs w:val="22"/>
        </w:rPr>
      </w:pPr>
      <w:r w:rsidRPr="00B05E24">
        <w:rPr>
          <w:szCs w:val="22"/>
        </w:rPr>
        <w:t>--FCC--</w:t>
      </w:r>
    </w:p>
    <w:p w:rsidR="003A1088" w:rsidRPr="001B6A3E" w:rsidP="00B05E24" w14:paraId="3446E90F" w14:textId="7A0B6A8F">
      <w:pPr>
        <w:spacing w:after="240"/>
        <w:contextualSpacing/>
        <w:rPr>
          <w:szCs w:val="22"/>
        </w:rPr>
      </w:pPr>
    </w:p>
    <w:sectPr w:rsidSect="0031518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63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C80" w:rsidP="0055614C" w14:paraId="3CFFF3C0" w14:textId="77777777">
    <w:pPr>
      <w:pStyle w:val="Footer"/>
      <w:framePr w:wrap="around" w:vAnchor="text" w:hAnchor="margin" w:xAlign="center" w:y="1"/>
    </w:pPr>
    <w:r>
      <w:fldChar w:fldCharType="begin"/>
    </w:r>
    <w:r>
      <w:instrText xml:space="preserve">PAGE  </w:instrText>
    </w:r>
    <w:r>
      <w:fldChar w:fldCharType="separate"/>
    </w:r>
    <w:r>
      <w:fldChar w:fldCharType="end"/>
    </w:r>
  </w:p>
  <w:p w:rsidR="00344C80" w14:paraId="4236D1E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C80" w:rsidP="00910F12" w14:paraId="74EBEA9B" w14:textId="77777777">
    <w:pPr>
      <w:pStyle w:val="Footer"/>
      <w:jc w:val="center"/>
    </w:pPr>
    <w:r>
      <w:fldChar w:fldCharType="begin"/>
    </w:r>
    <w:r>
      <w:instrText xml:space="preserve"> PAGE   \* MERGEFORMAT </w:instrText>
    </w:r>
    <w:r>
      <w:fldChar w:fldCharType="separate"/>
    </w:r>
    <w:r w:rsidR="00C427A9">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C80" w14:paraId="147B511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20E3C" w14:paraId="1F67B0CE" w14:textId="77777777">
      <w:r>
        <w:separator/>
      </w:r>
    </w:p>
  </w:footnote>
  <w:footnote w:type="continuationSeparator" w:id="1">
    <w:p w:rsidR="00820E3C" w14:paraId="777922A7" w14:textId="77777777">
      <w:r>
        <w:continuationSeparator/>
      </w:r>
    </w:p>
  </w:footnote>
  <w:footnote w:id="2">
    <w:p w:rsidR="00B05E24" w:rsidRPr="00241664" w:rsidP="00B05E24" w14:paraId="7CF059EB" w14:textId="41811143">
      <w:pPr>
        <w:pStyle w:val="FootnoteText"/>
        <w:rPr>
          <w:i/>
          <w:iCs/>
        </w:rPr>
      </w:pPr>
      <w:r>
        <w:rPr>
          <w:rStyle w:val="FootnoteReference"/>
        </w:rPr>
        <w:footnoteRef/>
      </w:r>
      <w:r w:rsidRPr="001C567B">
        <w:rPr>
          <w:rStyle w:val="FootnoteReference"/>
        </w:rPr>
        <w:t xml:space="preserve"> </w:t>
      </w:r>
      <w:r w:rsidRPr="00241664">
        <w:rPr>
          <w:i/>
          <w:iCs/>
        </w:rPr>
        <w:t>2014 Quadrennial Regulatory Review – Review of the Commission’s Broadcast Ownership Rules and Other Rules Adopted Pursuant to Section 202 of the Telecommunications Act of 1996 et al</w:t>
      </w:r>
      <w:r w:rsidRPr="00241664">
        <w:t>., MB Docket No. 14-50 et al., Order, DA 21-656 (MB June 4, 2021).</w:t>
      </w:r>
    </w:p>
  </w:footnote>
  <w:footnote w:id="3">
    <w:p w:rsidR="00B05E24" w:rsidRPr="00241664" w:rsidP="00B05E24" w14:paraId="2BB67E90" w14:textId="77777777">
      <w:pPr>
        <w:pStyle w:val="FootnoteText"/>
        <w:rPr>
          <w:i/>
          <w:iCs/>
        </w:rPr>
      </w:pPr>
      <w:r>
        <w:rPr>
          <w:rStyle w:val="FootnoteReference"/>
        </w:rPr>
        <w:footnoteRef/>
      </w:r>
      <w:r w:rsidRPr="00B05E24">
        <w:rPr>
          <w:rStyle w:val="FootnoteReference"/>
        </w:rPr>
        <w:t xml:space="preserve"> </w:t>
      </w:r>
      <w:r w:rsidRPr="00241664">
        <w:rPr>
          <w:i/>
          <w:iCs/>
        </w:rPr>
        <w:t>FCC v. Prometheus Radio Project</w:t>
      </w:r>
      <w:r w:rsidRPr="00241664">
        <w:t xml:space="preserve">, 141 </w:t>
      </w:r>
      <w:r w:rsidRPr="00241664">
        <w:t>S.Ct</w:t>
      </w:r>
      <w:r w:rsidRPr="00241664">
        <w:t>. 1150 (2021).</w:t>
      </w:r>
    </w:p>
  </w:footnote>
  <w:footnote w:id="4">
    <w:p w:rsidR="00B05E24" w:rsidRPr="00241664" w:rsidP="00B05E24" w14:paraId="13222D43" w14:textId="77777777">
      <w:pPr>
        <w:pStyle w:val="FootnoteText"/>
      </w:pPr>
      <w:r>
        <w:rPr>
          <w:rStyle w:val="FootnoteReference"/>
        </w:rPr>
        <w:footnoteRef/>
      </w:r>
      <w:r w:rsidRPr="00B05E24">
        <w:rPr>
          <w:rStyle w:val="FootnoteReference"/>
        </w:rPr>
        <w:t xml:space="preserve"> </w:t>
      </w:r>
      <w:r w:rsidRPr="00241664">
        <w:rPr>
          <w:i/>
          <w:iCs/>
        </w:rPr>
        <w:t>See Prometheus Radio Project v. FCC</w:t>
      </w:r>
      <w:r w:rsidRPr="00241664">
        <w:t>, 939 F.3d 567 (3rd Cir. 2019).</w:t>
      </w:r>
    </w:p>
  </w:footnote>
  <w:footnote w:id="5">
    <w:p w:rsidR="00B05E24" w:rsidRPr="00241664" w:rsidP="00B05E24" w14:paraId="212F19BD" w14:textId="77777777">
      <w:pPr>
        <w:pStyle w:val="FootnoteText"/>
        <w:rPr>
          <w:i/>
          <w:iCs/>
        </w:rPr>
      </w:pPr>
      <w:r>
        <w:rPr>
          <w:rStyle w:val="FootnoteReference"/>
        </w:rPr>
        <w:footnoteRef/>
      </w:r>
      <w:r w:rsidRPr="00F65772">
        <w:rPr>
          <w:rStyle w:val="FootnoteReference"/>
        </w:rPr>
        <w:t xml:space="preserve"> </w:t>
      </w:r>
      <w:r w:rsidRPr="00241664">
        <w:rPr>
          <w:i/>
          <w:iCs/>
        </w:rPr>
        <w:t>See 2014 Quadrennial Regulatory Review – Review of the Commission’s Broadcast Ownership Rules and Other Rules Adopted Pursuant to Section 202 of the Telecommunications Act of 1996 et al</w:t>
      </w:r>
      <w:r w:rsidRPr="00241664">
        <w:t xml:space="preserve">., MB Docket No. 14-50 et al., Order on Reconsideration and Notice of Proposed Rulemaking, 32 FCC </w:t>
      </w:r>
      <w:r w:rsidRPr="00241664">
        <w:t>Rcd</w:t>
      </w:r>
      <w:r w:rsidRPr="00241664">
        <w:t xml:space="preserve"> 9802 (2017).</w:t>
      </w:r>
    </w:p>
  </w:footnote>
  <w:footnote w:id="6">
    <w:p w:rsidR="00B05E24" w:rsidRPr="00241664" w:rsidP="00B05E24" w14:paraId="26FB3C8E" w14:textId="77777777">
      <w:pPr>
        <w:pStyle w:val="FootnoteText"/>
      </w:pPr>
      <w:r>
        <w:rPr>
          <w:rStyle w:val="FootnoteReference"/>
        </w:rPr>
        <w:footnoteRef/>
      </w:r>
      <w:r w:rsidRPr="00F65772">
        <w:rPr>
          <w:rStyle w:val="FootnoteReference"/>
        </w:rPr>
        <w:t xml:space="preserve"> </w:t>
      </w:r>
      <w:r w:rsidRPr="00241664">
        <w:rPr>
          <w:i/>
          <w:iCs/>
        </w:rPr>
        <w:t>See 2014 Quadrennial Review Order – Review of the Commission’s Broadcast Ownership Rules and Other Rules Adopted Pursuant to Section 202 of the Telecommunications Act of 1996 et al</w:t>
      </w:r>
      <w:r w:rsidRPr="00241664">
        <w:t xml:space="preserve">., MB Docket No. 14-50 et al., Second Report and Order, 31 FCC </w:t>
      </w:r>
      <w:r w:rsidRPr="00241664">
        <w:t>Rcd</w:t>
      </w:r>
      <w:r w:rsidRPr="00241664">
        <w:t xml:space="preserve"> 9864, 9960-10008, paras. 234-336 (2016).</w:t>
      </w:r>
    </w:p>
  </w:footnote>
  <w:footnote w:id="7">
    <w:p w:rsidR="00B05E24" w:rsidRPr="00241664" w:rsidP="00B05E24" w14:paraId="0F4EE5B6" w14:textId="77777777">
      <w:pPr>
        <w:pStyle w:val="FootnoteText"/>
      </w:pPr>
      <w:r>
        <w:rPr>
          <w:rStyle w:val="FootnoteReference"/>
        </w:rPr>
        <w:footnoteRef/>
      </w:r>
      <w:r w:rsidRPr="00F65772">
        <w:rPr>
          <w:rStyle w:val="FootnoteReference"/>
        </w:rPr>
        <w:t xml:space="preserve"> </w:t>
      </w:r>
      <w:r w:rsidRPr="00241664">
        <w:rPr>
          <w:i/>
          <w:iCs/>
        </w:rPr>
        <w:t>See Rules and Policies to Promote New Entry and Ownership Diversity in the Broadcasting Services</w:t>
      </w:r>
      <w:r w:rsidRPr="00241664">
        <w:t xml:space="preserve">, MB Docket No. 17-289, Report and Order, 33 FCC </w:t>
      </w:r>
      <w:r w:rsidRPr="00241664">
        <w:t>Rcd</w:t>
      </w:r>
      <w:r w:rsidRPr="00241664">
        <w:t xml:space="preserve"> 7911 (2018).</w:t>
      </w:r>
    </w:p>
  </w:footnote>
  <w:footnote w:id="8">
    <w:p w:rsidR="00B05E24" w:rsidP="00B05E24" w14:paraId="60CF2D97" w14:textId="77777777">
      <w:pPr>
        <w:pStyle w:val="FootnoteText"/>
      </w:pPr>
      <w:r>
        <w:rPr>
          <w:rStyle w:val="FootnoteReference"/>
        </w:rPr>
        <w:footnoteRef/>
      </w:r>
      <w:r>
        <w:t xml:space="preserve"> </w:t>
      </w:r>
      <w:r w:rsidRPr="00E544AA">
        <w:rPr>
          <w:i/>
          <w:iCs/>
        </w:rPr>
        <w:t>Media Bureau Reinstates Commission's Prior Rule Changes Regarding Media Ownership Consistent with the U.S. Supreme Court's Decision</w:t>
      </w:r>
      <w:r w:rsidRPr="00E544AA">
        <w:t>, 86 Fed. Reg. 34627 (June 30, 2021).</w:t>
      </w:r>
    </w:p>
  </w:footnote>
  <w:footnote w:id="9">
    <w:p w:rsidR="00B05E24" w:rsidRPr="000B0C3F" w:rsidP="00B05E24" w14:paraId="0714D5B9" w14:textId="77777777">
      <w:pPr>
        <w:pStyle w:val="FootnoteText"/>
        <w:rPr>
          <w:i/>
          <w:iCs/>
        </w:rPr>
      </w:pPr>
      <w:r>
        <w:rPr>
          <w:rStyle w:val="FootnoteReference"/>
        </w:rPr>
        <w:footnoteRef/>
      </w:r>
      <w:r>
        <w:t xml:space="preserve"> </w:t>
      </w:r>
      <w:r w:rsidRPr="000B0C3F">
        <w:rPr>
          <w:i/>
          <w:iCs/>
        </w:rPr>
        <w:t>Media Bureau Seeks to Update the Record in the 2018 Quadrennial Regulatory Review</w:t>
      </w:r>
      <w:r w:rsidRPr="000B0C3F">
        <w:t>, MB Docket No. 18-349, Public Notice, DA 21-657 (MB June 4, 2021).</w:t>
      </w:r>
    </w:p>
  </w:footnote>
  <w:footnote w:id="10">
    <w:p w:rsidR="00B05E24" w:rsidRPr="00931166" w:rsidP="00B05E24" w14:paraId="4557C1D8" w14:textId="77777777">
      <w:pPr>
        <w:pStyle w:val="FootnoteText"/>
      </w:pPr>
      <w:r>
        <w:rPr>
          <w:rStyle w:val="FootnoteReference"/>
        </w:rPr>
        <w:footnoteRef/>
      </w:r>
      <w:r>
        <w:t xml:space="preserve"> </w:t>
      </w:r>
      <w:r w:rsidRPr="000B0C3F">
        <w:rPr>
          <w:i/>
          <w:iCs/>
        </w:rPr>
        <w:t>See 2018 Quadrennial Regulatory Review – Review of the Commission’s Broadcast Ownership Rules and Other Rules Adopted Pursuant to Section 202 of the Telecommunications Act of 1996</w:t>
      </w:r>
      <w:r w:rsidRPr="000B0C3F">
        <w:t xml:space="preserve">, MB Docket No. 18-349, Notice of Proposed Rulemaking, 33 FCC </w:t>
      </w:r>
      <w:r w:rsidRPr="000B0C3F">
        <w:t>Rcd</w:t>
      </w:r>
      <w:r w:rsidRPr="000B0C3F">
        <w:t xml:space="preserve"> 12111 (2018);</w:t>
      </w:r>
      <w:r w:rsidRPr="000B0C3F">
        <w:rPr>
          <w:i/>
          <w:iCs/>
        </w:rPr>
        <w:t xml:space="preserve"> </w:t>
      </w:r>
      <w:r w:rsidRPr="000B0C3F">
        <w:t>Telecommunications Act of 1996, Pub. L. No. 104-104, 110 Stat. 56, § 202(h) (1996); Consolidated Appropriations Act, 2004, Pub. L. No. 108-199, § 629, 118 Stat. 3 (2004) (amending Sections 202(c) and 202(h) of the 1996 Act).</w:t>
      </w:r>
    </w:p>
  </w:footnote>
  <w:footnote w:id="11">
    <w:p w:rsidR="00B05E24" w:rsidRPr="006229E2" w:rsidP="00B05E24" w14:paraId="52B458AE" w14:textId="77777777">
      <w:pPr>
        <w:pStyle w:val="FootnoteText"/>
      </w:pPr>
      <w:r>
        <w:rPr>
          <w:rStyle w:val="FootnoteReference"/>
        </w:rPr>
        <w:footnoteRef/>
      </w:r>
      <w:r>
        <w:t xml:space="preserve"> </w:t>
      </w:r>
      <w:r w:rsidRPr="00931166">
        <w:rPr>
          <w:i/>
          <w:iCs/>
        </w:rPr>
        <w:t>Media Bureau Seeks to Update the Record in the 2018 Quadrennial Regulatory Review</w:t>
      </w:r>
      <w:r w:rsidRPr="00931166">
        <w:t>,</w:t>
      </w:r>
      <w:r>
        <w:t xml:space="preserve"> 86</w:t>
      </w:r>
      <w:r w:rsidRPr="00931166">
        <w:t xml:space="preserve"> Fed. Reg. </w:t>
      </w:r>
      <w:r>
        <w:t>35089</w:t>
      </w:r>
      <w:r w:rsidRPr="00931166">
        <w:t xml:space="preserve"> (July 1,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70E1" w14:paraId="3B0FAD6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C80" w:rsidRPr="009838BC" w:rsidP="009838BC" w14:paraId="368C9D8F" w14:textId="6BD67356">
    <w:pPr>
      <w:tabs>
        <w:tab w:val="center" w:pos="4680"/>
        <w:tab w:val="right" w:pos="9360"/>
      </w:tabs>
    </w:pPr>
    <w:r w:rsidRPr="009838BC">
      <w:rPr>
        <w:b/>
      </w:rPr>
      <w:tab/>
      <w:t>Federal Communications Commission</w:t>
    </w:r>
    <w:r w:rsidRPr="009838BC">
      <w:rPr>
        <w:b/>
      </w:rPr>
      <w:tab/>
    </w:r>
    <w:r>
      <w:rPr>
        <w:b/>
      </w:rPr>
      <w:t>DA 2</w:t>
    </w:r>
    <w:r w:rsidR="002C7263">
      <w:rPr>
        <w:b/>
      </w:rPr>
      <w:t>1-</w:t>
    </w:r>
    <w:r w:rsidR="00C070E1">
      <w:rPr>
        <w:b/>
      </w:rPr>
      <w:t>783</w:t>
    </w:r>
  </w:p>
  <w:p w:rsidR="00344C80" w:rsidRPr="009838BC" w:rsidP="009838BC" w14:paraId="4B85409A"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w10:wrap anchorx="margin"/>
            </v:rect>
          </w:pict>
        </mc:Fallback>
      </mc:AlternateContent>
    </w:r>
  </w:p>
  <w:p w:rsidR="00344C80" w:rsidRPr="009838BC" w:rsidP="009838BC" w14:paraId="520C42FD"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C80" w:rsidRPr="00A866AC" w:rsidP="009838BC" w14:paraId="66E51F21"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wps:spPr>
                    <wps:txbx>
                      <w:txbxContent>
                        <w:p w:rsidR="00344C80" w:rsidP="009838BC" w14:textId="77777777">
                          <w:pPr>
                            <w:rPr>
                              <w:rFonts w:ascii="Arial" w:hAnsi="Arial"/>
                              <w:b/>
                            </w:rPr>
                          </w:pPr>
                          <w:r>
                            <w:rPr>
                              <w:rFonts w:ascii="Arial" w:hAnsi="Arial"/>
                              <w:b/>
                            </w:rPr>
                            <w:t>Federal Communications Commission</w:t>
                          </w:r>
                        </w:p>
                        <w:p w:rsidR="00344C80" w:rsidP="009838BC" w14:textId="77777777">
                          <w:pPr>
                            <w:rPr>
                              <w:rFonts w:ascii="Arial" w:hAnsi="Arial"/>
                              <w:b/>
                            </w:rPr>
                          </w:pPr>
                          <w:r>
                            <w:rPr>
                              <w:rFonts w:ascii="Arial" w:hAnsi="Arial"/>
                              <w:b/>
                            </w:rPr>
                            <w:t xml:space="preserve">45 </w:t>
                          </w:r>
                          <w:r w:rsidR="003E7B1C">
                            <w:rPr>
                              <w:rFonts w:ascii="Arial" w:hAnsi="Arial"/>
                              <w:b/>
                            </w:rPr>
                            <w:t>L</w:t>
                          </w:r>
                          <w:r>
                            <w:rPr>
                              <w:rFonts w:ascii="Arial" w:hAnsi="Arial"/>
                              <w:b/>
                            </w:rPr>
                            <w:t xml:space="preserve"> St</w:t>
                          </w:r>
                          <w:r w:rsidR="003E7B1C">
                            <w:rPr>
                              <w:rFonts w:ascii="Arial" w:hAnsi="Arial"/>
                              <w:b/>
                            </w:rPr>
                            <w:t>reet</w:t>
                          </w:r>
                          <w:r>
                            <w:rPr>
                              <w:rFonts w:ascii="Arial" w:hAnsi="Arial"/>
                              <w:b/>
                            </w:rPr>
                            <w:t xml:space="preserve"> </w:t>
                          </w:r>
                          <w:r w:rsidR="00983810">
                            <w:rPr>
                              <w:rFonts w:ascii="Arial" w:hAnsi="Arial"/>
                              <w:b/>
                            </w:rPr>
                            <w:t>NE</w:t>
                          </w:r>
                        </w:p>
                        <w:p w:rsidR="00344C80"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344C80" w:rsidP="009838BC" w14:paraId="1A97C1AC" w14:textId="77777777">
                    <w:pPr>
                      <w:rPr>
                        <w:rFonts w:ascii="Arial" w:hAnsi="Arial"/>
                        <w:b/>
                      </w:rPr>
                    </w:pPr>
                    <w:r>
                      <w:rPr>
                        <w:rFonts w:ascii="Arial" w:hAnsi="Arial"/>
                        <w:b/>
                      </w:rPr>
                      <w:t>Federal Communications Commission</w:t>
                    </w:r>
                  </w:p>
                  <w:p w:rsidR="00344C80" w:rsidP="009838BC" w14:paraId="4AEDA6D8" w14:textId="77777777">
                    <w:pPr>
                      <w:rPr>
                        <w:rFonts w:ascii="Arial" w:hAnsi="Arial"/>
                        <w:b/>
                      </w:rPr>
                    </w:pPr>
                    <w:r>
                      <w:rPr>
                        <w:rFonts w:ascii="Arial" w:hAnsi="Arial"/>
                        <w:b/>
                      </w:rPr>
                      <w:t xml:space="preserve">45 </w:t>
                    </w:r>
                    <w:r w:rsidR="003E7B1C">
                      <w:rPr>
                        <w:rFonts w:ascii="Arial" w:hAnsi="Arial"/>
                        <w:b/>
                      </w:rPr>
                      <w:t>L</w:t>
                    </w:r>
                    <w:r>
                      <w:rPr>
                        <w:rFonts w:ascii="Arial" w:hAnsi="Arial"/>
                        <w:b/>
                      </w:rPr>
                      <w:t xml:space="preserve"> St</w:t>
                    </w:r>
                    <w:r w:rsidR="003E7B1C">
                      <w:rPr>
                        <w:rFonts w:ascii="Arial" w:hAnsi="Arial"/>
                        <w:b/>
                      </w:rPr>
                      <w:t>reet</w:t>
                    </w:r>
                    <w:r>
                      <w:rPr>
                        <w:rFonts w:ascii="Arial" w:hAnsi="Arial"/>
                        <w:b/>
                      </w:rPr>
                      <w:t xml:space="preserve"> </w:t>
                    </w:r>
                    <w:r w:rsidR="00983810">
                      <w:rPr>
                        <w:rFonts w:ascii="Arial" w:hAnsi="Arial"/>
                        <w:b/>
                      </w:rPr>
                      <w:t>NE</w:t>
                    </w:r>
                  </w:p>
                  <w:p w:rsidR="00344C80" w:rsidP="009838BC" w14:paraId="1A2691A0"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0F6459">
      <w:rPr>
        <w:rFonts w:ascii="Arial" w:hAnsi="Arial" w:cs="Arial"/>
        <w:b/>
        <w:sz w:val="96"/>
      </w:rPr>
      <w:t>PUBLIC NOTICE</w:t>
    </w:r>
  </w:p>
  <w:p w:rsidR="00344C80" w:rsidRPr="00357D50" w:rsidP="005059F3" w14:paraId="7EE8309E"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25400" b="25400"/>
              <wp:wrapNone/>
              <wp:docPr id="1"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left:9pt;mso-wrap-distance-right:9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635" b="9525"/>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wps:spPr>
                    <wps:txbx>
                      <w:txbxContent>
                        <w:p w:rsidR="00344C80" w:rsidP="009838BC" w14:textId="77777777">
                          <w:pPr>
                            <w:spacing w:before="40"/>
                            <w:jc w:val="right"/>
                            <w:rPr>
                              <w:rFonts w:ascii="Arial" w:hAnsi="Arial"/>
                              <w:b/>
                              <w:sz w:val="16"/>
                            </w:rPr>
                          </w:pPr>
                          <w:r>
                            <w:rPr>
                              <w:rFonts w:ascii="Arial" w:hAnsi="Arial"/>
                              <w:b/>
                              <w:sz w:val="16"/>
                            </w:rPr>
                            <w:t>News Media Information 202 / 418-0500</w:t>
                          </w:r>
                        </w:p>
                        <w:p w:rsidR="00344C80"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344C80" w:rsidP="009838B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344C80" w:rsidP="009838BC" w14:paraId="1AB5C965" w14:textId="77777777">
                    <w:pPr>
                      <w:spacing w:before="40"/>
                      <w:jc w:val="right"/>
                      <w:rPr>
                        <w:rFonts w:ascii="Arial" w:hAnsi="Arial"/>
                        <w:b/>
                        <w:sz w:val="16"/>
                      </w:rPr>
                    </w:pPr>
                    <w:r>
                      <w:rPr>
                        <w:rFonts w:ascii="Arial" w:hAnsi="Arial"/>
                        <w:b/>
                        <w:sz w:val="16"/>
                      </w:rPr>
                      <w:t>News Media Information 202 / 418-0500</w:t>
                    </w:r>
                  </w:p>
                  <w:p w:rsidR="00344C80" w:rsidP="009838BC" w14:paraId="4AFBE1C3"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344C80" w:rsidP="009838BC" w14:paraId="3C10C6EA" w14:textId="77777777">
                    <w:pPr>
                      <w:jc w:val="right"/>
                    </w:pPr>
                  </w:p>
                </w:txbxContent>
              </v:textbox>
            </v:shape>
          </w:pict>
        </mc:Fallback>
      </mc:AlternateContent>
    </w:r>
  </w:p>
  <w:p w:rsidR="00344C80" w:rsidRPr="00D70A7C" w:rsidP="00C96A74" w14:paraId="2C9E125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09593B"/>
    <w:multiLevelType w:val="hybridMultilevel"/>
    <w:tmpl w:val="C7F0DEC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484215"/>
    <w:multiLevelType w:val="hybridMultilevel"/>
    <w:tmpl w:val="9C8E69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7A97A2C"/>
    <w:multiLevelType w:val="hybridMultilevel"/>
    <w:tmpl w:val="838E5B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92A3935"/>
    <w:multiLevelType w:val="hybridMultilevel"/>
    <w:tmpl w:val="DF5C6C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2">
    <w:nsid w:val="67A564B4"/>
    <w:multiLevelType w:val="hybridMultilevel"/>
    <w:tmpl w:val="5090288C"/>
    <w:lvl w:ilvl="0">
      <w:start w:val="0"/>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75D84324"/>
    <w:multiLevelType w:val="multilevel"/>
    <w:tmpl w:val="F3A6F2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1"/>
  </w:num>
  <w:num w:numId="3">
    <w:abstractNumId w:val="5"/>
  </w:num>
  <w:num w:numId="4">
    <w:abstractNumId w:val="8"/>
  </w:num>
  <w:num w:numId="5">
    <w:abstractNumId w:val="3"/>
  </w:num>
  <w:num w:numId="6">
    <w:abstractNumId w:val="0"/>
  </w:num>
  <w:num w:numId="7">
    <w:abstractNumId w:val="7"/>
  </w:num>
  <w:num w:numId="8">
    <w:abstractNumId w:val="10"/>
  </w:num>
  <w:num w:numId="9">
    <w:abstractNumId w:val="1"/>
  </w:num>
  <w:num w:numId="10">
    <w:abstractNumId w:val="6"/>
  </w:num>
  <w:num w:numId="11">
    <w:abstractNumId w:val="4"/>
  </w:num>
  <w:num w:numId="12">
    <w:abstractNumId w:val="9"/>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Formatting/>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330"/>
    <w:rsid w:val="00001B38"/>
    <w:rsid w:val="00006471"/>
    <w:rsid w:val="000072CE"/>
    <w:rsid w:val="00013A8B"/>
    <w:rsid w:val="00021445"/>
    <w:rsid w:val="00026D9B"/>
    <w:rsid w:val="00026F8C"/>
    <w:rsid w:val="0003319B"/>
    <w:rsid w:val="00036039"/>
    <w:rsid w:val="00037F90"/>
    <w:rsid w:val="00042630"/>
    <w:rsid w:val="00044F0C"/>
    <w:rsid w:val="00045B22"/>
    <w:rsid w:val="00070864"/>
    <w:rsid w:val="000738A2"/>
    <w:rsid w:val="00073BC0"/>
    <w:rsid w:val="00074870"/>
    <w:rsid w:val="000875BF"/>
    <w:rsid w:val="00096D8C"/>
    <w:rsid w:val="000A34CB"/>
    <w:rsid w:val="000A4625"/>
    <w:rsid w:val="000B0C3F"/>
    <w:rsid w:val="000B1B84"/>
    <w:rsid w:val="000B7356"/>
    <w:rsid w:val="000C0B65"/>
    <w:rsid w:val="000D0EA7"/>
    <w:rsid w:val="000D1E4B"/>
    <w:rsid w:val="000E2341"/>
    <w:rsid w:val="000E3D42"/>
    <w:rsid w:val="000E5884"/>
    <w:rsid w:val="000F6459"/>
    <w:rsid w:val="00101277"/>
    <w:rsid w:val="00116877"/>
    <w:rsid w:val="00122BD5"/>
    <w:rsid w:val="00127D6E"/>
    <w:rsid w:val="001447DC"/>
    <w:rsid w:val="00155068"/>
    <w:rsid w:val="0015534C"/>
    <w:rsid w:val="00161935"/>
    <w:rsid w:val="00166BA1"/>
    <w:rsid w:val="00177E56"/>
    <w:rsid w:val="00192FE9"/>
    <w:rsid w:val="001979D9"/>
    <w:rsid w:val="001A6130"/>
    <w:rsid w:val="001B4F62"/>
    <w:rsid w:val="001B6A3E"/>
    <w:rsid w:val="001B7DE8"/>
    <w:rsid w:val="001C0BC3"/>
    <w:rsid w:val="001C410D"/>
    <w:rsid w:val="001C567B"/>
    <w:rsid w:val="001D34D0"/>
    <w:rsid w:val="001D6BCF"/>
    <w:rsid w:val="001D772B"/>
    <w:rsid w:val="001E01CA"/>
    <w:rsid w:val="001F06E0"/>
    <w:rsid w:val="002060D9"/>
    <w:rsid w:val="0020614C"/>
    <w:rsid w:val="002230D9"/>
    <w:rsid w:val="00224E0E"/>
    <w:rsid w:val="00226822"/>
    <w:rsid w:val="00231468"/>
    <w:rsid w:val="00241664"/>
    <w:rsid w:val="0025357C"/>
    <w:rsid w:val="00260594"/>
    <w:rsid w:val="002723B6"/>
    <w:rsid w:val="00285017"/>
    <w:rsid w:val="00291B08"/>
    <w:rsid w:val="002A1575"/>
    <w:rsid w:val="002A2D2E"/>
    <w:rsid w:val="002A7167"/>
    <w:rsid w:val="002B12B9"/>
    <w:rsid w:val="002C43C6"/>
    <w:rsid w:val="002C7263"/>
    <w:rsid w:val="002D2573"/>
    <w:rsid w:val="002D257F"/>
    <w:rsid w:val="002D5E48"/>
    <w:rsid w:val="002E51E4"/>
    <w:rsid w:val="002F59C5"/>
    <w:rsid w:val="002F6BBC"/>
    <w:rsid w:val="00304076"/>
    <w:rsid w:val="003112CC"/>
    <w:rsid w:val="00313DB8"/>
    <w:rsid w:val="00315189"/>
    <w:rsid w:val="00316F32"/>
    <w:rsid w:val="00333C22"/>
    <w:rsid w:val="003434D3"/>
    <w:rsid w:val="00343749"/>
    <w:rsid w:val="00344C80"/>
    <w:rsid w:val="00357D50"/>
    <w:rsid w:val="003645D7"/>
    <w:rsid w:val="003677BA"/>
    <w:rsid w:val="00367FA7"/>
    <w:rsid w:val="003750A7"/>
    <w:rsid w:val="0037795A"/>
    <w:rsid w:val="00385AB7"/>
    <w:rsid w:val="0039081F"/>
    <w:rsid w:val="00391176"/>
    <w:rsid w:val="003925DC"/>
    <w:rsid w:val="00397126"/>
    <w:rsid w:val="003A1088"/>
    <w:rsid w:val="003A1FB1"/>
    <w:rsid w:val="003B0550"/>
    <w:rsid w:val="003B083B"/>
    <w:rsid w:val="003B694F"/>
    <w:rsid w:val="003C72A0"/>
    <w:rsid w:val="003D57C6"/>
    <w:rsid w:val="003E0DC9"/>
    <w:rsid w:val="003E19F0"/>
    <w:rsid w:val="003E4C93"/>
    <w:rsid w:val="003E7B1C"/>
    <w:rsid w:val="003F171C"/>
    <w:rsid w:val="003F65EA"/>
    <w:rsid w:val="003F6CDF"/>
    <w:rsid w:val="003F7CD9"/>
    <w:rsid w:val="00404565"/>
    <w:rsid w:val="004073EF"/>
    <w:rsid w:val="00412FC5"/>
    <w:rsid w:val="00422276"/>
    <w:rsid w:val="004242F1"/>
    <w:rsid w:val="00445A00"/>
    <w:rsid w:val="004473E7"/>
    <w:rsid w:val="00451B0F"/>
    <w:rsid w:val="004565A2"/>
    <w:rsid w:val="0046125F"/>
    <w:rsid w:val="00463E6F"/>
    <w:rsid w:val="004642CD"/>
    <w:rsid w:val="004649E1"/>
    <w:rsid w:val="0047212F"/>
    <w:rsid w:val="00473A25"/>
    <w:rsid w:val="00475E74"/>
    <w:rsid w:val="0048703B"/>
    <w:rsid w:val="00487524"/>
    <w:rsid w:val="00487F79"/>
    <w:rsid w:val="00492910"/>
    <w:rsid w:val="00494CCB"/>
    <w:rsid w:val="00496106"/>
    <w:rsid w:val="004A3090"/>
    <w:rsid w:val="004B4CC3"/>
    <w:rsid w:val="004B59EE"/>
    <w:rsid w:val="004C12D0"/>
    <w:rsid w:val="004C2C2D"/>
    <w:rsid w:val="004C2EE3"/>
    <w:rsid w:val="004E177E"/>
    <w:rsid w:val="004E4A22"/>
    <w:rsid w:val="004F7AAC"/>
    <w:rsid w:val="005023FA"/>
    <w:rsid w:val="005059F3"/>
    <w:rsid w:val="005109B0"/>
    <w:rsid w:val="00511968"/>
    <w:rsid w:val="005167A4"/>
    <w:rsid w:val="005228E3"/>
    <w:rsid w:val="00526517"/>
    <w:rsid w:val="005376B6"/>
    <w:rsid w:val="0055614C"/>
    <w:rsid w:val="005735DD"/>
    <w:rsid w:val="00573629"/>
    <w:rsid w:val="00574258"/>
    <w:rsid w:val="005745FF"/>
    <w:rsid w:val="005836D6"/>
    <w:rsid w:val="00592BCA"/>
    <w:rsid w:val="005A05B9"/>
    <w:rsid w:val="005A0BA0"/>
    <w:rsid w:val="005A5E0A"/>
    <w:rsid w:val="005A72ED"/>
    <w:rsid w:val="005B40D4"/>
    <w:rsid w:val="005B50F9"/>
    <w:rsid w:val="005C459C"/>
    <w:rsid w:val="005D1270"/>
    <w:rsid w:val="005D3892"/>
    <w:rsid w:val="005E0FEE"/>
    <w:rsid w:val="005E6686"/>
    <w:rsid w:val="0060679A"/>
    <w:rsid w:val="00607BA5"/>
    <w:rsid w:val="006108F6"/>
    <w:rsid w:val="006229E2"/>
    <w:rsid w:val="00622AB3"/>
    <w:rsid w:val="00626EB6"/>
    <w:rsid w:val="00627465"/>
    <w:rsid w:val="00634230"/>
    <w:rsid w:val="006353A3"/>
    <w:rsid w:val="006358DE"/>
    <w:rsid w:val="00636682"/>
    <w:rsid w:val="006403E5"/>
    <w:rsid w:val="00645550"/>
    <w:rsid w:val="00655D03"/>
    <w:rsid w:val="00673338"/>
    <w:rsid w:val="006775AE"/>
    <w:rsid w:val="00683F84"/>
    <w:rsid w:val="00692CF3"/>
    <w:rsid w:val="00693717"/>
    <w:rsid w:val="00697990"/>
    <w:rsid w:val="006A6A81"/>
    <w:rsid w:val="006C7642"/>
    <w:rsid w:val="006E09DF"/>
    <w:rsid w:val="006E1AC6"/>
    <w:rsid w:val="006E26AF"/>
    <w:rsid w:val="006F5B71"/>
    <w:rsid w:val="006F7393"/>
    <w:rsid w:val="0070224F"/>
    <w:rsid w:val="00706DDB"/>
    <w:rsid w:val="00710584"/>
    <w:rsid w:val="007115F7"/>
    <w:rsid w:val="00712455"/>
    <w:rsid w:val="00731388"/>
    <w:rsid w:val="00733338"/>
    <w:rsid w:val="007371F9"/>
    <w:rsid w:val="00740BBA"/>
    <w:rsid w:val="007468AB"/>
    <w:rsid w:val="007527B8"/>
    <w:rsid w:val="00771C2A"/>
    <w:rsid w:val="00773BC7"/>
    <w:rsid w:val="00776828"/>
    <w:rsid w:val="00783F48"/>
    <w:rsid w:val="00785689"/>
    <w:rsid w:val="007921B8"/>
    <w:rsid w:val="0079754B"/>
    <w:rsid w:val="007A18E6"/>
    <w:rsid w:val="007A1E6D"/>
    <w:rsid w:val="007A6F48"/>
    <w:rsid w:val="007B5565"/>
    <w:rsid w:val="007B6D75"/>
    <w:rsid w:val="007C10C4"/>
    <w:rsid w:val="007C7067"/>
    <w:rsid w:val="00810077"/>
    <w:rsid w:val="0081401F"/>
    <w:rsid w:val="008152CC"/>
    <w:rsid w:val="00820CD2"/>
    <w:rsid w:val="00820E3C"/>
    <w:rsid w:val="00822CE0"/>
    <w:rsid w:val="00831C9D"/>
    <w:rsid w:val="00837C62"/>
    <w:rsid w:val="00841AB1"/>
    <w:rsid w:val="00850400"/>
    <w:rsid w:val="00860AF6"/>
    <w:rsid w:val="00860B84"/>
    <w:rsid w:val="00875FF9"/>
    <w:rsid w:val="008801CE"/>
    <w:rsid w:val="008A4866"/>
    <w:rsid w:val="008B6FDE"/>
    <w:rsid w:val="008C22FD"/>
    <w:rsid w:val="008C2C7B"/>
    <w:rsid w:val="008C4E78"/>
    <w:rsid w:val="008E2535"/>
    <w:rsid w:val="008E4EF6"/>
    <w:rsid w:val="008E5677"/>
    <w:rsid w:val="008F2536"/>
    <w:rsid w:val="008F2621"/>
    <w:rsid w:val="00910F12"/>
    <w:rsid w:val="00926503"/>
    <w:rsid w:val="00930ECF"/>
    <w:rsid w:val="00931166"/>
    <w:rsid w:val="009605CE"/>
    <w:rsid w:val="0096067D"/>
    <w:rsid w:val="009609A6"/>
    <w:rsid w:val="00976B74"/>
    <w:rsid w:val="0098296F"/>
    <w:rsid w:val="00983810"/>
    <w:rsid w:val="009838BC"/>
    <w:rsid w:val="009851AD"/>
    <w:rsid w:val="009927B4"/>
    <w:rsid w:val="009A4B1D"/>
    <w:rsid w:val="009B1ED4"/>
    <w:rsid w:val="009C02C6"/>
    <w:rsid w:val="009C0A5D"/>
    <w:rsid w:val="009C3839"/>
    <w:rsid w:val="009C6EEB"/>
    <w:rsid w:val="009D079C"/>
    <w:rsid w:val="009E468B"/>
    <w:rsid w:val="009F1383"/>
    <w:rsid w:val="00A07B75"/>
    <w:rsid w:val="00A11C4F"/>
    <w:rsid w:val="00A11FD5"/>
    <w:rsid w:val="00A13F6E"/>
    <w:rsid w:val="00A227D3"/>
    <w:rsid w:val="00A35AA7"/>
    <w:rsid w:val="00A377A5"/>
    <w:rsid w:val="00A40411"/>
    <w:rsid w:val="00A4089E"/>
    <w:rsid w:val="00A45F4F"/>
    <w:rsid w:val="00A460E6"/>
    <w:rsid w:val="00A47AB0"/>
    <w:rsid w:val="00A600A9"/>
    <w:rsid w:val="00A60A5E"/>
    <w:rsid w:val="00A72403"/>
    <w:rsid w:val="00A74DCD"/>
    <w:rsid w:val="00A80346"/>
    <w:rsid w:val="00A82E21"/>
    <w:rsid w:val="00A865C8"/>
    <w:rsid w:val="00A866AC"/>
    <w:rsid w:val="00A95498"/>
    <w:rsid w:val="00AA294A"/>
    <w:rsid w:val="00AA55B7"/>
    <w:rsid w:val="00AA5B9E"/>
    <w:rsid w:val="00AA7B20"/>
    <w:rsid w:val="00AB1905"/>
    <w:rsid w:val="00AB2407"/>
    <w:rsid w:val="00AB53DF"/>
    <w:rsid w:val="00AC156B"/>
    <w:rsid w:val="00AE527F"/>
    <w:rsid w:val="00AF7072"/>
    <w:rsid w:val="00B054C8"/>
    <w:rsid w:val="00B05E24"/>
    <w:rsid w:val="00B07E5C"/>
    <w:rsid w:val="00B326E3"/>
    <w:rsid w:val="00B52B41"/>
    <w:rsid w:val="00B53E47"/>
    <w:rsid w:val="00B65D37"/>
    <w:rsid w:val="00B661EE"/>
    <w:rsid w:val="00B7211D"/>
    <w:rsid w:val="00B811F7"/>
    <w:rsid w:val="00B837A0"/>
    <w:rsid w:val="00B846C0"/>
    <w:rsid w:val="00B851CF"/>
    <w:rsid w:val="00B85813"/>
    <w:rsid w:val="00BA488E"/>
    <w:rsid w:val="00BA5DC6"/>
    <w:rsid w:val="00BA6196"/>
    <w:rsid w:val="00BA723B"/>
    <w:rsid w:val="00BA78F0"/>
    <w:rsid w:val="00BC23DD"/>
    <w:rsid w:val="00BC6B2A"/>
    <w:rsid w:val="00BC6D8C"/>
    <w:rsid w:val="00BE12E8"/>
    <w:rsid w:val="00BE47E3"/>
    <w:rsid w:val="00BF6069"/>
    <w:rsid w:val="00C00B92"/>
    <w:rsid w:val="00C070E1"/>
    <w:rsid w:val="00C130A5"/>
    <w:rsid w:val="00C15B25"/>
    <w:rsid w:val="00C16AF2"/>
    <w:rsid w:val="00C34006"/>
    <w:rsid w:val="00C34CC4"/>
    <w:rsid w:val="00C426B1"/>
    <w:rsid w:val="00C427A9"/>
    <w:rsid w:val="00C60EF5"/>
    <w:rsid w:val="00C63A37"/>
    <w:rsid w:val="00C67CDC"/>
    <w:rsid w:val="00C74B4F"/>
    <w:rsid w:val="00C82B6B"/>
    <w:rsid w:val="00C849EA"/>
    <w:rsid w:val="00C90D6A"/>
    <w:rsid w:val="00C93B27"/>
    <w:rsid w:val="00C9419B"/>
    <w:rsid w:val="00C96A74"/>
    <w:rsid w:val="00C96CB4"/>
    <w:rsid w:val="00CA152D"/>
    <w:rsid w:val="00CB5BCA"/>
    <w:rsid w:val="00CC292D"/>
    <w:rsid w:val="00CC39F1"/>
    <w:rsid w:val="00CC4B55"/>
    <w:rsid w:val="00CC72B6"/>
    <w:rsid w:val="00CD1E4D"/>
    <w:rsid w:val="00CD4A92"/>
    <w:rsid w:val="00CD6030"/>
    <w:rsid w:val="00CE1E2D"/>
    <w:rsid w:val="00CF6F7F"/>
    <w:rsid w:val="00D0218D"/>
    <w:rsid w:val="00D059B2"/>
    <w:rsid w:val="00D1457E"/>
    <w:rsid w:val="00D2068E"/>
    <w:rsid w:val="00D216CD"/>
    <w:rsid w:val="00D411D6"/>
    <w:rsid w:val="00D44BA6"/>
    <w:rsid w:val="00D45FE7"/>
    <w:rsid w:val="00D51B0E"/>
    <w:rsid w:val="00D62479"/>
    <w:rsid w:val="00D63A8F"/>
    <w:rsid w:val="00D64710"/>
    <w:rsid w:val="00D70A7C"/>
    <w:rsid w:val="00D74B86"/>
    <w:rsid w:val="00D92B93"/>
    <w:rsid w:val="00DA2529"/>
    <w:rsid w:val="00DA2FD3"/>
    <w:rsid w:val="00DA793A"/>
    <w:rsid w:val="00DB130A"/>
    <w:rsid w:val="00DB1828"/>
    <w:rsid w:val="00DB5D6C"/>
    <w:rsid w:val="00DC10A1"/>
    <w:rsid w:val="00DC168F"/>
    <w:rsid w:val="00DC19E1"/>
    <w:rsid w:val="00DC34AB"/>
    <w:rsid w:val="00DC586A"/>
    <w:rsid w:val="00DC655F"/>
    <w:rsid w:val="00DD7EBD"/>
    <w:rsid w:val="00DE0CF3"/>
    <w:rsid w:val="00DE337B"/>
    <w:rsid w:val="00DE3582"/>
    <w:rsid w:val="00DE6A7A"/>
    <w:rsid w:val="00DE6E96"/>
    <w:rsid w:val="00DF62B6"/>
    <w:rsid w:val="00E07225"/>
    <w:rsid w:val="00E1012A"/>
    <w:rsid w:val="00E115D7"/>
    <w:rsid w:val="00E155B7"/>
    <w:rsid w:val="00E171D8"/>
    <w:rsid w:val="00E32A01"/>
    <w:rsid w:val="00E41361"/>
    <w:rsid w:val="00E5409F"/>
    <w:rsid w:val="00E544AA"/>
    <w:rsid w:val="00E61B76"/>
    <w:rsid w:val="00E63EA8"/>
    <w:rsid w:val="00E73C7C"/>
    <w:rsid w:val="00E77523"/>
    <w:rsid w:val="00E82A22"/>
    <w:rsid w:val="00E95F73"/>
    <w:rsid w:val="00E96A37"/>
    <w:rsid w:val="00EB0D68"/>
    <w:rsid w:val="00EB3C0F"/>
    <w:rsid w:val="00EC0185"/>
    <w:rsid w:val="00ED54EB"/>
    <w:rsid w:val="00EE43ED"/>
    <w:rsid w:val="00EE6B6C"/>
    <w:rsid w:val="00F021FA"/>
    <w:rsid w:val="00F101BC"/>
    <w:rsid w:val="00F1086C"/>
    <w:rsid w:val="00F11FB5"/>
    <w:rsid w:val="00F122E2"/>
    <w:rsid w:val="00F152F9"/>
    <w:rsid w:val="00F16B46"/>
    <w:rsid w:val="00F222FE"/>
    <w:rsid w:val="00F244F7"/>
    <w:rsid w:val="00F24B79"/>
    <w:rsid w:val="00F339B4"/>
    <w:rsid w:val="00F37AFB"/>
    <w:rsid w:val="00F43AA1"/>
    <w:rsid w:val="00F44D49"/>
    <w:rsid w:val="00F5569E"/>
    <w:rsid w:val="00F57ACA"/>
    <w:rsid w:val="00F6137E"/>
    <w:rsid w:val="00F62E97"/>
    <w:rsid w:val="00F64209"/>
    <w:rsid w:val="00F65772"/>
    <w:rsid w:val="00F72330"/>
    <w:rsid w:val="00F736FB"/>
    <w:rsid w:val="00F93BF5"/>
    <w:rsid w:val="00F95AAF"/>
    <w:rsid w:val="00F96F63"/>
    <w:rsid w:val="00FB5A41"/>
    <w:rsid w:val="00FB7B8B"/>
    <w:rsid w:val="00FC5731"/>
    <w:rsid w:val="00FE1A0D"/>
    <w:rsid w:val="00FE246F"/>
    <w:rsid w:val="00FE476C"/>
    <w:rsid w:val="00FF49FB"/>
    <w:rsid w:val="00FF62BD"/>
  </w:rsids>
  <m:mathPr>
    <m:mathFont m:val="Cambria Math"/>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02DA6F96"/>
  <w15:docId w15:val="{AA12054F-AF8E-4BE9-AFD2-0577D6AD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05E24"/>
    <w:rPr>
      <w:sz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outlineLvl w:val="0"/>
    </w:pPr>
    <w:rPr>
      <w:rFonts w:ascii="Times New Roman Bold" w:hAnsi="Times New Roman Bold"/>
      <w:b/>
      <w:caps/>
      <w:snapToGrid w:val="0"/>
      <w:kern w:val="28"/>
    </w:rPr>
  </w:style>
  <w:style w:type="paragraph" w:styleId="Heading2">
    <w:name w:val="heading 2"/>
    <w:basedOn w:val="Normal"/>
    <w:next w:val="ParaNum"/>
    <w:autoRedefine/>
    <w:qFormat/>
    <w:rsid w:val="007A1E6D"/>
    <w:pPr>
      <w:keepNext/>
      <w:widowControl w:val="0"/>
      <w:numPr>
        <w:ilvl w:val="1"/>
        <w:numId w:val="3"/>
      </w:numPr>
      <w:spacing w:after="120"/>
      <w:outlineLvl w:val="1"/>
    </w:pPr>
    <w:rPr>
      <w:b/>
      <w:snapToGrid w:val="0"/>
      <w:kern w:val="28"/>
    </w:rPr>
  </w:style>
  <w:style w:type="paragraph" w:styleId="Heading3">
    <w:name w:val="heading 3"/>
    <w:basedOn w:val="Normal"/>
    <w:next w:val="ParaNum"/>
    <w:qFormat/>
    <w:rsid w:val="00BA6196"/>
    <w:pPr>
      <w:keepNext/>
      <w:widowControl w:val="0"/>
      <w:numPr>
        <w:ilvl w:val="2"/>
        <w:numId w:val="3"/>
      </w:numPr>
      <w:tabs>
        <w:tab w:val="left" w:pos="2160"/>
      </w:tabs>
      <w:spacing w:after="120"/>
      <w:outlineLvl w:val="2"/>
    </w:pPr>
    <w:rPr>
      <w:b/>
      <w:snapToGrid w:val="0"/>
      <w:kern w:val="28"/>
    </w:rPr>
  </w:style>
  <w:style w:type="paragraph" w:styleId="Heading4">
    <w:name w:val="heading 4"/>
    <w:basedOn w:val="Normal"/>
    <w:next w:val="ParaNum"/>
    <w:qFormat/>
    <w:rsid w:val="00C426B1"/>
    <w:pPr>
      <w:keepNext/>
      <w:widowControl w:val="0"/>
      <w:numPr>
        <w:ilvl w:val="3"/>
        <w:numId w:val="3"/>
      </w:numPr>
      <w:tabs>
        <w:tab w:val="left" w:pos="2880"/>
      </w:tabs>
      <w:spacing w:after="120"/>
      <w:outlineLvl w:val="3"/>
    </w:pPr>
    <w:rPr>
      <w:b/>
      <w:snapToGrid w:val="0"/>
      <w:kern w:val="28"/>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outlineLvl w:val="4"/>
    </w:pPr>
    <w:rPr>
      <w:b/>
      <w:snapToGrid w:val="0"/>
      <w:kern w:val="28"/>
    </w:rPr>
  </w:style>
  <w:style w:type="paragraph" w:styleId="Heading6">
    <w:name w:val="heading 6"/>
    <w:basedOn w:val="Normal"/>
    <w:next w:val="ParaNum"/>
    <w:qFormat/>
    <w:rsid w:val="00036039"/>
    <w:pPr>
      <w:widowControl w:val="0"/>
      <w:numPr>
        <w:ilvl w:val="5"/>
        <w:numId w:val="3"/>
      </w:numPr>
      <w:tabs>
        <w:tab w:val="left" w:pos="4320"/>
      </w:tabs>
      <w:spacing w:after="120"/>
      <w:outlineLvl w:val="5"/>
    </w:pPr>
    <w:rPr>
      <w:b/>
      <w:snapToGrid w:val="0"/>
      <w:kern w:val="28"/>
    </w:rPr>
  </w:style>
  <w:style w:type="paragraph" w:styleId="Heading7">
    <w:name w:val="heading 7"/>
    <w:basedOn w:val="Normal"/>
    <w:next w:val="ParaNum"/>
    <w:qFormat/>
    <w:rsid w:val="00036039"/>
    <w:pPr>
      <w:widowControl w:val="0"/>
      <w:numPr>
        <w:ilvl w:val="6"/>
        <w:numId w:val="3"/>
      </w:numPr>
      <w:tabs>
        <w:tab w:val="left" w:pos="5040"/>
      </w:tabs>
      <w:spacing w:after="120"/>
      <w:ind w:left="5040" w:hanging="720"/>
      <w:outlineLvl w:val="6"/>
    </w:pPr>
    <w:rPr>
      <w:b/>
      <w:snapToGrid w:val="0"/>
      <w:kern w:val="28"/>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ind w:left="5760" w:hanging="720"/>
      <w:outlineLvl w:val="7"/>
    </w:pPr>
    <w:rPr>
      <w:b/>
      <w:snapToGrid w:val="0"/>
      <w:kern w:val="28"/>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ind w:left="6480" w:hanging="720"/>
      <w:outlineLvl w:val="8"/>
    </w:pPr>
    <w:rPr>
      <w:b/>
      <w:snapToGrid w:val="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widowControl w:val="0"/>
      <w:numPr>
        <w:numId w:val="2"/>
      </w:numPr>
      <w:tabs>
        <w:tab w:val="clear" w:pos="1080"/>
        <w:tab w:val="num" w:pos="1440"/>
      </w:tabs>
      <w:spacing w:after="120"/>
    </w:pPr>
    <w:rPr>
      <w:snapToGrid w:val="0"/>
      <w:kern w:val="28"/>
    </w:rPr>
  </w:style>
  <w:style w:type="paragraph" w:styleId="EndnoteText">
    <w:name w:val="endnote text"/>
    <w:basedOn w:val="Normal"/>
    <w:semiHidden/>
    <w:pPr>
      <w:widowControl w:val="0"/>
    </w:pPr>
    <w:rPr>
      <w:snapToGrid w:val="0"/>
      <w:kern w:val="28"/>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Pr>
      <w:rFonts w:ascii="Times New Roman" w:hAnsi="Times New Roman"/>
      <w:dstrike w:val="0"/>
      <w:color w:val="auto"/>
      <w:sz w:val="22"/>
      <w:vertAlign w:val="superscript"/>
    </w:rPr>
  </w:style>
  <w:style w:type="paragraph" w:styleId="TOC1">
    <w:name w:val="toc 1"/>
    <w:basedOn w:val="Normal"/>
    <w:next w:val="Normal"/>
    <w:uiPriority w:val="39"/>
    <w:pPr>
      <w:widowControl w:val="0"/>
      <w:tabs>
        <w:tab w:val="left" w:pos="360"/>
        <w:tab w:val="right" w:leader="dot" w:pos="9360"/>
      </w:tabs>
      <w:suppressAutoHyphens/>
      <w:ind w:left="360" w:right="720" w:hanging="360"/>
    </w:pPr>
    <w:rPr>
      <w:caps/>
      <w:noProof/>
      <w:snapToGrid w:val="0"/>
      <w:kern w:val="28"/>
    </w:rPr>
  </w:style>
  <w:style w:type="paragraph" w:styleId="TOC2">
    <w:name w:val="toc 2"/>
    <w:basedOn w:val="Normal"/>
    <w:next w:val="Normal"/>
    <w:semiHidden/>
    <w:pPr>
      <w:widowControl w:val="0"/>
      <w:tabs>
        <w:tab w:val="left" w:pos="720"/>
        <w:tab w:val="right" w:leader="dot" w:pos="9360"/>
      </w:tabs>
      <w:suppressAutoHyphens/>
      <w:ind w:left="720" w:right="720" w:hanging="360"/>
    </w:pPr>
    <w:rPr>
      <w:noProof/>
      <w:snapToGrid w:val="0"/>
      <w:kern w:val="28"/>
    </w:rPr>
  </w:style>
  <w:style w:type="paragraph" w:styleId="TOC3">
    <w:name w:val="toc 3"/>
    <w:basedOn w:val="Normal"/>
    <w:next w:val="Normal"/>
    <w:semiHidden/>
    <w:pPr>
      <w:widowControl w:val="0"/>
      <w:tabs>
        <w:tab w:val="left" w:pos="1080"/>
        <w:tab w:val="right" w:leader="dot" w:pos="9360"/>
      </w:tabs>
      <w:suppressAutoHyphens/>
      <w:ind w:left="1080" w:right="720" w:hanging="360"/>
    </w:pPr>
    <w:rPr>
      <w:noProof/>
      <w:snapToGrid w:val="0"/>
      <w:kern w:val="28"/>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noProof/>
      <w:snapToGrid w:val="0"/>
      <w:kern w:val="28"/>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noProof/>
      <w:snapToGrid w:val="0"/>
      <w:kern w:val="28"/>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noProof/>
      <w:snapToGrid w:val="0"/>
      <w:kern w:val="28"/>
    </w:rPr>
  </w:style>
  <w:style w:type="paragraph" w:styleId="TOC7">
    <w:name w:val="toc 7"/>
    <w:basedOn w:val="Normal"/>
    <w:next w:val="Normal"/>
    <w:autoRedefine/>
    <w:semiHidden/>
    <w:pPr>
      <w:widowControl w:val="0"/>
      <w:tabs>
        <w:tab w:val="left" w:pos="2520"/>
        <w:tab w:val="right" w:leader="dot" w:pos="9360"/>
      </w:tabs>
      <w:suppressAutoHyphens/>
      <w:ind w:left="2520" w:hanging="360"/>
    </w:pPr>
    <w:rPr>
      <w:noProof/>
      <w:snapToGrid w:val="0"/>
      <w:kern w:val="28"/>
    </w:rPr>
  </w:style>
  <w:style w:type="paragraph" w:styleId="TOC8">
    <w:name w:val="toc 8"/>
    <w:basedOn w:val="Normal"/>
    <w:next w:val="Normal"/>
    <w:autoRedefine/>
    <w:semiHidden/>
    <w:pPr>
      <w:widowControl w:val="0"/>
      <w:tabs>
        <w:tab w:val="left" w:pos="2880"/>
        <w:tab w:val="right" w:leader="dot" w:pos="9360"/>
      </w:tabs>
      <w:suppressAutoHyphens/>
      <w:ind w:left="2880" w:hanging="360"/>
    </w:pPr>
    <w:rPr>
      <w:noProof/>
      <w:snapToGrid w:val="0"/>
      <w:kern w:val="28"/>
    </w:rPr>
  </w:style>
  <w:style w:type="paragraph" w:styleId="TOC9">
    <w:name w:val="toc 9"/>
    <w:basedOn w:val="Normal"/>
    <w:next w:val="Normal"/>
    <w:autoRedefine/>
    <w:semiHidden/>
    <w:pPr>
      <w:widowControl w:val="0"/>
      <w:tabs>
        <w:tab w:val="left" w:pos="3240"/>
        <w:tab w:val="right" w:leader="dot" w:pos="9360"/>
      </w:tabs>
      <w:suppressAutoHyphens/>
      <w:ind w:left="3240" w:hanging="360"/>
    </w:pPr>
    <w:rPr>
      <w:noProof/>
      <w:snapToGrid w:val="0"/>
      <w:kern w:val="28"/>
    </w:rPr>
  </w:style>
  <w:style w:type="paragraph" w:styleId="TOAHeading">
    <w:name w:val="toa heading"/>
    <w:basedOn w:val="Normal"/>
    <w:next w:val="Normal"/>
    <w:semiHidden/>
    <w:pPr>
      <w:widowControl w:val="0"/>
      <w:tabs>
        <w:tab w:val="right" w:pos="9360"/>
      </w:tabs>
      <w:suppressAutoHyphens/>
    </w:pPr>
    <w:rPr>
      <w:snapToGrid w:val="0"/>
      <w:kern w:val="28"/>
    </w:rPr>
  </w:style>
  <w:style w:type="character" w:customStyle="1" w:styleId="EquationCaption">
    <w:name w:val="_Equation Caption"/>
  </w:style>
  <w:style w:type="paragraph" w:styleId="Header">
    <w:name w:val="header"/>
    <w:basedOn w:val="Normal"/>
    <w:autoRedefine/>
    <w:rsid w:val="00AF7072"/>
    <w:pPr>
      <w:widowControl w:val="0"/>
    </w:pPr>
    <w:rPr>
      <w:rFonts w:ascii="Arial" w:hAnsi="Arial" w:cs="Arial"/>
      <w:b/>
      <w:snapToGrid w:val="0"/>
      <w:kern w:val="28"/>
      <w:szCs w:val="22"/>
    </w:rPr>
  </w:style>
  <w:style w:type="paragraph" w:styleId="Footer">
    <w:name w:val="footer"/>
    <w:basedOn w:val="Normal"/>
    <w:link w:val="FooterChar"/>
    <w:uiPriority w:val="99"/>
    <w:pPr>
      <w:widowControl w:val="0"/>
      <w:tabs>
        <w:tab w:val="center" w:pos="4320"/>
        <w:tab w:val="right" w:pos="8640"/>
      </w:tabs>
    </w:pPr>
    <w:rPr>
      <w:snapToGrid w:val="0"/>
      <w:kern w:val="28"/>
    </w:rPr>
  </w:style>
  <w:style w:type="character" w:styleId="PageNumber">
    <w:name w:val="page number"/>
    <w:basedOn w:val="DefaultParagraphFont"/>
  </w:style>
  <w:style w:type="paragraph" w:styleId="BlockText">
    <w:name w:val="Block Text"/>
    <w:basedOn w:val="Normal"/>
    <w:pPr>
      <w:widowControl w:val="0"/>
      <w:spacing w:after="240"/>
      <w:ind w:left="1440" w:right="1440"/>
    </w:pPr>
    <w:rPr>
      <w:snapToGrid w:val="0"/>
      <w:kern w:val="28"/>
    </w:rPr>
  </w:style>
  <w:style w:type="paragraph" w:customStyle="1" w:styleId="Paratitle">
    <w:name w:val="Para title"/>
    <w:basedOn w:val="Normal"/>
    <w:pPr>
      <w:widowControl w:val="0"/>
      <w:tabs>
        <w:tab w:val="center" w:pos="9270"/>
      </w:tabs>
      <w:spacing w:after="240"/>
    </w:pPr>
    <w:rPr>
      <w:snapToGrid w:val="0"/>
      <w:spacing w:val="-2"/>
      <w:kern w:val="28"/>
    </w:rPr>
  </w:style>
  <w:style w:type="paragraph" w:customStyle="1" w:styleId="Bullet">
    <w:name w:val="Bullet"/>
    <w:basedOn w:val="Normal"/>
    <w:pPr>
      <w:widowControl w:val="0"/>
      <w:numPr>
        <w:numId w:val="1"/>
      </w:numPr>
      <w:tabs>
        <w:tab w:val="clear" w:pos="360"/>
        <w:tab w:val="left" w:pos="2160"/>
      </w:tabs>
      <w:spacing w:after="220"/>
      <w:ind w:left="2160" w:hanging="720"/>
    </w:pPr>
    <w:rPr>
      <w:snapToGrid w:val="0"/>
      <w:kern w:val="28"/>
    </w:r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hAnsi="Times New Roman Bold"/>
      <w:b/>
      <w:caps/>
      <w:snapToGrid w:val="0"/>
      <w:spacing w:val="-2"/>
      <w:kern w:val="28"/>
    </w:rPr>
  </w:style>
  <w:style w:type="paragraph" w:customStyle="1" w:styleId="StyleBoldCentered">
    <w:name w:val="Style Bold Centered"/>
    <w:basedOn w:val="Normal"/>
    <w:rsid w:val="00096D8C"/>
    <w:pPr>
      <w:widowControl w:val="0"/>
      <w:jc w:val="center"/>
    </w:pPr>
    <w:rPr>
      <w:rFonts w:ascii="Times New Roman Bold" w:hAnsi="Times New Roman Bold"/>
      <w:b/>
      <w:bCs/>
      <w:caps/>
      <w:snapToGrid w:val="0"/>
      <w:kern w:val="28"/>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F72330"/>
    <w:pPr>
      <w:widowControl w:val="0"/>
    </w:pPr>
    <w:rPr>
      <w:rFonts w:ascii="Segoe UI" w:hAnsi="Segoe UI" w:cs="Segoe UI"/>
      <w:snapToGrid w:val="0"/>
      <w:kern w:val="28"/>
      <w:sz w:val="18"/>
      <w:szCs w:val="18"/>
    </w:rPr>
  </w:style>
  <w:style w:type="character" w:customStyle="1" w:styleId="BalloonTextChar">
    <w:name w:val="Balloon Text Char"/>
    <w:link w:val="BalloonText"/>
    <w:uiPriority w:val="99"/>
    <w:semiHidden/>
    <w:rsid w:val="00F72330"/>
    <w:rPr>
      <w:rFonts w:ascii="Segoe UI" w:hAnsi="Segoe UI" w:cs="Segoe UI"/>
      <w:snapToGrid w:val="0"/>
      <w:kern w:val="28"/>
      <w:sz w:val="18"/>
      <w:szCs w:val="18"/>
      <w:lang w:bidi="ar-SA"/>
    </w:rPr>
  </w:style>
  <w:style w:type="character" w:customStyle="1" w:styleId="UnresolvedMention1">
    <w:name w:val="Unresolved Mention1"/>
    <w:uiPriority w:val="99"/>
    <w:semiHidden/>
    <w:unhideWhenUsed/>
    <w:rsid w:val="00F72330"/>
    <w:rPr>
      <w:color w:val="605E5C"/>
      <w:shd w:val="clear" w:color="auto" w:fill="E1DFDD"/>
    </w:rPr>
  </w:style>
  <w:style w:type="character" w:styleId="CommentReference">
    <w:name w:val="annotation reference"/>
    <w:uiPriority w:val="99"/>
    <w:semiHidden/>
    <w:unhideWhenUsed/>
    <w:rsid w:val="00A72403"/>
    <w:rPr>
      <w:sz w:val="16"/>
      <w:szCs w:val="16"/>
    </w:rPr>
  </w:style>
  <w:style w:type="paragraph" w:styleId="CommentText">
    <w:name w:val="annotation text"/>
    <w:basedOn w:val="Normal"/>
    <w:link w:val="CommentTextChar"/>
    <w:uiPriority w:val="99"/>
    <w:semiHidden/>
    <w:unhideWhenUsed/>
    <w:rsid w:val="00A72403"/>
    <w:pPr>
      <w:widowControl w:val="0"/>
    </w:pPr>
    <w:rPr>
      <w:snapToGrid w:val="0"/>
      <w:kern w:val="28"/>
      <w:sz w:val="20"/>
    </w:rPr>
  </w:style>
  <w:style w:type="character" w:customStyle="1" w:styleId="CommentTextChar">
    <w:name w:val="Comment Text Char"/>
    <w:link w:val="CommentText"/>
    <w:uiPriority w:val="99"/>
    <w:semiHidden/>
    <w:rsid w:val="00A72403"/>
    <w:rPr>
      <w:snapToGrid w:val="0"/>
      <w:kern w:val="28"/>
      <w:lang w:bidi="ar-SA"/>
    </w:rPr>
  </w:style>
  <w:style w:type="paragraph" w:styleId="CommentSubject">
    <w:name w:val="annotation subject"/>
    <w:basedOn w:val="CommentText"/>
    <w:next w:val="CommentText"/>
    <w:link w:val="CommentSubjectChar"/>
    <w:uiPriority w:val="99"/>
    <w:semiHidden/>
    <w:unhideWhenUsed/>
    <w:rsid w:val="00A72403"/>
    <w:rPr>
      <w:b/>
      <w:bCs/>
    </w:rPr>
  </w:style>
  <w:style w:type="character" w:customStyle="1" w:styleId="CommentSubjectChar">
    <w:name w:val="Comment Subject Char"/>
    <w:link w:val="CommentSubject"/>
    <w:uiPriority w:val="99"/>
    <w:semiHidden/>
    <w:rsid w:val="00A72403"/>
    <w:rPr>
      <w:b/>
      <w:bCs/>
      <w:snapToGrid w:val="0"/>
      <w:kern w:val="28"/>
      <w:lang w:bidi="ar-SA"/>
    </w:rPr>
  </w:style>
  <w:style w:type="paragraph" w:styleId="Revision">
    <w:name w:val="Revision"/>
    <w:hidden/>
    <w:uiPriority w:val="99"/>
    <w:semiHidden/>
    <w:rsid w:val="00C93B27"/>
    <w:rPr>
      <w:snapToGrid w:val="0"/>
      <w:kern w:val="28"/>
      <w:sz w:val="22"/>
    </w:rPr>
  </w:style>
  <w:style w:type="character" w:customStyle="1" w:styleId="UnresolvedMention2">
    <w:name w:val="Unresolved Mention2"/>
    <w:uiPriority w:val="99"/>
    <w:semiHidden/>
    <w:unhideWhenUsed/>
    <w:rsid w:val="00BF6069"/>
    <w:rPr>
      <w:color w:val="605E5C"/>
      <w:shd w:val="clear" w:color="auto" w:fill="E1DFDD"/>
    </w:rPr>
  </w:style>
  <w:style w:type="character" w:customStyle="1" w:styleId="FootnoteTextChar">
    <w:name w:val="Footnote Text Char"/>
    <w:basedOn w:val="DefaultParagraphFont"/>
    <w:link w:val="FootnoteText"/>
    <w:uiPriority w:val="99"/>
    <w:rsid w:val="00983810"/>
  </w:style>
  <w:style w:type="paragraph" w:styleId="PlainText">
    <w:name w:val="Plain Text"/>
    <w:basedOn w:val="Normal"/>
    <w:link w:val="PlainTextChar"/>
    <w:uiPriority w:val="99"/>
    <w:unhideWhenUsed/>
    <w:rsid w:val="00983810"/>
    <w:rPr>
      <w:rFonts w:ascii="Consolas" w:eastAsia="Calibri" w:hAnsi="Consolas" w:cs="Arial"/>
      <w:sz w:val="21"/>
      <w:szCs w:val="21"/>
    </w:rPr>
  </w:style>
  <w:style w:type="character" w:customStyle="1" w:styleId="PlainTextChar">
    <w:name w:val="Plain Text Char"/>
    <w:link w:val="PlainText"/>
    <w:uiPriority w:val="99"/>
    <w:rsid w:val="00983810"/>
    <w:rPr>
      <w:rFonts w:ascii="Consolas" w:eastAsia="Calibri" w:hAnsi="Consolas" w:cs="Arial"/>
      <w:sz w:val="21"/>
      <w:szCs w:val="21"/>
    </w:rPr>
  </w:style>
  <w:style w:type="character" w:customStyle="1" w:styleId="InternetLink">
    <w:name w:val="Internet Link"/>
    <w:rsid w:val="00983810"/>
    <w:rPr>
      <w:color w:val="0000FF"/>
      <w:u w:val="single"/>
    </w:rPr>
  </w:style>
  <w:style w:type="character" w:customStyle="1" w:styleId="UnresolvedMention3">
    <w:name w:val="Unresolved Mention3"/>
    <w:uiPriority w:val="99"/>
    <w:semiHidden/>
    <w:unhideWhenUsed/>
    <w:rsid w:val="0039081F"/>
    <w:rPr>
      <w:color w:val="605E5C"/>
      <w:shd w:val="clear" w:color="auto" w:fill="E1DFDD"/>
    </w:rPr>
  </w:style>
  <w:style w:type="paragraph" w:styleId="ListParagraph">
    <w:name w:val="List Paragraph"/>
    <w:basedOn w:val="Normal"/>
    <w:uiPriority w:val="34"/>
    <w:qFormat/>
    <w:rsid w:val="008152CC"/>
    <w:pPr>
      <w:widowControl w:val="0"/>
      <w:ind w:left="720"/>
      <w:contextualSpacing/>
    </w:pPr>
    <w:rPr>
      <w:snapToGrid w:val="0"/>
      <w:kern w:val="28"/>
    </w:rPr>
  </w:style>
  <w:style w:type="character" w:styleId="FollowedHyperlink">
    <w:name w:val="FollowedHyperlink"/>
    <w:uiPriority w:val="99"/>
    <w:semiHidden/>
    <w:unhideWhenUsed/>
    <w:rsid w:val="00C849EA"/>
    <w:rPr>
      <w:color w:val="954F72"/>
      <w:u w:val="single"/>
    </w:rPr>
  </w:style>
  <w:style w:type="character" w:customStyle="1" w:styleId="UnresolvedMention">
    <w:name w:val="Unresolved Mention"/>
    <w:basedOn w:val="DefaultParagraphFont"/>
    <w:uiPriority w:val="99"/>
    <w:rsid w:val="00B05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Ty.Bream@fcc.gov" TargetMode="External" /><Relationship Id="rId6" Type="http://schemas.openxmlformats.org/officeDocument/2006/relationships/hyperlink" Target="mailto:Janice.Wise@fc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