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3D41B041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1C1384FB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33E16315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68A2E48F" w14:textId="77777777"/>
    <w:p w:rsidR="004C2EE3" w:rsidP="0070224F" w14:paraId="4C272A2D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22CD3A6B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1589CD3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6292EB7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7115F7" w14:paraId="784329BA" w14:textId="199D15C1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Allocation of Spectrum for Non-Federal Space Launch Operations</w:t>
            </w:r>
          </w:p>
          <w:p w:rsidR="00F0090F" w:rsidP="007115F7" w14:paraId="2445C46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F0090F" w:rsidP="007115F7" w14:paraId="7F371BE5" w14:textId="520C7F8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Amendment of Part 2 of the Commission’s Rules for Federal Earth Stations Communicating with Non-Federal Fixed Satellite Service Space Stations</w:t>
            </w:r>
            <w:r w:rsidR="00A86E4F">
              <w:rPr>
                <w:spacing w:val="-2"/>
              </w:rPr>
              <w:t>; and</w:t>
            </w:r>
          </w:p>
          <w:p w:rsidR="00F0090F" w:rsidP="007115F7" w14:paraId="35E4C74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F0090F" w:rsidRPr="007115F7" w:rsidP="007115F7" w14:paraId="3960BD7A" w14:textId="0716161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Federal Space Station Use of the 399.9-400.05 MHz Band</w:t>
            </w:r>
          </w:p>
        </w:tc>
        <w:tc>
          <w:tcPr>
            <w:tcW w:w="630" w:type="dxa"/>
          </w:tcPr>
          <w:p w:rsidR="004C2EE3" w14:paraId="4F51CB7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FF7350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9BAFCA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57A7C3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6FC07A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DBE319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4812FD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B16328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285128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002EE" w14:paraId="01FF001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002EE" w14:paraId="2FB0AE8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002EE" w14:paraId="4D9D9845" w14:textId="2823C39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31E77B7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18793DE2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486E23D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ET </w:t>
            </w:r>
            <w:r w:rsidR="00F0090F">
              <w:rPr>
                <w:spacing w:val="-2"/>
              </w:rPr>
              <w:t>Docket No. 13-115</w:t>
            </w:r>
          </w:p>
          <w:p w:rsidR="00F0090F" w14:paraId="105F727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A002EE" w14:paraId="4A6785D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F0090F" w14:paraId="7E47C7E9" w14:textId="15BB383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RM 11341</w:t>
            </w:r>
          </w:p>
        </w:tc>
      </w:tr>
    </w:tbl>
    <w:p w:rsidR="004C2EE3" w:rsidP="0070224F" w14:paraId="3646EF9E" w14:textId="77777777"/>
    <w:p w:rsidR="006D2C6C" w:rsidP="00F021FA" w14:paraId="51EDFBD3" w14:textId="77777777">
      <w:pPr>
        <w:pStyle w:val="StyleBoldCentered"/>
      </w:pPr>
    </w:p>
    <w:p w:rsidR="00841AB1" w:rsidP="00F021FA" w14:paraId="5A634495" w14:textId="7714793C">
      <w:pPr>
        <w:pStyle w:val="StyleBoldCentered"/>
      </w:pPr>
      <w:r>
        <w:t>order</w:t>
      </w:r>
    </w:p>
    <w:p w:rsidR="004C2EE3" w14:paraId="2D4AED35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2E7AE55E" w14:textId="12CC1C01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2967B2">
        <w:rPr>
          <w:b/>
          <w:spacing w:val="-2"/>
        </w:rPr>
        <w:t>Jul</w:t>
      </w:r>
      <w:r w:rsidR="006B64D0">
        <w:rPr>
          <w:b/>
          <w:spacing w:val="-2"/>
        </w:rPr>
        <w:t xml:space="preserve">y </w:t>
      </w:r>
      <w:r w:rsidR="00417B1D">
        <w:rPr>
          <w:b/>
          <w:spacing w:val="-2"/>
        </w:rPr>
        <w:t>7</w:t>
      </w:r>
      <w:r w:rsidR="006B64D0">
        <w:rPr>
          <w:b/>
          <w:spacing w:val="-2"/>
        </w:rPr>
        <w:t>, 2021</w:t>
      </w:r>
      <w:r w:rsidR="006B64D0">
        <w:rPr>
          <w:b/>
          <w:spacing w:val="-2"/>
        </w:rPr>
        <w:tab/>
        <w:t xml:space="preserve">Released:  July </w:t>
      </w:r>
      <w:r w:rsidR="00417B1D">
        <w:rPr>
          <w:b/>
          <w:spacing w:val="-2"/>
        </w:rPr>
        <w:t>7</w:t>
      </w:r>
      <w:r w:rsidR="006B64D0">
        <w:rPr>
          <w:b/>
          <w:spacing w:val="-2"/>
        </w:rPr>
        <w:t>, 2021</w:t>
      </w:r>
    </w:p>
    <w:p w:rsidR="00822CE0" w14:paraId="3BBE1C31" w14:textId="77777777"/>
    <w:p w:rsidR="006B64D0" w14:paraId="4E0CEE57" w14:textId="3B5B1008">
      <w:pPr>
        <w:rPr>
          <w:b/>
          <w:spacing w:val="-2"/>
        </w:rPr>
      </w:pPr>
      <w:r>
        <w:rPr>
          <w:b/>
          <w:spacing w:val="-2"/>
        </w:rPr>
        <w:t>Comment Date:</w:t>
      </w:r>
      <w:r w:rsidR="009B5EAF">
        <w:rPr>
          <w:b/>
          <w:spacing w:val="-2"/>
        </w:rPr>
        <w:t xml:space="preserve">  </w:t>
      </w:r>
      <w:r w:rsidR="00C14488">
        <w:rPr>
          <w:b/>
          <w:spacing w:val="-2"/>
        </w:rPr>
        <w:t xml:space="preserve">August </w:t>
      </w:r>
      <w:r w:rsidR="00EE0AE7">
        <w:rPr>
          <w:b/>
          <w:spacing w:val="-2"/>
        </w:rPr>
        <w:t>11</w:t>
      </w:r>
      <w:r w:rsidR="00C14488">
        <w:rPr>
          <w:b/>
          <w:spacing w:val="-2"/>
        </w:rPr>
        <w:t>, 2021</w:t>
      </w:r>
    </w:p>
    <w:p w:rsidR="006B64D0" w14:paraId="1DFBF08B" w14:textId="2F82C931">
      <w:pPr>
        <w:rPr>
          <w:b/>
          <w:spacing w:val="-2"/>
        </w:rPr>
      </w:pPr>
      <w:r>
        <w:rPr>
          <w:b/>
          <w:spacing w:val="-2"/>
        </w:rPr>
        <w:t>Reply Comment Date:  September</w:t>
      </w:r>
      <w:r w:rsidR="00C14488">
        <w:rPr>
          <w:b/>
          <w:spacing w:val="-2"/>
        </w:rPr>
        <w:t xml:space="preserve"> </w:t>
      </w:r>
      <w:r w:rsidR="00CA1AA9">
        <w:rPr>
          <w:b/>
          <w:spacing w:val="-2"/>
        </w:rPr>
        <w:t>10</w:t>
      </w:r>
      <w:r w:rsidR="00C14488">
        <w:rPr>
          <w:b/>
          <w:spacing w:val="-2"/>
        </w:rPr>
        <w:t>, 2021</w:t>
      </w:r>
    </w:p>
    <w:p w:rsidR="006B64D0" w14:paraId="0F606CD5" w14:textId="77777777"/>
    <w:p w:rsidR="004C2EE3" w14:paraId="074C63DD" w14:textId="168A2DD4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6B64D0">
        <w:rPr>
          <w:spacing w:val="-2"/>
        </w:rPr>
        <w:t>Acting Chief, Office of Engineering and Technology</w:t>
      </w:r>
    </w:p>
    <w:p w:rsidR="00822CE0" w14:paraId="189FC385" w14:textId="77777777">
      <w:pPr>
        <w:rPr>
          <w:spacing w:val="-2"/>
        </w:rPr>
      </w:pPr>
    </w:p>
    <w:p w:rsidR="00175976" w:rsidP="00175976" w14:paraId="038E2E8D" w14:textId="158BD6D9">
      <w:pPr>
        <w:pStyle w:val="ParaNum"/>
      </w:pPr>
      <w:r>
        <w:t xml:space="preserve">By this Order, the </w:t>
      </w:r>
      <w:r w:rsidR="002105BB">
        <w:t xml:space="preserve">Office of Engineering and Technology of the Federal Communications Commission grants a 30-day extension of time for filing comments </w:t>
      </w:r>
      <w:r w:rsidR="00D5350C">
        <w:t>on the Further Notice of Proposed Rulemakin</w:t>
      </w:r>
      <w:r w:rsidR="00916C5D">
        <w:t>g</w:t>
      </w:r>
      <w:r w:rsidR="00E74677">
        <w:t xml:space="preserve"> in the above-captioned </w:t>
      </w:r>
      <w:r w:rsidR="0076670F">
        <w:t>proceedings</w:t>
      </w:r>
      <w:r w:rsidR="00D10EFD">
        <w:t>, with reply comments due 30 days later</w:t>
      </w:r>
      <w:r w:rsidR="0076670F">
        <w:t xml:space="preserve">.  </w:t>
      </w:r>
      <w:r w:rsidR="000254FD">
        <w:t xml:space="preserve">With this extension, comments are due on August </w:t>
      </w:r>
      <w:r w:rsidR="0028173F">
        <w:t>11</w:t>
      </w:r>
      <w:r w:rsidR="000254FD">
        <w:t xml:space="preserve">, 2021, and reply comments are due on September </w:t>
      </w:r>
      <w:r w:rsidR="0093552D">
        <w:t>10</w:t>
      </w:r>
      <w:r w:rsidR="000254FD">
        <w:t>, 2021.</w:t>
      </w:r>
    </w:p>
    <w:p w:rsidR="00E72B65" w:rsidP="00175976" w14:paraId="79F1C05B" w14:textId="5D84E5B2">
      <w:pPr>
        <w:pStyle w:val="ParaNum"/>
      </w:pPr>
      <w:r>
        <w:t xml:space="preserve">On </w:t>
      </w:r>
      <w:r w:rsidR="00A4479B">
        <w:t xml:space="preserve">April 22, 2021, the Commission </w:t>
      </w:r>
      <w:r w:rsidR="006F2C75">
        <w:t xml:space="preserve">adopted and released a Report and Order and Further Notice of Proposed Rulemaking </w:t>
      </w:r>
      <w:r w:rsidR="00155E43">
        <w:t>(Further Notice).</w:t>
      </w:r>
      <w:r>
        <w:rPr>
          <w:rStyle w:val="FootnoteReference"/>
        </w:rPr>
        <w:footnoteReference w:id="3"/>
      </w:r>
      <w:r w:rsidR="00155E43">
        <w:t xml:space="preserve">  Among other things, the Further Notice sought comment on </w:t>
      </w:r>
      <w:r w:rsidR="00437080">
        <w:t xml:space="preserve">new </w:t>
      </w:r>
      <w:r w:rsidR="006F2C75">
        <w:t xml:space="preserve">allocations and service rules for </w:t>
      </w:r>
      <w:r w:rsidR="0029433A">
        <w:t xml:space="preserve">non-Federal space launch operations, </w:t>
      </w:r>
      <w:r w:rsidR="00155E43">
        <w:t xml:space="preserve">expanded Federal use of </w:t>
      </w:r>
      <w:r w:rsidR="000035C8">
        <w:t xml:space="preserve">non-Federal fixed and mobile satellite service bands, </w:t>
      </w:r>
      <w:r w:rsidR="00A7544E">
        <w:t>and use of the 399.9-400.05 MHz mobile satellite service band</w:t>
      </w:r>
      <w:r w:rsidR="001A6263">
        <w:t xml:space="preserve"> by Federal space stations.</w:t>
      </w:r>
      <w:r>
        <w:rPr>
          <w:rStyle w:val="FootnoteReference"/>
        </w:rPr>
        <w:footnoteReference w:id="4"/>
      </w:r>
      <w:r w:rsidR="00437080">
        <w:t xml:space="preserve"> </w:t>
      </w:r>
      <w:r w:rsidR="00E63FF7">
        <w:t xml:space="preserve"> The Further Notice was published in the Federal Register on June 10, 2021, </w:t>
      </w:r>
      <w:r w:rsidR="00866770">
        <w:t xml:space="preserve">stating that comments are due </w:t>
      </w:r>
      <w:r w:rsidR="00496613">
        <w:t>on July 12, 2021, and reply comments are due on August 9, 2021.</w:t>
      </w:r>
      <w:r>
        <w:rPr>
          <w:rStyle w:val="FootnoteReference"/>
        </w:rPr>
        <w:footnoteReference w:id="5"/>
      </w:r>
    </w:p>
    <w:p w:rsidR="000254FD" w:rsidP="00175976" w14:paraId="4B072C2D" w14:textId="129D9D26">
      <w:pPr>
        <w:pStyle w:val="ParaNum"/>
      </w:pPr>
      <w:r>
        <w:t>On</w:t>
      </w:r>
      <w:r w:rsidR="00E72B65">
        <w:t xml:space="preserve"> June 30, 2021, </w:t>
      </w:r>
      <w:r w:rsidR="00871EA5">
        <w:t>Blue Origin, Relativity Space Inc., Sierra Space Corp., Virgin Galactic, and Virgin Orbit (</w:t>
      </w:r>
      <w:r w:rsidR="002C4CC4">
        <w:t>Requesters) filed a joint request to extend the comment and reply comment deadlines by 30 days each</w:t>
      </w:r>
      <w:r w:rsidR="00E63FF7">
        <w:t>.</w:t>
      </w:r>
      <w:r>
        <w:rPr>
          <w:rStyle w:val="FootnoteReference"/>
        </w:rPr>
        <w:footnoteReference w:id="6"/>
      </w:r>
      <w:r w:rsidR="00D656AB">
        <w:t xml:space="preserve">  Requesters assert that, among other things,</w:t>
      </w:r>
      <w:r w:rsidR="00590495">
        <w:t xml:space="preserve"> “this proceeding involves </w:t>
      </w:r>
      <w:r w:rsidR="00590495">
        <w:t xml:space="preserve">complex technical questions, </w:t>
      </w:r>
      <w:r w:rsidR="00F55E01">
        <w:t>the answers to which are closely tied to cutting-edge spectrum use and rapidly evolving commercial space launch technology</w:t>
      </w:r>
      <w:r w:rsidR="009E1703">
        <w:t>[,]” and that “[t]he policy issues involved are equally complex and far-reaching, with the potential to impact the entire commercial space launch industry.”</w:t>
      </w:r>
      <w:r>
        <w:rPr>
          <w:rStyle w:val="FootnoteReference"/>
        </w:rPr>
        <w:footnoteReference w:id="7"/>
      </w:r>
      <w:r w:rsidR="00E10046">
        <w:t xml:space="preserve">  Requesters also note that </w:t>
      </w:r>
      <w:r w:rsidR="006B6A5B">
        <w:t>“</w:t>
      </w:r>
      <w:r w:rsidR="00E10046">
        <w:t>the comment period falls over two Federal holidays</w:t>
      </w:r>
      <w:r w:rsidR="009F1AD7">
        <w:t>—Juneteenth National Independence Day and the Fourth of July.</w:t>
      </w:r>
      <w:r w:rsidR="00FF551C">
        <w:t>”</w:t>
      </w:r>
      <w:r>
        <w:rPr>
          <w:rStyle w:val="FootnoteReference"/>
        </w:rPr>
        <w:footnoteReference w:id="8"/>
      </w:r>
      <w:r w:rsidR="00FF551C">
        <w:t xml:space="preserve">  Accordingly, Requesters claim that </w:t>
      </w:r>
      <w:r w:rsidR="00096A1D">
        <w:t>“[a]n extension of time will allow interested parties and their experts the opportunity to better analyze the questions posed in the FNPRM and their real-world implications, thus allowing them to prepare more thorough responses.”</w:t>
      </w:r>
      <w:r>
        <w:rPr>
          <w:rStyle w:val="FootnoteReference"/>
        </w:rPr>
        <w:footnoteReference w:id="9"/>
      </w:r>
    </w:p>
    <w:p w:rsidR="00D46E54" w:rsidP="00175976" w14:paraId="58AB7E83" w14:textId="17936730">
      <w:pPr>
        <w:pStyle w:val="ParaNum"/>
      </w:pPr>
      <w:r>
        <w:t>As set forth in section 1.46 of the Commission’s rules,</w:t>
      </w:r>
      <w:r>
        <w:rPr>
          <w:rStyle w:val="FootnoteReference"/>
        </w:rPr>
        <w:footnoteReference w:id="10"/>
      </w:r>
      <w:r w:rsidR="009E360E">
        <w:t xml:space="preserve"> it is the policy of the Commission that extensions of time shall not be routinely granted.  The deadlines </w:t>
      </w:r>
      <w:r w:rsidR="00060E32">
        <w:t xml:space="preserve">established by publication of the Further Notice in the Federal Register </w:t>
      </w:r>
      <w:r w:rsidR="00FE782B">
        <w:t xml:space="preserve">provided interested parties more than a month to submit comments, and an additional month for reply comments.  Nevertheless, </w:t>
      </w:r>
      <w:r w:rsidR="004604C4">
        <w:t xml:space="preserve">given the technical complexity </w:t>
      </w:r>
      <w:r w:rsidR="000C102E">
        <w:t xml:space="preserve">of issues in this proceeding, </w:t>
      </w:r>
      <w:r w:rsidR="00FE782B">
        <w:t>we find that Requesters have shown good cause for an extension of the comment cycle, and that the public interest will be served by extending the comment and reply deadlines</w:t>
      </w:r>
      <w:r w:rsidR="000C102E">
        <w:t xml:space="preserve"> to ensure a more fully developed record in response to the Further Notice</w:t>
      </w:r>
      <w:r w:rsidR="00FE782B">
        <w:t xml:space="preserve">.  </w:t>
      </w:r>
      <w:r w:rsidR="00B13F44">
        <w:t xml:space="preserve">Under such circumstances, we agree that an extension of 30 days for </w:t>
      </w:r>
      <w:r w:rsidR="00C168E4">
        <w:t>filing comments</w:t>
      </w:r>
      <w:r w:rsidR="00B13F44">
        <w:t xml:space="preserve"> is warranted</w:t>
      </w:r>
      <w:r w:rsidR="001E56E6">
        <w:t xml:space="preserve">, </w:t>
      </w:r>
      <w:r w:rsidR="00D10EFD">
        <w:t xml:space="preserve">with </w:t>
      </w:r>
      <w:r w:rsidR="007B602F">
        <w:t xml:space="preserve">reply comments due 30 days </w:t>
      </w:r>
      <w:r w:rsidR="00CF31FD">
        <w:t>later.</w:t>
      </w:r>
    </w:p>
    <w:p w:rsidR="004C5E8C" w:rsidP="00175976" w14:paraId="1442C704" w14:textId="77777777">
      <w:pPr>
        <w:pStyle w:val="ParaNum"/>
      </w:pPr>
      <w:r>
        <w:t xml:space="preserve">Accordingly, IT IS ORDERED, pursuant to sections 0.204, 0.291, </w:t>
      </w:r>
      <w:r w:rsidR="00314E83">
        <w:t xml:space="preserve">and 1.46 of the Commission’s rules, 47 CFR §§ 0.204, 0.291, 1.46, that the Joint Request </w:t>
      </w:r>
      <w:r>
        <w:t>for Extension of Comment Deadline filed by Requesters on June 30, 2021 is GRANTED to the extent described herein.</w:t>
      </w:r>
    </w:p>
    <w:p w:rsidR="00D02B96" w:rsidP="00175976" w14:paraId="2886F251" w14:textId="01BA277A">
      <w:pPr>
        <w:pStyle w:val="ParaNum"/>
      </w:pPr>
      <w:r>
        <w:t xml:space="preserve">IT IS ALSO ORDERED that the date for filing comments on the Further Notice is EXTENDED to August </w:t>
      </w:r>
      <w:r w:rsidR="00CA1AA9">
        <w:t>11</w:t>
      </w:r>
      <w:r>
        <w:t xml:space="preserve">, 2021, and the date for filing reply comments is EXTENDED to September </w:t>
      </w:r>
      <w:r w:rsidR="00CA1AA9">
        <w:t>10</w:t>
      </w:r>
      <w:r>
        <w:t>, 2021.</w:t>
      </w:r>
    </w:p>
    <w:p w:rsidR="00BE18C4" w:rsidP="00175976" w14:paraId="0FC3F978" w14:textId="77777777">
      <w:pPr>
        <w:pStyle w:val="ParaNum"/>
      </w:pPr>
      <w:r>
        <w:t xml:space="preserve">To request materials in accessible formats (such as Braille, large print, electronic files, or audio format), send an e-mail to: </w:t>
      </w:r>
      <w:hyperlink r:id="rId5" w:history="1">
        <w:r w:rsidRPr="00B04EEE">
          <w:rPr>
            <w:rStyle w:val="Hyperlink"/>
          </w:rPr>
          <w:t>fcc504@fcc.gov</w:t>
        </w:r>
      </w:hyperlink>
      <w:r w:rsidR="004C31AF">
        <w:t>,</w:t>
      </w:r>
      <w:r>
        <w:t xml:space="preserve"> </w:t>
      </w:r>
      <w:r w:rsidR="004C31AF">
        <w:t>or call the Consumer and Governmental Affairs Bureau at (202) 418-0530 (voice) or (202) 418-0432 (TTY).</w:t>
      </w:r>
    </w:p>
    <w:p w:rsidR="00A16E98" w:rsidP="00175976" w14:paraId="545C947B" w14:textId="120354B9">
      <w:pPr>
        <w:pStyle w:val="ParaNum"/>
      </w:pPr>
      <w:r>
        <w:t xml:space="preserve">For further information concerning this proceeding, please contact </w:t>
      </w:r>
      <w:r w:rsidR="00C81CF2">
        <w:t>Thomas Struble, Office of the Chief Engineer</w:t>
      </w:r>
      <w:r w:rsidR="00DF27D4">
        <w:t xml:space="preserve">, </w:t>
      </w:r>
      <w:r>
        <w:t>Office of Engineering and Technology</w:t>
      </w:r>
      <w:r w:rsidR="00DF27D4">
        <w:t>,</w:t>
      </w:r>
      <w:r w:rsidR="00314E83">
        <w:t xml:space="preserve"> </w:t>
      </w:r>
      <w:r w:rsidR="00DF27D4">
        <w:t>(202) 418-</w:t>
      </w:r>
      <w:r w:rsidR="00C21308">
        <w:t>7581</w:t>
      </w:r>
      <w:r w:rsidR="00216562">
        <w:t xml:space="preserve">, </w:t>
      </w:r>
      <w:hyperlink r:id="rId6" w:history="1">
        <w:r w:rsidRPr="00F3503F" w:rsidR="00C81CF2">
          <w:rPr>
            <w:rStyle w:val="Hyperlink"/>
          </w:rPr>
          <w:t>Thomas.Struble@fcc.gov</w:t>
        </w:r>
      </w:hyperlink>
      <w:r w:rsidR="00C81CF2">
        <w:t xml:space="preserve">. </w:t>
      </w:r>
    </w:p>
    <w:p w:rsidR="00A16E98" w:rsidP="00A16E98" w14:paraId="1E4749A7" w14:textId="77777777">
      <w:pPr>
        <w:pStyle w:val="ParaNum"/>
        <w:numPr>
          <w:ilvl w:val="0"/>
          <w:numId w:val="0"/>
        </w:numPr>
        <w:ind w:firstLine="720"/>
      </w:pPr>
    </w:p>
    <w:p w:rsidR="00A16E98" w:rsidP="00A16E98" w14:paraId="578E52B9" w14:textId="77777777">
      <w:pPr>
        <w:pStyle w:val="ParaNum"/>
        <w:numPr>
          <w:ilvl w:val="0"/>
          <w:numId w:val="0"/>
        </w:numPr>
        <w:ind w:left="4320"/>
      </w:pPr>
      <w:r>
        <w:t>FEDERAL COMMUNICATIONS COMMISSION</w:t>
      </w:r>
    </w:p>
    <w:p w:rsidR="00A16E98" w:rsidP="00A16E98" w14:paraId="00396C44" w14:textId="77777777">
      <w:pPr>
        <w:pStyle w:val="ParaNum"/>
        <w:numPr>
          <w:ilvl w:val="0"/>
          <w:numId w:val="0"/>
        </w:numPr>
        <w:ind w:left="4320"/>
      </w:pPr>
    </w:p>
    <w:p w:rsidR="007A319B" w:rsidP="007A319B" w14:paraId="2B8F27BB" w14:textId="77777777">
      <w:pPr>
        <w:ind w:left="3600" w:firstLine="720"/>
      </w:pPr>
      <w:r>
        <w:t>Ronald T. Repasi</w:t>
      </w:r>
    </w:p>
    <w:p w:rsidR="007A319B" w:rsidP="007A319B" w14:paraId="225620D1" w14:textId="77777777">
      <w:pPr>
        <w:ind w:left="3600" w:firstLine="720"/>
      </w:pPr>
      <w:r>
        <w:t>Acting Chief</w:t>
      </w:r>
    </w:p>
    <w:p w:rsidR="00D12DCA" w:rsidRPr="00175976" w:rsidP="007A319B" w14:paraId="17708D7D" w14:textId="545516E4">
      <w:pPr>
        <w:ind w:left="3600" w:firstLine="720"/>
      </w:pPr>
      <w:r>
        <w:t>Office of Engineering and Technology</w:t>
      </w:r>
      <w:r w:rsidR="00216562">
        <w:t xml:space="preserve"> </w:t>
      </w:r>
    </w:p>
    <w:sectPr w:rsidSect="005561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0D6C11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9BA19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2A83D36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1E524BAC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8A660C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813A8" w14:paraId="4EC7E910" w14:textId="77777777">
      <w:r>
        <w:separator/>
      </w:r>
    </w:p>
  </w:footnote>
  <w:footnote w:type="continuationSeparator" w:id="1">
    <w:p w:rsidR="002813A8" w:rsidP="00C721AC" w14:paraId="7DD65763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813A8" w:rsidP="00C721AC" w14:paraId="0817EBCA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1A6263" w:rsidRPr="001B5C24" w14:paraId="481698A6" w14:textId="6B50D6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10FC8">
        <w:rPr>
          <w:i/>
          <w:iCs/>
        </w:rPr>
        <w:t>Allocation of Spectrum for Non-Federal Space Launch Operations</w:t>
      </w:r>
      <w:r w:rsidR="00510FC8">
        <w:t xml:space="preserve">, ET Docket No. 13-115, Report and Order and Further Notice of Proposed Rulemaking, </w:t>
      </w:r>
      <w:r w:rsidR="00466218">
        <w:t>FCC 21-44 (</w:t>
      </w:r>
      <w:r w:rsidR="001B5C24">
        <w:t>Apr. 22, 2021).</w:t>
      </w:r>
    </w:p>
  </w:footnote>
  <w:footnote w:id="4">
    <w:p w:rsidR="001A6263" w:rsidRPr="007C5BF6" w14:paraId="5DF2961F" w14:textId="58C4B323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="007C5BF6">
        <w:rPr>
          <w:i/>
          <w:iCs/>
        </w:rPr>
        <w:t>Id.</w:t>
      </w:r>
    </w:p>
  </w:footnote>
  <w:footnote w:id="5">
    <w:p w:rsidR="00496613" w14:paraId="4E6CD313" w14:textId="2D4F20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71BEA">
        <w:t>Federal Communications Commission</w:t>
      </w:r>
      <w:r w:rsidR="00636079">
        <w:t xml:space="preserve">, Report and Order and Further Notice of Proposed Rulemaking, 86 Fed. Reg. </w:t>
      </w:r>
      <w:r w:rsidR="00FE7E47">
        <w:t>30860</w:t>
      </w:r>
      <w:r w:rsidR="00636079">
        <w:t xml:space="preserve"> (</w:t>
      </w:r>
      <w:r w:rsidR="00FE7E47">
        <w:t>June</w:t>
      </w:r>
      <w:r w:rsidR="00636079">
        <w:t xml:space="preserve"> </w:t>
      </w:r>
      <w:r w:rsidR="00FE7E47">
        <w:t>10</w:t>
      </w:r>
      <w:r w:rsidR="00636079">
        <w:t>, 2021)</w:t>
      </w:r>
      <w:r w:rsidR="00FE7E47">
        <w:t>.</w:t>
      </w:r>
    </w:p>
  </w:footnote>
  <w:footnote w:id="6">
    <w:p w:rsidR="007C39CF" w14:paraId="4E54E4CC" w14:textId="7E3353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534B6">
        <w:t xml:space="preserve">Joint Request of </w:t>
      </w:r>
      <w:r>
        <w:t xml:space="preserve">Blue Origin, Relativity Space Inc., Sierra Space Corp., Virgin Galactic, </w:t>
      </w:r>
      <w:r w:rsidR="008A69D9">
        <w:t>and Virgin Orbit</w:t>
      </w:r>
      <w:r w:rsidR="00B534B6">
        <w:t xml:space="preserve"> for Extension of Comment Deadline</w:t>
      </w:r>
      <w:r w:rsidR="008A69D9">
        <w:t xml:space="preserve">, ET Docket No. 13-115 (filed June 30, 2021), </w:t>
      </w:r>
      <w:hyperlink r:id="rId1" w:history="1">
        <w:r w:rsidRPr="00B04EEE" w:rsidR="00B534B6">
          <w:rPr>
            <w:rStyle w:val="Hyperlink"/>
          </w:rPr>
          <w:t>https://ecfsapi.fcc.gov/file/1063022185696/Joint%20Request%20for%20Extension%20-%20Commercial%20Space%20Launch%20FNPRM.pdf</w:t>
        </w:r>
      </w:hyperlink>
      <w:r w:rsidR="00B534B6">
        <w:t>.</w:t>
      </w:r>
    </w:p>
  </w:footnote>
  <w:footnote w:id="7">
    <w:p w:rsidR="007C39CF" w:rsidRPr="00CC421A" w14:paraId="6265695D" w14:textId="18E93E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421A">
        <w:rPr>
          <w:i/>
          <w:iCs/>
        </w:rPr>
        <w:t>Id.</w:t>
      </w:r>
      <w:r w:rsidR="00CC421A">
        <w:t xml:space="preserve"> at 2.</w:t>
      </w:r>
    </w:p>
  </w:footnote>
  <w:footnote w:id="8">
    <w:p w:rsidR="000A10F6" w:rsidRPr="000A10F6" w14:paraId="4DF01A4E" w14:textId="4CBEAC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2, n.2.</w:t>
      </w:r>
    </w:p>
  </w:footnote>
  <w:footnote w:id="9">
    <w:p w:rsidR="00096A1D" w:rsidRPr="00096A1D" w14:paraId="43A285F5" w14:textId="49286F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</w:t>
      </w:r>
      <w:r w:rsidR="00425557">
        <w:t>2</w:t>
      </w:r>
      <w:r>
        <w:t>.</w:t>
      </w:r>
    </w:p>
  </w:footnote>
  <w:footnote w:id="10">
    <w:p w:rsidR="00D46E54" w14:paraId="1A6C0AC0" w14:textId="3B8BF15A">
      <w:pPr>
        <w:pStyle w:val="FootnoteText"/>
      </w:pPr>
      <w:r>
        <w:rPr>
          <w:rStyle w:val="FootnoteReference"/>
        </w:rPr>
        <w:footnoteRef/>
      </w:r>
      <w:r>
        <w:t xml:space="preserve"> 47 CFR § </w:t>
      </w:r>
      <w:r w:rsidR="009E360E">
        <w:t>1.46.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8A8F833" w14:textId="5D89145D">
    <w:pPr>
      <w:pStyle w:val="Header"/>
      <w:rPr>
        <w:b w:val="0"/>
      </w:rPr>
    </w:pPr>
    <w:r>
      <w:tab/>
      <w:t>Federal Communications Commission</w:t>
    </w:r>
    <w:r>
      <w:tab/>
    </w:r>
    <w:r w:rsidR="003E7C96">
      <w:t>DA 21-</w:t>
    </w:r>
    <w:r w:rsidR="00927FD0">
      <w:t>788</w:t>
    </w:r>
  </w:p>
  <w:p w:rsidR="00D25FB5" w14:paraId="0546A2E2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01E37060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5598D4E" w14:textId="6EDF1198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B3449C">
      <w:t>DA 21-</w:t>
    </w:r>
    <w:r w:rsidR="00927FD0">
      <w:t>788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76"/>
    <w:rsid w:val="000035C8"/>
    <w:rsid w:val="000254FD"/>
    <w:rsid w:val="00036039"/>
    <w:rsid w:val="00037F90"/>
    <w:rsid w:val="00060E32"/>
    <w:rsid w:val="000875BF"/>
    <w:rsid w:val="00096A1D"/>
    <w:rsid w:val="00096D8C"/>
    <w:rsid w:val="000A10F6"/>
    <w:rsid w:val="000C0B65"/>
    <w:rsid w:val="000C102E"/>
    <w:rsid w:val="000E05FE"/>
    <w:rsid w:val="000E3D42"/>
    <w:rsid w:val="001203A3"/>
    <w:rsid w:val="00122BD5"/>
    <w:rsid w:val="00133F79"/>
    <w:rsid w:val="00155E43"/>
    <w:rsid w:val="00175976"/>
    <w:rsid w:val="00194A66"/>
    <w:rsid w:val="001A6263"/>
    <w:rsid w:val="001B5C24"/>
    <w:rsid w:val="001D6BCF"/>
    <w:rsid w:val="001E01CA"/>
    <w:rsid w:val="001E56E6"/>
    <w:rsid w:val="002105BB"/>
    <w:rsid w:val="00216562"/>
    <w:rsid w:val="00275CF5"/>
    <w:rsid w:val="002813A8"/>
    <w:rsid w:val="0028173F"/>
    <w:rsid w:val="0028301F"/>
    <w:rsid w:val="00285017"/>
    <w:rsid w:val="0029433A"/>
    <w:rsid w:val="002967B2"/>
    <w:rsid w:val="002A2D2E"/>
    <w:rsid w:val="002C00E8"/>
    <w:rsid w:val="002C4CC4"/>
    <w:rsid w:val="002F2630"/>
    <w:rsid w:val="003012AE"/>
    <w:rsid w:val="00314E83"/>
    <w:rsid w:val="00343749"/>
    <w:rsid w:val="003660ED"/>
    <w:rsid w:val="00383227"/>
    <w:rsid w:val="003B0550"/>
    <w:rsid w:val="003B694F"/>
    <w:rsid w:val="003E7C96"/>
    <w:rsid w:val="003F171C"/>
    <w:rsid w:val="003F6860"/>
    <w:rsid w:val="00412FC5"/>
    <w:rsid w:val="00417B1D"/>
    <w:rsid w:val="00422276"/>
    <w:rsid w:val="004242F1"/>
    <w:rsid w:val="00425557"/>
    <w:rsid w:val="00437080"/>
    <w:rsid w:val="00445A00"/>
    <w:rsid w:val="00451B0F"/>
    <w:rsid w:val="004604C4"/>
    <w:rsid w:val="00466218"/>
    <w:rsid w:val="00496613"/>
    <w:rsid w:val="004C2D8B"/>
    <w:rsid w:val="004C2EE3"/>
    <w:rsid w:val="004C31AF"/>
    <w:rsid w:val="004C5E8C"/>
    <w:rsid w:val="004E4A22"/>
    <w:rsid w:val="00510FC8"/>
    <w:rsid w:val="00511968"/>
    <w:rsid w:val="0055614C"/>
    <w:rsid w:val="005611DF"/>
    <w:rsid w:val="00566D06"/>
    <w:rsid w:val="00581431"/>
    <w:rsid w:val="00590495"/>
    <w:rsid w:val="005E14C2"/>
    <w:rsid w:val="00607BA5"/>
    <w:rsid w:val="0061180A"/>
    <w:rsid w:val="00626EB6"/>
    <w:rsid w:val="00636079"/>
    <w:rsid w:val="00655D03"/>
    <w:rsid w:val="00683388"/>
    <w:rsid w:val="00683F84"/>
    <w:rsid w:val="006A6A81"/>
    <w:rsid w:val="006B64D0"/>
    <w:rsid w:val="006B6A5B"/>
    <w:rsid w:val="006D2C6C"/>
    <w:rsid w:val="006E0ED4"/>
    <w:rsid w:val="006F2C75"/>
    <w:rsid w:val="006F7393"/>
    <w:rsid w:val="0070224F"/>
    <w:rsid w:val="007115F7"/>
    <w:rsid w:val="0076670F"/>
    <w:rsid w:val="00785689"/>
    <w:rsid w:val="007948A0"/>
    <w:rsid w:val="0079754B"/>
    <w:rsid w:val="007A1E6D"/>
    <w:rsid w:val="007A319B"/>
    <w:rsid w:val="007B0EB2"/>
    <w:rsid w:val="007B602F"/>
    <w:rsid w:val="007C39CF"/>
    <w:rsid w:val="007C5BF6"/>
    <w:rsid w:val="007D6286"/>
    <w:rsid w:val="007E0443"/>
    <w:rsid w:val="00801DA1"/>
    <w:rsid w:val="00810B6F"/>
    <w:rsid w:val="00822CE0"/>
    <w:rsid w:val="00833D54"/>
    <w:rsid w:val="00841AB1"/>
    <w:rsid w:val="00866770"/>
    <w:rsid w:val="00871EA5"/>
    <w:rsid w:val="008A69D9"/>
    <w:rsid w:val="008C68F1"/>
    <w:rsid w:val="00916C5D"/>
    <w:rsid w:val="00921803"/>
    <w:rsid w:val="00926503"/>
    <w:rsid w:val="00927FD0"/>
    <w:rsid w:val="0093552D"/>
    <w:rsid w:val="00971BEA"/>
    <w:rsid w:val="009726D8"/>
    <w:rsid w:val="009B5EAF"/>
    <w:rsid w:val="009D7308"/>
    <w:rsid w:val="009E1703"/>
    <w:rsid w:val="009E360E"/>
    <w:rsid w:val="009F1AD7"/>
    <w:rsid w:val="009F76DB"/>
    <w:rsid w:val="00A002EE"/>
    <w:rsid w:val="00A16E98"/>
    <w:rsid w:val="00A32C3B"/>
    <w:rsid w:val="00A4479B"/>
    <w:rsid w:val="00A45443"/>
    <w:rsid w:val="00A45F4F"/>
    <w:rsid w:val="00A520BE"/>
    <w:rsid w:val="00A600A9"/>
    <w:rsid w:val="00A7544E"/>
    <w:rsid w:val="00A86E4F"/>
    <w:rsid w:val="00AA55B7"/>
    <w:rsid w:val="00AA5B9E"/>
    <w:rsid w:val="00AB2407"/>
    <w:rsid w:val="00AB53DF"/>
    <w:rsid w:val="00AD5A27"/>
    <w:rsid w:val="00B04EEE"/>
    <w:rsid w:val="00B07E5C"/>
    <w:rsid w:val="00B13F44"/>
    <w:rsid w:val="00B3449C"/>
    <w:rsid w:val="00B534B6"/>
    <w:rsid w:val="00B811F7"/>
    <w:rsid w:val="00BA5DC6"/>
    <w:rsid w:val="00BA6196"/>
    <w:rsid w:val="00BC6D8C"/>
    <w:rsid w:val="00BD2E66"/>
    <w:rsid w:val="00BE18C4"/>
    <w:rsid w:val="00C10953"/>
    <w:rsid w:val="00C14488"/>
    <w:rsid w:val="00C168E4"/>
    <w:rsid w:val="00C21308"/>
    <w:rsid w:val="00C34006"/>
    <w:rsid w:val="00C36B4C"/>
    <w:rsid w:val="00C426B1"/>
    <w:rsid w:val="00C54666"/>
    <w:rsid w:val="00C66160"/>
    <w:rsid w:val="00C721AC"/>
    <w:rsid w:val="00C81CF2"/>
    <w:rsid w:val="00C81E59"/>
    <w:rsid w:val="00C90D6A"/>
    <w:rsid w:val="00CA1AA9"/>
    <w:rsid w:val="00CA247E"/>
    <w:rsid w:val="00CA6D21"/>
    <w:rsid w:val="00CC16F7"/>
    <w:rsid w:val="00CC421A"/>
    <w:rsid w:val="00CC72B6"/>
    <w:rsid w:val="00CE2BF2"/>
    <w:rsid w:val="00CF31FD"/>
    <w:rsid w:val="00D0218D"/>
    <w:rsid w:val="00D02B96"/>
    <w:rsid w:val="00D10EFD"/>
    <w:rsid w:val="00D12DCA"/>
    <w:rsid w:val="00D25FB5"/>
    <w:rsid w:val="00D44223"/>
    <w:rsid w:val="00D46E54"/>
    <w:rsid w:val="00D5350C"/>
    <w:rsid w:val="00D656AB"/>
    <w:rsid w:val="00DA2529"/>
    <w:rsid w:val="00DB130A"/>
    <w:rsid w:val="00DB2EBB"/>
    <w:rsid w:val="00DC10A1"/>
    <w:rsid w:val="00DC655F"/>
    <w:rsid w:val="00DD0B59"/>
    <w:rsid w:val="00DD7EBD"/>
    <w:rsid w:val="00DF27D4"/>
    <w:rsid w:val="00DF62B6"/>
    <w:rsid w:val="00E07225"/>
    <w:rsid w:val="00E10046"/>
    <w:rsid w:val="00E5409F"/>
    <w:rsid w:val="00E567A3"/>
    <w:rsid w:val="00E631D7"/>
    <w:rsid w:val="00E63FF7"/>
    <w:rsid w:val="00E72B65"/>
    <w:rsid w:val="00E74677"/>
    <w:rsid w:val="00EE0AE7"/>
    <w:rsid w:val="00EE6488"/>
    <w:rsid w:val="00F0090F"/>
    <w:rsid w:val="00F021FA"/>
    <w:rsid w:val="00F3503F"/>
    <w:rsid w:val="00F55E01"/>
    <w:rsid w:val="00F62E97"/>
    <w:rsid w:val="00F64209"/>
    <w:rsid w:val="00F913EA"/>
    <w:rsid w:val="00F93BF5"/>
    <w:rsid w:val="00FE782B"/>
    <w:rsid w:val="00FE7E47"/>
    <w:rsid w:val="00FF551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931A767"/>
  <w15:chartTrackingRefBased/>
  <w15:docId w15:val="{A83221DF-E552-46D2-B832-5276B97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B53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Thomas.Struble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ecfsapi.fcc.gov/file/1063022185696/Joint%20Request%20for%20Extension%20-%20Commercial%20Space%20Launch%20FNPRM.pdf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