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38777E0"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FB4052" w:rsidP="00FB4052" w14:paraId="0F0EB727" w14:textId="0F9A59A3">
      <w:pPr>
        <w:jc w:val="right"/>
        <w:rPr>
          <w:b/>
          <w:szCs w:val="22"/>
        </w:rPr>
      </w:pPr>
      <w:bookmarkStart w:id="1" w:name="_Hlk64383480"/>
      <w:bookmarkStart w:id="2" w:name="_Hlk26280526"/>
      <w:bookmarkStart w:id="3" w:name="_Hlk75331933"/>
      <w:r>
        <w:rPr>
          <w:b/>
          <w:szCs w:val="22"/>
        </w:rPr>
        <w:t>DA 21-</w:t>
      </w:r>
      <w:r w:rsidR="00F0711C">
        <w:rPr>
          <w:b/>
          <w:szCs w:val="22"/>
        </w:rPr>
        <w:t>793</w:t>
      </w:r>
    </w:p>
    <w:p w:rsidR="00FB4052" w:rsidP="00FB4052" w14:paraId="4295006D" w14:textId="77777777">
      <w:pPr>
        <w:spacing w:before="60"/>
        <w:jc w:val="right"/>
        <w:rPr>
          <w:b/>
          <w:szCs w:val="22"/>
        </w:rPr>
      </w:pPr>
      <w:r>
        <w:rPr>
          <w:b/>
          <w:szCs w:val="22"/>
        </w:rPr>
        <w:t xml:space="preserve">July </w:t>
      </w:r>
      <w:r w:rsidR="00AF25DD">
        <w:rPr>
          <w:b/>
          <w:szCs w:val="22"/>
        </w:rPr>
        <w:t>6</w:t>
      </w:r>
      <w:r>
        <w:rPr>
          <w:b/>
          <w:szCs w:val="22"/>
        </w:rPr>
        <w:t>, 2021</w:t>
      </w:r>
    </w:p>
    <w:p w:rsidR="00FB4052" w:rsidP="00FB4052" w14:paraId="693E2458" w14:textId="77777777">
      <w:pPr>
        <w:tabs>
          <w:tab w:val="left" w:pos="5900"/>
        </w:tabs>
        <w:rPr>
          <w:szCs w:val="22"/>
        </w:rPr>
      </w:pPr>
      <w:r>
        <w:rPr>
          <w:szCs w:val="22"/>
        </w:rPr>
        <w:tab/>
      </w:r>
    </w:p>
    <w:p w:rsidR="00FB4052" w:rsidP="00FB4052" w14:paraId="10054081" w14:textId="77777777">
      <w:pPr>
        <w:jc w:val="center"/>
        <w:rPr>
          <w:b/>
          <w:bCs/>
          <w:szCs w:val="22"/>
        </w:rPr>
      </w:pPr>
      <w:r>
        <w:rPr>
          <w:b/>
          <w:bCs/>
          <w:szCs w:val="22"/>
        </w:rPr>
        <w:t xml:space="preserve">DOMESTIC </w:t>
      </w:r>
      <w:r>
        <w:rPr>
          <w:b/>
          <w:bCs/>
          <w:caps/>
          <w:szCs w:val="22"/>
        </w:rPr>
        <w:t>SECTION</w:t>
      </w:r>
      <w:r>
        <w:rPr>
          <w:b/>
          <w:bCs/>
          <w:szCs w:val="22"/>
        </w:rPr>
        <w:t xml:space="preserve"> 214 APPLICATION FILED FOR THE TRANSFER OF CONTROL OF PREFERRED COMMUNICATIONS OF TEXAS, LLC FROM </w:t>
      </w:r>
    </w:p>
    <w:p w:rsidR="00FB4052" w:rsidP="00FB4052" w14:paraId="348843FF" w14:textId="77777777">
      <w:pPr>
        <w:jc w:val="center"/>
        <w:rPr>
          <w:b/>
          <w:bCs/>
          <w:szCs w:val="22"/>
        </w:rPr>
      </w:pPr>
      <w:r>
        <w:rPr>
          <w:b/>
          <w:bCs/>
          <w:szCs w:val="22"/>
        </w:rPr>
        <w:t>EMBARQ CORPORATION TO SECURUS TECHNOLOGIES, LLC</w:t>
      </w:r>
    </w:p>
    <w:p w:rsidR="00FB4052" w:rsidP="00FB4052" w14:paraId="6AA54AC7" w14:textId="77777777">
      <w:pPr>
        <w:autoSpaceDE w:val="0"/>
        <w:autoSpaceDN w:val="0"/>
        <w:adjustRightInd w:val="0"/>
        <w:jc w:val="right"/>
        <w:rPr>
          <w:b/>
          <w:bCs/>
          <w:szCs w:val="22"/>
        </w:rPr>
      </w:pPr>
    </w:p>
    <w:p w:rsidR="00FB4052" w:rsidP="00FB4052" w14:paraId="62329686" w14:textId="77777777">
      <w:pPr>
        <w:jc w:val="center"/>
        <w:rPr>
          <w:b/>
          <w:szCs w:val="22"/>
        </w:rPr>
      </w:pPr>
      <w:r>
        <w:rPr>
          <w:b/>
          <w:szCs w:val="22"/>
        </w:rPr>
        <w:t>NON-STREAMLINED PLEADING CYCLE ESTABLISHED</w:t>
      </w:r>
    </w:p>
    <w:p w:rsidR="00FB4052" w:rsidP="00FB4052" w14:paraId="49C5718A" w14:textId="77777777">
      <w:pPr>
        <w:jc w:val="center"/>
        <w:rPr>
          <w:b/>
          <w:szCs w:val="22"/>
        </w:rPr>
      </w:pPr>
    </w:p>
    <w:p w:rsidR="00FB4052" w:rsidP="00FB4052" w14:paraId="36A19353" w14:textId="77777777">
      <w:pPr>
        <w:jc w:val="center"/>
        <w:rPr>
          <w:b/>
          <w:szCs w:val="22"/>
        </w:rPr>
      </w:pPr>
      <w:r>
        <w:rPr>
          <w:b/>
          <w:szCs w:val="22"/>
        </w:rPr>
        <w:t xml:space="preserve"> WC Docket No. </w:t>
      </w:r>
      <w:r w:rsidRPr="00C53E5E">
        <w:rPr>
          <w:b/>
          <w:szCs w:val="22"/>
        </w:rPr>
        <w:t>21-2</w:t>
      </w:r>
      <w:r>
        <w:rPr>
          <w:b/>
          <w:szCs w:val="22"/>
        </w:rPr>
        <w:t>75</w:t>
      </w:r>
    </w:p>
    <w:p w:rsidR="00FB4052" w:rsidP="00FB4052" w14:paraId="6F9DA8F9" w14:textId="77777777">
      <w:pPr>
        <w:jc w:val="center"/>
        <w:rPr>
          <w:b/>
          <w:szCs w:val="22"/>
        </w:rPr>
      </w:pPr>
    </w:p>
    <w:p w:rsidR="00FB4052" w:rsidP="00FB4052" w14:paraId="0E683FC9" w14:textId="77777777">
      <w:pPr>
        <w:pStyle w:val="NoSpacing"/>
        <w:rPr>
          <w:b/>
          <w:szCs w:val="22"/>
        </w:rPr>
      </w:pPr>
      <w:r w:rsidRPr="005B2105">
        <w:rPr>
          <w:b/>
          <w:szCs w:val="22"/>
        </w:rPr>
        <w:t xml:space="preserve">Comments Due:  </w:t>
      </w:r>
      <w:r>
        <w:rPr>
          <w:b/>
          <w:szCs w:val="22"/>
        </w:rPr>
        <w:t xml:space="preserve">July </w:t>
      </w:r>
      <w:r w:rsidR="00AF25DD">
        <w:rPr>
          <w:b/>
          <w:szCs w:val="22"/>
        </w:rPr>
        <w:t>20</w:t>
      </w:r>
      <w:r w:rsidRPr="005B2105">
        <w:rPr>
          <w:b/>
          <w:szCs w:val="22"/>
        </w:rPr>
        <w:t>, 202</w:t>
      </w:r>
      <w:r>
        <w:rPr>
          <w:b/>
          <w:szCs w:val="22"/>
        </w:rPr>
        <w:t xml:space="preserve">1 </w:t>
      </w:r>
    </w:p>
    <w:p w:rsidR="00FB4052" w:rsidRPr="005B2105" w:rsidP="00FB4052" w14:paraId="5063C814" w14:textId="77777777">
      <w:pPr>
        <w:pStyle w:val="NoSpacing"/>
        <w:rPr>
          <w:b/>
          <w:szCs w:val="22"/>
        </w:rPr>
      </w:pPr>
      <w:r>
        <w:rPr>
          <w:b/>
          <w:szCs w:val="22"/>
        </w:rPr>
        <w:t xml:space="preserve">Reply Comment Due:  July </w:t>
      </w:r>
      <w:r w:rsidR="00AF25DD">
        <w:rPr>
          <w:b/>
          <w:szCs w:val="22"/>
        </w:rPr>
        <w:t>27</w:t>
      </w:r>
      <w:r>
        <w:rPr>
          <w:b/>
          <w:szCs w:val="22"/>
        </w:rPr>
        <w:t xml:space="preserve">, 2021 </w:t>
      </w:r>
    </w:p>
    <w:p w:rsidR="00FB4052" w:rsidRPr="005B2105" w:rsidP="00FB4052" w14:paraId="1EFF7ABD" w14:textId="77777777">
      <w:pPr>
        <w:tabs>
          <w:tab w:val="left" w:pos="6221"/>
        </w:tabs>
        <w:autoSpaceDE w:val="0"/>
        <w:autoSpaceDN w:val="0"/>
        <w:adjustRightInd w:val="0"/>
        <w:rPr>
          <w:szCs w:val="22"/>
        </w:rPr>
      </w:pPr>
    </w:p>
    <w:bookmarkEnd w:id="1"/>
    <w:p w:rsidR="00FB4052" w:rsidP="00FB4052" w14:paraId="4A146579" w14:textId="77777777">
      <w:pPr>
        <w:autoSpaceDE w:val="0"/>
        <w:autoSpaceDN w:val="0"/>
        <w:adjustRightInd w:val="0"/>
        <w:spacing w:after="120"/>
        <w:ind w:firstLine="720"/>
        <w:rPr>
          <w:szCs w:val="22"/>
        </w:rPr>
      </w:pPr>
      <w:r w:rsidRPr="00CD711A">
        <w:rPr>
          <w:szCs w:val="22"/>
        </w:rPr>
        <w:t>By this Public Notice, the Wireline Competition Bureau</w:t>
      </w:r>
      <w:r>
        <w:rPr>
          <w:szCs w:val="22"/>
        </w:rPr>
        <w:t xml:space="preserve"> </w:t>
      </w:r>
      <w:r w:rsidRPr="00CD711A">
        <w:rPr>
          <w:szCs w:val="22"/>
        </w:rPr>
        <w:t xml:space="preserve">seeks comment from interested parties on </w:t>
      </w:r>
      <w:r>
        <w:rPr>
          <w:szCs w:val="22"/>
        </w:rPr>
        <w:t xml:space="preserve">an </w:t>
      </w:r>
      <w:r w:rsidRPr="00CD711A">
        <w:rPr>
          <w:szCs w:val="22"/>
        </w:rPr>
        <w:t xml:space="preserve">application </w:t>
      </w:r>
      <w:r>
        <w:rPr>
          <w:szCs w:val="22"/>
        </w:rPr>
        <w:t xml:space="preserve">filed by </w:t>
      </w:r>
      <w:bookmarkStart w:id="4" w:name="_Hlk67917977"/>
      <w:r>
        <w:rPr>
          <w:szCs w:val="22"/>
        </w:rPr>
        <w:t xml:space="preserve">Embarq Corporation (Embarq) and Securus Technologies, LLC (Securus) </w:t>
      </w:r>
      <w:bookmarkEnd w:id="4"/>
      <w:r>
        <w:rPr>
          <w:szCs w:val="22"/>
        </w:rPr>
        <w:t xml:space="preserve">(together, Applicants), </w:t>
      </w:r>
      <w:r w:rsidRPr="00CD711A">
        <w:rPr>
          <w:szCs w:val="22"/>
        </w:rPr>
        <w:t>pursuant to section 214 of the Communications Act of 1934, as amended, and sections 63.03-04 of the Commission’s rules</w:t>
      </w:r>
      <w:r>
        <w:rPr>
          <w:szCs w:val="22"/>
        </w:rPr>
        <w:t>,</w:t>
      </w:r>
      <w:r>
        <w:rPr>
          <w:rStyle w:val="FootnoteReference"/>
          <w:szCs w:val="22"/>
        </w:rPr>
        <w:footnoteReference w:id="3"/>
      </w:r>
      <w:r>
        <w:rPr>
          <w:szCs w:val="22"/>
        </w:rPr>
        <w:t xml:space="preserve"> </w:t>
      </w:r>
      <w:r w:rsidRPr="00876629">
        <w:rPr>
          <w:szCs w:val="22"/>
        </w:rPr>
        <w:t>requesting consent to</w:t>
      </w:r>
      <w:r>
        <w:rPr>
          <w:szCs w:val="22"/>
        </w:rPr>
        <w:t xml:space="preserve"> </w:t>
      </w:r>
      <w:r w:rsidRPr="00E22E53">
        <w:rPr>
          <w:szCs w:val="22"/>
        </w:rPr>
        <w:t xml:space="preserve">transfer control of </w:t>
      </w:r>
      <w:r>
        <w:rPr>
          <w:szCs w:val="22"/>
        </w:rPr>
        <w:t>Preferred Communications of Texas, LLC (Preferred) from Embarq to Securus.</w:t>
      </w:r>
      <w:r>
        <w:rPr>
          <w:rStyle w:val="FootnoteReference"/>
          <w:szCs w:val="22"/>
        </w:rPr>
        <w:footnoteReference w:id="4"/>
      </w:r>
      <w:r>
        <w:rPr>
          <w:szCs w:val="22"/>
        </w:rPr>
        <w:t xml:space="preserve">  </w:t>
      </w:r>
    </w:p>
    <w:p w:rsidR="00FB4052" w:rsidP="00FB4052" w14:paraId="0B85B15F" w14:textId="77777777">
      <w:pPr>
        <w:autoSpaceDE w:val="0"/>
        <w:autoSpaceDN w:val="0"/>
        <w:adjustRightInd w:val="0"/>
        <w:spacing w:after="120"/>
        <w:ind w:firstLine="720"/>
        <w:rPr>
          <w:szCs w:val="22"/>
        </w:rPr>
      </w:pPr>
      <w:bookmarkStart w:id="5" w:name="_Hlk67918832"/>
      <w:r>
        <w:rPr>
          <w:szCs w:val="22"/>
        </w:rPr>
        <w:t>Preferred, a Delaware limited liability company, is a wholly-owned, direct subsidiary of Embarq.</w:t>
      </w:r>
      <w:r>
        <w:rPr>
          <w:rStyle w:val="FootnoteReference"/>
          <w:szCs w:val="22"/>
        </w:rPr>
        <w:footnoteReference w:id="5"/>
      </w:r>
      <w:r>
        <w:rPr>
          <w:szCs w:val="22"/>
        </w:rPr>
        <w:t xml:space="preserve">  According to Applicants, Preferred’s sole asset is the contract to provide “customer account creation and maintenance services related to inmate calling” to the Texas Department of Criminal Justice (TDCJ and TDCJ Contract).</w:t>
      </w:r>
      <w:r>
        <w:rPr>
          <w:rStyle w:val="FootnoteReference"/>
          <w:szCs w:val="22"/>
        </w:rPr>
        <w:footnoteReference w:id="6"/>
      </w:r>
      <w:r>
        <w:rPr>
          <w:szCs w:val="22"/>
        </w:rPr>
        <w:t xml:space="preserve">  They state that Preferred is currently the primary contractor and Securus is the subcontractor providing call routing, security, software, and other </w:t>
      </w:r>
      <w:r>
        <w:rPr>
          <w:szCs w:val="22"/>
        </w:rPr>
        <w:t>services necessary to fulfill the TDCJ contract.</w:t>
      </w:r>
      <w:r>
        <w:rPr>
          <w:rStyle w:val="FootnoteReference"/>
          <w:szCs w:val="22"/>
        </w:rPr>
        <w:footnoteReference w:id="7"/>
      </w:r>
      <w:r>
        <w:rPr>
          <w:szCs w:val="22"/>
        </w:rPr>
        <w:t xml:space="preserve">  With the transfer of Preferred, Embarq would completely exit the inmate calling services market.</w:t>
      </w:r>
      <w:r>
        <w:rPr>
          <w:rStyle w:val="FootnoteReference"/>
          <w:szCs w:val="22"/>
        </w:rPr>
        <w:footnoteReference w:id="8"/>
      </w:r>
      <w:r>
        <w:rPr>
          <w:szCs w:val="22"/>
        </w:rPr>
        <w:t xml:space="preserve">  </w:t>
      </w:r>
    </w:p>
    <w:p w:rsidR="00FB4052" w:rsidRPr="002B2978" w:rsidP="00FB4052" w14:paraId="22F237E5" w14:textId="77777777">
      <w:pPr>
        <w:autoSpaceDE w:val="0"/>
        <w:autoSpaceDN w:val="0"/>
        <w:adjustRightInd w:val="0"/>
        <w:spacing w:after="120"/>
        <w:ind w:firstLine="720"/>
        <w:rPr>
          <w:szCs w:val="22"/>
        </w:rPr>
      </w:pPr>
      <w:r>
        <w:rPr>
          <w:szCs w:val="22"/>
        </w:rPr>
        <w:t>Securus, a Delaware limited liability company, provides services and products to incarcerated individuals, including inmate calling services, in the District of Columbia and 47 states.</w:t>
      </w:r>
      <w:r>
        <w:rPr>
          <w:rStyle w:val="FootnoteReference"/>
          <w:szCs w:val="22"/>
        </w:rPr>
        <w:footnoteReference w:id="9"/>
      </w:r>
      <w:r>
        <w:rPr>
          <w:szCs w:val="22"/>
        </w:rPr>
        <w:t xml:space="preserve">  Securus is an indirect, wholly-owned subsidiary of SCRS Acquisition Corporation (SCRS) and, in turn, its parent, SCRS Holding Corporation (SCRS Parent), both Delaware corporations.</w:t>
      </w:r>
      <w:r>
        <w:rPr>
          <w:rStyle w:val="FootnoteReference"/>
          <w:szCs w:val="22"/>
        </w:rPr>
        <w:footnoteReference w:id="10"/>
      </w:r>
      <w:r>
        <w:rPr>
          <w:szCs w:val="22"/>
        </w:rPr>
        <w:t xml:space="preserve">  The majority ownership of SCRS Parent is held by Platinum Equity Capital Partners, IV, L.P., a Delaware limited partnership and private equity investment vehicle ultimately owned by Platinum Equity, LLC (Platinum Equity), a Delaware entity.</w:t>
      </w:r>
      <w:r>
        <w:rPr>
          <w:rStyle w:val="FootnoteReference"/>
          <w:szCs w:val="22"/>
        </w:rPr>
        <w:footnoteReference w:id="11"/>
      </w:r>
      <w:r>
        <w:rPr>
          <w:szCs w:val="22"/>
        </w:rPr>
        <w:t xml:space="preserve">  </w:t>
      </w:r>
      <w:bookmarkEnd w:id="5"/>
    </w:p>
    <w:p w:rsidR="00FB4052" w:rsidP="00FB4052" w14:paraId="41571060" w14:textId="77777777">
      <w:pPr>
        <w:autoSpaceDE w:val="0"/>
        <w:autoSpaceDN w:val="0"/>
        <w:adjustRightInd w:val="0"/>
        <w:spacing w:after="120"/>
        <w:rPr>
          <w:rFonts w:eastAsia="Calibri"/>
          <w:szCs w:val="22"/>
        </w:rPr>
      </w:pPr>
      <w:r>
        <w:rPr>
          <w:rFonts w:eastAsia="Calibri"/>
          <w:szCs w:val="22"/>
        </w:rPr>
        <w:tab/>
        <w:t>On June 9, 2021, Embarq and Securus entered into a Membership Purchase Agreement under which Securus would</w:t>
      </w:r>
      <w:r w:rsidRPr="00C7389F">
        <w:rPr>
          <w:rFonts w:eastAsia="Calibri"/>
          <w:szCs w:val="22"/>
        </w:rPr>
        <w:t xml:space="preserve"> </w:t>
      </w:r>
      <w:r>
        <w:rPr>
          <w:rFonts w:eastAsia="Calibri"/>
          <w:szCs w:val="22"/>
        </w:rPr>
        <w:t>a</w:t>
      </w:r>
      <w:r w:rsidRPr="00C7389F">
        <w:rPr>
          <w:rFonts w:eastAsia="Calibri"/>
          <w:szCs w:val="22"/>
        </w:rPr>
        <w:t>cquire</w:t>
      </w:r>
      <w:r>
        <w:rPr>
          <w:rFonts w:eastAsia="Calibri"/>
          <w:szCs w:val="22"/>
        </w:rPr>
        <w:t xml:space="preserve"> from Embarq all of the membership interests and equity in Preferred.</w:t>
      </w:r>
      <w:r>
        <w:rPr>
          <w:rStyle w:val="FootnoteReference"/>
          <w:rFonts w:eastAsia="Calibri"/>
          <w:szCs w:val="22"/>
        </w:rPr>
        <w:footnoteReference w:id="12"/>
      </w:r>
      <w:r>
        <w:rPr>
          <w:rFonts w:eastAsia="Calibri"/>
          <w:szCs w:val="22"/>
        </w:rPr>
        <w:t xml:space="preserve">  After consummation, Preferred would become a wholly-owned subsidiary of Securus.</w:t>
      </w:r>
      <w:r>
        <w:rPr>
          <w:rStyle w:val="FootnoteReference"/>
          <w:rFonts w:eastAsia="Calibri"/>
          <w:szCs w:val="22"/>
        </w:rPr>
        <w:footnoteReference w:id="13"/>
      </w:r>
      <w:r>
        <w:rPr>
          <w:rFonts w:eastAsia="Calibri"/>
          <w:szCs w:val="22"/>
        </w:rPr>
        <w:t xml:space="preserve">  Applicants state that the TDCJ entered into the contract with Embarq on September 1, 2018, and that pursuant to Texas law, inmate calling services contracts must extend for a period of at least seven years and include two-year optional renewal terms.</w:t>
      </w:r>
      <w:r>
        <w:rPr>
          <w:rStyle w:val="FootnoteReference"/>
          <w:rFonts w:eastAsia="Calibri"/>
          <w:szCs w:val="22"/>
        </w:rPr>
        <w:footnoteReference w:id="14"/>
      </w:r>
      <w:r>
        <w:rPr>
          <w:rFonts w:eastAsia="Calibri"/>
          <w:szCs w:val="22"/>
        </w:rPr>
        <w:t xml:space="preserve">  The initial term of the TDCJ Contract will therefore expire in August 2025, and it reserves for TDCJ the right to exercise three optional two-year renewal terms.</w:t>
      </w:r>
      <w:r>
        <w:rPr>
          <w:rStyle w:val="FootnoteReference"/>
          <w:rFonts w:eastAsia="Calibri"/>
          <w:szCs w:val="22"/>
        </w:rPr>
        <w:footnoteReference w:id="15"/>
      </w:r>
      <w:r>
        <w:rPr>
          <w:rFonts w:eastAsia="Calibri"/>
          <w:szCs w:val="22"/>
        </w:rPr>
        <w:t xml:space="preserve">  </w:t>
      </w:r>
    </w:p>
    <w:p w:rsidR="00FB4052" w:rsidP="00FB4052" w14:paraId="441C17F4" w14:textId="77777777">
      <w:pPr>
        <w:autoSpaceDE w:val="0"/>
        <w:autoSpaceDN w:val="0"/>
        <w:adjustRightInd w:val="0"/>
        <w:spacing w:after="120"/>
        <w:ind w:firstLine="720"/>
        <w:rPr>
          <w:rFonts w:eastAsia="Calibri"/>
          <w:szCs w:val="22"/>
        </w:rPr>
      </w:pPr>
      <w:r w:rsidRPr="006B36F1">
        <w:rPr>
          <w:bCs/>
          <w:szCs w:val="22"/>
        </w:rPr>
        <w:t xml:space="preserve">Applicants assert that a grant of the </w:t>
      </w:r>
      <w:r>
        <w:rPr>
          <w:bCs/>
          <w:szCs w:val="22"/>
        </w:rPr>
        <w:t>A</w:t>
      </w:r>
      <w:r w:rsidRPr="006B36F1">
        <w:rPr>
          <w:bCs/>
          <w:szCs w:val="22"/>
        </w:rPr>
        <w:t>pplication would serve the public interest, convenience, and necessity</w:t>
      </w:r>
      <w:r>
        <w:rPr>
          <w:bCs/>
          <w:szCs w:val="22"/>
        </w:rPr>
        <w:t xml:space="preserve">.  They maintain that </w:t>
      </w:r>
      <w:r>
        <w:rPr>
          <w:rFonts w:eastAsia="Calibri"/>
          <w:szCs w:val="22"/>
        </w:rPr>
        <w:t>Securus would continue to provide inmate calling services at the same rates, terms and conditions that Preferred currently provides and that it would also offer “more responsive and innovative services” in conjunction with existing services.</w:t>
      </w:r>
      <w:r>
        <w:rPr>
          <w:rStyle w:val="FootnoteReference"/>
          <w:rFonts w:eastAsia="Calibri"/>
          <w:szCs w:val="22"/>
        </w:rPr>
        <w:footnoteReference w:id="16"/>
      </w:r>
      <w:r>
        <w:rPr>
          <w:rFonts w:eastAsia="Calibri"/>
          <w:szCs w:val="22"/>
        </w:rPr>
        <w:t xml:space="preserve">  Further, Applicants assert that the proposed transaction does not eliminate any competitors from the market since Embarq had previously decided to exit this business, and “numerous competitors would remain after this proposed transaction,” including a strengthened ICSolutions following its acquisition of Embarq’s other inmate calling service contracts in 2020.</w:t>
      </w:r>
      <w:r>
        <w:rPr>
          <w:rStyle w:val="FootnoteReference"/>
          <w:rFonts w:eastAsia="Calibri"/>
          <w:szCs w:val="22"/>
        </w:rPr>
        <w:footnoteReference w:id="17"/>
      </w:r>
      <w:r>
        <w:rPr>
          <w:rFonts w:eastAsia="Calibri"/>
          <w:szCs w:val="22"/>
        </w:rPr>
        <w:t xml:space="preserve">  </w:t>
      </w:r>
    </w:p>
    <w:p w:rsidR="00FB4052" w:rsidRPr="005B3475" w:rsidP="00FB4052" w14:paraId="04CFC6C2" w14:textId="77777777">
      <w:pPr>
        <w:autoSpaceDE w:val="0"/>
        <w:autoSpaceDN w:val="0"/>
        <w:adjustRightInd w:val="0"/>
        <w:spacing w:after="120"/>
        <w:ind w:firstLine="720"/>
        <w:rPr>
          <w:rFonts w:eastAsia="Calibri"/>
          <w:szCs w:val="22"/>
        </w:rPr>
      </w:pPr>
      <w:r w:rsidRPr="00750B9D">
        <w:rPr>
          <w:bCs/>
          <w:szCs w:val="22"/>
        </w:rPr>
        <w:t xml:space="preserve">Because the transaction </w:t>
      </w:r>
      <w:r>
        <w:rPr>
          <w:bCs/>
          <w:szCs w:val="22"/>
        </w:rPr>
        <w:t xml:space="preserve">involves inmate calling services, and the Commission has recognized that the inmate calling services market </w:t>
      </w:r>
      <w:r w:rsidRPr="001832BE">
        <w:rPr>
          <w:snapToGrid w:val="0"/>
          <w:kern w:val="28"/>
        </w:rPr>
        <w:t>is different from other telecommunications markets</w:t>
      </w:r>
      <w:r w:rsidR="00D300E3">
        <w:rPr>
          <w:snapToGrid w:val="0"/>
          <w:kern w:val="28"/>
        </w:rPr>
        <w:t>,</w:t>
      </w:r>
      <w:r>
        <w:rPr>
          <w:snapToGrid w:val="0"/>
          <w:kern w:val="28"/>
          <w:vertAlign w:val="superscript"/>
        </w:rPr>
        <w:footnoteReference w:id="18"/>
      </w:r>
      <w:r w:rsidRPr="00750B9D">
        <w:rPr>
          <w:bCs/>
          <w:szCs w:val="22"/>
        </w:rPr>
        <w:t xml:space="preserve"> in order to analyze whether the proposed transaction would serve the public interest, </w:t>
      </w:r>
      <w:r>
        <w:rPr>
          <w:bCs/>
          <w:szCs w:val="22"/>
        </w:rPr>
        <w:t>we accept the</w:t>
      </w:r>
      <w:r w:rsidRPr="00750B9D">
        <w:rPr>
          <w:bCs/>
          <w:szCs w:val="22"/>
        </w:rPr>
        <w:t xml:space="preserve"> </w:t>
      </w:r>
      <w:r>
        <w:rPr>
          <w:bCs/>
          <w:szCs w:val="22"/>
        </w:rPr>
        <w:t>A</w:t>
      </w:r>
      <w:r w:rsidRPr="00750B9D">
        <w:rPr>
          <w:bCs/>
          <w:szCs w:val="22"/>
        </w:rPr>
        <w:t xml:space="preserve">pplication </w:t>
      </w:r>
      <w:r>
        <w:rPr>
          <w:bCs/>
          <w:szCs w:val="22"/>
        </w:rPr>
        <w:t>for non-streamlined filing</w:t>
      </w:r>
      <w:r w:rsidRPr="00750B9D">
        <w:rPr>
          <w:bCs/>
          <w:szCs w:val="22"/>
        </w:rPr>
        <w:t>.</w:t>
      </w:r>
      <w:r>
        <w:rPr>
          <w:bCs/>
          <w:szCs w:val="22"/>
          <w:vertAlign w:val="superscript"/>
        </w:rPr>
        <w:footnoteReference w:id="19"/>
      </w:r>
    </w:p>
    <w:p w:rsidR="00FB4052" w:rsidP="00FB4052" w14:paraId="3208AF28" w14:textId="77777777">
      <w:pPr>
        <w:ind w:left="720"/>
        <w:rPr>
          <w:szCs w:val="22"/>
        </w:rPr>
      </w:pPr>
      <w:r>
        <w:rPr>
          <w:szCs w:val="22"/>
        </w:rPr>
        <w:t xml:space="preserve">Domestic Section 214 Application Filed for the Transfer of Control of </w:t>
      </w:r>
    </w:p>
    <w:p w:rsidR="00FB4052" w:rsidP="00FB4052" w14:paraId="12347198" w14:textId="77777777">
      <w:pPr>
        <w:ind w:left="720"/>
        <w:rPr>
          <w:szCs w:val="22"/>
        </w:rPr>
      </w:pPr>
      <w:r>
        <w:rPr>
          <w:szCs w:val="22"/>
        </w:rPr>
        <w:t xml:space="preserve">Preferred Communications of Texas, LLC from Embarq Corporation to </w:t>
      </w:r>
    </w:p>
    <w:p w:rsidR="00FB4052" w:rsidP="00FB4052" w14:paraId="00F68274" w14:textId="77777777">
      <w:pPr>
        <w:ind w:left="720"/>
        <w:rPr>
          <w:szCs w:val="22"/>
        </w:rPr>
      </w:pPr>
      <w:r>
        <w:rPr>
          <w:szCs w:val="22"/>
        </w:rPr>
        <w:t xml:space="preserve">Securus Technologies, LLC, WC Docket No. </w:t>
      </w:r>
      <w:r w:rsidRPr="00C53E5E">
        <w:rPr>
          <w:szCs w:val="22"/>
        </w:rPr>
        <w:t>21-</w:t>
      </w:r>
      <w:r>
        <w:rPr>
          <w:szCs w:val="22"/>
        </w:rPr>
        <w:t>275 (filed June 24, 2021).</w:t>
      </w:r>
    </w:p>
    <w:p w:rsidR="00FB4052" w:rsidP="00FB4052" w14:paraId="0BF75264" w14:textId="77777777">
      <w:pPr>
        <w:autoSpaceDE w:val="0"/>
        <w:autoSpaceDN w:val="0"/>
        <w:adjustRightInd w:val="0"/>
        <w:rPr>
          <w:szCs w:val="22"/>
        </w:rPr>
      </w:pPr>
    </w:p>
    <w:p w:rsidR="00FB4052" w:rsidP="00FB4052" w14:paraId="2A208D4A" w14:textId="77777777">
      <w:pPr>
        <w:autoSpaceDE w:val="0"/>
        <w:autoSpaceDN w:val="0"/>
        <w:adjustRightInd w:val="0"/>
        <w:rPr>
          <w:szCs w:val="22"/>
        </w:rPr>
      </w:pPr>
      <w:r w:rsidRPr="00B713DE">
        <w:rPr>
          <w:b/>
          <w:szCs w:val="22"/>
          <w:u w:val="single"/>
        </w:rPr>
        <w:t>GENERAL INFORMATION</w:t>
      </w:r>
    </w:p>
    <w:p w:rsidR="00FB4052" w:rsidP="00FB4052" w14:paraId="3DD90F63" w14:textId="77777777">
      <w:pPr>
        <w:autoSpaceDE w:val="0"/>
        <w:autoSpaceDN w:val="0"/>
        <w:adjustRightInd w:val="0"/>
        <w:rPr>
          <w:szCs w:val="22"/>
        </w:rPr>
      </w:pPr>
    </w:p>
    <w:p w:rsidR="00FB4052" w:rsidRPr="00EC66CA" w:rsidP="00FB4052" w14:paraId="4B300D56"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FB4052" w:rsidRPr="00EC66CA" w:rsidP="00FB4052" w14:paraId="0D7C7F9A" w14:textId="77777777">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Pr>
          <w:b/>
          <w:szCs w:val="22"/>
        </w:rPr>
        <w:t xml:space="preserve">July </w:t>
      </w:r>
      <w:r w:rsidR="00AF25DD">
        <w:rPr>
          <w:b/>
          <w:szCs w:val="22"/>
        </w:rPr>
        <w:t>20</w:t>
      </w:r>
      <w:r w:rsidRPr="006F586C">
        <w:rPr>
          <w:b/>
          <w:szCs w:val="22"/>
        </w:rPr>
        <w:t>, 2021</w:t>
      </w:r>
      <w:r w:rsidRPr="006F586C">
        <w:rPr>
          <w:szCs w:val="22"/>
        </w:rPr>
        <w:t xml:space="preserve">, and reply comments </w:t>
      </w:r>
      <w:r w:rsidRPr="006F586C">
        <w:rPr>
          <w:b/>
          <w:szCs w:val="22"/>
        </w:rPr>
        <w:t xml:space="preserve">on or before </w:t>
      </w:r>
      <w:r>
        <w:rPr>
          <w:b/>
          <w:szCs w:val="22"/>
        </w:rPr>
        <w:t xml:space="preserve">July </w:t>
      </w:r>
      <w:r w:rsidR="00AF25DD">
        <w:rPr>
          <w:b/>
          <w:szCs w:val="22"/>
        </w:rPr>
        <w:t>27</w:t>
      </w:r>
      <w:r w:rsidRPr="006F586C">
        <w:rPr>
          <w:b/>
          <w:szCs w:val="22"/>
        </w:rPr>
        <w:t>, 2021</w:t>
      </w:r>
      <w:r w:rsidRPr="006F586C">
        <w:rPr>
          <w:szCs w:val="22"/>
        </w:rPr>
        <w:t>.</w:t>
      </w:r>
      <w:r w:rsidRPr="00CB2908">
        <w:rPr>
          <w:szCs w:val="22"/>
        </w:rPr>
        <w:t xml:space="preserve">  </w:t>
      </w:r>
      <w:r w:rsidRPr="00EC66CA">
        <w:rPr>
          <w:szCs w:val="22"/>
        </w:rPr>
        <w:t>Comments may be filed using the Commission’s Electronic Comment Filing System (ECFS)</w:t>
      </w:r>
      <w:r>
        <w:rPr>
          <w:szCs w:val="22"/>
        </w:rPr>
        <w:t xml:space="preserve"> </w:t>
      </w:r>
      <w:r w:rsidRPr="00EC66CA">
        <w:rPr>
          <w:szCs w:val="22"/>
        </w:rPr>
        <w:t>or by paper.  </w:t>
      </w:r>
    </w:p>
    <w:p w:rsidR="00FB4052" w:rsidP="00FB4052" w14:paraId="7C37E4DF"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Pr>
          <w:rStyle w:val="Hyperlink"/>
          <w:szCs w:val="22"/>
        </w:rPr>
        <w:t xml:space="preserve"> and IBFS at </w:t>
      </w:r>
      <w:r w:rsidRPr="003E40DA">
        <w:rPr>
          <w:rStyle w:val="Hyperlink"/>
          <w:szCs w:val="22"/>
        </w:rPr>
        <w:t>http://licensing.fcc.gov/myibfs/</w:t>
      </w:r>
      <w:r w:rsidRPr="00EC66CA">
        <w:rPr>
          <w:szCs w:val="22"/>
        </w:rPr>
        <w:t>.</w:t>
      </w:r>
    </w:p>
    <w:p w:rsidR="00FB4052" w:rsidRPr="00EC66CA" w:rsidP="00FB4052" w14:paraId="07544C7B" w14:textId="77777777">
      <w:pPr>
        <w:autoSpaceDE w:val="0"/>
        <w:autoSpaceDN w:val="0"/>
        <w:adjustRightInd w:val="0"/>
        <w:ind w:left="720"/>
        <w:rPr>
          <w:szCs w:val="22"/>
        </w:rPr>
      </w:pPr>
    </w:p>
    <w:p w:rsidR="00FB4052" w:rsidP="00FB4052" w14:paraId="4806BBC3"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B4052" w:rsidRPr="004D7912" w:rsidP="00FB4052" w14:paraId="455E00B4" w14:textId="77777777">
      <w:pPr>
        <w:autoSpaceDE w:val="0"/>
        <w:autoSpaceDN w:val="0"/>
        <w:adjustRightInd w:val="0"/>
        <w:ind w:left="720"/>
        <w:rPr>
          <w:szCs w:val="22"/>
        </w:rPr>
      </w:pPr>
    </w:p>
    <w:p w:rsidR="00FB4052" w:rsidRPr="004D7912" w:rsidP="00FB4052" w14:paraId="424DE390"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0"/>
      </w:r>
      <w:r w:rsidRPr="004D7912">
        <w:rPr>
          <w:szCs w:val="22"/>
        </w:rPr>
        <w:t xml:space="preserve">  All filings must be addressed to the Commission’s Secretary, Office of the Secretary, Federal Communications Commission.</w:t>
      </w:r>
    </w:p>
    <w:p w:rsidR="00FB4052" w:rsidRPr="0011311D" w:rsidP="00FB4052" w14:paraId="411FF3EA"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FB4052" w:rsidRPr="0075291B" w:rsidP="00FB4052" w14:paraId="01DD215E" w14:textId="77777777">
      <w:pPr>
        <w:autoSpaceDE w:val="0"/>
        <w:autoSpaceDN w:val="0"/>
        <w:adjustRightInd w:val="0"/>
        <w:rPr>
          <w:szCs w:val="22"/>
        </w:rPr>
      </w:pPr>
    </w:p>
    <w:p w:rsidR="00FB4052" w:rsidP="00FB4052" w14:paraId="1B55BFF5"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FB4052" w:rsidRPr="00EC66CA" w:rsidP="00FB4052" w14:paraId="43B1E54F" w14:textId="77777777">
      <w:pPr>
        <w:autoSpaceDE w:val="0"/>
        <w:autoSpaceDN w:val="0"/>
        <w:adjustRightInd w:val="0"/>
        <w:ind w:firstLine="720"/>
        <w:rPr>
          <w:b/>
          <w:szCs w:val="22"/>
        </w:rPr>
      </w:pPr>
    </w:p>
    <w:p w:rsidR="00FB4052" w:rsidRPr="00EC66CA" w:rsidP="00FB4052" w14:paraId="1AB6E73C" w14:textId="77777777">
      <w:pPr>
        <w:autoSpaceDE w:val="0"/>
        <w:autoSpaceDN w:val="0"/>
        <w:adjustRightInd w:val="0"/>
        <w:ind w:firstLine="720"/>
        <w:rPr>
          <w:b/>
          <w:szCs w:val="22"/>
        </w:rPr>
      </w:pPr>
      <w:r w:rsidRPr="00EC66CA">
        <w:rPr>
          <w:b/>
          <w:szCs w:val="22"/>
        </w:rPr>
        <w:t>In addition, e-mail one copy of each pleading to each of the following:</w:t>
      </w:r>
    </w:p>
    <w:p w:rsidR="00FB4052" w:rsidRPr="00EC66CA" w:rsidP="00FB4052" w14:paraId="75D1B2F9" w14:textId="77777777">
      <w:pPr>
        <w:autoSpaceDE w:val="0"/>
        <w:autoSpaceDN w:val="0"/>
        <w:adjustRightInd w:val="0"/>
        <w:ind w:firstLine="720"/>
        <w:rPr>
          <w:b/>
          <w:szCs w:val="22"/>
        </w:rPr>
      </w:pPr>
    </w:p>
    <w:p w:rsidR="00FB4052" w:rsidRPr="000A3BF0" w:rsidP="00FB4052" w14:paraId="08CBF3EB" w14:textId="77777777">
      <w:pPr>
        <w:numPr>
          <w:ilvl w:val="0"/>
          <w:numId w:val="18"/>
        </w:numPr>
        <w:autoSpaceDE w:val="0"/>
        <w:autoSpaceDN w:val="0"/>
        <w:adjustRightInd w:val="0"/>
        <w:spacing w:after="220"/>
        <w:rPr>
          <w:szCs w:val="22"/>
        </w:rPr>
      </w:pPr>
      <w:r>
        <w:rPr>
          <w:szCs w:val="22"/>
        </w:rPr>
        <w:t>Tracey Wilson</w:t>
      </w:r>
      <w:r w:rsidRPr="000A3BF0">
        <w:rPr>
          <w:szCs w:val="22"/>
        </w:rPr>
        <w:t xml:space="preserve">, Competition Policy Division, Wireline Competition Bureau, </w:t>
      </w:r>
      <w:hyperlink r:id="rId11" w:history="1">
        <w:r w:rsidRPr="00BE6270">
          <w:rPr>
            <w:rStyle w:val="Hyperlink"/>
            <w:szCs w:val="22"/>
          </w:rPr>
          <w:t>tracey.wilson@fcc.gov</w:t>
        </w:r>
      </w:hyperlink>
      <w:r w:rsidRPr="000A3BF0">
        <w:rPr>
          <w:szCs w:val="22"/>
        </w:rPr>
        <w:t>;</w:t>
      </w:r>
    </w:p>
    <w:p w:rsidR="00FB4052" w:rsidRPr="00703E9B" w:rsidP="00FB4052" w14:paraId="135942C9" w14:textId="77777777">
      <w:pPr>
        <w:numPr>
          <w:ilvl w:val="0"/>
          <w:numId w:val="18"/>
        </w:numPr>
        <w:autoSpaceDE w:val="0"/>
        <w:autoSpaceDN w:val="0"/>
        <w:adjustRightInd w:val="0"/>
        <w:spacing w:after="220"/>
        <w:rPr>
          <w:szCs w:val="22"/>
        </w:rPr>
      </w:pPr>
      <w:r>
        <w:rPr>
          <w:szCs w:val="22"/>
        </w:rPr>
        <w:t>Dennis Johnson</w:t>
      </w:r>
      <w:r w:rsidRPr="000A3BF0">
        <w:rPr>
          <w:szCs w:val="22"/>
        </w:rPr>
        <w:t xml:space="preserve">, Competition Policy Division, Wireline Competition Bureau, </w:t>
      </w:r>
      <w:hyperlink r:id="rId12" w:history="1">
        <w:r w:rsidRPr="00BE6270">
          <w:rPr>
            <w:rStyle w:val="Hyperlink"/>
            <w:szCs w:val="22"/>
          </w:rPr>
          <w:t>dennis.johnson@fcc.gov</w:t>
        </w:r>
      </w:hyperlink>
      <w:r w:rsidRPr="000A3BF0">
        <w:rPr>
          <w:szCs w:val="22"/>
        </w:rPr>
        <w:t>;</w:t>
      </w:r>
      <w:r>
        <w:rPr>
          <w:szCs w:val="22"/>
        </w:rPr>
        <w:t xml:space="preserve"> </w:t>
      </w:r>
      <w:r w:rsidRPr="00703E9B">
        <w:rPr>
          <w:szCs w:val="22"/>
        </w:rPr>
        <w:t>and</w:t>
      </w:r>
    </w:p>
    <w:p w:rsidR="00FB4052" w:rsidP="00FB4052" w14:paraId="6263C646" w14:textId="77777777">
      <w:pPr>
        <w:numPr>
          <w:ilvl w:val="0"/>
          <w:numId w:val="18"/>
        </w:numPr>
        <w:autoSpaceDE w:val="0"/>
        <w:autoSpaceDN w:val="0"/>
        <w:adjustRightInd w:val="0"/>
        <w:spacing w:after="220"/>
        <w:rPr>
          <w:szCs w:val="22"/>
        </w:rPr>
      </w:pPr>
      <w:r w:rsidRPr="000A3BF0">
        <w:rPr>
          <w:szCs w:val="22"/>
        </w:rPr>
        <w:t xml:space="preserve">Jim Bird, Office of General Counsel, </w:t>
      </w:r>
      <w:hyperlink r:id="rId13" w:history="1">
        <w:r w:rsidRPr="000A3BF0">
          <w:rPr>
            <w:rStyle w:val="Hyperlink"/>
            <w:szCs w:val="22"/>
          </w:rPr>
          <w:t>jim.bird@fcc.gov</w:t>
        </w:r>
      </w:hyperlink>
      <w:r>
        <w:rPr>
          <w:rStyle w:val="Hyperlink"/>
          <w:szCs w:val="22"/>
        </w:rPr>
        <w:t>.</w:t>
      </w:r>
    </w:p>
    <w:p w:rsidR="00FB4052" w:rsidRPr="00EC66CA" w:rsidP="00FB4052" w14:paraId="28BA608B"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FB4052" w:rsidRPr="00EB5F81" w:rsidP="00FB4052" w14:paraId="11168AAB"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1"/>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B4052" w:rsidRPr="006B7F06" w:rsidP="00FB4052" w14:paraId="28D27141" w14:textId="77777777">
      <w:pPr>
        <w:autoSpaceDE w:val="0"/>
        <w:autoSpaceDN w:val="0"/>
        <w:adjustRightInd w:val="0"/>
        <w:spacing w:after="120"/>
        <w:ind w:firstLine="720"/>
        <w:rPr>
          <w:szCs w:val="22"/>
        </w:rPr>
      </w:pPr>
      <w:r w:rsidRPr="009753C0">
        <w:rPr>
          <w:szCs w:val="22"/>
        </w:rPr>
        <w:t xml:space="preserve">For further information, please contact </w:t>
      </w:r>
      <w:r>
        <w:rPr>
          <w:szCs w:val="22"/>
        </w:rPr>
        <w:t>Tracey Wilson</w:t>
      </w:r>
      <w:r w:rsidRPr="009753C0">
        <w:rPr>
          <w:szCs w:val="22"/>
        </w:rPr>
        <w:t xml:space="preserve"> at (202) 418-1</w:t>
      </w:r>
      <w:r>
        <w:rPr>
          <w:szCs w:val="22"/>
        </w:rPr>
        <w:t>394</w:t>
      </w:r>
      <w:r w:rsidRPr="009753C0">
        <w:rPr>
          <w:szCs w:val="22"/>
        </w:rPr>
        <w:t xml:space="preserve"> or </w:t>
      </w:r>
      <w:r>
        <w:rPr>
          <w:szCs w:val="22"/>
        </w:rPr>
        <w:t>Dennis Johnson</w:t>
      </w:r>
      <w:r w:rsidRPr="00541FF2">
        <w:rPr>
          <w:szCs w:val="22"/>
        </w:rPr>
        <w:t xml:space="preserve"> </w:t>
      </w:r>
      <w:r>
        <w:rPr>
          <w:szCs w:val="22"/>
        </w:rPr>
        <w:t>at (202) 418-0809, Wireline Competition Bureau</w:t>
      </w:r>
      <w:r w:rsidRPr="006B7F06">
        <w:rPr>
          <w:szCs w:val="22"/>
        </w:rPr>
        <w:t>.</w:t>
      </w:r>
    </w:p>
    <w:p w:rsidR="00FB4052" w:rsidP="00FB4052" w14:paraId="2C4F87C2" w14:textId="77777777">
      <w:pPr>
        <w:autoSpaceDE w:val="0"/>
        <w:autoSpaceDN w:val="0"/>
        <w:adjustRightInd w:val="0"/>
        <w:rPr>
          <w:color w:val="000000"/>
          <w:szCs w:val="22"/>
        </w:rPr>
      </w:pPr>
      <w:r w:rsidRPr="00524D79">
        <w:rPr>
          <w:color w:val="000000"/>
          <w:szCs w:val="22"/>
        </w:rPr>
        <w:t xml:space="preserve"> </w:t>
      </w:r>
    </w:p>
    <w:p w:rsidR="00FB4052" w:rsidP="00FB4052" w14:paraId="0217D959" w14:textId="77777777">
      <w:pPr>
        <w:jc w:val="right"/>
        <w:rPr>
          <w:b/>
          <w:szCs w:val="22"/>
        </w:rPr>
      </w:pPr>
    </w:p>
    <w:p w:rsidR="00FB4052" w:rsidP="00FB4052" w14:paraId="67F9E3D3" w14:textId="77777777">
      <w:pPr>
        <w:jc w:val="center"/>
        <w:rPr>
          <w:b/>
          <w:szCs w:val="22"/>
        </w:rPr>
      </w:pPr>
      <w:r>
        <w:rPr>
          <w:b/>
          <w:szCs w:val="22"/>
        </w:rPr>
        <w:t>-FCC-</w:t>
      </w:r>
      <w:bookmarkEnd w:id="2"/>
      <w:bookmarkEnd w:id="3"/>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41157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72A8" w14:paraId="6FB1E3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113CF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2A8" w14:paraId="6B4D357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2A9E92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2A8" w14:paraId="2068F70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A86FCE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6895" w14:paraId="78A61435" w14:textId="77777777">
      <w:r>
        <w:separator/>
      </w:r>
    </w:p>
  </w:footnote>
  <w:footnote w:type="continuationSeparator" w:id="1">
    <w:p w:rsidR="00426895" w14:paraId="4D28C39A" w14:textId="77777777">
      <w:r>
        <w:continuationSeparator/>
      </w:r>
    </w:p>
  </w:footnote>
  <w:footnote w:type="continuationNotice" w:id="2">
    <w:p w:rsidR="00426895" w14:paraId="748F5983" w14:textId="77777777"/>
  </w:footnote>
  <w:footnote w:id="3">
    <w:p w:rsidR="00FB4052" w:rsidRPr="00BE2C8A" w:rsidP="00FB4052" w14:paraId="29B863EE" w14:textId="77777777">
      <w:pPr>
        <w:pStyle w:val="FootnoteText"/>
        <w:rPr>
          <w:sz w:val="20"/>
        </w:rPr>
      </w:pPr>
      <w:r w:rsidRPr="00121383">
        <w:rPr>
          <w:rStyle w:val="FootnoteReference"/>
          <w:sz w:val="20"/>
        </w:rPr>
        <w:footnoteRef/>
      </w:r>
      <w:r w:rsidRPr="00121383">
        <w:rPr>
          <w:sz w:val="20"/>
        </w:rPr>
        <w:t xml:space="preserve"> </w:t>
      </w:r>
      <w:r w:rsidRPr="00BE2C8A">
        <w:rPr>
          <w:i/>
          <w:sz w:val="20"/>
        </w:rPr>
        <w:t>See</w:t>
      </w:r>
      <w:r w:rsidRPr="00BE2C8A">
        <w:rPr>
          <w:sz w:val="20"/>
        </w:rPr>
        <w:t xml:space="preserve"> 47 U.S.C. § 214; 47 CFR §§ 63.03-04.</w:t>
      </w:r>
    </w:p>
  </w:footnote>
  <w:footnote w:id="4">
    <w:p w:rsidR="00FB4052" w:rsidRPr="00BE2C8A" w:rsidP="00FB4052" w14:paraId="21DE7AED" w14:textId="77777777">
      <w:pPr>
        <w:pStyle w:val="FootnoteText"/>
        <w:rPr>
          <w:sz w:val="20"/>
        </w:rPr>
      </w:pPr>
      <w:r w:rsidRPr="00BE2C8A">
        <w:rPr>
          <w:rStyle w:val="FootnoteReference"/>
          <w:sz w:val="20"/>
        </w:rPr>
        <w:footnoteRef/>
      </w:r>
      <w:r w:rsidRPr="00BE2C8A">
        <w:rPr>
          <w:sz w:val="20"/>
        </w:rPr>
        <w:t xml:space="preserve"> Joint Application for Consent to Transfer Control of Domestic Section 214 Authorization, WC Docket No. 21-275 (filed June 24, 2021) (Application).</w:t>
      </w:r>
    </w:p>
  </w:footnote>
  <w:footnote w:id="5">
    <w:p w:rsidR="00FB4052" w:rsidRPr="00BE2C8A" w:rsidP="00FB4052" w14:paraId="6F1EAB4A" w14:textId="77777777">
      <w:pPr>
        <w:pStyle w:val="FootnoteText"/>
        <w:rPr>
          <w:sz w:val="20"/>
        </w:rPr>
      </w:pPr>
      <w:r w:rsidRPr="00BE2C8A">
        <w:rPr>
          <w:rStyle w:val="FootnoteReference"/>
          <w:sz w:val="20"/>
        </w:rPr>
        <w:footnoteRef/>
      </w:r>
      <w:r w:rsidRPr="00BE2C8A">
        <w:rPr>
          <w:sz w:val="20"/>
        </w:rPr>
        <w:t xml:space="preserve"> Application at 1. </w:t>
      </w:r>
      <w:r>
        <w:rPr>
          <w:sz w:val="20"/>
        </w:rPr>
        <w:t xml:space="preserve"> Embarq is a wholly-owned direct subsidiary of Lumen Technologies, Inc. (formerly CenturyLink, Inc.).  </w:t>
      </w:r>
    </w:p>
  </w:footnote>
  <w:footnote w:id="6">
    <w:p w:rsidR="00FB4052" w:rsidRPr="00BE2C8A" w:rsidP="00FB4052" w14:paraId="069E23E2" w14:textId="77777777">
      <w:pPr>
        <w:pStyle w:val="FootnoteText"/>
        <w:rPr>
          <w:sz w:val="20"/>
        </w:rPr>
      </w:pPr>
      <w:r w:rsidRPr="00BE2C8A">
        <w:rPr>
          <w:rStyle w:val="FootnoteReference"/>
          <w:sz w:val="20"/>
        </w:rPr>
        <w:footnoteRef/>
      </w:r>
      <w:r w:rsidRPr="00BE2C8A">
        <w:rPr>
          <w:sz w:val="20"/>
        </w:rPr>
        <w:t xml:space="preserve"> </w:t>
      </w:r>
      <w:r w:rsidRPr="00BE2C8A">
        <w:rPr>
          <w:rFonts w:eastAsia="Calibri"/>
          <w:sz w:val="20"/>
        </w:rPr>
        <w:t xml:space="preserve">At the time of the signing, the TDCJ Contract included 110 facilities and an estimated 155,239 incarcerated persons, of which an estimated 134,064 were eligible to make use of the communications services.  </w:t>
      </w:r>
      <w:r w:rsidRPr="00BE2C8A">
        <w:rPr>
          <w:rFonts w:eastAsia="Calibri"/>
          <w:i/>
          <w:iCs/>
          <w:sz w:val="20"/>
        </w:rPr>
        <w:t>Id</w:t>
      </w:r>
      <w:r w:rsidRPr="00BE2C8A">
        <w:rPr>
          <w:rFonts w:eastAsia="Calibri"/>
          <w:sz w:val="20"/>
        </w:rPr>
        <w:t xml:space="preserve">. at 5.  Currently, the TDCJ facilities have a total average daily population of approximately 120,000.  </w:t>
      </w:r>
      <w:r w:rsidRPr="00BE2C8A">
        <w:rPr>
          <w:rFonts w:eastAsia="Calibri"/>
          <w:i/>
          <w:iCs/>
          <w:sz w:val="20"/>
        </w:rPr>
        <w:t>Id.</w:t>
      </w:r>
    </w:p>
  </w:footnote>
  <w:footnote w:id="7">
    <w:p w:rsidR="00FB4052" w:rsidRPr="00BE2C8A" w:rsidP="00FB4052" w14:paraId="7BD33B16" w14:textId="77777777">
      <w:pPr>
        <w:pStyle w:val="FootnoteText"/>
        <w:rPr>
          <w:sz w:val="20"/>
        </w:rPr>
      </w:pPr>
      <w:r w:rsidRPr="00BE2C8A">
        <w:rPr>
          <w:rStyle w:val="FootnoteReference"/>
          <w:sz w:val="20"/>
        </w:rPr>
        <w:footnoteRef/>
      </w:r>
      <w:r w:rsidRPr="00BE2C8A">
        <w:rPr>
          <w:sz w:val="20"/>
        </w:rPr>
        <w:t xml:space="preserve"> </w:t>
      </w:r>
      <w:r w:rsidRPr="00BE2C8A">
        <w:rPr>
          <w:i/>
          <w:iCs/>
          <w:sz w:val="20"/>
        </w:rPr>
        <w:t>Id.</w:t>
      </w:r>
      <w:r w:rsidRPr="00BE2C8A">
        <w:rPr>
          <w:sz w:val="20"/>
        </w:rPr>
        <w:t xml:space="preserve"> at 1.  Applicants state that Embarq formed Preferred in 2020 to hold the TDCJ Contract when it sold the rest of its inmate calling services business to Inmate Calling Solutions, LLC (d/b/a</w:t>
      </w:r>
      <w:r>
        <w:rPr>
          <w:sz w:val="20"/>
        </w:rPr>
        <w:t xml:space="preserve"> </w:t>
      </w:r>
      <w:r w:rsidRPr="00BE2C8A">
        <w:rPr>
          <w:sz w:val="20"/>
        </w:rPr>
        <w:t xml:space="preserve">ICSolutions).  </w:t>
      </w:r>
      <w:r w:rsidRPr="00BE2C8A">
        <w:rPr>
          <w:i/>
          <w:iCs/>
          <w:sz w:val="20"/>
        </w:rPr>
        <w:t>Id</w:t>
      </w:r>
      <w:r w:rsidRPr="00BE2C8A">
        <w:rPr>
          <w:sz w:val="20"/>
        </w:rPr>
        <w:t>. at 3, 8-9.</w:t>
      </w:r>
      <w:r w:rsidRPr="00BE2C8A">
        <w:rPr>
          <w:i/>
          <w:iCs/>
          <w:sz w:val="20"/>
        </w:rPr>
        <w:t xml:space="preserve">  See Applications Granted for the Transfer of Control of CenturyLink Public Communications, Inc. to Inmate Calling Solutions, LLC d/b/a ICSolutions</w:t>
      </w:r>
      <w:r w:rsidRPr="00BE2C8A">
        <w:rPr>
          <w:sz w:val="20"/>
        </w:rPr>
        <w:t>, WC Docket No. 20-150, Public Notice, 35 FCC Rcd 8661 (WCB, IB 2020).</w:t>
      </w:r>
    </w:p>
  </w:footnote>
  <w:footnote w:id="8">
    <w:p w:rsidR="00FB4052" w:rsidRPr="00BE2C8A" w:rsidP="00FB4052" w14:paraId="718EBEB7" w14:textId="77777777">
      <w:pPr>
        <w:pStyle w:val="FootnoteText"/>
        <w:rPr>
          <w:sz w:val="20"/>
        </w:rPr>
      </w:pPr>
      <w:r w:rsidRPr="00BE2C8A">
        <w:rPr>
          <w:rStyle w:val="FootnoteReference"/>
          <w:sz w:val="20"/>
        </w:rPr>
        <w:footnoteRef/>
      </w:r>
      <w:r w:rsidRPr="00BE2C8A">
        <w:rPr>
          <w:sz w:val="20"/>
        </w:rPr>
        <w:t xml:space="preserve"> </w:t>
      </w:r>
      <w:r>
        <w:rPr>
          <w:sz w:val="20"/>
        </w:rPr>
        <w:t xml:space="preserve">Application </w:t>
      </w:r>
      <w:r w:rsidRPr="00BE2C8A">
        <w:rPr>
          <w:sz w:val="20"/>
        </w:rPr>
        <w:t xml:space="preserve">at 2. </w:t>
      </w:r>
    </w:p>
  </w:footnote>
  <w:footnote w:id="9">
    <w:p w:rsidR="00FB4052" w:rsidRPr="00BE2C8A" w:rsidP="00FB4052" w14:paraId="0C3758E9" w14:textId="77777777">
      <w:pPr>
        <w:pStyle w:val="FootnoteText"/>
        <w:rPr>
          <w:sz w:val="20"/>
        </w:rPr>
      </w:pPr>
      <w:r w:rsidRPr="00BE2C8A">
        <w:rPr>
          <w:rStyle w:val="FootnoteReference"/>
          <w:sz w:val="20"/>
        </w:rPr>
        <w:footnoteRef/>
      </w:r>
      <w:r w:rsidRPr="00BE2C8A">
        <w:rPr>
          <w:sz w:val="20"/>
        </w:rPr>
        <w:t xml:space="preserve"> </w:t>
      </w:r>
      <w:r w:rsidRPr="00BE2C8A">
        <w:rPr>
          <w:i/>
          <w:iCs/>
          <w:sz w:val="20"/>
        </w:rPr>
        <w:t>Id.</w:t>
      </w:r>
    </w:p>
  </w:footnote>
  <w:footnote w:id="10">
    <w:p w:rsidR="00FB4052" w:rsidRPr="00BE2C8A" w:rsidP="00FB4052" w14:paraId="425AA1CF" w14:textId="77777777">
      <w:pPr>
        <w:pStyle w:val="FootnoteText"/>
        <w:rPr>
          <w:sz w:val="20"/>
        </w:rPr>
      </w:pPr>
      <w:r w:rsidRPr="00BE2C8A">
        <w:rPr>
          <w:rStyle w:val="FootnoteReference"/>
          <w:sz w:val="20"/>
        </w:rPr>
        <w:footnoteRef/>
      </w:r>
      <w:r w:rsidRPr="00BE2C8A">
        <w:rPr>
          <w:sz w:val="20"/>
        </w:rPr>
        <w:t xml:space="preserve"> </w:t>
      </w:r>
      <w:bookmarkStart w:id="6" w:name="_Hlk75857268"/>
      <w:r w:rsidRPr="00BE2C8A">
        <w:rPr>
          <w:i/>
          <w:iCs/>
          <w:sz w:val="20"/>
        </w:rPr>
        <w:t>Id.</w:t>
      </w:r>
      <w:bookmarkEnd w:id="6"/>
      <w:r w:rsidRPr="00BE2C8A">
        <w:rPr>
          <w:sz w:val="20"/>
        </w:rPr>
        <w:t xml:space="preserve"> </w:t>
      </w:r>
    </w:p>
  </w:footnote>
  <w:footnote w:id="11">
    <w:p w:rsidR="00FB4052" w:rsidRPr="00BE2C8A" w:rsidP="00FB4052" w14:paraId="29FE60C3" w14:textId="77777777">
      <w:pPr>
        <w:pStyle w:val="FootnoteText"/>
        <w:rPr>
          <w:sz w:val="20"/>
        </w:rPr>
      </w:pPr>
      <w:r w:rsidRPr="00BE2C8A">
        <w:rPr>
          <w:rStyle w:val="FootnoteReference"/>
          <w:sz w:val="20"/>
        </w:rPr>
        <w:footnoteRef/>
      </w:r>
      <w:r w:rsidRPr="00BE2C8A">
        <w:rPr>
          <w:sz w:val="20"/>
        </w:rPr>
        <w:t xml:space="preserve"> </w:t>
      </w:r>
      <w:r w:rsidRPr="00BE2C8A">
        <w:rPr>
          <w:i/>
          <w:iCs/>
          <w:sz w:val="20"/>
        </w:rPr>
        <w:t xml:space="preserve">Id. </w:t>
      </w:r>
      <w:r w:rsidRPr="00BE2C8A">
        <w:rPr>
          <w:sz w:val="20"/>
        </w:rPr>
        <w:t>at 3, 11-15.</w:t>
      </w:r>
      <w:r w:rsidRPr="00BE2C8A">
        <w:rPr>
          <w:i/>
          <w:iCs/>
          <w:sz w:val="20"/>
        </w:rPr>
        <w:t xml:space="preserve"> </w:t>
      </w:r>
      <w:r w:rsidRPr="00BE2C8A">
        <w:rPr>
          <w:sz w:val="20"/>
        </w:rPr>
        <w:t>Applicants st</w:t>
      </w:r>
      <w:r>
        <w:rPr>
          <w:sz w:val="20"/>
        </w:rPr>
        <w:t xml:space="preserve">ate that the </w:t>
      </w:r>
      <w:r w:rsidRPr="00BE2C8A">
        <w:rPr>
          <w:sz w:val="20"/>
        </w:rPr>
        <w:t xml:space="preserve">sole manager of Platinum Equity, LLC is Tom Gores.  </w:t>
      </w:r>
      <w:r w:rsidRPr="00BE2C8A">
        <w:rPr>
          <w:i/>
          <w:iCs/>
          <w:sz w:val="20"/>
        </w:rPr>
        <w:t>Id</w:t>
      </w:r>
      <w:r w:rsidRPr="00BE2C8A">
        <w:rPr>
          <w:sz w:val="20"/>
        </w:rPr>
        <w:t xml:space="preserve">. at 15.  All the membership interests of Platinum Equity are held in trust by the Gores Trust dated January 26, 1999, as amended.  </w:t>
      </w:r>
      <w:r w:rsidRPr="00BE2C8A">
        <w:rPr>
          <w:i/>
          <w:iCs/>
          <w:sz w:val="20"/>
        </w:rPr>
        <w:t>Id</w:t>
      </w:r>
      <w:r w:rsidRPr="00BE2C8A">
        <w:rPr>
          <w:sz w:val="20"/>
        </w:rPr>
        <w:t>.</w:t>
      </w:r>
      <w:r w:rsidRPr="00BE2C8A">
        <w:rPr>
          <w:i/>
          <w:iCs/>
          <w:sz w:val="20"/>
        </w:rPr>
        <w:t xml:space="preserve"> </w:t>
      </w:r>
      <w:r>
        <w:rPr>
          <w:i/>
          <w:iCs/>
          <w:sz w:val="20"/>
        </w:rPr>
        <w:t xml:space="preserve"> </w:t>
      </w:r>
      <w:r w:rsidRPr="00BE2C8A">
        <w:rPr>
          <w:sz w:val="20"/>
        </w:rPr>
        <w:t xml:space="preserve">Tom Gores and Holly Gores, both U.S. citizens, are the trustees of the Gores Trust.  </w:t>
      </w:r>
      <w:r w:rsidRPr="00BE2C8A">
        <w:rPr>
          <w:i/>
          <w:iCs/>
          <w:sz w:val="20"/>
        </w:rPr>
        <w:t>Id.</w:t>
      </w:r>
      <w:r w:rsidRPr="00BE2C8A">
        <w:rPr>
          <w:sz w:val="20"/>
        </w:rPr>
        <w:t xml:space="preserve">  </w:t>
      </w:r>
    </w:p>
  </w:footnote>
  <w:footnote w:id="12">
    <w:p w:rsidR="00FB4052" w:rsidRPr="00BE2C8A" w:rsidP="00FB4052" w14:paraId="1ED2D529" w14:textId="77777777">
      <w:pPr>
        <w:pStyle w:val="FootnoteText"/>
        <w:rPr>
          <w:sz w:val="20"/>
        </w:rPr>
      </w:pPr>
      <w:r w:rsidRPr="00BE2C8A">
        <w:rPr>
          <w:rStyle w:val="FootnoteReference"/>
          <w:sz w:val="20"/>
        </w:rPr>
        <w:footnoteRef/>
      </w:r>
      <w:r w:rsidRPr="00BE2C8A">
        <w:rPr>
          <w:sz w:val="20"/>
        </w:rPr>
        <w:t xml:space="preserve"> </w:t>
      </w:r>
      <w:bookmarkStart w:id="7" w:name="_Hlk75858273"/>
      <w:r w:rsidRPr="00BE2C8A">
        <w:rPr>
          <w:i/>
          <w:iCs/>
          <w:sz w:val="20"/>
        </w:rPr>
        <w:t>Id.</w:t>
      </w:r>
      <w:r w:rsidRPr="00BE2C8A">
        <w:rPr>
          <w:sz w:val="20"/>
        </w:rPr>
        <w:t xml:space="preserve"> at 3-4.</w:t>
      </w:r>
      <w:bookmarkEnd w:id="7"/>
    </w:p>
  </w:footnote>
  <w:footnote w:id="13">
    <w:p w:rsidR="00FB4052" w:rsidRPr="00BE2C8A" w:rsidP="00FB4052" w14:paraId="194841D7" w14:textId="77777777">
      <w:pPr>
        <w:pStyle w:val="FootnoteText"/>
        <w:rPr>
          <w:sz w:val="20"/>
        </w:rPr>
      </w:pPr>
      <w:r w:rsidRPr="00BE2C8A">
        <w:rPr>
          <w:rStyle w:val="FootnoteReference"/>
          <w:sz w:val="20"/>
        </w:rPr>
        <w:footnoteRef/>
      </w:r>
      <w:r w:rsidRPr="00BE2C8A">
        <w:rPr>
          <w:sz w:val="20"/>
        </w:rPr>
        <w:t xml:space="preserve"> </w:t>
      </w:r>
      <w:r w:rsidRPr="00BE2C8A">
        <w:rPr>
          <w:i/>
          <w:iCs/>
          <w:sz w:val="20"/>
        </w:rPr>
        <w:t>Id</w:t>
      </w:r>
      <w:r w:rsidRPr="00BE2C8A">
        <w:rPr>
          <w:sz w:val="20"/>
        </w:rPr>
        <w:t>. at 4.</w:t>
      </w:r>
    </w:p>
  </w:footnote>
  <w:footnote w:id="14">
    <w:p w:rsidR="00FB4052" w:rsidRPr="00BE2C8A" w:rsidP="00FB4052" w14:paraId="04129493" w14:textId="77777777">
      <w:pPr>
        <w:pStyle w:val="FootnoteText"/>
        <w:rPr>
          <w:sz w:val="20"/>
        </w:rPr>
      </w:pPr>
      <w:r w:rsidRPr="00BE2C8A">
        <w:rPr>
          <w:rStyle w:val="FootnoteReference"/>
          <w:sz w:val="20"/>
        </w:rPr>
        <w:footnoteRef/>
      </w:r>
      <w:r w:rsidRPr="00BE2C8A">
        <w:rPr>
          <w:sz w:val="20"/>
        </w:rPr>
        <w:t xml:space="preserve"> </w:t>
      </w:r>
      <w:r w:rsidRPr="00BE2C8A">
        <w:rPr>
          <w:i/>
          <w:iCs/>
          <w:sz w:val="20"/>
        </w:rPr>
        <w:t>Id.</w:t>
      </w:r>
      <w:r w:rsidRPr="00BE2C8A">
        <w:rPr>
          <w:sz w:val="20"/>
        </w:rPr>
        <w:t xml:space="preserve"> at 5 and n.3 (citing Tex. Gov’t Code Ann. § 495.027(b)).</w:t>
      </w:r>
    </w:p>
  </w:footnote>
  <w:footnote w:id="15">
    <w:p w:rsidR="00FB4052" w:rsidRPr="00BE2C8A" w:rsidP="00FB4052" w14:paraId="57DA791C" w14:textId="77777777">
      <w:pPr>
        <w:pStyle w:val="FootnoteText"/>
        <w:rPr>
          <w:i/>
          <w:iCs/>
          <w:sz w:val="20"/>
        </w:rPr>
      </w:pPr>
      <w:r w:rsidRPr="00BE2C8A">
        <w:rPr>
          <w:rStyle w:val="FootnoteReference"/>
          <w:sz w:val="20"/>
        </w:rPr>
        <w:footnoteRef/>
      </w:r>
      <w:r w:rsidRPr="00BE2C8A">
        <w:rPr>
          <w:sz w:val="20"/>
        </w:rPr>
        <w:t xml:space="preserve"> </w:t>
      </w:r>
      <w:r w:rsidRPr="00BE2C8A">
        <w:rPr>
          <w:i/>
          <w:iCs/>
          <w:sz w:val="20"/>
        </w:rPr>
        <w:t>Id.</w:t>
      </w:r>
    </w:p>
  </w:footnote>
  <w:footnote w:id="16">
    <w:p w:rsidR="00FB4052" w:rsidRPr="00BE2C8A" w:rsidP="00FB4052" w14:paraId="7364F95E" w14:textId="77777777">
      <w:pPr>
        <w:pStyle w:val="FootnoteText"/>
        <w:rPr>
          <w:sz w:val="20"/>
        </w:rPr>
      </w:pPr>
      <w:r w:rsidRPr="00BE2C8A">
        <w:rPr>
          <w:rStyle w:val="FootnoteReference"/>
          <w:sz w:val="20"/>
        </w:rPr>
        <w:footnoteRef/>
      </w:r>
      <w:r w:rsidRPr="00BE2C8A">
        <w:rPr>
          <w:sz w:val="20"/>
        </w:rPr>
        <w:t xml:space="preserve"> </w:t>
      </w:r>
      <w:r w:rsidRPr="00BE2C8A">
        <w:rPr>
          <w:i/>
          <w:iCs/>
          <w:sz w:val="20"/>
        </w:rPr>
        <w:t>Id.</w:t>
      </w:r>
      <w:r w:rsidRPr="00BE2C8A">
        <w:rPr>
          <w:sz w:val="20"/>
        </w:rPr>
        <w:t xml:space="preserve"> at 2, 6.  </w:t>
      </w:r>
    </w:p>
  </w:footnote>
  <w:footnote w:id="17">
    <w:p w:rsidR="00FB4052" w:rsidRPr="00BE2C8A" w:rsidP="00FB4052" w14:paraId="03BF6EF5" w14:textId="77777777">
      <w:pPr>
        <w:pStyle w:val="FootnoteText"/>
        <w:rPr>
          <w:sz w:val="20"/>
        </w:rPr>
      </w:pPr>
      <w:r w:rsidRPr="00BE2C8A">
        <w:rPr>
          <w:rStyle w:val="FootnoteReference"/>
          <w:sz w:val="20"/>
        </w:rPr>
        <w:footnoteRef/>
      </w:r>
      <w:r w:rsidRPr="00BE2C8A">
        <w:rPr>
          <w:sz w:val="20"/>
        </w:rPr>
        <w:t xml:space="preserve"> </w:t>
      </w:r>
      <w:r w:rsidRPr="00BE2C8A">
        <w:rPr>
          <w:i/>
          <w:iCs/>
          <w:sz w:val="20"/>
        </w:rPr>
        <w:t>Id.</w:t>
      </w:r>
      <w:r w:rsidRPr="00BE2C8A">
        <w:rPr>
          <w:sz w:val="20"/>
        </w:rPr>
        <w:t xml:space="preserve"> at 8-10.</w:t>
      </w:r>
    </w:p>
  </w:footnote>
  <w:footnote w:id="18">
    <w:p w:rsidR="00FB4052" w:rsidRPr="00BD19AA" w:rsidP="00FB4052" w14:paraId="62105E61" w14:textId="77777777">
      <w:pPr>
        <w:pStyle w:val="FootnoteText"/>
        <w:spacing w:after="120"/>
        <w:rPr>
          <w:sz w:val="20"/>
        </w:rPr>
      </w:pPr>
      <w:r w:rsidRPr="00235FC2">
        <w:rPr>
          <w:rStyle w:val="FootnoteReference"/>
        </w:rPr>
        <w:footnoteRef/>
      </w:r>
      <w:r w:rsidRPr="00235FC2">
        <w:t xml:space="preserve"> </w:t>
      </w:r>
      <w:r w:rsidRPr="00BD19AA">
        <w:rPr>
          <w:i/>
          <w:iCs/>
          <w:sz w:val="20"/>
        </w:rPr>
        <w:t>See Rates for Interstate Calling Services</w:t>
      </w:r>
      <w:r w:rsidRPr="00BD19AA">
        <w:rPr>
          <w:sz w:val="20"/>
        </w:rPr>
        <w:t xml:space="preserve">, WC Docket </w:t>
      </w:r>
      <w:r w:rsidRPr="00BD19AA" w:rsidR="00B02BA7">
        <w:rPr>
          <w:sz w:val="20"/>
        </w:rPr>
        <w:t xml:space="preserve">No. </w:t>
      </w:r>
      <w:r w:rsidRPr="00BD19AA">
        <w:rPr>
          <w:sz w:val="20"/>
        </w:rPr>
        <w:t xml:space="preserve">12-375, Report and Order on Remand and Fourth Further Notice of Proposed Rulemaking, </w:t>
      </w:r>
      <w:bookmarkStart w:id="8" w:name="_Hlk47438008"/>
      <w:r w:rsidRPr="00BD19AA" w:rsidR="00B02BA7">
        <w:rPr>
          <w:sz w:val="20"/>
        </w:rPr>
        <w:t>35 FCC Rcd 8485, 8486-87, para. 5</w:t>
      </w:r>
      <w:r w:rsidRPr="00BD19AA">
        <w:rPr>
          <w:sz w:val="20"/>
        </w:rPr>
        <w:t xml:space="preserve"> (2020) </w:t>
      </w:r>
      <w:bookmarkEnd w:id="8"/>
      <w:r w:rsidRPr="00BD19AA">
        <w:rPr>
          <w:sz w:val="20"/>
        </w:rPr>
        <w:t xml:space="preserve">(2020 </w:t>
      </w:r>
      <w:r w:rsidRPr="00BD19AA">
        <w:rPr>
          <w:i/>
          <w:iCs/>
          <w:sz w:val="20"/>
        </w:rPr>
        <w:t>ICS Order and NPRM</w:t>
      </w:r>
      <w:r w:rsidRPr="00BD19AA">
        <w:rPr>
          <w:sz w:val="20"/>
        </w:rPr>
        <w:t xml:space="preserve">) (stating that “. . . </w:t>
      </w:r>
      <w:r w:rsidRPr="00BD19AA" w:rsidR="00587D06">
        <w:rPr>
          <w:sz w:val="20"/>
        </w:rPr>
        <w:t xml:space="preserve">incarcerated people </w:t>
      </w:r>
      <w:r w:rsidRPr="00BD19AA">
        <w:rPr>
          <w:sz w:val="20"/>
        </w:rPr>
        <w:t xml:space="preserve">and the individuals they call have no choice in their telephone service provider.  Instead, their only option is typically an inmate calling services provider chosen by the correctional facility that, once chosen, operates as a monopolist.”); </w:t>
      </w:r>
      <w:r w:rsidRPr="00BD19AA">
        <w:rPr>
          <w:i/>
          <w:iCs/>
          <w:sz w:val="20"/>
        </w:rPr>
        <w:t>Rates for Inmate Calling Services</w:t>
      </w:r>
      <w:r w:rsidRPr="00BD19AA">
        <w:rPr>
          <w:sz w:val="20"/>
        </w:rPr>
        <w:t xml:space="preserve">, WC Docket No. 12-375, Report and Order and Further Notice of Proposed Rulemaking, 28 FCC Rcd 14107, 14128-29, paras. 39-41 (2013) (finding that market forces were not operating to ensure just, reasonable, and fair rates for inmate calling services, and that the absence of competitive pressures necessitated rate regulation).  </w:t>
      </w:r>
    </w:p>
  </w:footnote>
  <w:footnote w:id="19">
    <w:p w:rsidR="00FB4052" w:rsidRPr="00BD19AA" w:rsidP="00FB4052" w14:paraId="2901A3FA" w14:textId="77777777">
      <w:pPr>
        <w:pStyle w:val="FootnoteText"/>
        <w:spacing w:after="120"/>
        <w:rPr>
          <w:sz w:val="20"/>
        </w:rPr>
      </w:pPr>
      <w:r w:rsidRPr="00BD19AA">
        <w:rPr>
          <w:rStyle w:val="FootnoteReference"/>
          <w:sz w:val="20"/>
        </w:rPr>
        <w:footnoteRef/>
      </w:r>
      <w:r w:rsidRPr="00BD19AA">
        <w:rPr>
          <w:sz w:val="20"/>
        </w:rPr>
        <w:t xml:space="preserve"> </w:t>
      </w:r>
      <w:r w:rsidRPr="00BD19AA">
        <w:rPr>
          <w:color w:val="020100"/>
          <w:sz w:val="20"/>
        </w:rPr>
        <w:t>47 CFR § 63.03(c)(1)(v).</w:t>
      </w:r>
    </w:p>
  </w:footnote>
  <w:footnote w:id="20">
    <w:p w:rsidR="00FB4052" w:rsidRPr="00BE2C8A" w:rsidP="00FB4052" w14:paraId="3EFC8783" w14:textId="77777777">
      <w:pPr>
        <w:pStyle w:val="FootnoteText"/>
        <w:spacing w:after="120"/>
        <w:rPr>
          <w:sz w:val="20"/>
        </w:rPr>
      </w:pPr>
      <w:r w:rsidRPr="00BD19AA">
        <w:rPr>
          <w:rStyle w:val="FootnoteReference"/>
          <w:sz w:val="20"/>
        </w:rPr>
        <w:footnoteRef/>
      </w:r>
      <w:r w:rsidRPr="00BD19AA">
        <w:rPr>
          <w:sz w:val="20"/>
        </w:rPr>
        <w:t xml:space="preserve">   Effective March 19, 2020, and until</w:t>
      </w:r>
      <w:r w:rsidRPr="00BE2C8A">
        <w:rPr>
          <w:sz w:val="20"/>
        </w:rPr>
        <w:t xml:space="preserve"> further notice, the Commission no longer accepts any hand or messenger delivered filings.  This is a temporary measure taken to help protect the health and safety of individuals, and to mitigate the transmission of COVID-19.  </w:t>
      </w:r>
      <w:r w:rsidRPr="00BE2C8A">
        <w:rPr>
          <w:i/>
          <w:iCs/>
          <w:sz w:val="20"/>
        </w:rPr>
        <w:t>See FCC Announces Closure of FCC Headquarters Open Window and Change in Hand-Delivery Policy</w:t>
      </w:r>
      <w:r w:rsidRPr="00BE2C8A">
        <w:rPr>
          <w:sz w:val="20"/>
        </w:rPr>
        <w:t xml:space="preserve">, Public Notice, DA 20-304 (March 19, 2020).  </w:t>
      </w:r>
      <w:hyperlink r:id="rId1" w:history="1">
        <w:r w:rsidRPr="00BE2C8A">
          <w:rPr>
            <w:rStyle w:val="Hyperlink"/>
            <w:color w:val="auto"/>
            <w:sz w:val="20"/>
          </w:rPr>
          <w:t>https://www.fcc.gov/document/fcc-closes-headquarters-open-window-and-changes-hand-delivery-policy</w:t>
        </w:r>
      </w:hyperlink>
    </w:p>
  </w:footnote>
  <w:footnote w:id="21">
    <w:p w:rsidR="00FB4052" w:rsidRPr="00BE2C8A" w:rsidP="00FB4052" w14:paraId="78E77052" w14:textId="77777777">
      <w:pPr>
        <w:pStyle w:val="FootnoteText"/>
        <w:tabs>
          <w:tab w:val="clear" w:pos="720"/>
        </w:tabs>
        <w:spacing w:after="120"/>
        <w:rPr>
          <w:sz w:val="20"/>
        </w:rPr>
      </w:pPr>
      <w:r w:rsidRPr="00BE2C8A">
        <w:rPr>
          <w:rStyle w:val="FootnoteReference"/>
          <w:sz w:val="20"/>
        </w:rPr>
        <w:footnoteRef/>
      </w:r>
      <w:r w:rsidRPr="00BE2C8A">
        <w:rPr>
          <w:sz w:val="20"/>
        </w:rPr>
        <w:t xml:space="preserve"> </w:t>
      </w:r>
      <w:r w:rsidRPr="00BE2C8A">
        <w:rPr>
          <w:i/>
          <w:sz w:val="20"/>
        </w:rPr>
        <w:t>See</w:t>
      </w:r>
      <w:r w:rsidRPr="00BE2C8A">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1A3499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8272A8" w14:paraId="10CA4993" w14:textId="77777777">
                <w:pPr>
                  <w:rPr>
                    <w:rFonts w:ascii="Arial" w:hAnsi="Arial"/>
                    <w:b/>
                  </w:rPr>
                </w:pPr>
                <w:r>
                  <w:rPr>
                    <w:rFonts w:ascii="Arial" w:hAnsi="Arial"/>
                    <w:b/>
                  </w:rPr>
                  <w:t>Federal Communications Commission</w:t>
                </w:r>
              </w:p>
              <w:p w:rsidR="008272A8" w14:paraId="3B753FCE" w14:textId="77777777">
                <w:pPr>
                  <w:rPr>
                    <w:rFonts w:ascii="Arial" w:hAnsi="Arial"/>
                    <w:b/>
                  </w:rPr>
                </w:pPr>
                <w:r>
                  <w:rPr>
                    <w:rFonts w:ascii="Arial" w:hAnsi="Arial"/>
                    <w:b/>
                  </w:rPr>
                  <w:t>45 L St., N.E.</w:t>
                </w:r>
              </w:p>
              <w:p w:rsidR="008272A8" w14:paraId="1C1D8C8B" w14:textId="77777777">
                <w:pPr>
                  <w:rPr>
                    <w:rFonts w:ascii="Arial" w:hAnsi="Arial"/>
                    <w:sz w:val="24"/>
                  </w:rPr>
                </w:pPr>
                <w:r>
                  <w:rPr>
                    <w:rFonts w:ascii="Arial" w:hAnsi="Arial"/>
                    <w:b/>
                  </w:rPr>
                  <w:t>Washington, D.C. 20554</w:t>
                </w:r>
              </w:p>
            </w:txbxContent>
          </v:textbox>
        </v:shape>
      </w:pict>
    </w:r>
    <w:r w:rsidRPr="7B6157F7" w:rsidR="00BD19AA">
      <w:rPr>
        <w:rFonts w:ascii="News Gothic MT" w:hAnsi="News Gothic MT"/>
        <w:b/>
        <w:bCs/>
        <w:kern w:val="28"/>
        <w:sz w:val="96"/>
        <w:szCs w:val="96"/>
      </w:rPr>
      <w:t>PUBLIC NOTICE</w:t>
    </w:r>
  </w:p>
  <w:p w:rsidR="008272A8" w14:paraId="004BB4C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8272A8" w14:paraId="4885F2CB" w14:textId="77777777">
                <w:pPr>
                  <w:spacing w:before="40"/>
                  <w:jc w:val="right"/>
                  <w:rPr>
                    <w:rFonts w:ascii="Arial" w:hAnsi="Arial"/>
                    <w:b/>
                    <w:sz w:val="16"/>
                  </w:rPr>
                </w:pPr>
                <w:r>
                  <w:rPr>
                    <w:rFonts w:ascii="Arial" w:hAnsi="Arial"/>
                    <w:b/>
                    <w:sz w:val="16"/>
                  </w:rPr>
                  <w:t>News Media Information 202 / 418-0500</w:t>
                </w:r>
              </w:p>
              <w:p w:rsidR="008272A8" w14:paraId="55C0250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72A8" w14:paraId="47591166" w14:textId="77777777">
                <w:pPr>
                  <w:jc w:val="right"/>
                </w:pPr>
              </w:p>
            </w:txbxContent>
          </v:textbox>
        </v:shape>
      </w:pict>
    </w:r>
  </w:p>
  <w:p w:rsidR="008272A8" w14:paraId="7363C8C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29A34E80"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98C"/>
    <w:rsid w:val="00005F75"/>
    <w:rsid w:val="000064CD"/>
    <w:rsid w:val="00007FDC"/>
    <w:rsid w:val="0001023F"/>
    <w:rsid w:val="0001135F"/>
    <w:rsid w:val="0001280D"/>
    <w:rsid w:val="00017A3A"/>
    <w:rsid w:val="00021F2D"/>
    <w:rsid w:val="0002470A"/>
    <w:rsid w:val="00035F32"/>
    <w:rsid w:val="00040610"/>
    <w:rsid w:val="00040BA0"/>
    <w:rsid w:val="00040DAF"/>
    <w:rsid w:val="00041C01"/>
    <w:rsid w:val="00042890"/>
    <w:rsid w:val="000439B6"/>
    <w:rsid w:val="00051E2C"/>
    <w:rsid w:val="000534AC"/>
    <w:rsid w:val="00057E12"/>
    <w:rsid w:val="000629CF"/>
    <w:rsid w:val="000656F9"/>
    <w:rsid w:val="00066D12"/>
    <w:rsid w:val="000735C8"/>
    <w:rsid w:val="0008381D"/>
    <w:rsid w:val="00087205"/>
    <w:rsid w:val="00095E72"/>
    <w:rsid w:val="000A3BF0"/>
    <w:rsid w:val="000B069D"/>
    <w:rsid w:val="000B4EDD"/>
    <w:rsid w:val="000B7587"/>
    <w:rsid w:val="000C28FC"/>
    <w:rsid w:val="000D04B7"/>
    <w:rsid w:val="000D0D16"/>
    <w:rsid w:val="000E3E17"/>
    <w:rsid w:val="000E42F9"/>
    <w:rsid w:val="000F02F7"/>
    <w:rsid w:val="00101D0B"/>
    <w:rsid w:val="001032DD"/>
    <w:rsid w:val="0011311D"/>
    <w:rsid w:val="001150BA"/>
    <w:rsid w:val="00121383"/>
    <w:rsid w:val="00126638"/>
    <w:rsid w:val="0013405D"/>
    <w:rsid w:val="00140814"/>
    <w:rsid w:val="00141388"/>
    <w:rsid w:val="001470F0"/>
    <w:rsid w:val="001516AE"/>
    <w:rsid w:val="0015217F"/>
    <w:rsid w:val="00157E29"/>
    <w:rsid w:val="0016562C"/>
    <w:rsid w:val="00171000"/>
    <w:rsid w:val="001827FB"/>
    <w:rsid w:val="001832BE"/>
    <w:rsid w:val="00187617"/>
    <w:rsid w:val="00194E1E"/>
    <w:rsid w:val="001A00A7"/>
    <w:rsid w:val="001A3813"/>
    <w:rsid w:val="001A4CCE"/>
    <w:rsid w:val="001A5568"/>
    <w:rsid w:val="001B15FB"/>
    <w:rsid w:val="001B4C2F"/>
    <w:rsid w:val="001B69F9"/>
    <w:rsid w:val="001C3C98"/>
    <w:rsid w:val="001E382D"/>
    <w:rsid w:val="001E659B"/>
    <w:rsid w:val="001F28BA"/>
    <w:rsid w:val="001F4ED3"/>
    <w:rsid w:val="001F5138"/>
    <w:rsid w:val="001F6762"/>
    <w:rsid w:val="0021524B"/>
    <w:rsid w:val="0021680F"/>
    <w:rsid w:val="00220B67"/>
    <w:rsid w:val="002217F0"/>
    <w:rsid w:val="00221CCF"/>
    <w:rsid w:val="0022449B"/>
    <w:rsid w:val="00225F62"/>
    <w:rsid w:val="0022664E"/>
    <w:rsid w:val="00234E4F"/>
    <w:rsid w:val="00235FC2"/>
    <w:rsid w:val="002448F4"/>
    <w:rsid w:val="00247623"/>
    <w:rsid w:val="00252880"/>
    <w:rsid w:val="00253247"/>
    <w:rsid w:val="0025743F"/>
    <w:rsid w:val="00262E65"/>
    <w:rsid w:val="00275EE0"/>
    <w:rsid w:val="00280802"/>
    <w:rsid w:val="0028149F"/>
    <w:rsid w:val="0028555C"/>
    <w:rsid w:val="002906ED"/>
    <w:rsid w:val="00291913"/>
    <w:rsid w:val="00292C84"/>
    <w:rsid w:val="002A1D13"/>
    <w:rsid w:val="002A5A6E"/>
    <w:rsid w:val="002B16FA"/>
    <w:rsid w:val="002B1AFB"/>
    <w:rsid w:val="002B2978"/>
    <w:rsid w:val="002B4971"/>
    <w:rsid w:val="002C1DC1"/>
    <w:rsid w:val="002C203E"/>
    <w:rsid w:val="002C22F3"/>
    <w:rsid w:val="002C27F4"/>
    <w:rsid w:val="002C3ADF"/>
    <w:rsid w:val="002D09E2"/>
    <w:rsid w:val="002D1B19"/>
    <w:rsid w:val="002D2251"/>
    <w:rsid w:val="002D65CC"/>
    <w:rsid w:val="002D6F61"/>
    <w:rsid w:val="002E053A"/>
    <w:rsid w:val="002E1E27"/>
    <w:rsid w:val="00302C56"/>
    <w:rsid w:val="00303877"/>
    <w:rsid w:val="00306670"/>
    <w:rsid w:val="0031156F"/>
    <w:rsid w:val="00313546"/>
    <w:rsid w:val="00313924"/>
    <w:rsid w:val="00314891"/>
    <w:rsid w:val="0031554B"/>
    <w:rsid w:val="00315D50"/>
    <w:rsid w:val="00315FCD"/>
    <w:rsid w:val="0031636F"/>
    <w:rsid w:val="00323153"/>
    <w:rsid w:val="0032625B"/>
    <w:rsid w:val="00332884"/>
    <w:rsid w:val="00340D4E"/>
    <w:rsid w:val="00341BC2"/>
    <w:rsid w:val="00350329"/>
    <w:rsid w:val="00353CB5"/>
    <w:rsid w:val="003632CF"/>
    <w:rsid w:val="00363960"/>
    <w:rsid w:val="00365194"/>
    <w:rsid w:val="00367E50"/>
    <w:rsid w:val="00372CA2"/>
    <w:rsid w:val="00376094"/>
    <w:rsid w:val="003855A0"/>
    <w:rsid w:val="003856EC"/>
    <w:rsid w:val="0038632F"/>
    <w:rsid w:val="003879D0"/>
    <w:rsid w:val="00387BBE"/>
    <w:rsid w:val="00395A7A"/>
    <w:rsid w:val="003A18A0"/>
    <w:rsid w:val="003A580D"/>
    <w:rsid w:val="003B1DA0"/>
    <w:rsid w:val="003B43C3"/>
    <w:rsid w:val="003B5CEE"/>
    <w:rsid w:val="003D0F8F"/>
    <w:rsid w:val="003D410C"/>
    <w:rsid w:val="003D43D6"/>
    <w:rsid w:val="003E00F5"/>
    <w:rsid w:val="003E40DA"/>
    <w:rsid w:val="003E58EC"/>
    <w:rsid w:val="003E6571"/>
    <w:rsid w:val="003F01B8"/>
    <w:rsid w:val="003F0BDB"/>
    <w:rsid w:val="003F0ECD"/>
    <w:rsid w:val="003F1D04"/>
    <w:rsid w:val="003F41B0"/>
    <w:rsid w:val="003F45E5"/>
    <w:rsid w:val="003F7A3F"/>
    <w:rsid w:val="00400AB9"/>
    <w:rsid w:val="0040580F"/>
    <w:rsid w:val="00405815"/>
    <w:rsid w:val="00406679"/>
    <w:rsid w:val="004077D0"/>
    <w:rsid w:val="00426895"/>
    <w:rsid w:val="004331D7"/>
    <w:rsid w:val="00433D8C"/>
    <w:rsid w:val="00434C96"/>
    <w:rsid w:val="00445CF7"/>
    <w:rsid w:val="0044608C"/>
    <w:rsid w:val="004547DB"/>
    <w:rsid w:val="0046036F"/>
    <w:rsid w:val="00460914"/>
    <w:rsid w:val="004609A4"/>
    <w:rsid w:val="00460BDC"/>
    <w:rsid w:val="00464E8A"/>
    <w:rsid w:val="00467976"/>
    <w:rsid w:val="00476B50"/>
    <w:rsid w:val="00477D20"/>
    <w:rsid w:val="004808FC"/>
    <w:rsid w:val="00482EB0"/>
    <w:rsid w:val="0048538B"/>
    <w:rsid w:val="00485DD1"/>
    <w:rsid w:val="00490F2D"/>
    <w:rsid w:val="004913FF"/>
    <w:rsid w:val="00492290"/>
    <w:rsid w:val="004951AE"/>
    <w:rsid w:val="004A2872"/>
    <w:rsid w:val="004A684C"/>
    <w:rsid w:val="004A7EFC"/>
    <w:rsid w:val="004B078D"/>
    <w:rsid w:val="004B1D86"/>
    <w:rsid w:val="004B3EAE"/>
    <w:rsid w:val="004B7520"/>
    <w:rsid w:val="004C219F"/>
    <w:rsid w:val="004C22B8"/>
    <w:rsid w:val="004C3DB0"/>
    <w:rsid w:val="004C712F"/>
    <w:rsid w:val="004C73D8"/>
    <w:rsid w:val="004D5A7C"/>
    <w:rsid w:val="004D7912"/>
    <w:rsid w:val="004E49E1"/>
    <w:rsid w:val="004E5A60"/>
    <w:rsid w:val="004F3603"/>
    <w:rsid w:val="004F3CEC"/>
    <w:rsid w:val="004F6F64"/>
    <w:rsid w:val="00501D17"/>
    <w:rsid w:val="00524D79"/>
    <w:rsid w:val="0052588A"/>
    <w:rsid w:val="00525F17"/>
    <w:rsid w:val="005273AB"/>
    <w:rsid w:val="0053007F"/>
    <w:rsid w:val="005320B5"/>
    <w:rsid w:val="00533E67"/>
    <w:rsid w:val="0053439A"/>
    <w:rsid w:val="00536ED2"/>
    <w:rsid w:val="00537D6B"/>
    <w:rsid w:val="00541FF2"/>
    <w:rsid w:val="005524B5"/>
    <w:rsid w:val="0056058F"/>
    <w:rsid w:val="00560D99"/>
    <w:rsid w:val="00560E2D"/>
    <w:rsid w:val="00573808"/>
    <w:rsid w:val="00574EF6"/>
    <w:rsid w:val="00581220"/>
    <w:rsid w:val="00581792"/>
    <w:rsid w:val="00585942"/>
    <w:rsid w:val="00586E49"/>
    <w:rsid w:val="00587D06"/>
    <w:rsid w:val="005932BA"/>
    <w:rsid w:val="005A13D0"/>
    <w:rsid w:val="005A64A7"/>
    <w:rsid w:val="005B2105"/>
    <w:rsid w:val="005B3475"/>
    <w:rsid w:val="005B57F1"/>
    <w:rsid w:val="005B6764"/>
    <w:rsid w:val="005B758D"/>
    <w:rsid w:val="005C403A"/>
    <w:rsid w:val="005C5165"/>
    <w:rsid w:val="005C740F"/>
    <w:rsid w:val="005D6D5C"/>
    <w:rsid w:val="005E370E"/>
    <w:rsid w:val="005E5E11"/>
    <w:rsid w:val="005F73CF"/>
    <w:rsid w:val="0060105E"/>
    <w:rsid w:val="0060106A"/>
    <w:rsid w:val="00603E2B"/>
    <w:rsid w:val="00604A3C"/>
    <w:rsid w:val="00604CFF"/>
    <w:rsid w:val="006079F6"/>
    <w:rsid w:val="0061137C"/>
    <w:rsid w:val="006144A3"/>
    <w:rsid w:val="00616221"/>
    <w:rsid w:val="00616638"/>
    <w:rsid w:val="00617185"/>
    <w:rsid w:val="00623405"/>
    <w:rsid w:val="006342D4"/>
    <w:rsid w:val="006353B8"/>
    <w:rsid w:val="00641B1C"/>
    <w:rsid w:val="00653610"/>
    <w:rsid w:val="00654447"/>
    <w:rsid w:val="00656777"/>
    <w:rsid w:val="0065693D"/>
    <w:rsid w:val="00663975"/>
    <w:rsid w:val="00670CC1"/>
    <w:rsid w:val="006768CC"/>
    <w:rsid w:val="0068188D"/>
    <w:rsid w:val="006823D9"/>
    <w:rsid w:val="00683A96"/>
    <w:rsid w:val="00687959"/>
    <w:rsid w:val="00690EA9"/>
    <w:rsid w:val="00691832"/>
    <w:rsid w:val="00697359"/>
    <w:rsid w:val="006A201E"/>
    <w:rsid w:val="006B36F1"/>
    <w:rsid w:val="006B5C06"/>
    <w:rsid w:val="006B6AC8"/>
    <w:rsid w:val="006B7F06"/>
    <w:rsid w:val="006C32C8"/>
    <w:rsid w:val="006C591C"/>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3E9B"/>
    <w:rsid w:val="00704B2F"/>
    <w:rsid w:val="007067E2"/>
    <w:rsid w:val="00706D49"/>
    <w:rsid w:val="0071041E"/>
    <w:rsid w:val="00711C81"/>
    <w:rsid w:val="007124C8"/>
    <w:rsid w:val="00712888"/>
    <w:rsid w:val="007150A2"/>
    <w:rsid w:val="00720864"/>
    <w:rsid w:val="00721AA9"/>
    <w:rsid w:val="00724176"/>
    <w:rsid w:val="00724722"/>
    <w:rsid w:val="00732C3A"/>
    <w:rsid w:val="00733B9B"/>
    <w:rsid w:val="007361D6"/>
    <w:rsid w:val="00740AD9"/>
    <w:rsid w:val="00747FB8"/>
    <w:rsid w:val="0075046C"/>
    <w:rsid w:val="00750B9D"/>
    <w:rsid w:val="0075291B"/>
    <w:rsid w:val="007569C5"/>
    <w:rsid w:val="0075743F"/>
    <w:rsid w:val="00760269"/>
    <w:rsid w:val="00760571"/>
    <w:rsid w:val="00762D92"/>
    <w:rsid w:val="007631B9"/>
    <w:rsid w:val="007679F3"/>
    <w:rsid w:val="00771214"/>
    <w:rsid w:val="00775CD4"/>
    <w:rsid w:val="0078057D"/>
    <w:rsid w:val="00780F55"/>
    <w:rsid w:val="00795DF8"/>
    <w:rsid w:val="00796E19"/>
    <w:rsid w:val="007A426E"/>
    <w:rsid w:val="007A5130"/>
    <w:rsid w:val="007B0FA7"/>
    <w:rsid w:val="007B1EAE"/>
    <w:rsid w:val="007B4D1E"/>
    <w:rsid w:val="007B7204"/>
    <w:rsid w:val="007C263F"/>
    <w:rsid w:val="007C3551"/>
    <w:rsid w:val="007C4108"/>
    <w:rsid w:val="007D626F"/>
    <w:rsid w:val="007D6881"/>
    <w:rsid w:val="007E03E5"/>
    <w:rsid w:val="007E5DAA"/>
    <w:rsid w:val="007F327F"/>
    <w:rsid w:val="007F63BD"/>
    <w:rsid w:val="007F7FCD"/>
    <w:rsid w:val="008036BB"/>
    <w:rsid w:val="0080674A"/>
    <w:rsid w:val="00812369"/>
    <w:rsid w:val="00813C6D"/>
    <w:rsid w:val="00816285"/>
    <w:rsid w:val="00821491"/>
    <w:rsid w:val="00824E65"/>
    <w:rsid w:val="008272A8"/>
    <w:rsid w:val="00830743"/>
    <w:rsid w:val="008325EE"/>
    <w:rsid w:val="008446BC"/>
    <w:rsid w:val="0084778A"/>
    <w:rsid w:val="0085137C"/>
    <w:rsid w:val="00853114"/>
    <w:rsid w:val="0085536D"/>
    <w:rsid w:val="0085579D"/>
    <w:rsid w:val="00856944"/>
    <w:rsid w:val="00860F11"/>
    <w:rsid w:val="0086688B"/>
    <w:rsid w:val="0086691C"/>
    <w:rsid w:val="008675C7"/>
    <w:rsid w:val="00872454"/>
    <w:rsid w:val="0087554B"/>
    <w:rsid w:val="00876514"/>
    <w:rsid w:val="00876629"/>
    <w:rsid w:val="0087685F"/>
    <w:rsid w:val="00876E9B"/>
    <w:rsid w:val="00877D35"/>
    <w:rsid w:val="00890541"/>
    <w:rsid w:val="00896EDF"/>
    <w:rsid w:val="00897F74"/>
    <w:rsid w:val="008A3786"/>
    <w:rsid w:val="008B241F"/>
    <w:rsid w:val="008B4FC7"/>
    <w:rsid w:val="008C0A81"/>
    <w:rsid w:val="008C294A"/>
    <w:rsid w:val="008C48A3"/>
    <w:rsid w:val="008C564D"/>
    <w:rsid w:val="008D0E14"/>
    <w:rsid w:val="008D2804"/>
    <w:rsid w:val="008D5A69"/>
    <w:rsid w:val="008D79D6"/>
    <w:rsid w:val="008E11C1"/>
    <w:rsid w:val="008E1CB4"/>
    <w:rsid w:val="008E27B4"/>
    <w:rsid w:val="008E282A"/>
    <w:rsid w:val="008E416A"/>
    <w:rsid w:val="008E581F"/>
    <w:rsid w:val="008F6981"/>
    <w:rsid w:val="00903154"/>
    <w:rsid w:val="00903DE0"/>
    <w:rsid w:val="0090751E"/>
    <w:rsid w:val="009075DA"/>
    <w:rsid w:val="00910140"/>
    <w:rsid w:val="009101A4"/>
    <w:rsid w:val="00910B40"/>
    <w:rsid w:val="00913852"/>
    <w:rsid w:val="00913DB8"/>
    <w:rsid w:val="00916D50"/>
    <w:rsid w:val="009211C4"/>
    <w:rsid w:val="009236BF"/>
    <w:rsid w:val="00935846"/>
    <w:rsid w:val="009362B8"/>
    <w:rsid w:val="009375A4"/>
    <w:rsid w:val="00937CB0"/>
    <w:rsid w:val="00950639"/>
    <w:rsid w:val="00954C80"/>
    <w:rsid w:val="009558A7"/>
    <w:rsid w:val="00962DA3"/>
    <w:rsid w:val="00963ED4"/>
    <w:rsid w:val="009703C9"/>
    <w:rsid w:val="009753C0"/>
    <w:rsid w:val="0098015F"/>
    <w:rsid w:val="009926EB"/>
    <w:rsid w:val="009A0D7F"/>
    <w:rsid w:val="009A124E"/>
    <w:rsid w:val="009B0128"/>
    <w:rsid w:val="009B18C4"/>
    <w:rsid w:val="009B1CCF"/>
    <w:rsid w:val="009B6797"/>
    <w:rsid w:val="009C3EC2"/>
    <w:rsid w:val="009C4A1C"/>
    <w:rsid w:val="009C66BD"/>
    <w:rsid w:val="009D0731"/>
    <w:rsid w:val="009D34D7"/>
    <w:rsid w:val="009E1C83"/>
    <w:rsid w:val="009F09EF"/>
    <w:rsid w:val="009F7BAB"/>
    <w:rsid w:val="00A00CAA"/>
    <w:rsid w:val="00A05E78"/>
    <w:rsid w:val="00A06C0A"/>
    <w:rsid w:val="00A11865"/>
    <w:rsid w:val="00A15248"/>
    <w:rsid w:val="00A1544A"/>
    <w:rsid w:val="00A1692B"/>
    <w:rsid w:val="00A214C6"/>
    <w:rsid w:val="00A229F0"/>
    <w:rsid w:val="00A25AB6"/>
    <w:rsid w:val="00A25C41"/>
    <w:rsid w:val="00A3545A"/>
    <w:rsid w:val="00A36DEA"/>
    <w:rsid w:val="00A44AD0"/>
    <w:rsid w:val="00A47815"/>
    <w:rsid w:val="00A54711"/>
    <w:rsid w:val="00A55F2F"/>
    <w:rsid w:val="00A569E4"/>
    <w:rsid w:val="00A7396F"/>
    <w:rsid w:val="00A77A3C"/>
    <w:rsid w:val="00A824AF"/>
    <w:rsid w:val="00A8336A"/>
    <w:rsid w:val="00A922FD"/>
    <w:rsid w:val="00A92C9E"/>
    <w:rsid w:val="00A9377C"/>
    <w:rsid w:val="00AA252A"/>
    <w:rsid w:val="00AA3683"/>
    <w:rsid w:val="00AA45EC"/>
    <w:rsid w:val="00AA79C4"/>
    <w:rsid w:val="00AB35BE"/>
    <w:rsid w:val="00AB369C"/>
    <w:rsid w:val="00AC4CEF"/>
    <w:rsid w:val="00AD0360"/>
    <w:rsid w:val="00AD45FC"/>
    <w:rsid w:val="00AE16BD"/>
    <w:rsid w:val="00AE4EB4"/>
    <w:rsid w:val="00AE522A"/>
    <w:rsid w:val="00AF04F4"/>
    <w:rsid w:val="00AF1A8C"/>
    <w:rsid w:val="00AF25DD"/>
    <w:rsid w:val="00AF2955"/>
    <w:rsid w:val="00AF35EB"/>
    <w:rsid w:val="00AF6AD7"/>
    <w:rsid w:val="00B00CBF"/>
    <w:rsid w:val="00B02BA7"/>
    <w:rsid w:val="00B02CE4"/>
    <w:rsid w:val="00B06CA1"/>
    <w:rsid w:val="00B07323"/>
    <w:rsid w:val="00B12C5F"/>
    <w:rsid w:val="00B23981"/>
    <w:rsid w:val="00B24F56"/>
    <w:rsid w:val="00B25D2D"/>
    <w:rsid w:val="00B30941"/>
    <w:rsid w:val="00B335D6"/>
    <w:rsid w:val="00B44E2C"/>
    <w:rsid w:val="00B52358"/>
    <w:rsid w:val="00B55A93"/>
    <w:rsid w:val="00B56E1B"/>
    <w:rsid w:val="00B62EDB"/>
    <w:rsid w:val="00B713DE"/>
    <w:rsid w:val="00B72F45"/>
    <w:rsid w:val="00B73AED"/>
    <w:rsid w:val="00B8520F"/>
    <w:rsid w:val="00B908C9"/>
    <w:rsid w:val="00B93BD0"/>
    <w:rsid w:val="00B958E7"/>
    <w:rsid w:val="00BA240A"/>
    <w:rsid w:val="00BA3568"/>
    <w:rsid w:val="00BA45FE"/>
    <w:rsid w:val="00BA52B0"/>
    <w:rsid w:val="00BA56E2"/>
    <w:rsid w:val="00BC0F23"/>
    <w:rsid w:val="00BC7555"/>
    <w:rsid w:val="00BD0A4B"/>
    <w:rsid w:val="00BD19AA"/>
    <w:rsid w:val="00BD2520"/>
    <w:rsid w:val="00BD3278"/>
    <w:rsid w:val="00BD5F83"/>
    <w:rsid w:val="00BD6631"/>
    <w:rsid w:val="00BE02A5"/>
    <w:rsid w:val="00BE1FC9"/>
    <w:rsid w:val="00BE2C8A"/>
    <w:rsid w:val="00BE6270"/>
    <w:rsid w:val="00BF0265"/>
    <w:rsid w:val="00BF07F1"/>
    <w:rsid w:val="00BF0B00"/>
    <w:rsid w:val="00C03EC3"/>
    <w:rsid w:val="00C100C9"/>
    <w:rsid w:val="00C117C2"/>
    <w:rsid w:val="00C11C1B"/>
    <w:rsid w:val="00C16F28"/>
    <w:rsid w:val="00C20B0B"/>
    <w:rsid w:val="00C219A5"/>
    <w:rsid w:val="00C229D8"/>
    <w:rsid w:val="00C25666"/>
    <w:rsid w:val="00C25D26"/>
    <w:rsid w:val="00C321CC"/>
    <w:rsid w:val="00C4152D"/>
    <w:rsid w:val="00C4446E"/>
    <w:rsid w:val="00C53E5E"/>
    <w:rsid w:val="00C55CF3"/>
    <w:rsid w:val="00C612FD"/>
    <w:rsid w:val="00C62132"/>
    <w:rsid w:val="00C64B14"/>
    <w:rsid w:val="00C657ED"/>
    <w:rsid w:val="00C72163"/>
    <w:rsid w:val="00C7389F"/>
    <w:rsid w:val="00C749BC"/>
    <w:rsid w:val="00C75DF3"/>
    <w:rsid w:val="00C7753F"/>
    <w:rsid w:val="00C80742"/>
    <w:rsid w:val="00C82D34"/>
    <w:rsid w:val="00C869E8"/>
    <w:rsid w:val="00C86D25"/>
    <w:rsid w:val="00C9095A"/>
    <w:rsid w:val="00C9414E"/>
    <w:rsid w:val="00C950B4"/>
    <w:rsid w:val="00CB08EA"/>
    <w:rsid w:val="00CB2908"/>
    <w:rsid w:val="00CC236D"/>
    <w:rsid w:val="00CC70CB"/>
    <w:rsid w:val="00CD3CBE"/>
    <w:rsid w:val="00CD615B"/>
    <w:rsid w:val="00CD711A"/>
    <w:rsid w:val="00CE0363"/>
    <w:rsid w:val="00CE03DE"/>
    <w:rsid w:val="00CE49B4"/>
    <w:rsid w:val="00CF1452"/>
    <w:rsid w:val="00CF2BE4"/>
    <w:rsid w:val="00CF3254"/>
    <w:rsid w:val="00CF3F2C"/>
    <w:rsid w:val="00CF704F"/>
    <w:rsid w:val="00CF7885"/>
    <w:rsid w:val="00D04DB0"/>
    <w:rsid w:val="00D111DF"/>
    <w:rsid w:val="00D14A4A"/>
    <w:rsid w:val="00D1618E"/>
    <w:rsid w:val="00D17873"/>
    <w:rsid w:val="00D22738"/>
    <w:rsid w:val="00D24A27"/>
    <w:rsid w:val="00D252B2"/>
    <w:rsid w:val="00D300E3"/>
    <w:rsid w:val="00D30DAA"/>
    <w:rsid w:val="00D34BF8"/>
    <w:rsid w:val="00D42D5A"/>
    <w:rsid w:val="00D47918"/>
    <w:rsid w:val="00D51FA5"/>
    <w:rsid w:val="00D553EC"/>
    <w:rsid w:val="00D64788"/>
    <w:rsid w:val="00D668AD"/>
    <w:rsid w:val="00D700F0"/>
    <w:rsid w:val="00D71B3A"/>
    <w:rsid w:val="00D8288E"/>
    <w:rsid w:val="00D94FDC"/>
    <w:rsid w:val="00D96301"/>
    <w:rsid w:val="00DA1392"/>
    <w:rsid w:val="00DA1A77"/>
    <w:rsid w:val="00DA4E06"/>
    <w:rsid w:val="00DB59FD"/>
    <w:rsid w:val="00DB6754"/>
    <w:rsid w:val="00DC2B51"/>
    <w:rsid w:val="00DC4291"/>
    <w:rsid w:val="00DC5BDD"/>
    <w:rsid w:val="00DD0968"/>
    <w:rsid w:val="00DF0192"/>
    <w:rsid w:val="00DF1AD9"/>
    <w:rsid w:val="00DF4031"/>
    <w:rsid w:val="00DF6B3C"/>
    <w:rsid w:val="00DF72FD"/>
    <w:rsid w:val="00E0730C"/>
    <w:rsid w:val="00E11A1D"/>
    <w:rsid w:val="00E201EE"/>
    <w:rsid w:val="00E20DF3"/>
    <w:rsid w:val="00E21D8E"/>
    <w:rsid w:val="00E22E53"/>
    <w:rsid w:val="00E25CC7"/>
    <w:rsid w:val="00E30610"/>
    <w:rsid w:val="00E30A5D"/>
    <w:rsid w:val="00E31538"/>
    <w:rsid w:val="00E32AED"/>
    <w:rsid w:val="00E36A37"/>
    <w:rsid w:val="00E40C67"/>
    <w:rsid w:val="00E417E3"/>
    <w:rsid w:val="00E53F87"/>
    <w:rsid w:val="00E54722"/>
    <w:rsid w:val="00E554BA"/>
    <w:rsid w:val="00E55A96"/>
    <w:rsid w:val="00E56D1E"/>
    <w:rsid w:val="00E6660F"/>
    <w:rsid w:val="00E7033D"/>
    <w:rsid w:val="00E73EF8"/>
    <w:rsid w:val="00E77729"/>
    <w:rsid w:val="00E84DF2"/>
    <w:rsid w:val="00E87A1A"/>
    <w:rsid w:val="00E90A56"/>
    <w:rsid w:val="00E913FE"/>
    <w:rsid w:val="00E9381B"/>
    <w:rsid w:val="00EA5056"/>
    <w:rsid w:val="00EA5DC9"/>
    <w:rsid w:val="00EA6656"/>
    <w:rsid w:val="00EB2E3F"/>
    <w:rsid w:val="00EB4B17"/>
    <w:rsid w:val="00EB5F81"/>
    <w:rsid w:val="00EC0FDA"/>
    <w:rsid w:val="00EC10D1"/>
    <w:rsid w:val="00EC3BF9"/>
    <w:rsid w:val="00EC3CCE"/>
    <w:rsid w:val="00EC3D67"/>
    <w:rsid w:val="00EC66CA"/>
    <w:rsid w:val="00ED40B2"/>
    <w:rsid w:val="00EE37C8"/>
    <w:rsid w:val="00EE4AD8"/>
    <w:rsid w:val="00F04E22"/>
    <w:rsid w:val="00F05755"/>
    <w:rsid w:val="00F0711C"/>
    <w:rsid w:val="00F111A2"/>
    <w:rsid w:val="00F13E8E"/>
    <w:rsid w:val="00F21285"/>
    <w:rsid w:val="00F24030"/>
    <w:rsid w:val="00F242B0"/>
    <w:rsid w:val="00F24D54"/>
    <w:rsid w:val="00F25C6B"/>
    <w:rsid w:val="00F26F03"/>
    <w:rsid w:val="00F3092F"/>
    <w:rsid w:val="00F3410B"/>
    <w:rsid w:val="00F43CCF"/>
    <w:rsid w:val="00F4490B"/>
    <w:rsid w:val="00F63C45"/>
    <w:rsid w:val="00F65523"/>
    <w:rsid w:val="00F6664A"/>
    <w:rsid w:val="00F67744"/>
    <w:rsid w:val="00F70158"/>
    <w:rsid w:val="00F81C0B"/>
    <w:rsid w:val="00F871E9"/>
    <w:rsid w:val="00F91EBF"/>
    <w:rsid w:val="00F91F71"/>
    <w:rsid w:val="00F95BCF"/>
    <w:rsid w:val="00FA546C"/>
    <w:rsid w:val="00FB4052"/>
    <w:rsid w:val="00FB729A"/>
    <w:rsid w:val="00FC3E30"/>
    <w:rsid w:val="00FC55AB"/>
    <w:rsid w:val="00FC74B1"/>
    <w:rsid w:val="00FD12A3"/>
    <w:rsid w:val="00FD3D14"/>
    <w:rsid w:val="00FD40F2"/>
    <w:rsid w:val="00FE6F2D"/>
    <w:rsid w:val="00FF451A"/>
    <w:rsid w:val="00FF51E5"/>
    <w:rsid w:val="7B6157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0DB5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tracey.wilson@fcc.gov" TargetMode="External" /><Relationship Id="rId12" Type="http://schemas.openxmlformats.org/officeDocument/2006/relationships/hyperlink" Target="mailto:dennis.johnso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