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CA3E4C" w14:paraId="6839A35A" w14:textId="77777777">
      <w:pPr>
        <w:jc w:val="right"/>
        <w:rPr>
          <w:sz w:val="24"/>
        </w:rPr>
      </w:pPr>
    </w:p>
    <w:p w:rsidR="00CA3E4C" w14:paraId="6052E14C" w14:textId="35F29477">
      <w:pPr>
        <w:jc w:val="right"/>
        <w:rPr>
          <w:b/>
          <w:sz w:val="24"/>
        </w:rPr>
      </w:pPr>
      <w:r>
        <w:rPr>
          <w:b/>
          <w:sz w:val="24"/>
        </w:rPr>
        <w:t>DA 21-796</w:t>
      </w:r>
    </w:p>
    <w:p w:rsidR="00CA3E4C" w14:paraId="669A00E4" w14:textId="5583961E">
      <w:pPr>
        <w:spacing w:before="60"/>
        <w:jc w:val="right"/>
        <w:rPr>
          <w:b/>
          <w:sz w:val="24"/>
        </w:rPr>
      </w:pPr>
      <w:r>
        <w:rPr>
          <w:b/>
          <w:sz w:val="24"/>
        </w:rPr>
        <w:t xml:space="preserve">Released:  </w:t>
      </w:r>
      <w:r w:rsidR="006411A6">
        <w:rPr>
          <w:b/>
          <w:sz w:val="24"/>
        </w:rPr>
        <w:t>July 7, 2021</w:t>
      </w:r>
    </w:p>
    <w:p w:rsidR="00CA3E4C" w14:paraId="3D211454" w14:textId="77777777">
      <w:pPr>
        <w:jc w:val="right"/>
        <w:rPr>
          <w:sz w:val="24"/>
        </w:rPr>
      </w:pPr>
    </w:p>
    <w:p w:rsidR="00A25832" w:rsidRPr="00A25832" w:rsidP="00A25832" w14:paraId="7FBC83F0" w14:textId="77777777">
      <w:pPr>
        <w:jc w:val="right"/>
        <w:rPr>
          <w:rFonts w:ascii="Times New Roman Bold" w:hAnsi="Times New Roman Bold"/>
          <w:b/>
          <w:caps/>
          <w:sz w:val="24"/>
        </w:rPr>
      </w:pPr>
    </w:p>
    <w:p w:rsidR="00A25832" w:rsidP="00A25832" w14:paraId="2BF4D8DB" w14:textId="4FD9AC15">
      <w:pPr>
        <w:jc w:val="center"/>
        <w:rPr>
          <w:rFonts w:ascii="Times New Roman Bold" w:hAnsi="Times New Roman Bold"/>
          <w:b/>
          <w:caps/>
          <w:sz w:val="24"/>
        </w:rPr>
      </w:pPr>
      <w:r w:rsidRPr="00A25832">
        <w:rPr>
          <w:rFonts w:ascii="Times New Roman Bold" w:hAnsi="Times New Roman Bold"/>
          <w:b/>
          <w:caps/>
          <w:sz w:val="24"/>
        </w:rPr>
        <w:t xml:space="preserve">WIRELESS TELECOMMUNICATIONS BUREAU SEEKS COMMENT ON REQUEST BY GOGO </w:t>
      </w:r>
      <w:r w:rsidRPr="003C0E4C" w:rsidR="003C0E4C">
        <w:rPr>
          <w:rFonts w:ascii="Times New Roman Bold" w:hAnsi="Times New Roman Bold"/>
          <w:b/>
          <w:caps/>
          <w:sz w:val="24"/>
        </w:rPr>
        <w:t xml:space="preserve">Business Aviation LLC </w:t>
      </w:r>
      <w:r w:rsidRPr="00A25832">
        <w:rPr>
          <w:rFonts w:ascii="Times New Roman Bold" w:hAnsi="Times New Roman Bold"/>
          <w:b/>
          <w:caps/>
          <w:sz w:val="24"/>
        </w:rPr>
        <w:t>FOR WAIVER OF 800 MHZ AIR-GROUND SERVICE</w:t>
      </w:r>
      <w:r>
        <w:rPr>
          <w:rFonts w:ascii="Times New Roman Bold" w:hAnsi="Times New Roman Bold"/>
          <w:b/>
          <w:caps/>
          <w:sz w:val="24"/>
        </w:rPr>
        <w:t xml:space="preserve"> </w:t>
      </w:r>
      <w:r w:rsidRPr="00A25832">
        <w:rPr>
          <w:rFonts w:ascii="Times New Roman Bold" w:hAnsi="Times New Roman Bold"/>
          <w:b/>
          <w:caps/>
          <w:sz w:val="24"/>
        </w:rPr>
        <w:t>POWER MEASUREMENT RULE</w:t>
      </w:r>
    </w:p>
    <w:p w:rsidR="00A25832" w:rsidP="00A25832" w14:paraId="68BF51EF" w14:textId="77777777">
      <w:pPr>
        <w:jc w:val="center"/>
        <w:rPr>
          <w:rFonts w:ascii="Times New Roman Bold" w:hAnsi="Times New Roman Bold"/>
          <w:b/>
          <w:caps/>
          <w:sz w:val="24"/>
        </w:rPr>
      </w:pPr>
    </w:p>
    <w:p w:rsidR="00CA3E4C" w14:paraId="61B66551" w14:textId="60007D68">
      <w:pPr>
        <w:jc w:val="center"/>
        <w:rPr>
          <w:b/>
          <w:sz w:val="24"/>
        </w:rPr>
      </w:pPr>
      <w:r>
        <w:rPr>
          <w:b/>
          <w:sz w:val="24"/>
        </w:rPr>
        <w:t xml:space="preserve">WT Docket No. </w:t>
      </w:r>
      <w:r w:rsidR="001F649C">
        <w:rPr>
          <w:b/>
          <w:sz w:val="24"/>
        </w:rPr>
        <w:t>21-282</w:t>
      </w:r>
    </w:p>
    <w:p w:rsidR="00CA3E4C" w14:paraId="2D59BF6D" w14:textId="77777777">
      <w:bookmarkStart w:id="0" w:name="TOChere"/>
    </w:p>
    <w:p w:rsidR="00A25832" w:rsidRPr="00D72C8F" w:rsidP="00A25832" w14:paraId="5F5A6C36" w14:textId="336168E9">
      <w:pPr>
        <w:pStyle w:val="NoSpacing"/>
        <w:rPr>
          <w:b/>
          <w:szCs w:val="22"/>
        </w:rPr>
      </w:pPr>
      <w:bookmarkStart w:id="1" w:name="_Hlk29380096"/>
      <w:bookmarkEnd w:id="0"/>
      <w:r w:rsidRPr="009F6FBF">
        <w:rPr>
          <w:b/>
          <w:szCs w:val="22"/>
        </w:rPr>
        <w:t>Comments Due</w:t>
      </w:r>
      <w:r w:rsidRPr="00D72C8F">
        <w:rPr>
          <w:b/>
          <w:szCs w:val="22"/>
        </w:rPr>
        <w:t xml:space="preserve">: </w:t>
      </w:r>
      <w:r w:rsidRPr="00D72C8F" w:rsidR="00573119">
        <w:rPr>
          <w:b/>
          <w:szCs w:val="22"/>
        </w:rPr>
        <w:t xml:space="preserve"> </w:t>
      </w:r>
      <w:r w:rsidRPr="00D72C8F" w:rsidR="006411A6">
        <w:rPr>
          <w:b/>
          <w:szCs w:val="22"/>
        </w:rPr>
        <w:t>August 6, 2021</w:t>
      </w:r>
    </w:p>
    <w:p w:rsidR="00A25832" w:rsidRPr="009F6FBF" w:rsidP="00A25832" w14:paraId="2AF64B6E" w14:textId="217BF343">
      <w:pPr>
        <w:pStyle w:val="NoSpacing"/>
        <w:rPr>
          <w:b/>
          <w:szCs w:val="22"/>
        </w:rPr>
      </w:pPr>
      <w:r w:rsidRPr="00D72C8F">
        <w:rPr>
          <w:b/>
          <w:szCs w:val="22"/>
        </w:rPr>
        <w:t xml:space="preserve">Reply Comments Due:  </w:t>
      </w:r>
      <w:r w:rsidRPr="00D72C8F" w:rsidR="006411A6">
        <w:rPr>
          <w:b/>
          <w:szCs w:val="22"/>
        </w:rPr>
        <w:t>August 2</w:t>
      </w:r>
      <w:r w:rsidRPr="00D72C8F" w:rsidR="001B11A3">
        <w:rPr>
          <w:b/>
          <w:szCs w:val="22"/>
        </w:rPr>
        <w:t>3</w:t>
      </w:r>
      <w:r w:rsidRPr="00D72C8F" w:rsidR="006411A6">
        <w:rPr>
          <w:b/>
          <w:szCs w:val="22"/>
        </w:rPr>
        <w:t>, 2021</w:t>
      </w:r>
      <w:r w:rsidRPr="00D72C8F" w:rsidR="00573119">
        <w:rPr>
          <w:b/>
          <w:szCs w:val="22"/>
        </w:rPr>
        <w:t xml:space="preserve"> </w:t>
      </w:r>
    </w:p>
    <w:p w:rsidR="00A25832" w:rsidRPr="009F6FBF" w:rsidP="00A25832" w14:paraId="45B87F72" w14:textId="77777777">
      <w:pPr>
        <w:widowControl/>
        <w:spacing w:after="120"/>
      </w:pPr>
    </w:p>
    <w:bookmarkEnd w:id="1"/>
    <w:p w:rsidR="00A25832" w:rsidRPr="009F6FBF" w:rsidP="00A25832" w14:paraId="51FE1300" w14:textId="6746E59F">
      <w:pPr>
        <w:autoSpaceDE w:val="0"/>
        <w:autoSpaceDN w:val="0"/>
        <w:adjustRightInd w:val="0"/>
        <w:spacing w:after="120"/>
        <w:ind w:firstLine="720"/>
        <w:rPr>
          <w:szCs w:val="22"/>
        </w:rPr>
      </w:pPr>
      <w:r w:rsidRPr="009F6FBF">
        <w:rPr>
          <w:szCs w:val="22"/>
        </w:rPr>
        <w:t>O</w:t>
      </w:r>
      <w:r>
        <w:rPr>
          <w:szCs w:val="22"/>
        </w:rPr>
        <w:t>n May 26</w:t>
      </w:r>
      <w:r w:rsidRPr="009F6FBF">
        <w:rPr>
          <w:szCs w:val="22"/>
        </w:rPr>
        <w:t>, 2021</w:t>
      </w:r>
      <w:r>
        <w:rPr>
          <w:szCs w:val="22"/>
        </w:rPr>
        <w:t xml:space="preserve">, </w:t>
      </w:r>
      <w:r>
        <w:rPr>
          <w:szCs w:val="22"/>
        </w:rPr>
        <w:t>GoGo</w:t>
      </w:r>
      <w:r>
        <w:rPr>
          <w:szCs w:val="22"/>
        </w:rPr>
        <w:t xml:space="preserve"> Business Aviation LLC (“</w:t>
      </w:r>
      <w:r>
        <w:rPr>
          <w:szCs w:val="22"/>
        </w:rPr>
        <w:t>Gogo</w:t>
      </w:r>
      <w:r>
        <w:rPr>
          <w:szCs w:val="22"/>
        </w:rPr>
        <w:t xml:space="preserve"> BA”)</w:t>
      </w:r>
      <w:r w:rsidRPr="009F6FBF">
        <w:rPr>
          <w:szCs w:val="22"/>
        </w:rPr>
        <w:t xml:space="preserve"> filed a request</w:t>
      </w:r>
      <w:r>
        <w:rPr>
          <w:rStyle w:val="FootnoteReference"/>
          <w:szCs w:val="22"/>
        </w:rPr>
        <w:footnoteReference w:id="3"/>
      </w:r>
      <w:r w:rsidRPr="009F6FBF">
        <w:rPr>
          <w:szCs w:val="22"/>
        </w:rPr>
        <w:t xml:space="preserve"> </w:t>
      </w:r>
      <w:r>
        <w:rPr>
          <w:szCs w:val="22"/>
        </w:rPr>
        <w:t>to waive</w:t>
      </w:r>
      <w:r w:rsidRPr="009F6FBF">
        <w:rPr>
          <w:szCs w:val="22"/>
        </w:rPr>
        <w:t xml:space="preserve"> </w:t>
      </w:r>
      <w:r w:rsidR="001B11A3">
        <w:rPr>
          <w:szCs w:val="22"/>
        </w:rPr>
        <w:t>S</w:t>
      </w:r>
      <w:r w:rsidRPr="009F6FBF">
        <w:rPr>
          <w:szCs w:val="22"/>
        </w:rPr>
        <w:t xml:space="preserve">ection </w:t>
      </w:r>
      <w:r>
        <w:rPr>
          <w:szCs w:val="22"/>
        </w:rPr>
        <w:t>22.867</w:t>
      </w:r>
      <w:r w:rsidRPr="009F6FBF">
        <w:rPr>
          <w:szCs w:val="22"/>
        </w:rPr>
        <w:t xml:space="preserve"> of the Commission’s rules</w:t>
      </w:r>
      <w:r>
        <w:rPr>
          <w:rStyle w:val="FootnoteReference"/>
          <w:szCs w:val="22"/>
        </w:rPr>
        <w:footnoteReference w:id="4"/>
      </w:r>
      <w:r w:rsidRPr="009F6FBF">
        <w:rPr>
          <w:szCs w:val="22"/>
        </w:rPr>
        <w:t xml:space="preserve"> governing </w:t>
      </w:r>
      <w:r>
        <w:rPr>
          <w:szCs w:val="22"/>
        </w:rPr>
        <w:t>the effective radiated power (“ERP”) limits for air-to-ground (“ATG”) operations in the 849-851 MHz and 894-896 MHz bands.</w:t>
      </w:r>
      <w:r>
        <w:rPr>
          <w:rStyle w:val="FootnoteReference"/>
          <w:szCs w:val="22"/>
        </w:rPr>
        <w:footnoteReference w:id="5"/>
      </w:r>
      <w:r>
        <w:rPr>
          <w:szCs w:val="22"/>
        </w:rPr>
        <w:t xml:space="preserve">  Specifically, </w:t>
      </w:r>
      <w:r>
        <w:rPr>
          <w:szCs w:val="22"/>
        </w:rPr>
        <w:t>Gogo</w:t>
      </w:r>
      <w:r>
        <w:rPr>
          <w:szCs w:val="22"/>
        </w:rPr>
        <w:t xml:space="preserve"> BA seeks relief </w:t>
      </w:r>
      <w:r w:rsidR="003C0E4C">
        <w:rPr>
          <w:szCs w:val="22"/>
        </w:rPr>
        <w:t xml:space="preserve">from </w:t>
      </w:r>
      <w:r>
        <w:rPr>
          <w:szCs w:val="22"/>
        </w:rPr>
        <w:t>the rule to permit measurement of the maximum average power for the current ERP limit, rather than the current peak power measurement specified in the rule.</w:t>
      </w:r>
      <w:r>
        <w:rPr>
          <w:rStyle w:val="FootnoteReference"/>
          <w:szCs w:val="22"/>
        </w:rPr>
        <w:footnoteReference w:id="6"/>
      </w:r>
      <w:r>
        <w:rPr>
          <w:szCs w:val="22"/>
        </w:rPr>
        <w:t xml:space="preserve">  </w:t>
      </w:r>
      <w:r>
        <w:rPr>
          <w:szCs w:val="22"/>
        </w:rPr>
        <w:t>GoGo</w:t>
      </w:r>
      <w:r>
        <w:rPr>
          <w:szCs w:val="22"/>
        </w:rPr>
        <w:t xml:space="preserve"> BA</w:t>
      </w:r>
      <w:r w:rsidRPr="009F6FBF">
        <w:rPr>
          <w:szCs w:val="22"/>
        </w:rPr>
        <w:t xml:space="preserve"> states that a waiver is necessary to </w:t>
      </w:r>
      <w:r>
        <w:rPr>
          <w:szCs w:val="22"/>
        </w:rPr>
        <w:t>permit a transition to its next generation system using Orthogonal Frequency Division Multiplex Technology (OFDM) that will improve throughput, coverage, and reliability for inflight connectivity to aircraft in the U.S and Canada.</w:t>
      </w:r>
      <w:r>
        <w:rPr>
          <w:rStyle w:val="FootnoteReference"/>
          <w:szCs w:val="22"/>
        </w:rPr>
        <w:footnoteReference w:id="7"/>
      </w:r>
      <w:r w:rsidRPr="009F6FBF">
        <w:rPr>
          <w:szCs w:val="22"/>
        </w:rPr>
        <w:t xml:space="preserve"> </w:t>
      </w:r>
      <w:r>
        <w:rPr>
          <w:szCs w:val="22"/>
        </w:rPr>
        <w:t xml:space="preserve"> </w:t>
      </w:r>
      <w:r>
        <w:rPr>
          <w:szCs w:val="22"/>
        </w:rPr>
        <w:t>Gogo</w:t>
      </w:r>
      <w:r>
        <w:rPr>
          <w:szCs w:val="22"/>
        </w:rPr>
        <w:t xml:space="preserve"> BA states that, since OFDM-based waveforms typically have higher peak-to-average ratios (“PAR”) than other common waveforms, </w:t>
      </w:r>
      <w:r w:rsidR="001B11A3">
        <w:rPr>
          <w:szCs w:val="22"/>
        </w:rPr>
        <w:t>S</w:t>
      </w:r>
      <w:r>
        <w:rPr>
          <w:szCs w:val="22"/>
        </w:rPr>
        <w:t>ection 22.867’s requirement that ERP Limits in the 800 MHz ATG Band be measured as “peak ERP” would unnecessarily hamper the service being delivered with no discernable reduction in harmful interference risk for co-channel or adjacent band operators.</w:t>
      </w:r>
      <w:r>
        <w:rPr>
          <w:rStyle w:val="FootnoteReference"/>
          <w:szCs w:val="22"/>
        </w:rPr>
        <w:footnoteReference w:id="8"/>
      </w:r>
      <w:r>
        <w:rPr>
          <w:szCs w:val="22"/>
        </w:rPr>
        <w:t xml:space="preserve">  </w:t>
      </w:r>
      <w:r>
        <w:rPr>
          <w:szCs w:val="22"/>
        </w:rPr>
        <w:t>Gogo</w:t>
      </w:r>
      <w:r>
        <w:rPr>
          <w:szCs w:val="22"/>
        </w:rPr>
        <w:t xml:space="preserve"> BA also states that Canada already permits maximum average power measurement for ATG operations</w:t>
      </w:r>
      <w:r>
        <w:rPr>
          <w:rStyle w:val="FootnoteReference"/>
          <w:szCs w:val="22"/>
        </w:rPr>
        <w:footnoteReference w:id="9"/>
      </w:r>
      <w:r>
        <w:rPr>
          <w:szCs w:val="22"/>
        </w:rPr>
        <w:t xml:space="preserve"> and Commission rules use average instead of peak measurement for other mobile services in Parts 22, 24, 27 and 30, so a waiver would promote uniformity in how power is measured across services using OFDM technology.</w:t>
      </w:r>
      <w:r>
        <w:rPr>
          <w:rStyle w:val="FootnoteReference"/>
          <w:szCs w:val="22"/>
        </w:rPr>
        <w:footnoteReference w:id="10"/>
      </w:r>
    </w:p>
    <w:p w:rsidR="00A25832" w:rsidRPr="009F6FBF" w:rsidP="00A25832" w14:paraId="1B2BD7FF" w14:textId="3322ED08">
      <w:pPr>
        <w:autoSpaceDE w:val="0"/>
        <w:autoSpaceDN w:val="0"/>
        <w:adjustRightInd w:val="0"/>
        <w:spacing w:after="120"/>
        <w:ind w:firstLine="720"/>
        <w:rPr>
          <w:szCs w:val="22"/>
        </w:rPr>
      </w:pPr>
      <w:r>
        <w:rPr>
          <w:szCs w:val="22"/>
        </w:rPr>
        <w:t xml:space="preserve">By this </w:t>
      </w:r>
      <w:r>
        <w:rPr>
          <w:i/>
          <w:iCs/>
          <w:szCs w:val="22"/>
        </w:rPr>
        <w:t xml:space="preserve">Public </w:t>
      </w:r>
      <w:r w:rsidRPr="00EE08AA">
        <w:rPr>
          <w:szCs w:val="22"/>
        </w:rPr>
        <w:t>Notice</w:t>
      </w:r>
      <w:r>
        <w:rPr>
          <w:szCs w:val="22"/>
        </w:rPr>
        <w:t>, t</w:t>
      </w:r>
      <w:r w:rsidRPr="00EE08AA">
        <w:rPr>
          <w:szCs w:val="22"/>
        </w:rPr>
        <w:t>he</w:t>
      </w:r>
      <w:r w:rsidRPr="009F6FBF">
        <w:rPr>
          <w:szCs w:val="22"/>
        </w:rPr>
        <w:t xml:space="preserve"> Wireless Telecommunications Bureau (Bureau) seeks comment on </w:t>
      </w:r>
      <w:r>
        <w:rPr>
          <w:szCs w:val="22"/>
        </w:rPr>
        <w:t xml:space="preserve">all aspects of </w:t>
      </w:r>
      <w:r w:rsidRPr="009F6FBF">
        <w:rPr>
          <w:szCs w:val="22"/>
        </w:rPr>
        <w:t xml:space="preserve">this request for waiver.  To develop a complete record on the issues presented by this request, the proceeding will be treated, for </w:t>
      </w:r>
      <w:r w:rsidRPr="009F6FBF">
        <w:rPr>
          <w:i/>
          <w:iCs/>
          <w:szCs w:val="22"/>
        </w:rPr>
        <w:t xml:space="preserve">ex </w:t>
      </w:r>
      <w:r w:rsidRPr="009F6FBF">
        <w:rPr>
          <w:i/>
          <w:iCs/>
          <w:szCs w:val="22"/>
        </w:rPr>
        <w:t>parte</w:t>
      </w:r>
      <w:r w:rsidRPr="009F6FBF">
        <w:rPr>
          <w:i/>
          <w:iCs/>
          <w:szCs w:val="22"/>
        </w:rPr>
        <w:t xml:space="preserve"> </w:t>
      </w:r>
      <w:r w:rsidRPr="009F6FBF">
        <w:rPr>
          <w:szCs w:val="22"/>
        </w:rPr>
        <w:t xml:space="preserve">purposes, as a “permit-but-disclose” proceeding in accordance with Section 1.1200(a) of the Commission’s rules, subject to the requirements under Section 1.1206(b). </w:t>
      </w:r>
      <w:r>
        <w:rPr>
          <w:szCs w:val="22"/>
        </w:rPr>
        <w:t>Gogo</w:t>
      </w:r>
      <w:r>
        <w:rPr>
          <w:szCs w:val="22"/>
        </w:rPr>
        <w:t xml:space="preserve"> BA</w:t>
      </w:r>
      <w:r w:rsidRPr="009F6FBF">
        <w:rPr>
          <w:szCs w:val="22"/>
        </w:rPr>
        <w:t xml:space="preserve"> filed its petition electronically as a non-docketed proceeding in the Commission’s Electronic Comment Filing System.</w:t>
      </w:r>
      <w:r>
        <w:rPr>
          <w:rStyle w:val="FootnoteReference"/>
          <w:szCs w:val="22"/>
        </w:rPr>
        <w:footnoteReference w:id="11"/>
      </w:r>
      <w:r w:rsidRPr="009F6FBF">
        <w:rPr>
          <w:szCs w:val="22"/>
        </w:rPr>
        <w:t xml:space="preserve">  We have opened a new docket, </w:t>
      </w:r>
      <w:r w:rsidRPr="009F6FBF">
        <w:rPr>
          <w:b/>
          <w:bCs/>
          <w:szCs w:val="22"/>
        </w:rPr>
        <w:t xml:space="preserve">WT Docket </w:t>
      </w:r>
      <w:r w:rsidR="00A647E8">
        <w:rPr>
          <w:b/>
          <w:sz w:val="24"/>
        </w:rPr>
        <w:t>21-282</w:t>
      </w:r>
      <w:r w:rsidRPr="009F6FBF">
        <w:rPr>
          <w:szCs w:val="22"/>
        </w:rPr>
        <w:t xml:space="preserve">, to facilitate consideration of this request and have moved </w:t>
      </w:r>
      <w:r>
        <w:rPr>
          <w:szCs w:val="22"/>
        </w:rPr>
        <w:t>Gogo</w:t>
      </w:r>
      <w:r>
        <w:rPr>
          <w:szCs w:val="22"/>
        </w:rPr>
        <w:t xml:space="preserve"> BA’</w:t>
      </w:r>
      <w:r w:rsidRPr="009F6FBF">
        <w:rPr>
          <w:szCs w:val="22"/>
        </w:rPr>
        <w:t xml:space="preserve">s </w:t>
      </w:r>
      <w:r w:rsidR="00790E10">
        <w:rPr>
          <w:szCs w:val="22"/>
        </w:rPr>
        <w:t>petition</w:t>
      </w:r>
      <w:r w:rsidRPr="009F6FBF" w:rsidR="00790E10">
        <w:rPr>
          <w:szCs w:val="22"/>
        </w:rPr>
        <w:t xml:space="preserve"> </w:t>
      </w:r>
      <w:r w:rsidRPr="009F6FBF">
        <w:rPr>
          <w:szCs w:val="22"/>
        </w:rPr>
        <w:t xml:space="preserve">into this docket.  Parties should file all comments and reply comments in </w:t>
      </w:r>
      <w:r w:rsidRPr="009F6FBF">
        <w:rPr>
          <w:b/>
          <w:bCs/>
          <w:szCs w:val="22"/>
        </w:rPr>
        <w:t xml:space="preserve">WT Docket </w:t>
      </w:r>
      <w:r w:rsidR="00A647E8">
        <w:rPr>
          <w:b/>
          <w:sz w:val="24"/>
        </w:rPr>
        <w:t>21-282</w:t>
      </w:r>
      <w:r w:rsidRPr="009F6FBF">
        <w:rPr>
          <w:szCs w:val="22"/>
        </w:rPr>
        <w:t>.</w:t>
      </w:r>
    </w:p>
    <w:p w:rsidR="00A25832" w:rsidRPr="009F6FBF" w:rsidP="00A25832" w14:paraId="7C0A01D0" w14:textId="77777777">
      <w:pPr>
        <w:autoSpaceDE w:val="0"/>
        <w:autoSpaceDN w:val="0"/>
        <w:adjustRightInd w:val="0"/>
        <w:spacing w:after="120"/>
        <w:ind w:firstLine="720"/>
        <w:jc w:val="center"/>
        <w:rPr>
          <w:szCs w:val="22"/>
        </w:rPr>
      </w:pPr>
      <w:r w:rsidRPr="009F6FBF">
        <w:rPr>
          <w:szCs w:val="22"/>
        </w:rPr>
        <w:t>***</w:t>
      </w:r>
    </w:p>
    <w:p w:rsidR="00A25832" w:rsidRPr="009F6FBF" w:rsidP="00A25832" w14:paraId="26F480E6" w14:textId="5DEC1E8D">
      <w:pPr>
        <w:autoSpaceDE w:val="0"/>
        <w:autoSpaceDN w:val="0"/>
        <w:adjustRightInd w:val="0"/>
        <w:spacing w:after="120"/>
        <w:ind w:firstLine="720"/>
        <w:rPr>
          <w:szCs w:val="22"/>
        </w:rPr>
      </w:pPr>
      <w:r w:rsidRPr="009F6FBF">
        <w:rPr>
          <w:i/>
          <w:iCs/>
          <w:szCs w:val="22"/>
        </w:rPr>
        <w:t>Filing Requirements</w:t>
      </w:r>
      <w:r w:rsidRPr="009F6FBF">
        <w:rPr>
          <w:szCs w:val="22"/>
        </w:rPr>
        <w:t>.  Parties may file comments, identified by WT Docket No</w:t>
      </w:r>
      <w:r w:rsidRPr="00D72C8F">
        <w:rPr>
          <w:szCs w:val="22"/>
        </w:rPr>
        <w:t xml:space="preserve">. </w:t>
      </w:r>
      <w:r w:rsidRPr="00D72C8F" w:rsidR="00A647E8">
        <w:rPr>
          <w:b/>
          <w:sz w:val="24"/>
        </w:rPr>
        <w:t>21</w:t>
      </w:r>
      <w:r w:rsidR="00A647E8">
        <w:rPr>
          <w:b/>
          <w:sz w:val="24"/>
        </w:rPr>
        <w:t>-282</w:t>
      </w:r>
      <w:r w:rsidRPr="009F6FBF">
        <w:rPr>
          <w:szCs w:val="22"/>
        </w:rPr>
        <w:t>, by any of the following methods:</w:t>
      </w:r>
    </w:p>
    <w:p w:rsidR="00A25832" w:rsidRPr="009F6FBF" w:rsidP="00A25832" w14:paraId="0D01C69C" w14:textId="77777777">
      <w:pPr>
        <w:pStyle w:val="ListParagraph"/>
        <w:numPr>
          <w:ilvl w:val="0"/>
          <w:numId w:val="7"/>
        </w:numPr>
        <w:autoSpaceDE w:val="0"/>
        <w:autoSpaceDN w:val="0"/>
        <w:adjustRightInd w:val="0"/>
        <w:spacing w:after="120"/>
        <w:rPr>
          <w:szCs w:val="22"/>
        </w:rPr>
      </w:pPr>
      <w:r w:rsidRPr="009F6FBF">
        <w:rPr>
          <w:szCs w:val="22"/>
        </w:rPr>
        <w:t xml:space="preserve">Electronic Filers: Comments may be filed electronically using the internet by accessing the ECFS: </w:t>
      </w:r>
      <w:hyperlink r:id="rId5" w:history="1">
        <w:r w:rsidRPr="009F6FBF">
          <w:rPr>
            <w:rStyle w:val="Hyperlink"/>
            <w:szCs w:val="22"/>
          </w:rPr>
          <w:t>https://www.fcc.gov/ecfs/</w:t>
        </w:r>
      </w:hyperlink>
      <w:r w:rsidRPr="009F6FBF">
        <w:rPr>
          <w:szCs w:val="22"/>
        </w:rPr>
        <w:t>.</w:t>
      </w:r>
    </w:p>
    <w:p w:rsidR="00A25832" w:rsidRPr="009F6FBF" w:rsidP="00A25832" w14:paraId="182CF3FD" w14:textId="77777777">
      <w:pPr>
        <w:pStyle w:val="ListParagraph"/>
        <w:numPr>
          <w:ilvl w:val="0"/>
          <w:numId w:val="7"/>
        </w:numPr>
        <w:autoSpaceDE w:val="0"/>
        <w:autoSpaceDN w:val="0"/>
        <w:adjustRightInd w:val="0"/>
        <w:spacing w:after="120"/>
        <w:rPr>
          <w:szCs w:val="22"/>
        </w:rPr>
      </w:pPr>
      <w:r w:rsidRPr="009F6FBF">
        <w:rPr>
          <w:szCs w:val="22"/>
        </w:rPr>
        <w:t>Paper Filers:  Parties who choose to file by paper must file an original and one copy of each filing.</w:t>
      </w:r>
    </w:p>
    <w:p w:rsidR="00A25832" w:rsidRPr="009F6FBF" w:rsidP="00A25832" w14:paraId="0F98F5EC" w14:textId="77777777">
      <w:pPr>
        <w:autoSpaceDE w:val="0"/>
        <w:autoSpaceDN w:val="0"/>
        <w:adjustRightInd w:val="0"/>
        <w:spacing w:after="120"/>
        <w:ind w:firstLine="720"/>
        <w:rPr>
          <w:szCs w:val="22"/>
        </w:rPr>
      </w:pPr>
      <w:r w:rsidRPr="009F6FBF">
        <w:rPr>
          <w:szCs w:val="22"/>
        </w:rPr>
        <w:t>Filings can be sent by commercial courier or by the U.S. Postal Service.  All filings must be addressed to the Commission’s Secretary, Office of the Secretary, Federal Communications Commission.</w:t>
      </w:r>
    </w:p>
    <w:p w:rsidR="00A25832" w:rsidRPr="009F6FBF" w:rsidP="00A25832" w14:paraId="7A1F1D5F" w14:textId="77777777">
      <w:pPr>
        <w:pStyle w:val="ListParagraph"/>
        <w:numPr>
          <w:ilvl w:val="0"/>
          <w:numId w:val="8"/>
        </w:numPr>
        <w:autoSpaceDE w:val="0"/>
        <w:autoSpaceDN w:val="0"/>
        <w:adjustRightInd w:val="0"/>
        <w:spacing w:after="120"/>
        <w:rPr>
          <w:szCs w:val="22"/>
        </w:rPr>
      </w:pPr>
      <w:r w:rsidRPr="009F6FBF">
        <w:rPr>
          <w:szCs w:val="22"/>
        </w:rPr>
        <w:t>Commercial deliveries (other than U.S. Postal Service Express Mail and Priority Mail) must be sent to 9050 Junction Drive, Annapolis Junction, MD 20701.</w:t>
      </w:r>
    </w:p>
    <w:p w:rsidR="00A25832" w:rsidRPr="009F6FBF" w:rsidP="00A25832" w14:paraId="16B6C006" w14:textId="77777777">
      <w:pPr>
        <w:pStyle w:val="ListParagraph"/>
        <w:numPr>
          <w:ilvl w:val="0"/>
          <w:numId w:val="8"/>
        </w:numPr>
        <w:autoSpaceDE w:val="0"/>
        <w:autoSpaceDN w:val="0"/>
        <w:adjustRightInd w:val="0"/>
        <w:spacing w:after="120"/>
        <w:rPr>
          <w:szCs w:val="22"/>
        </w:rPr>
      </w:pPr>
      <w:r w:rsidRPr="009F6FBF">
        <w:rPr>
          <w:szCs w:val="22"/>
        </w:rPr>
        <w:t>U.S. Postal Service First-Class, Express, and Priority mail must be addressed to 45 L Street, NE, Washington, DC 20554.</w:t>
      </w:r>
    </w:p>
    <w:p w:rsidR="00A25832" w:rsidRPr="009F6FBF" w:rsidP="00A25832" w14:paraId="7BF1590D" w14:textId="77777777">
      <w:pPr>
        <w:pStyle w:val="ListParagraph"/>
        <w:numPr>
          <w:ilvl w:val="0"/>
          <w:numId w:val="8"/>
        </w:numPr>
        <w:autoSpaceDE w:val="0"/>
        <w:autoSpaceDN w:val="0"/>
        <w:adjustRightInd w:val="0"/>
        <w:spacing w:after="120"/>
        <w:rPr>
          <w:szCs w:val="22"/>
        </w:rPr>
      </w:pPr>
      <w:r w:rsidRPr="009F6FBF">
        <w:rPr>
          <w:b/>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w:t>
      </w:r>
      <w:hyperlink r:id="rId6" w:history="1">
        <w:r w:rsidRPr="009F6FBF">
          <w:rPr>
            <w:rStyle w:val="Hyperlink"/>
          </w:rPr>
          <w:t>https://www.fcc.gov/document/fcc-closes-headquarters-open-window-and-changeshand-delivery-policy</w:t>
        </w:r>
      </w:hyperlink>
      <w:r w:rsidRPr="009F6FBF">
        <w:rPr>
          <w:rStyle w:val="Hyperlink"/>
        </w:rPr>
        <w:t>.</w:t>
      </w:r>
    </w:p>
    <w:p w:rsidR="00A25832" w:rsidRPr="009F6FBF" w:rsidP="00A25832" w14:paraId="74F254BC" w14:textId="77777777">
      <w:pPr>
        <w:pStyle w:val="ListParagraph"/>
        <w:numPr>
          <w:ilvl w:val="0"/>
          <w:numId w:val="8"/>
        </w:numPr>
        <w:autoSpaceDE w:val="0"/>
        <w:autoSpaceDN w:val="0"/>
        <w:adjustRightInd w:val="0"/>
        <w:spacing w:after="120"/>
        <w:rPr>
          <w:b/>
          <w:bCs/>
          <w:szCs w:val="22"/>
        </w:rPr>
      </w:pPr>
      <w:r w:rsidRPr="009F6FBF">
        <w:rPr>
          <w:b/>
          <w:bCs/>
        </w:rP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A25832" w:rsidRPr="009F6FBF" w:rsidP="00A25832" w14:paraId="0FA9AACF" w14:textId="77777777">
      <w:pPr>
        <w:autoSpaceDE w:val="0"/>
        <w:autoSpaceDN w:val="0"/>
        <w:adjustRightInd w:val="0"/>
        <w:spacing w:after="120"/>
        <w:ind w:firstLine="720"/>
        <w:rPr>
          <w:szCs w:val="22"/>
        </w:rPr>
      </w:pPr>
      <w:r w:rsidRPr="009F6FBF">
        <w:rPr>
          <w:i/>
          <w:iCs/>
          <w:szCs w:val="22"/>
        </w:rPr>
        <w:t>People with Disabilities</w:t>
      </w:r>
      <w:r w:rsidRPr="009F6FBF">
        <w:rPr>
          <w:szCs w:val="22"/>
        </w:rPr>
        <w:t xml:space="preserve">:  To request materials in accessible formats for people with disabilities (braille, large print, electronic files, audio format), send an e-mail to </w:t>
      </w:r>
      <w:hyperlink r:id="rId7" w:history="1">
        <w:r w:rsidRPr="009F6FBF">
          <w:rPr>
            <w:rStyle w:val="Hyperlink"/>
            <w:szCs w:val="22"/>
          </w:rPr>
          <w:t>fcc504@fcc.gov</w:t>
        </w:r>
      </w:hyperlink>
      <w:r w:rsidRPr="009F6FBF">
        <w:rPr>
          <w:szCs w:val="22"/>
        </w:rPr>
        <w:t xml:space="preserve"> or call the Consumer &amp; Government Affairs Bureau at 202-418-0530 (voice), 202-418-0432 (</w:t>
      </w:r>
      <w:r w:rsidRPr="009F6FBF">
        <w:rPr>
          <w:szCs w:val="22"/>
        </w:rPr>
        <w:t>tty</w:t>
      </w:r>
      <w:r w:rsidRPr="009F6FBF">
        <w:rPr>
          <w:szCs w:val="22"/>
        </w:rPr>
        <w:t>).</w:t>
      </w:r>
    </w:p>
    <w:p w:rsidR="00A25832" w:rsidRPr="009F6FBF" w:rsidP="00A25832" w14:paraId="7B0A7A12" w14:textId="77777777">
      <w:pPr>
        <w:autoSpaceDE w:val="0"/>
        <w:autoSpaceDN w:val="0"/>
        <w:adjustRightInd w:val="0"/>
        <w:spacing w:after="120"/>
        <w:ind w:firstLine="720"/>
        <w:rPr>
          <w:szCs w:val="22"/>
        </w:rPr>
      </w:pPr>
      <w:r w:rsidRPr="009F6FBF">
        <w:rPr>
          <w:i/>
          <w:iCs/>
          <w:szCs w:val="22"/>
        </w:rPr>
        <w:t>Additional Information</w:t>
      </w:r>
      <w:r w:rsidRPr="009F6FBF">
        <w:rPr>
          <w:szCs w:val="22"/>
        </w:rPr>
        <w:t xml:space="preserve">.  For further information regarding this Public Notice, please contact </w:t>
      </w:r>
      <w:r>
        <w:rPr>
          <w:szCs w:val="22"/>
        </w:rPr>
        <w:t>Moslem Sawez</w:t>
      </w:r>
      <w:r w:rsidRPr="009F6FBF">
        <w:rPr>
          <w:szCs w:val="22"/>
        </w:rPr>
        <w:t xml:space="preserve"> at </w:t>
      </w:r>
      <w:r>
        <w:rPr>
          <w:szCs w:val="22"/>
        </w:rPr>
        <w:t>Moslem.Sawez@fcc.gov</w:t>
      </w:r>
      <w:r w:rsidRPr="009F6FBF">
        <w:rPr>
          <w:szCs w:val="22"/>
        </w:rPr>
        <w:t xml:space="preserve"> or (202) 418-</w:t>
      </w:r>
      <w:r>
        <w:rPr>
          <w:szCs w:val="22"/>
        </w:rPr>
        <w:t>8211</w:t>
      </w:r>
      <w:r w:rsidRPr="009F6FBF">
        <w:rPr>
          <w:szCs w:val="22"/>
        </w:rPr>
        <w:t xml:space="preserve">. </w:t>
      </w:r>
    </w:p>
    <w:p w:rsidR="00A25832" w:rsidRPr="00E96918" w:rsidP="00A25832" w14:paraId="5BFA118E" w14:textId="77777777">
      <w:pPr>
        <w:keepNext/>
        <w:spacing w:after="120"/>
        <w:jc w:val="center"/>
      </w:pPr>
      <w:r w:rsidRPr="009F6FBF">
        <w:t>- FCC -</w:t>
      </w:r>
    </w:p>
    <w:p w:rsidR="00A25832" w:rsidP="00A25832" w14:paraId="238048BC" w14:textId="77777777"/>
    <w:p w:rsidR="00A25832" w14:paraId="0E62815D" w14:textId="77777777"/>
    <w:sectPr>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4C" w14:paraId="0D908A13" w14:textId="77777777">
    <w:pPr>
      <w:pStyle w:val="Footer"/>
      <w:framePr w:wrap="around" w:vAnchor="text" w:hAnchor="margin" w:xAlign="center" w:y="1"/>
    </w:pPr>
    <w:r>
      <w:fldChar w:fldCharType="begin"/>
    </w:r>
    <w:r>
      <w:instrText xml:space="preserve">PAGE  </w:instrText>
    </w:r>
    <w:r>
      <w:fldChar w:fldCharType="separate"/>
    </w:r>
    <w:r>
      <w:fldChar w:fldCharType="end"/>
    </w:r>
  </w:p>
  <w:p w:rsidR="00CA3E4C" w14:paraId="7D0DB9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4C" w14:paraId="4DAAB5D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4C" w14:paraId="0DF18E1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76E07" w14:paraId="47B137CE" w14:textId="77777777">
      <w:r>
        <w:separator/>
      </w:r>
    </w:p>
  </w:footnote>
  <w:footnote w:type="continuationSeparator" w:id="1">
    <w:p w:rsidR="00276E07" w14:paraId="1F76CCC4" w14:textId="77777777">
      <w:pPr>
        <w:rPr>
          <w:sz w:val="20"/>
        </w:rPr>
      </w:pPr>
      <w:r>
        <w:rPr>
          <w:sz w:val="20"/>
        </w:rPr>
        <w:t xml:space="preserve">(Continued from previous page)  </w:t>
      </w:r>
      <w:r>
        <w:rPr>
          <w:sz w:val="20"/>
        </w:rPr>
        <w:separator/>
      </w:r>
    </w:p>
  </w:footnote>
  <w:footnote w:type="continuationNotice" w:id="2">
    <w:p w:rsidR="00276E07" w14:paraId="55091A5D" w14:textId="77777777">
      <w:pPr>
        <w:jc w:val="right"/>
        <w:rPr>
          <w:sz w:val="20"/>
        </w:rPr>
      </w:pPr>
      <w:r>
        <w:rPr>
          <w:sz w:val="20"/>
        </w:rPr>
        <w:t>(continued….)</w:t>
      </w:r>
    </w:p>
  </w:footnote>
  <w:footnote w:id="3">
    <w:p w:rsidR="00005A77" w14:paraId="1EA2A5C8" w14:textId="78A4DEFD">
      <w:pPr>
        <w:pStyle w:val="FootnoteText"/>
      </w:pPr>
      <w:r>
        <w:rPr>
          <w:rStyle w:val="FootnoteReference"/>
        </w:rPr>
        <w:footnoteRef/>
      </w:r>
      <w:r>
        <w:t xml:space="preserve"> </w:t>
      </w:r>
      <w:bookmarkStart w:id="2" w:name="_Hlk75965260"/>
      <w:r w:rsidRPr="00005A77">
        <w:t>G</w:t>
      </w:r>
      <w:r>
        <w:t>ogo</w:t>
      </w:r>
      <w:r w:rsidRPr="00005A77">
        <w:t xml:space="preserve"> B</w:t>
      </w:r>
      <w:r>
        <w:t>usiness</w:t>
      </w:r>
      <w:r w:rsidRPr="00005A77">
        <w:t xml:space="preserve"> A</w:t>
      </w:r>
      <w:r>
        <w:t>viation</w:t>
      </w:r>
      <w:r w:rsidRPr="00005A77">
        <w:t xml:space="preserve"> LLC R</w:t>
      </w:r>
      <w:r>
        <w:t>equest for</w:t>
      </w:r>
      <w:r w:rsidRPr="00005A77">
        <w:t xml:space="preserve"> W</w:t>
      </w:r>
      <w:r>
        <w:t>aiver</w:t>
      </w:r>
      <w:r w:rsidRPr="00005A77">
        <w:t>, filed by Michele C. Farquhar to</w:t>
      </w:r>
      <w:r>
        <w:t xml:space="preserve"> </w:t>
      </w:r>
      <w:r w:rsidRPr="00005A77">
        <w:t xml:space="preserve">non-docketed ECFS INBOX-1.3 on May 26, 2021 </w:t>
      </w:r>
      <w:bookmarkEnd w:id="2"/>
      <w:r w:rsidRPr="00005A77">
        <w:t>(</w:t>
      </w:r>
      <w:r w:rsidRPr="00BE1535">
        <w:rPr>
          <w:i/>
          <w:iCs/>
        </w:rPr>
        <w:t>Request</w:t>
      </w:r>
      <w:r w:rsidRPr="00005A77">
        <w:t>)</w:t>
      </w:r>
      <w:r>
        <w:t>.</w:t>
      </w:r>
    </w:p>
  </w:footnote>
  <w:footnote w:id="4">
    <w:p w:rsidR="00A25832" w:rsidP="00A25832" w14:paraId="0B73071A" w14:textId="6F328732">
      <w:pPr>
        <w:pStyle w:val="FootnoteText"/>
      </w:pPr>
      <w:r>
        <w:rPr>
          <w:rStyle w:val="FootnoteReference"/>
        </w:rPr>
        <w:footnoteRef/>
      </w:r>
      <w:r>
        <w:t xml:space="preserve"> 47 CFR § </w:t>
      </w:r>
      <w:r>
        <w:rPr>
          <w:szCs w:val="22"/>
        </w:rPr>
        <w:t xml:space="preserve">22.867.  </w:t>
      </w:r>
    </w:p>
  </w:footnote>
  <w:footnote w:id="5">
    <w:p w:rsidR="003C0E4C" w14:paraId="7F2B602F" w14:textId="2BAC20A2">
      <w:pPr>
        <w:pStyle w:val="FootnoteText"/>
      </w:pPr>
      <w:r>
        <w:rPr>
          <w:rStyle w:val="FootnoteReference"/>
        </w:rPr>
        <w:footnoteRef/>
      </w:r>
      <w:r>
        <w:t xml:space="preserve"> </w:t>
      </w:r>
      <w:r>
        <w:rPr>
          <w:i/>
          <w:iCs/>
        </w:rPr>
        <w:t xml:space="preserve">See </w:t>
      </w:r>
      <w:r>
        <w:t xml:space="preserve">47 CFR § </w:t>
      </w:r>
      <w:r>
        <w:rPr>
          <w:szCs w:val="22"/>
        </w:rPr>
        <w:t>22.857 (“The 849-851 MHz and 894-896 MHz frequency bands are designated for paired nationwide exclusive assignment to the licensee or licensees of systems providing radio telecommunications service…to persons on board aircraft.”)</w:t>
      </w:r>
    </w:p>
  </w:footnote>
  <w:footnote w:id="6">
    <w:p w:rsidR="00A25832" w:rsidRPr="004B2982" w:rsidP="00A25832" w14:paraId="56E429C4" w14:textId="77777777">
      <w:pPr>
        <w:pStyle w:val="FootnoteText"/>
      </w:pPr>
      <w:r>
        <w:rPr>
          <w:rStyle w:val="FootnoteReference"/>
        </w:rPr>
        <w:footnoteRef/>
      </w:r>
      <w:r>
        <w:t xml:space="preserve"> </w:t>
      </w:r>
      <w:r>
        <w:rPr>
          <w:i/>
          <w:iCs/>
        </w:rPr>
        <w:t xml:space="preserve">Request </w:t>
      </w:r>
      <w:r>
        <w:t>at 3.</w:t>
      </w:r>
    </w:p>
  </w:footnote>
  <w:footnote w:id="7">
    <w:p w:rsidR="00A25832" w:rsidRPr="004B2982" w:rsidP="00A25832" w14:paraId="0A231C53" w14:textId="77777777">
      <w:pPr>
        <w:pStyle w:val="FootnoteText"/>
        <w:rPr>
          <w:i/>
          <w:iCs/>
        </w:rPr>
      </w:pPr>
      <w:r>
        <w:rPr>
          <w:rStyle w:val="FootnoteReference"/>
        </w:rPr>
        <w:footnoteRef/>
      </w:r>
      <w:r>
        <w:t xml:space="preserve"> </w:t>
      </w:r>
      <w:r>
        <w:rPr>
          <w:i/>
          <w:iCs/>
        </w:rPr>
        <w:t>Id.</w:t>
      </w:r>
    </w:p>
  </w:footnote>
  <w:footnote w:id="8">
    <w:p w:rsidR="00A25832" w:rsidRPr="0086433C" w:rsidP="00A25832" w14:paraId="000240A6" w14:textId="788CC8CF">
      <w:pPr>
        <w:pStyle w:val="FootnoteText"/>
      </w:pPr>
      <w:r>
        <w:rPr>
          <w:rStyle w:val="FootnoteReference"/>
        </w:rPr>
        <w:footnoteRef/>
      </w:r>
      <w:r>
        <w:t xml:space="preserve"> </w:t>
      </w:r>
      <w:r>
        <w:rPr>
          <w:i/>
          <w:iCs/>
        </w:rPr>
        <w:t xml:space="preserve">Id. </w:t>
      </w:r>
      <w:r>
        <w:t>at 7</w:t>
      </w:r>
      <w:r w:rsidR="00790E10">
        <w:t xml:space="preserve"> (quoting 47 CFR § 22.867)</w:t>
      </w:r>
      <w:r>
        <w:t>.</w:t>
      </w:r>
    </w:p>
  </w:footnote>
  <w:footnote w:id="9">
    <w:p w:rsidR="00A25832" w:rsidP="00A25832" w14:paraId="7176BF06" w14:textId="77777777">
      <w:pPr>
        <w:pStyle w:val="FootnoteText"/>
      </w:pPr>
      <w:r>
        <w:rPr>
          <w:rStyle w:val="FootnoteReference"/>
        </w:rPr>
        <w:footnoteRef/>
      </w:r>
      <w:r>
        <w:t xml:space="preserve"> </w:t>
      </w:r>
      <w:r>
        <w:rPr>
          <w:i/>
          <w:iCs/>
        </w:rPr>
        <w:t>Id.</w:t>
      </w:r>
      <w:r>
        <w:t xml:space="preserve"> at 5.</w:t>
      </w:r>
    </w:p>
  </w:footnote>
  <w:footnote w:id="10">
    <w:p w:rsidR="00A25832" w:rsidP="00A25832" w14:paraId="738B3526" w14:textId="77777777">
      <w:pPr>
        <w:pStyle w:val="FootnoteText"/>
      </w:pPr>
      <w:r>
        <w:rPr>
          <w:rStyle w:val="FootnoteReference"/>
        </w:rPr>
        <w:footnoteRef/>
      </w:r>
      <w:r>
        <w:t xml:space="preserve"> </w:t>
      </w:r>
      <w:r>
        <w:rPr>
          <w:i/>
          <w:iCs/>
        </w:rPr>
        <w:t>Id.</w:t>
      </w:r>
      <w:r>
        <w:t xml:space="preserve"> at 4-6.</w:t>
      </w:r>
    </w:p>
  </w:footnote>
  <w:footnote w:id="11">
    <w:p w:rsidR="00A25832" w:rsidRPr="009B43C7" w:rsidP="00A25832" w14:paraId="3E82F70E" w14:textId="2F534962">
      <w:pPr>
        <w:pStyle w:val="FootnoteText"/>
      </w:pPr>
      <w:r>
        <w:rPr>
          <w:rStyle w:val="FootnoteReference"/>
        </w:rPr>
        <w:footnoteRef/>
      </w:r>
      <w:r>
        <w:t xml:space="preserve"> </w:t>
      </w:r>
      <w:r w:rsidRPr="00BE1535" w:rsidR="00005A77">
        <w:rPr>
          <w:i/>
          <w:iCs/>
        </w:rPr>
        <w:t>See</w:t>
      </w:r>
      <w:r w:rsidR="00005A77">
        <w:t xml:space="preserve"> </w:t>
      </w:r>
      <w:r w:rsidRPr="00005A77" w:rsidR="00005A77">
        <w:t>Gogo</w:t>
      </w:r>
      <w:r w:rsidRPr="00005A77" w:rsidR="00005A77">
        <w:t xml:space="preserve"> Business Aviation LLC Request for Waiver, filed by Michele C. Farquhar to non-docketed ECFS INBOX-1.3 on May 26, 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4C" w14:paraId="74ECA536" w14:textId="465CEE79">
    <w:pPr>
      <w:tabs>
        <w:tab w:val="center" w:pos="4680"/>
        <w:tab w:val="right" w:pos="9360"/>
      </w:tabs>
    </w:pPr>
    <w:r>
      <w:rPr>
        <w:b/>
      </w:rPr>
      <w:tab/>
      <w:t>Federal Communications Commission</w:t>
    </w:r>
    <w:r>
      <w:rPr>
        <w:b/>
      </w:rPr>
      <w:tab/>
    </w:r>
    <w:r w:rsidR="00A647E8">
      <w:rPr>
        <w:b/>
      </w:rPr>
      <w:t>DA 21-796</w:t>
    </w:r>
  </w:p>
  <w:p w:rsidR="00CA3E4C" w14:paraId="358B0021" w14:textId="2E477C3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CA3E4C" w14:paraId="3090C10A"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E4C" w14:paraId="182C76C3" w14:textId="1D06442E">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E1A008B"/>
    <w:multiLevelType w:val="hybridMultilevel"/>
    <w:tmpl w:val="1E805DC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F8B27A2"/>
    <w:multiLevelType w:val="hybridMultilevel"/>
    <w:tmpl w:val="75FCAB9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832"/>
    <w:rsid w:val="00005A77"/>
    <w:rsid w:val="00022CDA"/>
    <w:rsid w:val="001B11A3"/>
    <w:rsid w:val="001F649C"/>
    <w:rsid w:val="00276E07"/>
    <w:rsid w:val="003C0E4C"/>
    <w:rsid w:val="004071E7"/>
    <w:rsid w:val="004B2982"/>
    <w:rsid w:val="00573119"/>
    <w:rsid w:val="006411A6"/>
    <w:rsid w:val="0068146D"/>
    <w:rsid w:val="006C62D8"/>
    <w:rsid w:val="00790E10"/>
    <w:rsid w:val="007B7C41"/>
    <w:rsid w:val="0086433C"/>
    <w:rsid w:val="009B43C7"/>
    <w:rsid w:val="009F6FBF"/>
    <w:rsid w:val="00A25832"/>
    <w:rsid w:val="00A41402"/>
    <w:rsid w:val="00A647E8"/>
    <w:rsid w:val="00AE1728"/>
    <w:rsid w:val="00BD24BB"/>
    <w:rsid w:val="00BE1535"/>
    <w:rsid w:val="00C30B17"/>
    <w:rsid w:val="00CA3E4C"/>
    <w:rsid w:val="00D72C8F"/>
    <w:rsid w:val="00E96918"/>
    <w:rsid w:val="00EE08AA"/>
    <w:rsid w:val="00F037D5"/>
    <w:rsid w:val="00FC52D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2328A8"/>
  <w15:chartTrackingRefBased/>
  <w15:docId w15:val="{103E4CD9-BEAD-4B50-9EAA-FFD4983E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A25832"/>
  </w:style>
  <w:style w:type="paragraph" w:styleId="NoSpacing">
    <w:name w:val="No Spacing"/>
    <w:uiPriority w:val="1"/>
    <w:qFormat/>
    <w:rsid w:val="00A25832"/>
    <w:rPr>
      <w:sz w:val="22"/>
    </w:rPr>
  </w:style>
  <w:style w:type="paragraph" w:styleId="ListParagraph">
    <w:name w:val="List Paragraph"/>
    <w:basedOn w:val="Normal"/>
    <w:uiPriority w:val="34"/>
    <w:qFormat/>
    <w:rsid w:val="00A25832"/>
    <w:pPr>
      <w:ind w:left="720"/>
      <w:contextualSpacing/>
    </w:pPr>
  </w:style>
  <w:style w:type="paragraph" w:styleId="BalloonText">
    <w:name w:val="Balloon Text"/>
    <w:basedOn w:val="Normal"/>
    <w:link w:val="BalloonTextChar"/>
    <w:uiPriority w:val="99"/>
    <w:semiHidden/>
    <w:unhideWhenUsed/>
    <w:rsid w:val="003C0E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4C"/>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C0E4C"/>
    <w:rPr>
      <w:sz w:val="16"/>
      <w:szCs w:val="16"/>
    </w:rPr>
  </w:style>
  <w:style w:type="paragraph" w:styleId="CommentText">
    <w:name w:val="annotation text"/>
    <w:basedOn w:val="Normal"/>
    <w:link w:val="CommentTextChar"/>
    <w:uiPriority w:val="99"/>
    <w:semiHidden/>
    <w:unhideWhenUsed/>
    <w:rsid w:val="003C0E4C"/>
    <w:rPr>
      <w:sz w:val="20"/>
    </w:rPr>
  </w:style>
  <w:style w:type="character" w:customStyle="1" w:styleId="CommentTextChar">
    <w:name w:val="Comment Text Char"/>
    <w:basedOn w:val="DefaultParagraphFont"/>
    <w:link w:val="CommentText"/>
    <w:uiPriority w:val="99"/>
    <w:semiHidden/>
    <w:rsid w:val="003C0E4C"/>
    <w:rPr>
      <w:snapToGrid w:val="0"/>
      <w:kern w:val="28"/>
    </w:rPr>
  </w:style>
  <w:style w:type="paragraph" w:styleId="CommentSubject">
    <w:name w:val="annotation subject"/>
    <w:basedOn w:val="CommentText"/>
    <w:next w:val="CommentText"/>
    <w:link w:val="CommentSubjectChar"/>
    <w:uiPriority w:val="99"/>
    <w:semiHidden/>
    <w:unhideWhenUsed/>
    <w:rsid w:val="003C0E4C"/>
    <w:rPr>
      <w:b/>
      <w:bCs/>
    </w:rPr>
  </w:style>
  <w:style w:type="character" w:customStyle="1" w:styleId="CommentSubjectChar">
    <w:name w:val="Comment Subject Char"/>
    <w:basedOn w:val="CommentTextChar"/>
    <w:link w:val="CommentSubject"/>
    <w:uiPriority w:val="99"/>
    <w:semiHidden/>
    <w:rsid w:val="003C0E4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