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7CD94B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CE9E0C" w14:textId="77777777">
      <w:pPr>
        <w:pStyle w:val="StyleBoldCentered"/>
      </w:pPr>
      <w:r>
        <w:t>F</w:t>
      </w:r>
      <w:r>
        <w:rPr>
          <w:caps w:val="0"/>
        </w:rPr>
        <w:t>ederal Communications Commission</w:t>
      </w:r>
    </w:p>
    <w:p w:rsidR="004C2EE3" w:rsidP="00096D8C" w14:paraId="65921856" w14:textId="77777777">
      <w:pPr>
        <w:pStyle w:val="StyleBoldCentered"/>
      </w:pPr>
      <w:r>
        <w:rPr>
          <w:caps w:val="0"/>
        </w:rPr>
        <w:t>Washington, D.C. 20554</w:t>
      </w:r>
    </w:p>
    <w:p w:rsidR="004C2EE3" w:rsidP="0070224F" w14:paraId="30BC7D40" w14:textId="77777777"/>
    <w:p w:rsidR="004C2EE3" w:rsidP="0070224F" w14:paraId="4A1DCA34" w14:textId="77777777"/>
    <w:tbl>
      <w:tblPr>
        <w:tblW w:w="0" w:type="auto"/>
        <w:tblLayout w:type="fixed"/>
        <w:tblLook w:val="0000"/>
      </w:tblPr>
      <w:tblGrid>
        <w:gridCol w:w="4698"/>
        <w:gridCol w:w="630"/>
        <w:gridCol w:w="4248"/>
      </w:tblGrid>
      <w:tr w14:paraId="2755E571" w14:textId="77777777">
        <w:tblPrEx>
          <w:tblW w:w="0" w:type="auto"/>
          <w:tblLayout w:type="fixed"/>
          <w:tblLook w:val="0000"/>
        </w:tblPrEx>
        <w:tc>
          <w:tcPr>
            <w:tcW w:w="4698" w:type="dxa"/>
          </w:tcPr>
          <w:p w:rsidR="004C2EE3" w14:paraId="73E31171" w14:textId="77777777">
            <w:pPr>
              <w:tabs>
                <w:tab w:val="center" w:pos="4680"/>
              </w:tabs>
              <w:suppressAutoHyphens/>
              <w:rPr>
                <w:spacing w:val="-2"/>
              </w:rPr>
            </w:pPr>
            <w:bookmarkStart w:id="0" w:name="_Hlk74752287"/>
            <w:r>
              <w:rPr>
                <w:spacing w:val="-2"/>
              </w:rPr>
              <w:t>In the Matter of</w:t>
            </w:r>
          </w:p>
          <w:p w:rsidR="004C2EE3" w14:paraId="6921131C" w14:textId="77777777">
            <w:pPr>
              <w:tabs>
                <w:tab w:val="center" w:pos="4680"/>
              </w:tabs>
              <w:suppressAutoHyphens/>
              <w:rPr>
                <w:spacing w:val="-2"/>
              </w:rPr>
            </w:pPr>
          </w:p>
          <w:p w:rsidR="001B540E" w:rsidP="007115F7" w14:paraId="31A08B79" w14:textId="2B7A98E6">
            <w:pPr>
              <w:tabs>
                <w:tab w:val="center" w:pos="4680"/>
              </w:tabs>
              <w:suppressAutoHyphens/>
              <w:rPr>
                <w:spacing w:val="-2"/>
              </w:rPr>
            </w:pPr>
            <w:r>
              <w:rPr>
                <w:spacing w:val="-2"/>
              </w:rPr>
              <w:t xml:space="preserve">Applications of </w:t>
            </w:r>
            <w:r w:rsidRPr="00747144" w:rsidR="00747144">
              <w:rPr>
                <w:spacing w:val="-2"/>
              </w:rPr>
              <w:t>AT&amp;T Inc.</w:t>
            </w:r>
            <w:r w:rsidR="00CB40FA">
              <w:rPr>
                <w:spacing w:val="-2"/>
              </w:rPr>
              <w:t xml:space="preserve"> </w:t>
            </w:r>
          </w:p>
          <w:p w:rsidR="001B540E" w:rsidP="007115F7" w14:paraId="3E5298B3" w14:textId="5A40DD2E">
            <w:pPr>
              <w:tabs>
                <w:tab w:val="center" w:pos="4680"/>
              </w:tabs>
              <w:suppressAutoHyphens/>
              <w:rPr>
                <w:spacing w:val="-2"/>
              </w:rPr>
            </w:pPr>
            <w:r>
              <w:rPr>
                <w:spacing w:val="-2"/>
              </w:rPr>
              <w:t>(Transferor)</w:t>
            </w:r>
          </w:p>
          <w:p w:rsidR="001B540E" w:rsidP="007115F7" w14:paraId="05721FA5" w14:textId="77777777">
            <w:pPr>
              <w:tabs>
                <w:tab w:val="center" w:pos="4680"/>
              </w:tabs>
              <w:suppressAutoHyphens/>
              <w:rPr>
                <w:spacing w:val="-2"/>
              </w:rPr>
            </w:pPr>
          </w:p>
          <w:p w:rsidR="001B540E" w:rsidP="007115F7" w14:paraId="2D256AD7" w14:textId="77777777">
            <w:pPr>
              <w:tabs>
                <w:tab w:val="center" w:pos="4680"/>
              </w:tabs>
              <w:suppressAutoHyphens/>
              <w:rPr>
                <w:spacing w:val="-2"/>
              </w:rPr>
            </w:pPr>
            <w:r>
              <w:rPr>
                <w:spacing w:val="-2"/>
              </w:rPr>
              <w:t>and</w:t>
            </w:r>
            <w:r w:rsidRPr="00747144" w:rsidR="00747144">
              <w:rPr>
                <w:spacing w:val="-2"/>
              </w:rPr>
              <w:t xml:space="preserve"> </w:t>
            </w:r>
          </w:p>
          <w:p w:rsidR="001B540E" w:rsidP="007115F7" w14:paraId="4F5FFA21" w14:textId="77777777">
            <w:pPr>
              <w:tabs>
                <w:tab w:val="center" w:pos="4680"/>
              </w:tabs>
              <w:suppressAutoHyphens/>
              <w:rPr>
                <w:spacing w:val="-2"/>
              </w:rPr>
            </w:pPr>
          </w:p>
          <w:p w:rsidR="001B540E" w:rsidP="007115F7" w14:paraId="4C0B3B89" w14:textId="77777777">
            <w:pPr>
              <w:tabs>
                <w:tab w:val="center" w:pos="4680"/>
              </w:tabs>
              <w:suppressAutoHyphens/>
              <w:rPr>
                <w:spacing w:val="-2"/>
              </w:rPr>
            </w:pPr>
            <w:r w:rsidRPr="001B540E">
              <w:rPr>
                <w:spacing w:val="-2"/>
              </w:rPr>
              <w:t>DIRECTV Entertainment Holdings LLC</w:t>
            </w:r>
          </w:p>
          <w:p w:rsidR="001B540E" w:rsidP="007115F7" w14:paraId="6D923348" w14:textId="6592F55E">
            <w:pPr>
              <w:tabs>
                <w:tab w:val="center" w:pos="4680"/>
              </w:tabs>
              <w:suppressAutoHyphens/>
              <w:rPr>
                <w:spacing w:val="-2"/>
              </w:rPr>
            </w:pPr>
            <w:r>
              <w:rPr>
                <w:spacing w:val="-2"/>
              </w:rPr>
              <w:t>(Transferee)</w:t>
            </w:r>
          </w:p>
          <w:p w:rsidR="001B540E" w:rsidP="007115F7" w14:paraId="51DC0777" w14:textId="011744CA">
            <w:pPr>
              <w:tabs>
                <w:tab w:val="center" w:pos="4680"/>
              </w:tabs>
              <w:suppressAutoHyphens/>
              <w:rPr>
                <w:spacing w:val="-2"/>
              </w:rPr>
            </w:pPr>
          </w:p>
          <w:p w:rsidR="005D67FD" w:rsidP="007115F7" w14:paraId="1AF60707" w14:textId="41DDB9A5">
            <w:pPr>
              <w:tabs>
                <w:tab w:val="center" w:pos="4680"/>
              </w:tabs>
              <w:suppressAutoHyphens/>
              <w:rPr>
                <w:spacing w:val="-2"/>
              </w:rPr>
            </w:pPr>
            <w:r>
              <w:rPr>
                <w:spacing w:val="-2"/>
              </w:rPr>
              <w:t>F</w:t>
            </w:r>
            <w:r w:rsidRPr="00747144">
              <w:rPr>
                <w:spacing w:val="-2"/>
              </w:rPr>
              <w:t>or Transfer</w:t>
            </w:r>
            <w:r>
              <w:rPr>
                <w:spacing w:val="-2"/>
              </w:rPr>
              <w:t xml:space="preserve"> of</w:t>
            </w:r>
            <w:r w:rsidRPr="00747144">
              <w:rPr>
                <w:spacing w:val="-2"/>
              </w:rPr>
              <w:t xml:space="preserve"> </w:t>
            </w:r>
            <w:r>
              <w:rPr>
                <w:spacing w:val="-2"/>
              </w:rPr>
              <w:t xml:space="preserve">Control of </w:t>
            </w:r>
            <w:r w:rsidRPr="001B540E">
              <w:rPr>
                <w:spacing w:val="-2"/>
              </w:rPr>
              <w:t>DIRECTV Enterprises, LLC</w:t>
            </w:r>
          </w:p>
          <w:p w:rsidR="005D67FD" w:rsidRPr="007115F7" w:rsidP="007115F7" w14:paraId="34E70B24" w14:textId="6FB557CB">
            <w:pPr>
              <w:tabs>
                <w:tab w:val="center" w:pos="4680"/>
              </w:tabs>
              <w:suppressAutoHyphens/>
              <w:rPr>
                <w:spacing w:val="-2"/>
              </w:rPr>
            </w:pPr>
          </w:p>
        </w:tc>
        <w:tc>
          <w:tcPr>
            <w:tcW w:w="630" w:type="dxa"/>
          </w:tcPr>
          <w:p w:rsidR="004C2EE3" w14:paraId="1EA3221F" w14:textId="77777777">
            <w:pPr>
              <w:tabs>
                <w:tab w:val="center" w:pos="4680"/>
              </w:tabs>
              <w:suppressAutoHyphens/>
              <w:rPr>
                <w:b/>
                <w:spacing w:val="-2"/>
              </w:rPr>
            </w:pPr>
            <w:r>
              <w:rPr>
                <w:b/>
                <w:spacing w:val="-2"/>
              </w:rPr>
              <w:t>)</w:t>
            </w:r>
          </w:p>
          <w:p w:rsidR="004C2EE3" w14:paraId="7360C205" w14:textId="77777777">
            <w:pPr>
              <w:tabs>
                <w:tab w:val="center" w:pos="4680"/>
              </w:tabs>
              <w:suppressAutoHyphens/>
              <w:rPr>
                <w:b/>
                <w:spacing w:val="-2"/>
              </w:rPr>
            </w:pPr>
            <w:r>
              <w:rPr>
                <w:b/>
                <w:spacing w:val="-2"/>
              </w:rPr>
              <w:t>)</w:t>
            </w:r>
          </w:p>
          <w:p w:rsidR="004C2EE3" w14:paraId="620033F3" w14:textId="77777777">
            <w:pPr>
              <w:tabs>
                <w:tab w:val="center" w:pos="4680"/>
              </w:tabs>
              <w:suppressAutoHyphens/>
              <w:rPr>
                <w:b/>
                <w:spacing w:val="-2"/>
              </w:rPr>
            </w:pPr>
            <w:r>
              <w:rPr>
                <w:b/>
                <w:spacing w:val="-2"/>
              </w:rPr>
              <w:t>)</w:t>
            </w:r>
          </w:p>
          <w:p w:rsidR="004C2EE3" w14:paraId="3CD5CE1D" w14:textId="77777777">
            <w:pPr>
              <w:tabs>
                <w:tab w:val="center" w:pos="4680"/>
              </w:tabs>
              <w:suppressAutoHyphens/>
              <w:rPr>
                <w:b/>
                <w:spacing w:val="-2"/>
              </w:rPr>
            </w:pPr>
            <w:r>
              <w:rPr>
                <w:b/>
                <w:spacing w:val="-2"/>
              </w:rPr>
              <w:t>)</w:t>
            </w:r>
          </w:p>
          <w:p w:rsidR="004C2EE3" w14:paraId="71510A65" w14:textId="77777777">
            <w:pPr>
              <w:tabs>
                <w:tab w:val="center" w:pos="4680"/>
              </w:tabs>
              <w:suppressAutoHyphens/>
              <w:rPr>
                <w:b/>
                <w:spacing w:val="-2"/>
              </w:rPr>
            </w:pPr>
            <w:r>
              <w:rPr>
                <w:b/>
                <w:spacing w:val="-2"/>
              </w:rPr>
              <w:t>)</w:t>
            </w:r>
          </w:p>
          <w:p w:rsidR="004C2EE3" w14:paraId="4D08B90E" w14:textId="77777777">
            <w:pPr>
              <w:tabs>
                <w:tab w:val="center" w:pos="4680"/>
              </w:tabs>
              <w:suppressAutoHyphens/>
              <w:rPr>
                <w:b/>
                <w:spacing w:val="-2"/>
              </w:rPr>
            </w:pPr>
            <w:r>
              <w:rPr>
                <w:b/>
                <w:spacing w:val="-2"/>
              </w:rPr>
              <w:t>)</w:t>
            </w:r>
          </w:p>
          <w:p w:rsidR="004C2EE3" w14:paraId="62B02B5F" w14:textId="77777777">
            <w:pPr>
              <w:tabs>
                <w:tab w:val="center" w:pos="4680"/>
              </w:tabs>
              <w:suppressAutoHyphens/>
              <w:rPr>
                <w:b/>
                <w:spacing w:val="-2"/>
              </w:rPr>
            </w:pPr>
            <w:r>
              <w:rPr>
                <w:b/>
                <w:spacing w:val="-2"/>
              </w:rPr>
              <w:t>)</w:t>
            </w:r>
          </w:p>
          <w:p w:rsidR="004C2EE3" w:rsidP="00747144" w14:paraId="09C51A65" w14:textId="77777777">
            <w:pPr>
              <w:tabs>
                <w:tab w:val="center" w:pos="4680"/>
              </w:tabs>
              <w:suppressAutoHyphens/>
              <w:rPr>
                <w:b/>
                <w:spacing w:val="-2"/>
              </w:rPr>
            </w:pPr>
            <w:r>
              <w:rPr>
                <w:b/>
                <w:spacing w:val="-2"/>
              </w:rPr>
              <w:t>)</w:t>
            </w:r>
          </w:p>
          <w:p w:rsidR="00B47608" w:rsidP="00747144" w14:paraId="2B43A30E" w14:textId="77777777">
            <w:pPr>
              <w:tabs>
                <w:tab w:val="center" w:pos="4680"/>
              </w:tabs>
              <w:suppressAutoHyphens/>
              <w:rPr>
                <w:b/>
                <w:spacing w:val="-2"/>
              </w:rPr>
            </w:pPr>
            <w:r>
              <w:rPr>
                <w:b/>
                <w:spacing w:val="-2"/>
              </w:rPr>
              <w:t>)</w:t>
            </w:r>
          </w:p>
          <w:p w:rsidR="00B47608" w:rsidP="00747144" w14:paraId="1EAF7F02" w14:textId="77777777">
            <w:pPr>
              <w:tabs>
                <w:tab w:val="center" w:pos="4680"/>
              </w:tabs>
              <w:suppressAutoHyphens/>
              <w:rPr>
                <w:b/>
                <w:spacing w:val="-2"/>
              </w:rPr>
            </w:pPr>
            <w:r>
              <w:rPr>
                <w:b/>
                <w:spacing w:val="-2"/>
              </w:rPr>
              <w:t>)</w:t>
            </w:r>
          </w:p>
          <w:p w:rsidR="00B47608" w:rsidRPr="006D238A" w:rsidP="00747144" w14:paraId="6B43E03D" w14:textId="77777777">
            <w:pPr>
              <w:tabs>
                <w:tab w:val="center" w:pos="4680"/>
              </w:tabs>
              <w:suppressAutoHyphens/>
              <w:rPr>
                <w:b/>
                <w:bCs/>
                <w:spacing w:val="-2"/>
              </w:rPr>
            </w:pPr>
            <w:r w:rsidRPr="006D238A">
              <w:rPr>
                <w:b/>
                <w:bCs/>
                <w:spacing w:val="-2"/>
              </w:rPr>
              <w:t>)</w:t>
            </w:r>
          </w:p>
          <w:p w:rsidR="006D238A" w:rsidRPr="006D238A" w:rsidP="00747144" w14:paraId="1B17E5EE" w14:textId="25FE7E12">
            <w:pPr>
              <w:tabs>
                <w:tab w:val="center" w:pos="4680"/>
              </w:tabs>
              <w:suppressAutoHyphens/>
              <w:rPr>
                <w:b/>
                <w:bCs/>
                <w:spacing w:val="-2"/>
              </w:rPr>
            </w:pPr>
            <w:r w:rsidRPr="006D238A">
              <w:rPr>
                <w:b/>
                <w:bCs/>
                <w:spacing w:val="-2"/>
              </w:rPr>
              <w:t>)</w:t>
            </w:r>
          </w:p>
        </w:tc>
        <w:tc>
          <w:tcPr>
            <w:tcW w:w="4248" w:type="dxa"/>
          </w:tcPr>
          <w:p w:rsidR="004C2EE3" w14:paraId="7EDC948E" w14:textId="77777777">
            <w:pPr>
              <w:tabs>
                <w:tab w:val="center" w:pos="4680"/>
              </w:tabs>
              <w:suppressAutoHyphens/>
              <w:rPr>
                <w:spacing w:val="-2"/>
              </w:rPr>
            </w:pPr>
          </w:p>
          <w:p w:rsidR="004C2EE3" w14:paraId="6F3BF528" w14:textId="77777777">
            <w:pPr>
              <w:pStyle w:val="TOAHeading"/>
              <w:tabs>
                <w:tab w:val="center" w:pos="4680"/>
                <w:tab w:val="clear" w:pos="9360"/>
              </w:tabs>
              <w:rPr>
                <w:spacing w:val="-2"/>
              </w:rPr>
            </w:pPr>
          </w:p>
          <w:p w:rsidR="00747144" w:rsidRPr="00747144" w:rsidP="00CA67E9" w14:paraId="140CA2A8" w14:textId="367D5A41">
            <w:pPr>
              <w:pStyle w:val="TOAHeading"/>
              <w:tabs>
                <w:tab w:val="center" w:pos="4680"/>
              </w:tabs>
              <w:ind w:left="1410" w:hanging="1410"/>
              <w:rPr>
                <w:spacing w:val="-2"/>
              </w:rPr>
            </w:pPr>
            <w:r>
              <w:rPr>
                <w:spacing w:val="-2"/>
              </w:rPr>
              <w:t xml:space="preserve">IBFS Files Nos. </w:t>
            </w:r>
            <w:r w:rsidRPr="00747144">
              <w:rPr>
                <w:spacing w:val="-2"/>
              </w:rPr>
              <w:t>SAT-T/C-20210322-00037</w:t>
            </w:r>
          </w:p>
          <w:p w:rsidR="00747144" w:rsidRPr="00747144" w:rsidP="00CA67E9" w14:paraId="43C8C90B" w14:textId="30FDDC33">
            <w:pPr>
              <w:pStyle w:val="TOAHeading"/>
              <w:tabs>
                <w:tab w:val="center" w:pos="4680"/>
              </w:tabs>
              <w:ind w:left="1410" w:hanging="1410"/>
              <w:rPr>
                <w:spacing w:val="-2"/>
              </w:rPr>
            </w:pPr>
            <w:r>
              <w:rPr>
                <w:spacing w:val="-2"/>
              </w:rPr>
              <w:tab/>
            </w:r>
            <w:r w:rsidRPr="00747144">
              <w:rPr>
                <w:spacing w:val="-2"/>
              </w:rPr>
              <w:t>SAT-T/C-20210322-00038</w:t>
            </w:r>
          </w:p>
          <w:p w:rsidR="00CA67E9" w:rsidP="00CA67E9" w14:paraId="4AE39ED1" w14:textId="2B0D42B2">
            <w:pPr>
              <w:pStyle w:val="TOAHeading"/>
              <w:tabs>
                <w:tab w:val="center" w:pos="4680"/>
              </w:tabs>
              <w:ind w:left="1410" w:hanging="1410"/>
              <w:rPr>
                <w:spacing w:val="-2"/>
              </w:rPr>
            </w:pPr>
            <w:r>
              <w:rPr>
                <w:spacing w:val="-2"/>
              </w:rPr>
              <w:tab/>
            </w:r>
            <w:r w:rsidRPr="00CA67E9">
              <w:rPr>
                <w:spacing w:val="-2"/>
              </w:rPr>
              <w:t>SAT-AMD-20210422-00053</w:t>
            </w:r>
          </w:p>
          <w:p w:rsidR="00CA67E9" w:rsidP="00CA67E9" w14:paraId="41F7E941" w14:textId="12882284">
            <w:pPr>
              <w:pStyle w:val="TOAHeading"/>
              <w:tabs>
                <w:tab w:val="center" w:pos="4680"/>
              </w:tabs>
              <w:ind w:left="1410" w:hanging="1410"/>
              <w:rPr>
                <w:spacing w:val="-2"/>
              </w:rPr>
            </w:pPr>
            <w:r>
              <w:rPr>
                <w:spacing w:val="-2"/>
              </w:rPr>
              <w:tab/>
            </w:r>
            <w:r w:rsidRPr="00CA67E9">
              <w:rPr>
                <w:spacing w:val="-2"/>
              </w:rPr>
              <w:t>SAT-AMD-20210422-00054</w:t>
            </w:r>
          </w:p>
          <w:p w:rsidR="00747144" w:rsidRPr="00747144" w:rsidP="00CA67E9" w14:paraId="08D585D0" w14:textId="0BA0D249">
            <w:pPr>
              <w:pStyle w:val="TOAHeading"/>
              <w:tabs>
                <w:tab w:val="center" w:pos="4680"/>
              </w:tabs>
              <w:ind w:left="1410" w:hanging="1410"/>
              <w:rPr>
                <w:spacing w:val="-2"/>
              </w:rPr>
            </w:pPr>
            <w:r>
              <w:rPr>
                <w:spacing w:val="-2"/>
              </w:rPr>
              <w:tab/>
            </w:r>
            <w:r w:rsidRPr="00747144">
              <w:rPr>
                <w:spacing w:val="-2"/>
              </w:rPr>
              <w:t>SES-T/C-20210322-00546</w:t>
            </w:r>
          </w:p>
          <w:p w:rsidR="00747144" w:rsidP="00CA67E9" w14:paraId="027B35BD" w14:textId="6CBE2300">
            <w:pPr>
              <w:pStyle w:val="TOAHeading"/>
              <w:tabs>
                <w:tab w:val="center" w:pos="4680"/>
              </w:tabs>
              <w:ind w:left="1410" w:hanging="1410"/>
              <w:rPr>
                <w:spacing w:val="-2"/>
              </w:rPr>
            </w:pPr>
            <w:r>
              <w:rPr>
                <w:spacing w:val="-2"/>
              </w:rPr>
              <w:tab/>
            </w:r>
            <w:r w:rsidRPr="00747144">
              <w:rPr>
                <w:spacing w:val="-2"/>
              </w:rPr>
              <w:t>SES-T/C-20210322-00547</w:t>
            </w:r>
          </w:p>
          <w:p w:rsidR="00CA67E9" w:rsidP="00CA67E9" w14:paraId="5551B61D" w14:textId="33AFF411">
            <w:pPr>
              <w:ind w:left="1410" w:hanging="1410"/>
            </w:pPr>
            <w:r>
              <w:tab/>
            </w:r>
            <w:r w:rsidRPr="00CA67E9">
              <w:t>SES-AMD-20210428-00741</w:t>
            </w:r>
          </w:p>
          <w:p w:rsidR="004C2EE3" w:rsidP="00CB40FA" w14:paraId="03AF8A18" w14:textId="77777777">
            <w:pPr>
              <w:ind w:left="1410" w:hanging="1410"/>
            </w:pPr>
            <w:r>
              <w:tab/>
            </w:r>
            <w:r w:rsidRPr="00CA67E9">
              <w:t>SES-AMD-20210428-00742</w:t>
            </w:r>
          </w:p>
          <w:p w:rsidR="006D238A" w:rsidP="00CB40FA" w14:paraId="4DA1757C" w14:textId="77777777">
            <w:pPr>
              <w:ind w:left="1410" w:hanging="1410"/>
            </w:pPr>
          </w:p>
          <w:p w:rsidR="006D238A" w:rsidP="00CB40FA" w14:paraId="11FF986E" w14:textId="15877F0B">
            <w:pPr>
              <w:ind w:left="1410" w:hanging="1410"/>
            </w:pPr>
            <w:r w:rsidRPr="00747144">
              <w:rPr>
                <w:spacing w:val="-2"/>
              </w:rPr>
              <w:t xml:space="preserve">ULS File No. </w:t>
            </w:r>
            <w:r>
              <w:rPr>
                <w:spacing w:val="-2"/>
              </w:rPr>
              <w:tab/>
            </w:r>
            <w:r w:rsidRPr="00747144">
              <w:rPr>
                <w:spacing w:val="-2"/>
              </w:rPr>
              <w:t>0009450204</w:t>
            </w:r>
          </w:p>
          <w:p w:rsidR="006D238A" w:rsidP="00CB40FA" w14:paraId="6A38FD2F" w14:textId="4624EF5D">
            <w:pPr>
              <w:ind w:left="1410" w:hanging="1410"/>
              <w:rPr>
                <w:spacing w:val="-2"/>
              </w:rPr>
            </w:pPr>
          </w:p>
        </w:tc>
      </w:tr>
    </w:tbl>
    <w:bookmarkEnd w:id="0"/>
    <w:p w:rsidR="00841AB1" w:rsidP="00F021FA" w14:paraId="072CDD46" w14:textId="0FA14B39">
      <w:pPr>
        <w:pStyle w:val="StyleBoldCentered"/>
      </w:pPr>
      <w:r>
        <w:t>MEMORANDUM OPINION AND ORDER</w:t>
      </w:r>
    </w:p>
    <w:p w:rsidR="004C2EE3" w14:paraId="5F3170D6" w14:textId="77777777">
      <w:pPr>
        <w:tabs>
          <w:tab w:val="left" w:pos="-720"/>
        </w:tabs>
        <w:suppressAutoHyphens/>
        <w:spacing w:line="227" w:lineRule="auto"/>
        <w:rPr>
          <w:spacing w:val="-2"/>
        </w:rPr>
      </w:pPr>
    </w:p>
    <w:p w:rsidR="004C2EE3" w:rsidP="00133F79" w14:paraId="06C2BA9B" w14:textId="25660B3A">
      <w:pPr>
        <w:tabs>
          <w:tab w:val="left" w:pos="720"/>
          <w:tab w:val="right" w:pos="9360"/>
        </w:tabs>
        <w:suppressAutoHyphens/>
        <w:spacing w:line="227" w:lineRule="auto"/>
        <w:rPr>
          <w:spacing w:val="-2"/>
        </w:rPr>
      </w:pPr>
      <w:r>
        <w:rPr>
          <w:b/>
          <w:spacing w:val="-2"/>
        </w:rPr>
        <w:t xml:space="preserve">Adopted:  </w:t>
      </w:r>
      <w:r w:rsidR="00630AF3">
        <w:rPr>
          <w:b/>
          <w:spacing w:val="-2"/>
        </w:rPr>
        <w:t>July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0AF3">
        <w:rPr>
          <w:b/>
          <w:spacing w:val="-2"/>
        </w:rPr>
        <w:t>July 16, 2021</w:t>
      </w:r>
    </w:p>
    <w:p w:rsidR="00822CE0" w14:paraId="777D7F42" w14:textId="77777777"/>
    <w:p w:rsidR="004C2EE3" w14:paraId="2487F499" w14:textId="72931F0B">
      <w:pPr>
        <w:rPr>
          <w:spacing w:val="-2"/>
        </w:rPr>
      </w:pPr>
      <w:r>
        <w:t xml:space="preserve">By </w:t>
      </w:r>
      <w:r w:rsidR="004E4A22">
        <w:t>the</w:t>
      </w:r>
      <w:r w:rsidR="002A2D2E">
        <w:t xml:space="preserve"> </w:t>
      </w:r>
      <w:r w:rsidR="000F2EFA">
        <w:rPr>
          <w:spacing w:val="-2"/>
        </w:rPr>
        <w:t>Chief, International Bureau</w:t>
      </w:r>
      <w:r w:rsidR="00BD6119">
        <w:rPr>
          <w:spacing w:val="-2"/>
        </w:rPr>
        <w:t>;</w:t>
      </w:r>
      <w:r w:rsidR="00857BFD">
        <w:rPr>
          <w:spacing w:val="-2"/>
        </w:rPr>
        <w:t xml:space="preserve"> </w:t>
      </w:r>
      <w:r w:rsidR="00BD6119">
        <w:rPr>
          <w:spacing w:val="-2"/>
        </w:rPr>
        <w:t xml:space="preserve">Acting Chief, </w:t>
      </w:r>
      <w:r w:rsidR="00857BFD">
        <w:rPr>
          <w:spacing w:val="-2"/>
        </w:rPr>
        <w:t>Wireless Telecommunications Bureau</w:t>
      </w:r>
      <w:r>
        <w:rPr>
          <w:spacing w:val="-2"/>
        </w:rPr>
        <w:t>:</w:t>
      </w:r>
    </w:p>
    <w:p w:rsidR="00822CE0" w14:paraId="0EBF6189" w14:textId="77777777">
      <w:pPr>
        <w:rPr>
          <w:spacing w:val="-2"/>
        </w:rPr>
      </w:pPr>
    </w:p>
    <w:p w:rsidR="00412FC5" w:rsidP="00C36B4C" w14:paraId="5F0D70FA" w14:textId="4BCBD335">
      <w:pPr>
        <w:pStyle w:val="Heading1"/>
      </w:pPr>
      <w:r>
        <w:t>INTRODUCTION</w:t>
      </w:r>
    </w:p>
    <w:p w:rsidR="000F2EFA" w:rsidP="00B84D61" w14:paraId="65726C9F" w14:textId="375BC7B8">
      <w:pPr>
        <w:pStyle w:val="ParaNum"/>
        <w:tabs>
          <w:tab w:val="left" w:pos="4617"/>
        </w:tabs>
      </w:pPr>
      <w:r>
        <w:t xml:space="preserve">In this </w:t>
      </w:r>
      <w:r w:rsidR="00B75167">
        <w:t>O</w:t>
      </w:r>
      <w:r w:rsidR="008833BF">
        <w:t>rder,</w:t>
      </w:r>
      <w:r>
        <w:t xml:space="preserve"> </w:t>
      </w:r>
      <w:r w:rsidR="00843A8C">
        <w:t xml:space="preserve">pursuant to section 310(d) of the Communications Act of 1934, as amended (the Act), </w:t>
      </w:r>
      <w:r>
        <w:t xml:space="preserve">we </w:t>
      </w:r>
      <w:r w:rsidR="008833BF">
        <w:t>grant</w:t>
      </w:r>
      <w:r>
        <w:t xml:space="preserve"> the applications of AT&amp;T Inc. (AT&amp;T)</w:t>
      </w:r>
      <w:r w:rsidR="00A25438">
        <w:t xml:space="preserve"> and</w:t>
      </w:r>
      <w:r>
        <w:t xml:space="preserve"> </w:t>
      </w:r>
      <w:r w:rsidR="00B47608">
        <w:t>TPG</w:t>
      </w:r>
      <w:r w:rsidR="0064525F">
        <w:t xml:space="preserve"> Capital (TPG)</w:t>
      </w:r>
      <w:r w:rsidR="006934B5">
        <w:t>, an investment management firm</w:t>
      </w:r>
      <w:r w:rsidR="00EE2E60">
        <w:t>,</w:t>
      </w:r>
      <w:r w:rsidR="00B47608">
        <w:t xml:space="preserve"> </w:t>
      </w:r>
      <w:r>
        <w:t xml:space="preserve">(collectively, the Applicants) for consent to the transfer of control of Commission licenses from AT&amp;T </w:t>
      </w:r>
      <w:r w:rsidR="00B47608">
        <w:t>to</w:t>
      </w:r>
      <w:r w:rsidR="00A25438">
        <w:t xml:space="preserve"> </w:t>
      </w:r>
      <w:r w:rsidRPr="00B47608" w:rsidR="00A25438">
        <w:t>DIRECTV Entertainment Holdings LLC</w:t>
      </w:r>
      <w:r w:rsidR="00A25438">
        <w:t xml:space="preserve"> (New DIRECTV)</w:t>
      </w:r>
      <w:r w:rsidR="00DD2497">
        <w:t xml:space="preserve">, </w:t>
      </w:r>
      <w:r w:rsidR="006934B5">
        <w:t xml:space="preserve">which will be </w:t>
      </w:r>
      <w:r w:rsidR="00DD2497">
        <w:t xml:space="preserve">jointly </w:t>
      </w:r>
      <w:r w:rsidR="006934B5">
        <w:t xml:space="preserve">managed </w:t>
      </w:r>
      <w:r w:rsidR="00DD2497">
        <w:t xml:space="preserve">by </w:t>
      </w:r>
      <w:r w:rsidR="00C1672E">
        <w:t>the Applicants</w:t>
      </w:r>
      <w:r>
        <w:t>.</w:t>
      </w:r>
      <w:r>
        <w:rPr>
          <w:rStyle w:val="FootnoteReference"/>
        </w:rPr>
        <w:footnoteReference w:id="3"/>
      </w:r>
      <w:r w:rsidR="000C4158">
        <w:t xml:space="preserve">  </w:t>
      </w:r>
      <w:r w:rsidR="000C1AC0">
        <w:t>As discussed below, AT</w:t>
      </w:r>
      <w:r w:rsidR="00D238F7">
        <w:t>&amp;</w:t>
      </w:r>
      <w:r w:rsidR="000C1AC0">
        <w:t>T will own 70% of the stock</w:t>
      </w:r>
      <w:r w:rsidR="009B1281">
        <w:t xml:space="preserve"> of the new company</w:t>
      </w:r>
      <w:r w:rsidR="000C1AC0">
        <w:t>, with TPG</w:t>
      </w:r>
      <w:r w:rsidR="006934B5">
        <w:t xml:space="preserve"> </w:t>
      </w:r>
      <w:r w:rsidR="000C1AC0">
        <w:t xml:space="preserve">receiving 30% in exchange for its </w:t>
      </w:r>
      <w:r w:rsidR="009B1281">
        <w:t xml:space="preserve">cash </w:t>
      </w:r>
      <w:r w:rsidR="000C1AC0">
        <w:t xml:space="preserve">investment of </w:t>
      </w:r>
      <w:r w:rsidR="009B1281">
        <w:t xml:space="preserve">$1.8 billion; TPG will also </w:t>
      </w:r>
      <w:r w:rsidR="006934B5">
        <w:t>be able to appoint four of the nine board members of the new company</w:t>
      </w:r>
      <w:r w:rsidR="009B1281">
        <w:t xml:space="preserve">. </w:t>
      </w:r>
      <w:r w:rsidR="00A06E6A">
        <w:t xml:space="preserve"> </w:t>
      </w:r>
      <w:r w:rsidR="00350D9F">
        <w:t xml:space="preserve">Given the recent divestiture of </w:t>
      </w:r>
      <w:r w:rsidR="007045F0">
        <w:t>media</w:t>
      </w:r>
      <w:r w:rsidR="00350D9F">
        <w:t xml:space="preserve"> assets by TPG</w:t>
      </w:r>
      <w:r w:rsidR="00641670">
        <w:t>, after which it</w:t>
      </w:r>
      <w:r w:rsidRPr="00641670" w:rsidR="00641670">
        <w:t xml:space="preserve"> no longer owns any significant interests in video programming or distribution </w:t>
      </w:r>
      <w:r w:rsidR="00641670">
        <w:t xml:space="preserve">businesses, and </w:t>
      </w:r>
      <w:r w:rsidR="00350D9F">
        <w:t>the record</w:t>
      </w:r>
      <w:r w:rsidR="007045F0">
        <w:t xml:space="preserve"> established in this proceeding</w:t>
      </w:r>
      <w:r w:rsidR="00350D9F">
        <w:t xml:space="preserve">, we </w:t>
      </w:r>
      <w:r w:rsidR="009B1281">
        <w:t xml:space="preserve">find no </w:t>
      </w:r>
      <w:r w:rsidR="00EB3E70">
        <w:t xml:space="preserve">adverse effect on market concentration or </w:t>
      </w:r>
      <w:r w:rsidR="009B1281">
        <w:t>likely competitive or public interest harms</w:t>
      </w:r>
      <w:r w:rsidR="00EB3E70">
        <w:t>.  Rather, the Applicants conten</w:t>
      </w:r>
      <w:r w:rsidR="00610D76">
        <w:t>d</w:t>
      </w:r>
      <w:r w:rsidR="00EB3E70">
        <w:t xml:space="preserve"> that the significant new investment will enhance the company’s ability to provide existing and new competitive services to the public.  As discussed below, we </w:t>
      </w:r>
      <w:r w:rsidR="009B1281">
        <w:t xml:space="preserve">find that </w:t>
      </w:r>
      <w:r w:rsidR="006934B5">
        <w:t xml:space="preserve">approving the proposed transaction </w:t>
      </w:r>
      <w:r w:rsidR="009B1281">
        <w:t>serve</w:t>
      </w:r>
      <w:r w:rsidR="006934B5">
        <w:t>s</w:t>
      </w:r>
      <w:r w:rsidR="009B1281">
        <w:t xml:space="preserve"> the public interest.</w:t>
      </w:r>
    </w:p>
    <w:p w:rsidR="00BC491A" w:rsidP="00BC491A" w14:paraId="6C7DBF83" w14:textId="54083B93">
      <w:pPr>
        <w:pStyle w:val="Heading1"/>
      </w:pPr>
      <w:r>
        <w:t>BACKGROUND</w:t>
      </w:r>
    </w:p>
    <w:p w:rsidR="00BC491A" w:rsidRPr="00907884" w:rsidP="00BC491A" w14:paraId="12EFCE7A" w14:textId="10CC51B3">
      <w:pPr>
        <w:pStyle w:val="Heading2"/>
      </w:pPr>
      <w:r>
        <w:t>Description of the Applicants</w:t>
      </w:r>
    </w:p>
    <w:p w:rsidR="00262FCB" w:rsidP="0029539C" w14:paraId="53EB893F" w14:textId="0B75978E">
      <w:pPr>
        <w:pStyle w:val="ParaNum"/>
        <w:widowControl/>
      </w:pPr>
      <w:r>
        <w:t xml:space="preserve">AT&amp;T is a </w:t>
      </w:r>
      <w:r w:rsidR="00CE431A">
        <w:t>global</w:t>
      </w:r>
      <w:r w:rsidR="00C302A0">
        <w:t xml:space="preserve"> </w:t>
      </w:r>
      <w:r w:rsidR="00CE431A">
        <w:t xml:space="preserve">provider in </w:t>
      </w:r>
      <w:r>
        <w:t>telecommunications, media and entertainment, and technology</w:t>
      </w:r>
      <w:r w:rsidRPr="000C4158">
        <w:t>.</w:t>
      </w:r>
      <w:r>
        <w:rPr>
          <w:rStyle w:val="FootnoteReference"/>
        </w:rPr>
        <w:footnoteReference w:id="4"/>
      </w:r>
      <w:r w:rsidRPr="000C4158">
        <w:t xml:space="preserve"> </w:t>
      </w:r>
      <w:r w:rsidR="00C302A0">
        <w:t xml:space="preserve"> </w:t>
      </w:r>
      <w:r w:rsidR="00843A8C">
        <w:t>AT&amp;T reports that in 2020, it had almost 5 million fiber broadband connections</w:t>
      </w:r>
      <w:r w:rsidR="003A23A0">
        <w:t>, over 6 million retail voice connections</w:t>
      </w:r>
      <w:r w:rsidR="00843A8C">
        <w:t xml:space="preserve"> and served over 180 million wireless </w:t>
      </w:r>
      <w:r>
        <w:t>subscribers</w:t>
      </w:r>
      <w:r w:rsidR="00843A8C">
        <w:t>.</w:t>
      </w:r>
      <w:r>
        <w:rPr>
          <w:rStyle w:val="FootnoteReference"/>
        </w:rPr>
        <w:footnoteReference w:id="5"/>
      </w:r>
    </w:p>
    <w:p w:rsidR="000C4158" w:rsidP="00294853" w14:paraId="5D6E0915" w14:textId="14A2A183">
      <w:pPr>
        <w:pStyle w:val="ParaNum"/>
        <w:widowControl/>
      </w:pPr>
      <w:r>
        <w:t xml:space="preserve">DIRECTV </w:t>
      </w:r>
      <w:r>
        <w:rPr>
          <w:rFonts w:ascii="TimesNewRomanPSMT" w:hAnsi="TimesNewRomanPSMT" w:cs="TimesNewRomanPSMT"/>
          <w:snapToGrid/>
          <w:kern w:val="0"/>
          <w:szCs w:val="22"/>
        </w:rPr>
        <w:t xml:space="preserve">offers direct-to-home satellite digital television services to consumers, and U-Verse </w:t>
      </w:r>
      <w:r w:rsidR="00496AB0">
        <w:rPr>
          <w:rFonts w:ascii="TimesNewRomanPSMT" w:hAnsi="TimesNewRomanPSMT" w:cs="TimesNewRomanPSMT"/>
          <w:snapToGrid/>
          <w:kern w:val="0"/>
          <w:szCs w:val="22"/>
        </w:rPr>
        <w:t>offer</w:t>
      </w:r>
      <w:r w:rsidR="003A23A0">
        <w:rPr>
          <w:rFonts w:ascii="TimesNewRomanPSMT" w:hAnsi="TimesNewRomanPSMT" w:cs="TimesNewRomanPSMT"/>
          <w:snapToGrid/>
          <w:kern w:val="0"/>
          <w:szCs w:val="22"/>
        </w:rPr>
        <w:t>s</w:t>
      </w:r>
      <w:r w:rsidR="00496AB0">
        <w:rPr>
          <w:rFonts w:ascii="TimesNewRomanPSMT" w:hAnsi="TimesNewRomanPSMT" w:cs="TimesNewRomanPSMT"/>
          <w:snapToGrid/>
          <w:kern w:val="0"/>
          <w:szCs w:val="22"/>
        </w:rPr>
        <w:t xml:space="preserve"> video programming over AT&amp;T’s fiber networks.  AT&amp;T also offer</w:t>
      </w:r>
      <w:r w:rsidR="00E602C9">
        <w:rPr>
          <w:rFonts w:ascii="TimesNewRomanPSMT" w:hAnsi="TimesNewRomanPSMT" w:cs="TimesNewRomanPSMT"/>
          <w:snapToGrid/>
          <w:kern w:val="0"/>
          <w:szCs w:val="22"/>
        </w:rPr>
        <w:t>s</w:t>
      </w:r>
      <w:r w:rsidR="00496AB0">
        <w:rPr>
          <w:rFonts w:ascii="TimesNewRomanPSMT" w:hAnsi="TimesNewRomanPSMT" w:cs="TimesNewRomanPSMT"/>
          <w:snapToGrid/>
          <w:kern w:val="0"/>
          <w:szCs w:val="22"/>
        </w:rPr>
        <w:t xml:space="preserve"> video programming through its </w:t>
      </w:r>
      <w:r w:rsidR="00496AB0">
        <w:rPr>
          <w:rFonts w:ascii="TimesNewRomanPSMT" w:hAnsi="TimesNewRomanPSMT" w:cs="TimesNewRomanPSMT"/>
          <w:snapToGrid/>
          <w:kern w:val="0"/>
          <w:sz w:val="24"/>
          <w:szCs w:val="24"/>
        </w:rPr>
        <w:t>AT&amp;T TV, and Watch TV products.  In total, AT&amp;T reports that in 2020,</w:t>
      </w:r>
      <w:r w:rsidR="00496AB0">
        <w:t xml:space="preserve"> </w:t>
      </w:r>
      <w:r w:rsidR="006B3765">
        <w:t>it</w:t>
      </w:r>
      <w:r w:rsidR="00496AB0">
        <w:t xml:space="preserve"> delivered </w:t>
      </w:r>
      <w:r w:rsidRPr="00CE431A" w:rsidR="00CE431A">
        <w:t xml:space="preserve">multichannel video programming </w:t>
      </w:r>
      <w:r>
        <w:t xml:space="preserve">to </w:t>
      </w:r>
      <w:r w:rsidR="006B3765">
        <w:t xml:space="preserve">more than </w:t>
      </w:r>
      <w:r>
        <w:t>127 million subscribers.</w:t>
      </w:r>
      <w:r>
        <w:rPr>
          <w:rStyle w:val="FootnoteReference"/>
        </w:rPr>
        <w:footnoteReference w:id="6"/>
      </w:r>
      <w:r w:rsidR="009B6BD1">
        <w:t xml:space="preserve">  </w:t>
      </w:r>
      <w:r w:rsidR="004A46DC">
        <w:t xml:space="preserve">The Commission </w:t>
      </w:r>
      <w:r w:rsidR="00A1277C">
        <w:t>licenses</w:t>
      </w:r>
      <w:r w:rsidR="004A46DC">
        <w:t xml:space="preserve"> </w:t>
      </w:r>
      <w:r w:rsidR="008F4DCA">
        <w:t xml:space="preserve">that </w:t>
      </w:r>
      <w:r w:rsidR="004A46DC">
        <w:t xml:space="preserve">support </w:t>
      </w:r>
      <w:r w:rsidRPr="004A46DC" w:rsidR="004A46DC">
        <w:t xml:space="preserve">the DIRECTV and U-verse TV businesses </w:t>
      </w:r>
      <w:r w:rsidR="004A46DC">
        <w:t xml:space="preserve">are held by </w:t>
      </w:r>
      <w:r w:rsidRPr="009B6BD1" w:rsidR="008424FB">
        <w:t>DIRECTV Enterprises, LLC</w:t>
      </w:r>
      <w:r w:rsidR="008424FB">
        <w:t xml:space="preserve">, a </w:t>
      </w:r>
      <w:r w:rsidRPr="009B6BD1" w:rsidR="008424FB">
        <w:t xml:space="preserve">wholly-owned indirect subsidiary </w:t>
      </w:r>
      <w:r w:rsidR="008424FB">
        <w:t>of AT&amp;T.</w:t>
      </w:r>
      <w:r>
        <w:rPr>
          <w:rStyle w:val="FootnoteReference"/>
        </w:rPr>
        <w:footnoteReference w:id="7"/>
      </w:r>
    </w:p>
    <w:p w:rsidR="000C4158" w:rsidRPr="000C4158" w:rsidP="000C4158" w14:paraId="157D24BE" w14:textId="6915E990">
      <w:pPr>
        <w:pStyle w:val="ParaNum"/>
      </w:pPr>
      <w:r w:rsidRPr="000C4158">
        <w:t>TPG is a</w:t>
      </w:r>
      <w:r w:rsidR="005D67FD">
        <w:t>n investment management firm.</w:t>
      </w:r>
      <w:r>
        <w:rPr>
          <w:rStyle w:val="FootnoteReference"/>
        </w:rPr>
        <w:footnoteReference w:id="8"/>
      </w:r>
      <w:r w:rsidR="00363CA0">
        <w:t xml:space="preserve">  </w:t>
      </w:r>
      <w:r w:rsidRPr="000C4158" w:rsidR="00B61868">
        <w:t xml:space="preserve">TPG has </w:t>
      </w:r>
      <w:r w:rsidR="00EB1829">
        <w:t xml:space="preserve">previously invested in </w:t>
      </w:r>
      <w:r w:rsidRPr="000C4158" w:rsidR="00B61868">
        <w:t xml:space="preserve">the </w:t>
      </w:r>
      <w:r w:rsidRPr="0048449E" w:rsidR="0048449E">
        <w:t>multichannel video programming distributor</w:t>
      </w:r>
      <w:r w:rsidR="0048449E">
        <w:t xml:space="preserve"> (MVPD) </w:t>
      </w:r>
      <w:r w:rsidRPr="000C4158" w:rsidR="00B61868">
        <w:t xml:space="preserve">marketplace </w:t>
      </w:r>
      <w:r w:rsidR="00EB1829">
        <w:t>by</w:t>
      </w:r>
      <w:r w:rsidRPr="000C4158" w:rsidR="00B61868">
        <w:t xml:space="preserve"> combining regional providers RCN, Grande, Wave</w:t>
      </w:r>
      <w:r w:rsidR="007B7A47">
        <w:t>,</w:t>
      </w:r>
      <w:r w:rsidRPr="000C4158" w:rsidR="00B61868">
        <w:t xml:space="preserve"> and enTouch to create Astound Broadband, which offers gigabit-speed communications infrastructure networks.</w:t>
      </w:r>
      <w:r>
        <w:rPr>
          <w:rStyle w:val="FootnoteReference"/>
        </w:rPr>
        <w:footnoteReference w:id="9"/>
      </w:r>
      <w:r w:rsidR="00DC21AC">
        <w:t xml:space="preserve">  In June 2021, TPG </w:t>
      </w:r>
      <w:r w:rsidRPr="00DC21AC" w:rsidR="00DC21AC">
        <w:t>sold its controlling interest in Astound Broadband.</w:t>
      </w:r>
      <w:r>
        <w:rPr>
          <w:rStyle w:val="FootnoteReference"/>
        </w:rPr>
        <w:footnoteReference w:id="10"/>
      </w:r>
    </w:p>
    <w:p w:rsidR="00BC491A" w:rsidRPr="00907884" w:rsidP="00BC491A" w14:paraId="39C80E31" w14:textId="70DF8A37">
      <w:pPr>
        <w:pStyle w:val="Heading2"/>
      </w:pPr>
      <w:r>
        <w:t>Description of the Proposed Transaction</w:t>
      </w:r>
    </w:p>
    <w:p w:rsidR="00310001" w:rsidP="0029539C" w14:paraId="5CB3B9D0" w14:textId="3E1ADC42">
      <w:pPr>
        <w:pStyle w:val="ParaNum"/>
        <w:widowControl/>
      </w:pPr>
      <w:r>
        <w:t xml:space="preserve">AT&amp;T has </w:t>
      </w:r>
      <w:r w:rsidR="000C2823">
        <w:t>agreed</w:t>
      </w:r>
      <w:r w:rsidR="009B6BD1">
        <w:t xml:space="preserve"> </w:t>
      </w:r>
      <w:r>
        <w:t xml:space="preserve">to </w:t>
      </w:r>
      <w:r w:rsidR="008424FB">
        <w:t>contribute DIRECTV Enterprises, LLC</w:t>
      </w:r>
      <w:r w:rsidR="004A46DC">
        <w:t>,</w:t>
      </w:r>
      <w:r w:rsidR="008424FB">
        <w:t xml:space="preserve"> </w:t>
      </w:r>
      <w:r w:rsidR="004A46DC">
        <w:t xml:space="preserve">and the other assets of AT&amp;T’s video business unit </w:t>
      </w:r>
      <w:r w:rsidR="008424FB">
        <w:t>to a new entity</w:t>
      </w:r>
      <w:r w:rsidR="004A46DC">
        <w:t>,</w:t>
      </w:r>
      <w:r w:rsidR="008424FB">
        <w:t xml:space="preserve"> New DIRECTV</w:t>
      </w:r>
      <w:r>
        <w:t>.</w:t>
      </w:r>
      <w:r>
        <w:rPr>
          <w:rStyle w:val="FootnoteReference"/>
        </w:rPr>
        <w:footnoteReference w:id="11"/>
      </w:r>
      <w:r w:rsidRPr="000F4981" w:rsidR="000F4981">
        <w:t xml:space="preserve"> </w:t>
      </w:r>
      <w:r w:rsidR="009B6BD1">
        <w:t xml:space="preserve"> </w:t>
      </w:r>
      <w:r w:rsidRPr="000C4158" w:rsidR="000F4981">
        <w:t xml:space="preserve">In exchange, New DIRECTV </w:t>
      </w:r>
      <w:r w:rsidR="00441D85">
        <w:t>will</w:t>
      </w:r>
      <w:r w:rsidRPr="000C4158" w:rsidR="000F4981">
        <w:t xml:space="preserve"> issue to a wholly-owned indirect subsidiary of AT&amp;T</w:t>
      </w:r>
      <w:r w:rsidR="002F3493">
        <w:t xml:space="preserve">, </w:t>
      </w:r>
      <w:r w:rsidRPr="000C4158" w:rsidR="000F4981">
        <w:t>V HoldCo LLC</w:t>
      </w:r>
      <w:r w:rsidR="002F3493">
        <w:t xml:space="preserve">, </w:t>
      </w:r>
      <w:r w:rsidRPr="000C4158" w:rsidR="000F4981">
        <w:t>a 70 percent interest in common units of New DIRECTV.</w:t>
      </w:r>
      <w:r>
        <w:rPr>
          <w:rStyle w:val="FootnoteReference"/>
        </w:rPr>
        <w:footnoteReference w:id="12"/>
      </w:r>
      <w:r w:rsidR="00BD6EA3">
        <w:t xml:space="preserve"> </w:t>
      </w:r>
      <w:r w:rsidRPr="000C4158" w:rsidR="000F4981">
        <w:t xml:space="preserve"> An affiliate of TPG, TPG VIII Merlin Investment Holdings, L.P., </w:t>
      </w:r>
      <w:r w:rsidR="00BD6EA3">
        <w:t>has agreed to</w:t>
      </w:r>
      <w:r w:rsidRPr="000C4158" w:rsidR="000F4981">
        <w:t xml:space="preserve"> make a cash contribution to New DIRECTV in exchange for a 30 percent interest in common units of New</w:t>
      </w:r>
      <w:r w:rsidR="000F4981">
        <w:t xml:space="preserve"> </w:t>
      </w:r>
      <w:r w:rsidRPr="000C4158" w:rsidR="000F4981">
        <w:t>DIRECTV.</w:t>
      </w:r>
      <w:r>
        <w:rPr>
          <w:rStyle w:val="FootnoteReference"/>
        </w:rPr>
        <w:footnoteReference w:id="13"/>
      </w:r>
      <w:r w:rsidR="00BD6EA3">
        <w:t xml:space="preserve"> </w:t>
      </w:r>
      <w:r w:rsidRPr="000C4158" w:rsidR="000F4981">
        <w:t xml:space="preserve"> </w:t>
      </w:r>
      <w:r w:rsidR="0079174B">
        <w:t xml:space="preserve">The </w:t>
      </w:r>
      <w:r w:rsidRPr="000C4158" w:rsidR="000F4981">
        <w:t xml:space="preserve">Board of Managers </w:t>
      </w:r>
      <w:r w:rsidR="0079174B">
        <w:t xml:space="preserve">of </w:t>
      </w:r>
      <w:r w:rsidRPr="00572DAB" w:rsidR="0079174B">
        <w:t xml:space="preserve">New DIRECTV will </w:t>
      </w:r>
      <w:r w:rsidR="0079174B">
        <w:t xml:space="preserve">be </w:t>
      </w:r>
      <w:r w:rsidRPr="000C4158" w:rsidR="000F4981">
        <w:t xml:space="preserve">comprised of two representatives from each </w:t>
      </w:r>
      <w:r w:rsidR="00C336DA">
        <w:t>of AT&amp;T and TPG</w:t>
      </w:r>
      <w:r w:rsidRPr="000C4158" w:rsidR="000F4981">
        <w:t xml:space="preserve">, two independent non-voting Board members named by each company, and a </w:t>
      </w:r>
      <w:r w:rsidRPr="000C4158" w:rsidR="000F4981">
        <w:t>ninth Board seat filled by the CEO</w:t>
      </w:r>
      <w:r w:rsidR="00775C08">
        <w:t>.</w:t>
      </w:r>
      <w:r>
        <w:rPr>
          <w:rStyle w:val="FootnoteReference"/>
        </w:rPr>
        <w:footnoteReference w:id="14"/>
      </w:r>
      <w:r w:rsidR="00FA7BCB">
        <w:t xml:space="preserve">  The Applicants state that the new company will be co-owned and co-managed and jointly governed by them.</w:t>
      </w:r>
      <w:r>
        <w:rPr>
          <w:rStyle w:val="FootnoteReference"/>
        </w:rPr>
        <w:footnoteReference w:id="15"/>
      </w:r>
    </w:p>
    <w:p w:rsidR="00BC491A" w:rsidRPr="00907884" w:rsidP="00BC491A" w14:paraId="4AC65E16" w14:textId="20F8DD5E">
      <w:pPr>
        <w:pStyle w:val="Heading2"/>
      </w:pPr>
      <w:r>
        <w:t>Application Review Process</w:t>
      </w:r>
    </w:p>
    <w:p w:rsidR="00BE0F6C" w:rsidP="00294853" w14:paraId="7BEE066A" w14:textId="6645FA01">
      <w:pPr>
        <w:pStyle w:val="ParaNum"/>
        <w:widowControl/>
      </w:pPr>
      <w:r>
        <w:t xml:space="preserve">After the </w:t>
      </w:r>
      <w:r w:rsidR="000B3144">
        <w:t>Application</w:t>
      </w:r>
      <w:r>
        <w:t xml:space="preserve"> was accepted for filing,</w:t>
      </w:r>
      <w:r>
        <w:rPr>
          <w:rStyle w:val="FootnoteReference"/>
        </w:rPr>
        <w:footnoteReference w:id="16"/>
      </w:r>
      <w:r w:rsidR="000B3144">
        <w:t xml:space="preserve"> </w:t>
      </w:r>
      <w:r>
        <w:t>t</w:t>
      </w:r>
      <w:r w:rsidR="0024225E">
        <w:t xml:space="preserve">he </w:t>
      </w:r>
      <w:r w:rsidRPr="00BD5772" w:rsidR="0024225E">
        <w:t>Rural Media Group, Inc.</w:t>
      </w:r>
      <w:r w:rsidR="0024225E">
        <w:t xml:space="preserve"> (RMG) and the ABC Television Affiliates Association, CBS Television Network Affiliates Association, FBC Television Affiliates Association, and NBC Television Affiliates (collectively, the Affiliates Associations) filed </w:t>
      </w:r>
      <w:r w:rsidR="006C3F7F">
        <w:t>comments.</w:t>
      </w:r>
      <w:r>
        <w:rPr>
          <w:rStyle w:val="FootnoteReference"/>
        </w:rPr>
        <w:footnoteReference w:id="17"/>
      </w:r>
      <w:r w:rsidR="006C3F7F">
        <w:t xml:space="preserve">  </w:t>
      </w:r>
      <w:r>
        <w:t>The Applicants responded to the comments</w:t>
      </w:r>
      <w:r w:rsidR="00DD67F9">
        <w:t>,</w:t>
      </w:r>
      <w:r>
        <w:rPr>
          <w:rStyle w:val="FootnoteReference"/>
        </w:rPr>
        <w:footnoteReference w:id="18"/>
      </w:r>
      <w:r w:rsidR="00DD67F9">
        <w:t xml:space="preserve"> and </w:t>
      </w:r>
      <w:r w:rsidR="00946DB8">
        <w:t xml:space="preserve">the </w:t>
      </w:r>
      <w:r w:rsidR="00DD67F9">
        <w:t>Affiliates Associations replied to the Applicants</w:t>
      </w:r>
      <w:r>
        <w:t>.</w:t>
      </w:r>
      <w:r>
        <w:rPr>
          <w:rStyle w:val="FootnoteReference"/>
        </w:rPr>
        <w:footnoteReference w:id="19"/>
      </w:r>
    </w:p>
    <w:p w:rsidR="00BC491A" w:rsidP="00E62FAE" w14:paraId="00FD82FB" w14:textId="77777777">
      <w:pPr>
        <w:pStyle w:val="Heading1"/>
      </w:pPr>
      <w:r>
        <w:t>DISCUSSION</w:t>
      </w:r>
    </w:p>
    <w:p w:rsidR="00BC491A" w:rsidRPr="00907884" w:rsidP="00A95395" w14:paraId="2A7A325E" w14:textId="2594E310">
      <w:pPr>
        <w:pStyle w:val="Heading2"/>
      </w:pPr>
      <w:r>
        <w:t>Overall Analysis</w:t>
      </w:r>
    </w:p>
    <w:p w:rsidR="00952EC9" w:rsidRPr="00907884" w:rsidP="008D3799" w14:paraId="430743C6" w14:textId="27809643">
      <w:pPr>
        <w:pStyle w:val="ParaNum"/>
        <w:widowControl/>
      </w:pPr>
      <w:r>
        <w:t>Under</w:t>
      </w:r>
      <w:r w:rsidR="003732B2">
        <w:t xml:space="preserve"> </w:t>
      </w:r>
      <w:r w:rsidR="002E73D1">
        <w:t>section 310(d) of the Act</w:t>
      </w:r>
      <w:r w:rsidR="003732B2">
        <w:t xml:space="preserve">, </w:t>
      </w:r>
      <w:r w:rsidR="00DB6851">
        <w:t xml:space="preserve">we must determine whether the </w:t>
      </w:r>
      <w:r w:rsidR="00A95395">
        <w:t xml:space="preserve">Applicants have demonstrated that the </w:t>
      </w:r>
      <w:r w:rsidR="00DB6851">
        <w:t xml:space="preserve">proposed transfer of control of licenses from AT&amp;T to New DIRECTV will serve </w:t>
      </w:r>
      <w:r w:rsidR="002E73D1">
        <w:t>the public interest, convenience, and necessity.</w:t>
      </w:r>
      <w:r>
        <w:rPr>
          <w:rStyle w:val="FootnoteReference"/>
        </w:rPr>
        <w:footnoteReference w:id="20"/>
      </w:r>
      <w:r w:rsidR="002E73D1">
        <w:t xml:space="preserve">  </w:t>
      </w:r>
      <w:r w:rsidR="00DB6851">
        <w:t xml:space="preserve">In making this determination, </w:t>
      </w:r>
      <w:r w:rsidR="00A54778">
        <w:t xml:space="preserve">we consider </w:t>
      </w:r>
      <w:r w:rsidRPr="00E960BE" w:rsidR="00E960BE">
        <w:t xml:space="preserve">whether the proposed transaction </w:t>
      </w:r>
      <w:r w:rsidR="00A95395">
        <w:t xml:space="preserve">complies </w:t>
      </w:r>
      <w:r w:rsidR="00E960BE">
        <w:t xml:space="preserve">with </w:t>
      </w:r>
      <w:r w:rsidRPr="00E960BE" w:rsidR="00E960BE">
        <w:t xml:space="preserve">the </w:t>
      </w:r>
      <w:r w:rsidR="00A95395">
        <w:t xml:space="preserve">specific provisions of the </w:t>
      </w:r>
      <w:r w:rsidRPr="00E960BE" w:rsidR="00E960BE">
        <w:t xml:space="preserve">Act, other applicable statutes, </w:t>
      </w:r>
      <w:r w:rsidR="00A95395">
        <w:t xml:space="preserve">and </w:t>
      </w:r>
      <w:r w:rsidRPr="00E960BE" w:rsidR="00E960BE">
        <w:t>the</w:t>
      </w:r>
      <w:r w:rsidR="00E960BE">
        <w:t xml:space="preserve"> </w:t>
      </w:r>
      <w:r w:rsidRPr="00E960BE" w:rsidR="00E960BE">
        <w:t>Commission’s rules.</w:t>
      </w:r>
      <w:r>
        <w:rPr>
          <w:rStyle w:val="FootnoteReference"/>
        </w:rPr>
        <w:footnoteReference w:id="21"/>
      </w:r>
      <w:r w:rsidR="00E960BE">
        <w:t xml:space="preserve"> </w:t>
      </w:r>
      <w:r w:rsidR="00533689">
        <w:t xml:space="preserve"> </w:t>
      </w:r>
      <w:r w:rsidRPr="00FD37B0" w:rsidR="00A95395">
        <w:rPr>
          <w:color w:val="000000" w:themeColor="text1"/>
          <w:szCs w:val="22"/>
        </w:rPr>
        <w:t>If the transaction does not violate a statute or rule, we consider whether the transaction could result in public interest harms by substantially frustrating or impairing the objectives or implementation of the Act or related statutes.</w:t>
      </w:r>
      <w:r>
        <w:rPr>
          <w:rFonts w:eastAsia="MS Mincho"/>
          <w:color w:val="000000" w:themeColor="text1"/>
          <w:szCs w:val="22"/>
          <w:vertAlign w:val="superscript"/>
          <w:lang w:eastAsia="ja-JP"/>
        </w:rPr>
        <w:footnoteReference w:id="22"/>
      </w:r>
      <w:r w:rsidRPr="00FD37B0" w:rsidR="00A95395">
        <w:rPr>
          <w:color w:val="000000" w:themeColor="text1"/>
          <w:szCs w:val="22"/>
        </w:rPr>
        <w:t xml:space="preserve">  We then employ a balancing test weighing any </w:t>
      </w:r>
      <w:r w:rsidRPr="00FD37B0" w:rsidR="00A95395">
        <w:rPr>
          <w:snapToGrid/>
          <w:color w:val="000000" w:themeColor="text1"/>
          <w:szCs w:val="22"/>
        </w:rPr>
        <w:t>potential</w:t>
      </w:r>
      <w:r w:rsidRPr="00FD37B0" w:rsidR="00A95395">
        <w:rPr>
          <w:color w:val="000000" w:themeColor="text1"/>
          <w:szCs w:val="22"/>
        </w:rPr>
        <w:t xml:space="preserve"> public interest harms of the proposed transaction against any potential public interest benefits.</w:t>
      </w:r>
      <w:r>
        <w:rPr>
          <w:rFonts w:eastAsia="MS Mincho"/>
          <w:color w:val="000000" w:themeColor="text1"/>
          <w:szCs w:val="22"/>
          <w:vertAlign w:val="superscript"/>
          <w:lang w:eastAsia="ja-JP"/>
        </w:rPr>
        <w:footnoteReference w:id="23"/>
      </w:r>
      <w:r w:rsidRPr="00FD37B0" w:rsidR="00A95395">
        <w:rPr>
          <w:rFonts w:eastAsia="MS Mincho"/>
          <w:color w:val="000000" w:themeColor="text1"/>
          <w:szCs w:val="22"/>
          <w:lang w:eastAsia="ja-JP"/>
        </w:rPr>
        <w:t xml:space="preserve">  </w:t>
      </w:r>
      <w:r w:rsidR="00E960BE">
        <w:t xml:space="preserve">Where </w:t>
      </w:r>
      <w:r w:rsidR="00A95395">
        <w:t xml:space="preserve">the </w:t>
      </w:r>
      <w:r w:rsidR="00E960BE">
        <w:t xml:space="preserve">potential harms appear less likely and less substantial, we accept a lesser showing of </w:t>
      </w:r>
      <w:r w:rsidR="005F52EC">
        <w:t>potential</w:t>
      </w:r>
      <w:r w:rsidR="00E960BE">
        <w:t xml:space="preserve"> </w:t>
      </w:r>
      <w:r w:rsidRPr="00E960BE" w:rsidR="00E960BE">
        <w:t>benefit</w:t>
      </w:r>
      <w:r w:rsidR="00E960BE">
        <w:t>s.</w:t>
      </w:r>
      <w:r>
        <w:rPr>
          <w:rStyle w:val="FootnoteReference"/>
        </w:rPr>
        <w:footnoteReference w:id="24"/>
      </w:r>
      <w:r w:rsidR="00A95395">
        <w:t xml:space="preserve">  </w:t>
      </w:r>
      <w:r w:rsidRPr="00FD37B0" w:rsidR="00A95395">
        <w:rPr>
          <w:color w:val="000000" w:themeColor="text1"/>
          <w:szCs w:val="22"/>
        </w:rPr>
        <w:t>The Applicants bear the burden of proving, by a preponderance of the evidence, that the proposed transaction, on balance, serves the public interest.</w:t>
      </w:r>
      <w:r>
        <w:rPr>
          <w:rStyle w:val="FootnoteReference"/>
          <w:color w:val="000000" w:themeColor="text1"/>
          <w:szCs w:val="22"/>
        </w:rPr>
        <w:footnoteReference w:id="25"/>
      </w:r>
    </w:p>
    <w:p w:rsidR="001601C5" w:rsidP="002C135F" w14:paraId="09F46094" w14:textId="5B69A7FB">
      <w:pPr>
        <w:pStyle w:val="ParaNum"/>
      </w:pPr>
      <w:r>
        <w:t xml:space="preserve">We are persuaded that </w:t>
      </w:r>
      <w:r w:rsidR="00C3552C">
        <w:t xml:space="preserve">the proposed transaction presents no substantial harms and that </w:t>
      </w:r>
      <w:r>
        <w:t xml:space="preserve">granting the Application is in the public interest.  Granting the Application would not violate any statute or Commission rule and we find that the Applicants are qualified to hold FCC licenses.  TPG no longer </w:t>
      </w:r>
      <w:r>
        <w:t xml:space="preserve">owns any </w:t>
      </w:r>
      <w:r w:rsidR="00626A30">
        <w:t>significant</w:t>
      </w:r>
      <w:r w:rsidR="006B3765">
        <w:t xml:space="preserve"> interests</w:t>
      </w:r>
      <w:r>
        <w:rPr>
          <w:rStyle w:val="FootnoteReference"/>
        </w:rPr>
        <w:footnoteReference w:id="26"/>
      </w:r>
      <w:r w:rsidR="00626A30">
        <w:t xml:space="preserve"> </w:t>
      </w:r>
      <w:r>
        <w:t xml:space="preserve">in video programming or distribution </w:t>
      </w:r>
      <w:r w:rsidR="007E2769">
        <w:t xml:space="preserve">assets </w:t>
      </w:r>
      <w:r>
        <w:t xml:space="preserve">and </w:t>
      </w:r>
      <w:r w:rsidR="007E2769">
        <w:t xml:space="preserve">so </w:t>
      </w:r>
      <w:r w:rsidR="00FC292D">
        <w:t>t</w:t>
      </w:r>
      <w:r w:rsidR="00F95A23">
        <w:t xml:space="preserve">he </w:t>
      </w:r>
      <w:r w:rsidR="00892F1D">
        <w:t xml:space="preserve">proposed </w:t>
      </w:r>
      <w:r w:rsidR="00F95A23">
        <w:t>transaction does not increase concentration or reduce competition in any market</w:t>
      </w:r>
      <w:r w:rsidR="007E2769">
        <w:t xml:space="preserve"> nor raise vertical concerns</w:t>
      </w:r>
      <w:r w:rsidR="00F81FFD">
        <w:t>.</w:t>
      </w:r>
      <w:r>
        <w:rPr>
          <w:rStyle w:val="FootnoteReference"/>
        </w:rPr>
        <w:footnoteReference w:id="27"/>
      </w:r>
      <w:r w:rsidR="00F81FFD">
        <w:t xml:space="preserve">  </w:t>
      </w:r>
      <w:r w:rsidR="007279BF">
        <w:t xml:space="preserve">The Applicants </w:t>
      </w:r>
      <w:r w:rsidR="006F6DDE">
        <w:t>argue</w:t>
      </w:r>
      <w:r w:rsidR="007279BF">
        <w:t xml:space="preserve"> that the transaction will </w:t>
      </w:r>
      <w:r>
        <w:t xml:space="preserve">make </w:t>
      </w:r>
      <w:r w:rsidR="007279BF">
        <w:t>New DIRECTV a stronger competitor</w:t>
      </w:r>
      <w:r w:rsidR="004B1B8F">
        <w:t>,</w:t>
      </w:r>
      <w:r w:rsidR="007279BF">
        <w:t xml:space="preserve"> </w:t>
      </w:r>
      <w:r w:rsidR="003356B4">
        <w:t xml:space="preserve">due to </w:t>
      </w:r>
      <w:r w:rsidR="007279BF">
        <w:t xml:space="preserve">its dedicated management, ability to focus solely on video customers, and </w:t>
      </w:r>
      <w:r w:rsidR="007E2769">
        <w:t xml:space="preserve">the </w:t>
      </w:r>
      <w:r w:rsidR="003356B4">
        <w:t xml:space="preserve">addition of the </w:t>
      </w:r>
      <w:r w:rsidRPr="007279BF" w:rsidR="007279BF">
        <w:t xml:space="preserve">capital, expertise, and resources </w:t>
      </w:r>
      <w:r w:rsidR="007279BF">
        <w:t xml:space="preserve">of </w:t>
      </w:r>
      <w:r w:rsidRPr="007279BF" w:rsidR="007279BF">
        <w:t>TPG</w:t>
      </w:r>
      <w:r w:rsidR="00FB5F10">
        <w:t>.</w:t>
      </w:r>
      <w:r>
        <w:rPr>
          <w:rStyle w:val="FootnoteReference"/>
        </w:rPr>
        <w:footnoteReference w:id="28"/>
      </w:r>
      <w:r>
        <w:t xml:space="preserve"> </w:t>
      </w:r>
      <w:r w:rsidR="00402707">
        <w:t xml:space="preserve"> </w:t>
      </w:r>
      <w:r w:rsidR="00FB5F10">
        <w:t>T</w:t>
      </w:r>
      <w:r w:rsidR="007E2769">
        <w:t>hat claim is not disputed.</w:t>
      </w:r>
    </w:p>
    <w:p w:rsidR="00A95395" w:rsidP="00FB4257" w14:paraId="1DF0D6F2" w14:textId="56BB9EF0">
      <w:pPr>
        <w:pStyle w:val="Heading2"/>
      </w:pPr>
      <w:r>
        <w:t>Proposed Conditions</w:t>
      </w:r>
    </w:p>
    <w:p w:rsidR="00D55351" w:rsidP="000647BD" w14:paraId="7E30FBA0" w14:textId="5ACA8557">
      <w:pPr>
        <w:pStyle w:val="ParaNum"/>
        <w:widowControl/>
      </w:pPr>
      <w:r>
        <w:t xml:space="preserve">The </w:t>
      </w:r>
      <w:r w:rsidRPr="00D8067A" w:rsidR="00D8067A">
        <w:t>Affiliates Associations</w:t>
      </w:r>
      <w:r w:rsidR="00D8067A">
        <w:t xml:space="preserve"> </w:t>
      </w:r>
      <w:r w:rsidR="00FB5F10">
        <w:t>contend</w:t>
      </w:r>
      <w:r w:rsidRPr="00BE7150" w:rsidR="00FB5F10">
        <w:t xml:space="preserve"> </w:t>
      </w:r>
      <w:r w:rsidRPr="00BE7150" w:rsidR="00BE7150">
        <w:t xml:space="preserve">that </w:t>
      </w:r>
      <w:r w:rsidR="007C6C84">
        <w:t xml:space="preserve">because </w:t>
      </w:r>
      <w:r w:rsidRPr="00BE7150" w:rsidR="00BE7150">
        <w:t xml:space="preserve">DIRECTV does not </w:t>
      </w:r>
      <w:r w:rsidR="001274E2">
        <w:t>provide</w:t>
      </w:r>
      <w:r w:rsidRPr="00BE7150" w:rsidR="00BE7150">
        <w:t xml:space="preserve"> </w:t>
      </w:r>
      <w:r w:rsidR="00776810">
        <w:t xml:space="preserve">local-into-local television service </w:t>
      </w:r>
      <w:r w:rsidRPr="00BE7150" w:rsidR="00BE7150">
        <w:t>in 1</w:t>
      </w:r>
      <w:r w:rsidR="00342AF1">
        <w:t>2</w:t>
      </w:r>
      <w:r w:rsidRPr="00BE7150" w:rsidR="00BE7150">
        <w:t xml:space="preserve"> of the DMAs in which it operates</w:t>
      </w:r>
      <w:r w:rsidR="007C6C84">
        <w:t>,</w:t>
      </w:r>
      <w:r>
        <w:rPr>
          <w:rStyle w:val="FootnoteReference"/>
        </w:rPr>
        <w:footnoteReference w:id="29"/>
      </w:r>
      <w:r w:rsidR="00D8067A">
        <w:t xml:space="preserve"> </w:t>
      </w:r>
      <w:r w:rsidR="009254DA">
        <w:t xml:space="preserve">the Commission </w:t>
      </w:r>
      <w:r w:rsidR="007C6C84">
        <w:t xml:space="preserve">should </w:t>
      </w:r>
      <w:r w:rsidR="001020D2">
        <w:t xml:space="preserve">require </w:t>
      </w:r>
      <w:r w:rsidR="009254DA">
        <w:t xml:space="preserve">New DIRECTV </w:t>
      </w:r>
      <w:r w:rsidR="001020D2">
        <w:t xml:space="preserve">to </w:t>
      </w:r>
      <w:r w:rsidR="00CB2AF5">
        <w:t>provid</w:t>
      </w:r>
      <w:r w:rsidR="001020D2">
        <w:t>e</w:t>
      </w:r>
      <w:r w:rsidR="009254DA">
        <w:t xml:space="preserve"> local-into-local television service to all 210 Nielsen DMAs.</w:t>
      </w:r>
      <w:r>
        <w:rPr>
          <w:rStyle w:val="FootnoteReference"/>
        </w:rPr>
        <w:footnoteReference w:id="30"/>
      </w:r>
      <w:r w:rsidR="001020D2">
        <w:t xml:space="preserve">  </w:t>
      </w:r>
      <w:r w:rsidR="00843693">
        <w:t>The Affiliates Associations argue that, w</w:t>
      </w:r>
      <w:r w:rsidR="000C710A">
        <w:t xml:space="preserve">ithout such a condition, New DIRECTV will have </w:t>
      </w:r>
      <w:r w:rsidR="00843693">
        <w:t>weakened</w:t>
      </w:r>
      <w:r w:rsidR="000C710A">
        <w:t xml:space="preserve"> incentives to serve local communities because of the reduced role that AT&amp;T </w:t>
      </w:r>
      <w:r w:rsidR="00942245">
        <w:t xml:space="preserve">will </w:t>
      </w:r>
      <w:r w:rsidR="00EC5BAC">
        <w:t>play</w:t>
      </w:r>
      <w:r w:rsidR="00942245">
        <w:t xml:space="preserve"> </w:t>
      </w:r>
      <w:r w:rsidR="000C710A">
        <w:t xml:space="preserve">in its </w:t>
      </w:r>
      <w:r w:rsidR="001D7D9C">
        <w:t>ownership</w:t>
      </w:r>
      <w:r w:rsidR="000C710A">
        <w:t>.</w:t>
      </w:r>
      <w:r>
        <w:rPr>
          <w:rStyle w:val="FootnoteReference"/>
        </w:rPr>
        <w:footnoteReference w:id="31"/>
      </w:r>
      <w:r w:rsidR="00A95395">
        <w:t xml:space="preserve">  </w:t>
      </w:r>
      <w:r w:rsidR="00727F79">
        <w:t xml:space="preserve">The </w:t>
      </w:r>
      <w:r w:rsidRPr="00BE7150" w:rsidR="00BE7150">
        <w:t xml:space="preserve">Applicants </w:t>
      </w:r>
      <w:r w:rsidR="00727F79">
        <w:t xml:space="preserve">respond that </w:t>
      </w:r>
      <w:r w:rsidRPr="00BE7150" w:rsidR="00BE7150">
        <w:t xml:space="preserve">this </w:t>
      </w:r>
      <w:r w:rsidR="00E7016C">
        <w:t>issue</w:t>
      </w:r>
      <w:r w:rsidRPr="00BE7150" w:rsidR="00BE7150">
        <w:t xml:space="preserve"> is unrelated to the </w:t>
      </w:r>
      <w:r w:rsidR="002F6D0F">
        <w:t xml:space="preserve">proposed </w:t>
      </w:r>
      <w:r w:rsidRPr="00BE7150" w:rsidR="00BE7150">
        <w:t>transaction</w:t>
      </w:r>
      <w:r w:rsidR="00776810">
        <w:t xml:space="preserve">, and that the Commission has denied similar requests </w:t>
      </w:r>
      <w:r w:rsidR="00E7016C">
        <w:t xml:space="preserve">from broadcasters </w:t>
      </w:r>
      <w:r w:rsidR="00776810">
        <w:t>in prior transactions involving DIRECTV.</w:t>
      </w:r>
      <w:r>
        <w:rPr>
          <w:rStyle w:val="FootnoteReference"/>
        </w:rPr>
        <w:footnoteReference w:id="32"/>
      </w:r>
      <w:r w:rsidR="00776810">
        <w:t xml:space="preserve">  </w:t>
      </w:r>
      <w:r w:rsidR="000647BD">
        <w:t xml:space="preserve">The Applicants maintain that the proposed transaction would not affect </w:t>
      </w:r>
      <w:r w:rsidR="00A95395">
        <w:t>its incentive or ability to provide local-into-local service</w:t>
      </w:r>
      <w:r w:rsidR="000647BD">
        <w:t>.</w:t>
      </w:r>
      <w:r>
        <w:rPr>
          <w:rStyle w:val="FootnoteReference"/>
        </w:rPr>
        <w:footnoteReference w:id="33"/>
      </w:r>
      <w:r w:rsidR="000647BD">
        <w:t xml:space="preserve">  </w:t>
      </w:r>
      <w:r>
        <w:t>In reply, t</w:t>
      </w:r>
      <w:r w:rsidRPr="005C5646">
        <w:t>he Affiliates Associations</w:t>
      </w:r>
      <w:r>
        <w:t xml:space="preserve"> assert that the cases cited by Applicants were wrongly decided, but also seek to distinguish them from the present transaction.</w:t>
      </w:r>
      <w:r>
        <w:rPr>
          <w:rStyle w:val="FootnoteReference"/>
        </w:rPr>
        <w:footnoteReference w:id="34"/>
      </w:r>
      <w:r>
        <w:t xml:space="preserve">  </w:t>
      </w:r>
    </w:p>
    <w:p w:rsidR="00EF033E" w:rsidRPr="00EF033E" w:rsidP="008D3799" w14:paraId="6DC7D5D4" w14:textId="49572580">
      <w:pPr>
        <w:pStyle w:val="ParaNum"/>
        <w:widowControl/>
      </w:pPr>
      <w:r>
        <w:t xml:space="preserve">The </w:t>
      </w:r>
      <w:r w:rsidR="007E2769">
        <w:t xml:space="preserve">Applicants are correct that the </w:t>
      </w:r>
      <w:r>
        <w:t xml:space="preserve">Commission has previously </w:t>
      </w:r>
      <w:r w:rsidR="007E2769">
        <w:t xml:space="preserve">denied similar requests with regard to </w:t>
      </w:r>
      <w:r>
        <w:t>DIRECTV.</w:t>
      </w:r>
      <w:r>
        <w:rPr>
          <w:rStyle w:val="FootnoteReference"/>
        </w:rPr>
        <w:footnoteReference w:id="35"/>
      </w:r>
      <w:r>
        <w:t xml:space="preserve"> </w:t>
      </w:r>
      <w:r w:rsidR="00DE76AB">
        <w:t xml:space="preserve"> </w:t>
      </w:r>
      <w:r w:rsidRPr="00EF033E" w:rsidR="00D3396B">
        <w:t xml:space="preserve">We agree with the Applicants that nothing in the record indicates that the </w:t>
      </w:r>
      <w:r w:rsidR="00D3396B">
        <w:t xml:space="preserve">proposed </w:t>
      </w:r>
      <w:r w:rsidRPr="00EF033E" w:rsidR="00D3396B">
        <w:t xml:space="preserve">transaction would </w:t>
      </w:r>
      <w:r w:rsidR="00DE76AB">
        <w:t>reduce</w:t>
      </w:r>
      <w:r w:rsidRPr="00EF033E" w:rsidR="00DE76AB">
        <w:t xml:space="preserve"> </w:t>
      </w:r>
      <w:r w:rsidR="006D5272">
        <w:t xml:space="preserve">New </w:t>
      </w:r>
      <w:r w:rsidRPr="00EF033E" w:rsidR="00D3396B">
        <w:t>DIRECTV’s incentives to carry local broadcast channels</w:t>
      </w:r>
      <w:r w:rsidR="00926DDC">
        <w:t xml:space="preserve">.  </w:t>
      </w:r>
      <w:r w:rsidR="007E2769">
        <w:t>T</w:t>
      </w:r>
      <w:r w:rsidR="00AD716B">
        <w:t xml:space="preserve">he Affiliates Associations have not </w:t>
      </w:r>
      <w:r w:rsidR="00926DDC">
        <w:t xml:space="preserve">offered evidence or </w:t>
      </w:r>
      <w:r w:rsidR="00AD716B">
        <w:t xml:space="preserve">established a credible theory by which the competitive pressures DIRECTV faces to imitate or differentiate itself from other MVPDs in those markets would change as a result of this transaction.  </w:t>
      </w:r>
      <w:r w:rsidR="00E30E06">
        <w:t>Accordingly</w:t>
      </w:r>
      <w:r w:rsidR="00AD716B">
        <w:t xml:space="preserve">, </w:t>
      </w:r>
      <w:r w:rsidR="00AA45D4">
        <w:t xml:space="preserve">we </w:t>
      </w:r>
      <w:r w:rsidR="00991510">
        <w:t>decline to adopt the</w:t>
      </w:r>
      <w:r w:rsidR="007C6C84">
        <w:t xml:space="preserve"> Affiliate</w:t>
      </w:r>
      <w:r w:rsidR="00970034">
        <w:t>s</w:t>
      </w:r>
      <w:r w:rsidR="007C6C84">
        <w:t xml:space="preserve"> Assoc</w:t>
      </w:r>
      <w:r w:rsidR="00970034">
        <w:t>i</w:t>
      </w:r>
      <w:r w:rsidR="007C6C84">
        <w:t>ations’</w:t>
      </w:r>
      <w:r w:rsidR="00991510">
        <w:t xml:space="preserve"> proposed condition</w:t>
      </w:r>
      <w:r w:rsidRPr="00EF033E">
        <w:t>.</w:t>
      </w:r>
    </w:p>
    <w:p w:rsidR="009D379F" w:rsidP="00133952" w14:paraId="1BFA1E48" w14:textId="09E60B30">
      <w:pPr>
        <w:pStyle w:val="ParaNum"/>
        <w:widowControl/>
      </w:pPr>
      <w:r>
        <w:t>We reach a similar conclusion with respect to the condition sought by R</w:t>
      </w:r>
      <w:r w:rsidR="001B21A3">
        <w:t>M</w:t>
      </w:r>
      <w:r>
        <w:t xml:space="preserve">G.  </w:t>
      </w:r>
      <w:r w:rsidR="00844394">
        <w:t>RMG</w:t>
      </w:r>
      <w:r w:rsidR="00FE22BD">
        <w:t xml:space="preserve">, which owns independent </w:t>
      </w:r>
      <w:r w:rsidR="009920F0">
        <w:t xml:space="preserve">programming </w:t>
      </w:r>
      <w:r w:rsidR="00FE22BD">
        <w:t xml:space="preserve">networks targeted at rural </w:t>
      </w:r>
      <w:r w:rsidR="00482EA3">
        <w:t>viewers</w:t>
      </w:r>
      <w:r w:rsidR="00FE22BD">
        <w:t xml:space="preserve">, argues that access to </w:t>
      </w:r>
      <w:r w:rsidRPr="005F0F70" w:rsidR="005F0F70">
        <w:t>meaningful and relevant programming for rural viewers</w:t>
      </w:r>
      <w:r w:rsidR="005F0F70">
        <w:t xml:space="preserve"> </w:t>
      </w:r>
      <w:r w:rsidR="00FE22BD">
        <w:t xml:space="preserve">has decreased in recent years due to </w:t>
      </w:r>
      <w:r w:rsidRPr="006979C5" w:rsidR="00FE22BD">
        <w:t>media consolidation</w:t>
      </w:r>
      <w:r w:rsidR="00FE22BD">
        <w:t>.</w:t>
      </w:r>
      <w:r>
        <w:rPr>
          <w:rStyle w:val="FootnoteReference"/>
        </w:rPr>
        <w:footnoteReference w:id="36"/>
      </w:r>
      <w:r w:rsidR="00FE22BD">
        <w:t xml:space="preserve">  RMG asks that, as a condition of any grant of the Application, the Commission prohibit </w:t>
      </w:r>
      <w:r w:rsidRPr="00D704EC" w:rsidR="00FE22BD">
        <w:t xml:space="preserve">New DIRECTV from </w:t>
      </w:r>
      <w:r w:rsidR="00DD46E3">
        <w:t>removing</w:t>
      </w:r>
      <w:r w:rsidRPr="00D704EC" w:rsidR="00FE22BD">
        <w:t xml:space="preserve"> rural content from its post-transaction programming lineup, and requir</w:t>
      </w:r>
      <w:r w:rsidR="00FE22BD">
        <w:t>e</w:t>
      </w:r>
      <w:r w:rsidRPr="00D704EC" w:rsidR="00FE22BD">
        <w:t xml:space="preserve"> New DIRECTV to use at least 1% of its channel lineup for programming focused on rural </w:t>
      </w:r>
      <w:r w:rsidR="002033EF">
        <w:t>communities</w:t>
      </w:r>
      <w:r w:rsidRPr="00D704EC" w:rsidR="00FE22BD">
        <w:t>.</w:t>
      </w:r>
      <w:r>
        <w:rPr>
          <w:rStyle w:val="FootnoteReference"/>
        </w:rPr>
        <w:footnoteReference w:id="37"/>
      </w:r>
      <w:r w:rsidR="00FE22BD">
        <w:t xml:space="preserve">  </w:t>
      </w:r>
      <w:r>
        <w:t xml:space="preserve">The Applicants respond that these issues, too, are unrelated to the proposed transaction and that the Commission </w:t>
      </w:r>
      <w:r w:rsidR="0016253C">
        <w:t xml:space="preserve">has </w:t>
      </w:r>
      <w:r>
        <w:t>previously declined to impose program carriage conditions</w:t>
      </w:r>
      <w:r w:rsidR="0016253C">
        <w:t xml:space="preserve"> on DIRECTV</w:t>
      </w:r>
      <w:r>
        <w:t>.</w:t>
      </w:r>
      <w:r>
        <w:rPr>
          <w:rStyle w:val="FootnoteReference"/>
        </w:rPr>
        <w:footnoteReference w:id="38"/>
      </w:r>
    </w:p>
    <w:p w:rsidR="009D379F" w:rsidP="008D3799" w14:paraId="656879BC" w14:textId="2173B426">
      <w:pPr>
        <w:pStyle w:val="ParaNum"/>
        <w:widowControl/>
      </w:pPr>
      <w:r w:rsidRPr="00BE6BDC">
        <w:t xml:space="preserve">The </w:t>
      </w:r>
      <w:r>
        <w:t xml:space="preserve">Commission’s </w:t>
      </w:r>
      <w:r w:rsidRPr="00BE6BDC">
        <w:t>program carriage rules prohibit an MVPD</w:t>
      </w:r>
      <w:r>
        <w:t>,</w:t>
      </w:r>
      <w:r w:rsidRPr="00BE6BDC">
        <w:t xml:space="preserve"> </w:t>
      </w:r>
      <w:r>
        <w:t xml:space="preserve">like DIRECTV, </w:t>
      </w:r>
      <w:r w:rsidRPr="00BE6BDC">
        <w:t>from exerting its leverage as a distributor to require a financial interest in, or exclusive rights to, any program service as a condition for carriage.</w:t>
      </w:r>
      <w:r>
        <w:rPr>
          <w:rStyle w:val="FootnoteReference"/>
        </w:rPr>
        <w:footnoteReference w:id="39"/>
      </w:r>
      <w:r>
        <w:t xml:space="preserve"> </w:t>
      </w:r>
      <w:r w:rsidRPr="00BE6BDC">
        <w:t xml:space="preserve"> The program carriage rules also proscribe an MVPD from engaging in conduct that unreasonably restrains the ability of unaffiliated video programming providers to compete by discriminating in the distribution of programming based on the programmer’s affiliation or nonaffiliation with the MVPD.</w:t>
      </w:r>
      <w:r>
        <w:rPr>
          <w:rStyle w:val="FootnoteReference"/>
        </w:rPr>
        <w:footnoteReference w:id="40"/>
      </w:r>
      <w:r>
        <w:t xml:space="preserve">  </w:t>
      </w:r>
      <w:r w:rsidR="00B865E4">
        <w:t>TPG</w:t>
      </w:r>
      <w:r>
        <w:t xml:space="preserve">, however, </w:t>
      </w:r>
      <w:r w:rsidR="00B865E4">
        <w:t>does not hold programming interests</w:t>
      </w:r>
      <w:r>
        <w:rPr>
          <w:rStyle w:val="FootnoteReference"/>
        </w:rPr>
        <w:footnoteReference w:id="41"/>
      </w:r>
      <w:r w:rsidR="00B865E4">
        <w:t xml:space="preserve"> and </w:t>
      </w:r>
      <w:r>
        <w:t>AT&amp;T’s programming interests will not change.  T</w:t>
      </w:r>
      <w:r w:rsidR="00B865E4">
        <w:t xml:space="preserve">he present transaction </w:t>
      </w:r>
      <w:r>
        <w:t xml:space="preserve">therefore </w:t>
      </w:r>
      <w:r w:rsidR="00B865E4">
        <w:t xml:space="preserve">does not raise </w:t>
      </w:r>
      <w:r w:rsidRPr="00A96F4B" w:rsidR="00B865E4">
        <w:t>vertical integration concerns that the combined entity would discriminate against unaffiliated programmers.</w:t>
      </w:r>
      <w:r w:rsidR="00B865E4">
        <w:t xml:space="preserve">  </w:t>
      </w:r>
      <w:r w:rsidR="004E1B79">
        <w:t xml:space="preserve">Moreover, there is no evidence that </w:t>
      </w:r>
      <w:r w:rsidR="003A23A0">
        <w:t xml:space="preserve">the </w:t>
      </w:r>
      <w:r w:rsidR="004E1B79">
        <w:t>transaction would change the incentives that drive program carriage decisions made by DIRECTV.  For these reasons, w</w:t>
      </w:r>
      <w:r w:rsidR="00907C21">
        <w:t xml:space="preserve">e agree with the Applicants that </w:t>
      </w:r>
      <w:r w:rsidR="001823AF">
        <w:t xml:space="preserve">RMG has not established </w:t>
      </w:r>
      <w:r w:rsidR="00C5746A">
        <w:t>that</w:t>
      </w:r>
      <w:r w:rsidR="001823AF">
        <w:t xml:space="preserve"> </w:t>
      </w:r>
      <w:r w:rsidR="00907C21">
        <w:t xml:space="preserve">the proposed program carriage conditions </w:t>
      </w:r>
      <w:r w:rsidRPr="00C5746A" w:rsidR="00C5746A">
        <w:t xml:space="preserve">are appropriate here and </w:t>
      </w:r>
      <w:r w:rsidR="00C5746A">
        <w:t>w</w:t>
      </w:r>
      <w:r w:rsidR="00907C21">
        <w:t>e decline to adopt them.</w:t>
      </w:r>
    </w:p>
    <w:p w:rsidR="00A96F4B" w:rsidP="00A96F4B" w14:paraId="74133A70" w14:textId="31DBB9F6">
      <w:pPr>
        <w:pStyle w:val="Heading1"/>
      </w:pPr>
      <w:r>
        <w:t xml:space="preserve">CONCLUSION AND ORDERING CLAUSES </w:t>
      </w:r>
    </w:p>
    <w:p w:rsidR="00A96F4B" w:rsidP="00A96F4B" w14:paraId="5579D521" w14:textId="03E2A2D0">
      <w:pPr>
        <w:pStyle w:val="ParaNum"/>
      </w:pPr>
      <w:r>
        <w:t xml:space="preserve">Upon review of the Application and the record, </w:t>
      </w:r>
      <w:r w:rsidR="007E2769">
        <w:t xml:space="preserve">we find </w:t>
      </w:r>
      <w:r w:rsidR="008E41DB">
        <w:t>no evidence that the present transaction would result in any transaction-specific harm</w:t>
      </w:r>
      <w:r w:rsidR="004E449F">
        <w:t xml:space="preserve"> and </w:t>
      </w:r>
      <w:r>
        <w:t xml:space="preserve">conclude that grant of the Application </w:t>
      </w:r>
      <w:r w:rsidRPr="00571D6B" w:rsidR="00571D6B">
        <w:t>serve</w:t>
      </w:r>
      <w:r w:rsidR="00571D6B">
        <w:t>s</w:t>
      </w:r>
      <w:r w:rsidRPr="00571D6B" w:rsidR="00571D6B">
        <w:t xml:space="preserve"> the public interest, convenience, and necessity</w:t>
      </w:r>
      <w:r>
        <w:t>.</w:t>
      </w:r>
    </w:p>
    <w:p w:rsidR="001F5335" w:rsidP="009F29C1" w14:paraId="3808D2AB" w14:textId="7D010D98">
      <w:pPr>
        <w:pStyle w:val="ParaNum"/>
      </w:pPr>
      <w:r w:rsidRPr="001F5335">
        <w:t xml:space="preserve">Accordingly, IT IS ORDERED, pursuant to Sections 4(i) and (j), 303(r), 309, and 310(d) of the Communications Act of 1934, as amended, 47 U.S.C. §§ 154(i), 154(j), 303(r), 309, 310(d), and </w:t>
      </w:r>
      <w:r w:rsidR="009F29C1">
        <w:t>s</w:t>
      </w:r>
      <w:r w:rsidRPr="001F5335">
        <w:t>ection</w:t>
      </w:r>
      <w:r w:rsidR="00481340">
        <w:t>s</w:t>
      </w:r>
      <w:r w:rsidR="004E2A30">
        <w:t xml:space="preserve"> </w:t>
      </w:r>
      <w:r w:rsidRPr="005E4F71" w:rsidR="005E4F71">
        <w:t>0.261</w:t>
      </w:r>
      <w:r w:rsidR="006D238A">
        <w:t xml:space="preserve">, </w:t>
      </w:r>
      <w:r w:rsidRPr="004A0AFC" w:rsidR="004A0AFC">
        <w:t>0.331</w:t>
      </w:r>
      <w:r w:rsidR="004A0AFC">
        <w:t xml:space="preserve">, </w:t>
      </w:r>
      <w:r w:rsidRPr="00641A10" w:rsidR="006D238A">
        <w:t>1.948</w:t>
      </w:r>
      <w:r w:rsidR="006D238A">
        <w:t>,</w:t>
      </w:r>
      <w:r w:rsidR="005E4F71">
        <w:t xml:space="preserve"> and </w:t>
      </w:r>
      <w:r w:rsidRPr="001F5335">
        <w:t>25.119 of the Commission’s rules, 47 CFR §</w:t>
      </w:r>
      <w:r w:rsidRPr="005E4F71" w:rsidR="005E4F71">
        <w:t>§</w:t>
      </w:r>
      <w:r w:rsidR="005E4F71">
        <w:t xml:space="preserve"> </w:t>
      </w:r>
      <w:r w:rsidRPr="005E4F71" w:rsidR="005E4F71">
        <w:t>0.261</w:t>
      </w:r>
      <w:r w:rsidR="005E4F71">
        <w:t>,</w:t>
      </w:r>
      <w:r w:rsidR="004A0AFC">
        <w:t xml:space="preserve"> </w:t>
      </w:r>
      <w:r w:rsidRPr="004A0AFC" w:rsidR="004A0AFC">
        <w:t>0.331</w:t>
      </w:r>
      <w:r w:rsidR="004A0AFC">
        <w:t xml:space="preserve">, </w:t>
      </w:r>
      <w:r w:rsidRPr="00641A10" w:rsidR="006D238A">
        <w:t>1.948</w:t>
      </w:r>
      <w:r w:rsidR="006D238A">
        <w:t xml:space="preserve">, </w:t>
      </w:r>
      <w:r w:rsidRPr="001F5335">
        <w:t xml:space="preserve">25.119, that the </w:t>
      </w:r>
      <w:r w:rsidRPr="0002372B" w:rsidR="0002372B">
        <w:t xml:space="preserve">Applications of AT&amp;T Inc. and TPG Capital for Consent to Transfer Control of Licenses </w:t>
      </w:r>
      <w:r w:rsidR="00702E50">
        <w:t>ARE</w:t>
      </w:r>
      <w:r w:rsidRPr="001F5335">
        <w:t xml:space="preserve"> GRANTED.</w:t>
      </w:r>
    </w:p>
    <w:p w:rsidR="0029539C" w:rsidP="0029539C" w14:paraId="50B2CA67" w14:textId="092F9811">
      <w:pPr>
        <w:pStyle w:val="ParaNum"/>
      </w:pPr>
      <w:r w:rsidRPr="001F5335">
        <w:t xml:space="preserve">IT IS FURTHER ORDERED that the above grant shall include authority for </w:t>
      </w:r>
      <w:r w:rsidRPr="009F29C1" w:rsidR="009F29C1">
        <w:t>DIRECTV Entertainment Holdings LLC</w:t>
      </w:r>
      <w:r w:rsidRPr="001F5335">
        <w:t xml:space="preserve"> to acquire control of: (a) any </w:t>
      </w:r>
      <w:r w:rsidRPr="009F29C1" w:rsidR="009F29C1">
        <w:t xml:space="preserve">DIRECTV Enterprises, LLC </w:t>
      </w:r>
      <w:r w:rsidRPr="001F5335">
        <w:t xml:space="preserve">licenses and authorizations that may have been inadvertently omitted from the Application; (b) any licenses and authorizations issued to </w:t>
      </w:r>
      <w:r w:rsidRPr="009F29C1" w:rsidR="009F29C1">
        <w:t>DIRECTV Enterprises, LLC</w:t>
      </w:r>
      <w:r w:rsidR="00BD24A4">
        <w:t>,</w:t>
      </w:r>
      <w:r w:rsidRPr="009F29C1" w:rsidR="009F29C1">
        <w:t xml:space="preserve"> </w:t>
      </w:r>
      <w:r w:rsidRPr="001F5335">
        <w:t xml:space="preserve">or its subsidiaries during the Commission’s consideration of the Application or during the period required for consummation of the transaction following approval; and (c) any applications that have been filed by </w:t>
      </w:r>
      <w:r w:rsidRPr="009F29C1" w:rsidR="009F29C1">
        <w:t>DIRECTV Enterprises, LLC</w:t>
      </w:r>
      <w:r w:rsidR="00BD24A4">
        <w:t>,</w:t>
      </w:r>
      <w:r w:rsidRPr="009F29C1" w:rsidR="009F29C1">
        <w:t xml:space="preserve"> </w:t>
      </w:r>
      <w:r w:rsidRPr="001F5335">
        <w:t>or its subsidiaries and that are pending at the time of consummation.</w:t>
      </w:r>
    </w:p>
    <w:p w:rsidR="004556CC" w:rsidP="004556CC" w14:paraId="01E97675" w14:textId="74721568">
      <w:pPr>
        <w:pStyle w:val="ParaNum"/>
        <w:numPr>
          <w:ilvl w:val="0"/>
          <w:numId w:val="0"/>
        </w:numPr>
        <w:ind w:firstLine="720"/>
      </w:pPr>
    </w:p>
    <w:p w:rsidR="004556CC" w:rsidP="004556CC" w14:paraId="57AC2BBF" w14:textId="03171DA0">
      <w:pPr>
        <w:pStyle w:val="ParaNum"/>
        <w:numPr>
          <w:ilvl w:val="0"/>
          <w:numId w:val="0"/>
        </w:numPr>
        <w:ind w:firstLine="720"/>
      </w:pPr>
    </w:p>
    <w:p w:rsidR="004556CC" w:rsidP="004556CC" w14:paraId="28D8316F" w14:textId="08ED2C8C">
      <w:pPr>
        <w:pStyle w:val="ParaNum"/>
        <w:numPr>
          <w:ilvl w:val="0"/>
          <w:numId w:val="0"/>
        </w:numPr>
        <w:ind w:firstLine="720"/>
      </w:pPr>
    </w:p>
    <w:p w:rsidR="004556CC" w:rsidP="004556CC" w14:paraId="0DD2AA57" w14:textId="65DD76E9">
      <w:pPr>
        <w:pStyle w:val="ParaNum"/>
        <w:numPr>
          <w:ilvl w:val="0"/>
          <w:numId w:val="0"/>
        </w:numPr>
        <w:ind w:firstLine="720"/>
      </w:pPr>
    </w:p>
    <w:p w:rsidR="004556CC" w:rsidP="004556CC" w14:paraId="7C27C865" w14:textId="1D3FBF48">
      <w:pPr>
        <w:pStyle w:val="ParaNum"/>
        <w:numPr>
          <w:ilvl w:val="0"/>
          <w:numId w:val="0"/>
        </w:numPr>
        <w:ind w:firstLine="720"/>
      </w:pPr>
    </w:p>
    <w:p w:rsidR="004556CC" w:rsidP="004556CC" w14:paraId="3199F8E9" w14:textId="7AEECE9E">
      <w:pPr>
        <w:pStyle w:val="ParaNum"/>
        <w:numPr>
          <w:ilvl w:val="0"/>
          <w:numId w:val="0"/>
        </w:numPr>
        <w:ind w:firstLine="720"/>
      </w:pPr>
    </w:p>
    <w:p w:rsidR="004556CC" w:rsidP="004556CC" w14:paraId="36798AA5" w14:textId="6FC8B088">
      <w:pPr>
        <w:pStyle w:val="ParaNum"/>
        <w:numPr>
          <w:ilvl w:val="0"/>
          <w:numId w:val="0"/>
        </w:numPr>
        <w:ind w:firstLine="720"/>
      </w:pPr>
    </w:p>
    <w:p w:rsidR="004556CC" w:rsidP="004556CC" w14:paraId="01295463" w14:textId="77777777">
      <w:pPr>
        <w:pStyle w:val="ParaNum"/>
        <w:numPr>
          <w:ilvl w:val="0"/>
          <w:numId w:val="0"/>
        </w:numPr>
        <w:ind w:firstLine="720"/>
      </w:pPr>
    </w:p>
    <w:p w:rsidR="00A96F4B" w:rsidP="00205FCD" w14:paraId="484C8B7B" w14:textId="00720C66">
      <w:pPr>
        <w:pStyle w:val="ParaNum"/>
        <w:widowControl/>
        <w:spacing w:after="0"/>
      </w:pPr>
      <w:r w:rsidRPr="001F5335">
        <w:t xml:space="preserve">IT IS FURTHER ORDERED that this Memorandum Opinion and Order SHALL BE EFFECTIVE upon release, in accordance with </w:t>
      </w:r>
      <w:r w:rsidR="009F29C1">
        <w:t>s</w:t>
      </w:r>
      <w:r w:rsidRPr="001F5335">
        <w:t>ection 1.103 of the Commission’s rules, 47 CFR §</w:t>
      </w:r>
      <w:r w:rsidR="009F29C1">
        <w:t> </w:t>
      </w:r>
      <w:r w:rsidRPr="001F5335">
        <w:t>1.103.</w:t>
      </w:r>
    </w:p>
    <w:p w:rsidR="001F5335" w:rsidP="001F5335" w14:paraId="5417D9AE" w14:textId="77777777">
      <w:pPr>
        <w:pStyle w:val="ParaNum"/>
        <w:numPr>
          <w:ilvl w:val="0"/>
          <w:numId w:val="0"/>
        </w:numPr>
        <w:spacing w:after="0"/>
      </w:pPr>
    </w:p>
    <w:p w:rsidR="001F5335" w:rsidP="001F5335" w14:paraId="03F4B710" w14:textId="33EADC72">
      <w:pPr>
        <w:pStyle w:val="ParaNum"/>
        <w:numPr>
          <w:ilvl w:val="0"/>
          <w:numId w:val="0"/>
        </w:numPr>
        <w:spacing w:after="0"/>
        <w:ind w:left="4320"/>
      </w:pPr>
      <w:r>
        <w:t>FEDERAL COMMUNICATIONS COMMISSION</w:t>
      </w:r>
    </w:p>
    <w:p w:rsidR="001F5335" w:rsidP="001F5335" w14:paraId="48270034" w14:textId="77777777">
      <w:pPr>
        <w:pStyle w:val="ParaNum"/>
        <w:numPr>
          <w:ilvl w:val="0"/>
          <w:numId w:val="0"/>
        </w:numPr>
        <w:spacing w:after="0"/>
        <w:ind w:left="4320"/>
      </w:pPr>
    </w:p>
    <w:p w:rsidR="001F5335" w:rsidP="001F5335" w14:paraId="7673CB03" w14:textId="53402F25">
      <w:pPr>
        <w:pStyle w:val="ParaNum"/>
        <w:numPr>
          <w:ilvl w:val="0"/>
          <w:numId w:val="0"/>
        </w:numPr>
        <w:spacing w:after="0"/>
        <w:ind w:left="4320"/>
      </w:pPr>
    </w:p>
    <w:p w:rsidR="001F5335" w:rsidP="001F5335" w14:paraId="605D7E6C" w14:textId="7DC7E938">
      <w:pPr>
        <w:pStyle w:val="ParaNum"/>
        <w:numPr>
          <w:ilvl w:val="0"/>
          <w:numId w:val="0"/>
        </w:numPr>
        <w:spacing w:after="0"/>
        <w:ind w:left="4320"/>
      </w:pPr>
    </w:p>
    <w:p w:rsidR="001F5335" w:rsidP="001F5335" w14:paraId="794B1070" w14:textId="77777777">
      <w:pPr>
        <w:pStyle w:val="ParaNum"/>
        <w:numPr>
          <w:ilvl w:val="0"/>
          <w:numId w:val="0"/>
        </w:numPr>
        <w:spacing w:after="0"/>
        <w:ind w:left="4320"/>
      </w:pPr>
    </w:p>
    <w:p w:rsidR="00777433" w:rsidP="00777433" w14:paraId="014AFB6A" w14:textId="77777777">
      <w:pPr>
        <w:widowControl/>
        <w:ind w:left="3600" w:firstLine="720"/>
      </w:pPr>
      <w:r>
        <w:t>Thomas P. Sullivan</w:t>
      </w:r>
    </w:p>
    <w:p w:rsidR="00083B20" w:rsidP="00777433" w14:paraId="1982F6AD" w14:textId="77777777">
      <w:pPr>
        <w:widowControl/>
        <w:ind w:left="3600" w:firstLine="720"/>
      </w:pPr>
      <w:r>
        <w:t>Chief, International Bureau</w:t>
      </w:r>
    </w:p>
    <w:p w:rsidR="00083B20" w:rsidP="00777433" w14:paraId="77CAEB5F" w14:textId="77777777">
      <w:pPr>
        <w:widowControl/>
        <w:ind w:left="3600" w:firstLine="720"/>
      </w:pPr>
    </w:p>
    <w:p w:rsidR="00083B20" w:rsidP="00777433" w14:paraId="2E11F7E8" w14:textId="77777777">
      <w:pPr>
        <w:widowControl/>
        <w:ind w:left="3600" w:firstLine="720"/>
      </w:pPr>
    </w:p>
    <w:p w:rsidR="00083B20" w:rsidP="00777433" w14:paraId="43174527" w14:textId="0233FD81">
      <w:pPr>
        <w:widowControl/>
        <w:ind w:left="3600" w:firstLine="720"/>
      </w:pPr>
    </w:p>
    <w:p w:rsidR="00205FCD" w:rsidP="00777433" w14:paraId="1F90ECD8" w14:textId="77777777">
      <w:pPr>
        <w:widowControl/>
        <w:ind w:left="3600" w:firstLine="720"/>
      </w:pPr>
    </w:p>
    <w:p w:rsidR="00083B20" w:rsidP="00777433" w14:paraId="44A2F4E6" w14:textId="4BD231E8">
      <w:pPr>
        <w:widowControl/>
        <w:ind w:left="3600" w:firstLine="720"/>
      </w:pPr>
      <w:r w:rsidRPr="00083B20">
        <w:t xml:space="preserve">Joel </w:t>
      </w:r>
      <w:r w:rsidR="00597A38">
        <w:t>D</w:t>
      </w:r>
      <w:r>
        <w:t xml:space="preserve">. </w:t>
      </w:r>
      <w:r w:rsidRPr="00083B20">
        <w:t>Taubenblatt</w:t>
      </w:r>
    </w:p>
    <w:p w:rsidR="00A02B8A" w:rsidP="001F5631" w14:paraId="49E3EECA" w14:textId="22C3AA43">
      <w:pPr>
        <w:widowControl/>
        <w:ind w:left="3600" w:firstLine="720"/>
      </w:pPr>
      <w:r w:rsidRPr="00083B20">
        <w:t xml:space="preserve">Acting </w:t>
      </w:r>
      <w:r>
        <w:t>Chief, Wireless Telecommunications Bureau</w:t>
      </w:r>
      <w:r>
        <w:br w:type="page"/>
      </w:r>
    </w:p>
    <w:p w:rsidR="00A02B8A" w:rsidP="00A02B8A" w14:paraId="64F8936D" w14:textId="03732D3A">
      <w:pPr>
        <w:pStyle w:val="Heading1"/>
        <w:numPr>
          <w:ilvl w:val="0"/>
          <w:numId w:val="0"/>
        </w:numPr>
        <w:ind w:left="720" w:hanging="720"/>
        <w:jc w:val="center"/>
      </w:pPr>
      <w:r w:rsidRPr="00262BAF">
        <w:t>APPENDIX</w:t>
      </w:r>
    </w:p>
    <w:p w:rsidR="00CE5DD6" w:rsidRPr="00CE5DD6" w:rsidP="00CE5DD6" w14:paraId="749AAD0F" w14:textId="4166A71A">
      <w:pPr>
        <w:pStyle w:val="ParaNum"/>
        <w:numPr>
          <w:ilvl w:val="0"/>
          <w:numId w:val="0"/>
        </w:numPr>
        <w:jc w:val="center"/>
        <w:rPr>
          <w:b/>
          <w:bCs/>
        </w:rPr>
      </w:pPr>
      <w:r>
        <w:rPr>
          <w:b/>
          <w:bCs/>
        </w:rPr>
        <w:t>Licenses</w:t>
      </w:r>
      <w:r w:rsidRPr="00CE5DD6">
        <w:rPr>
          <w:b/>
          <w:bCs/>
        </w:rPr>
        <w:t xml:space="preserve"> </w:t>
      </w:r>
      <w:r>
        <w:rPr>
          <w:b/>
          <w:bCs/>
        </w:rPr>
        <w:t>t</w:t>
      </w:r>
      <w:r w:rsidRPr="00CE5DD6">
        <w:rPr>
          <w:b/>
          <w:bCs/>
        </w:rPr>
        <w:t xml:space="preserve">o </w:t>
      </w:r>
      <w:r>
        <w:rPr>
          <w:b/>
          <w:bCs/>
        </w:rPr>
        <w:t>B</w:t>
      </w:r>
      <w:r w:rsidRPr="00CE5DD6">
        <w:rPr>
          <w:b/>
          <w:bCs/>
        </w:rPr>
        <w:t>e Transferred</w:t>
      </w:r>
    </w:p>
    <w:p w:rsidR="00CE5DD6" w:rsidP="00CE5DD6" w14:paraId="3F8B0894" w14:textId="3D0D3A4C">
      <w:pPr>
        <w:pStyle w:val="ParaNum"/>
        <w:numPr>
          <w:ilvl w:val="0"/>
          <w:numId w:val="0"/>
        </w:numPr>
      </w:pPr>
    </w:p>
    <w:p w:rsidR="00CE5DD6" w:rsidRPr="007F0C1D" w:rsidP="00CE5DD6" w14:paraId="3F823EAA" w14:textId="63A769C2">
      <w:pPr>
        <w:pStyle w:val="ParaNum"/>
        <w:numPr>
          <w:ilvl w:val="0"/>
          <w:numId w:val="0"/>
        </w:numPr>
        <w:rPr>
          <w:b/>
          <w:bCs/>
        </w:rPr>
      </w:pPr>
      <w:r>
        <w:rPr>
          <w:b/>
          <w:bCs/>
        </w:rPr>
        <w:t xml:space="preserve">Part 25 – </w:t>
      </w:r>
      <w:r w:rsidRPr="007F0C1D" w:rsidR="00C5520F">
        <w:rPr>
          <w:b/>
          <w:bCs/>
        </w:rPr>
        <w:t>Space Station Licenses</w:t>
      </w:r>
    </w:p>
    <w:p w:rsidR="00CE5DD6" w:rsidRPr="00421DD4" w:rsidP="00CE5DD6" w14:paraId="7603896D" w14:textId="0AD7EE43">
      <w:pPr>
        <w:pStyle w:val="ParaNum"/>
        <w:numPr>
          <w:ilvl w:val="0"/>
          <w:numId w:val="0"/>
        </w:numPr>
        <w:rPr>
          <w:b/>
          <w:bCs/>
        </w:rPr>
      </w:pPr>
      <w:r w:rsidRPr="00421DD4">
        <w:rPr>
          <w:b/>
          <w:bCs/>
          <w:u w:val="single"/>
        </w:rPr>
        <w:t>File No.</w:t>
      </w:r>
      <w:r w:rsidRPr="00421DD4">
        <w:rPr>
          <w:b/>
          <w:bCs/>
        </w:rPr>
        <w:tab/>
      </w:r>
      <w:r w:rsidRPr="00421DD4">
        <w:rPr>
          <w:b/>
          <w:bCs/>
        </w:rPr>
        <w:tab/>
      </w:r>
      <w:r w:rsidRPr="00421DD4">
        <w:rPr>
          <w:b/>
          <w:bCs/>
        </w:rPr>
        <w:tab/>
      </w:r>
      <w:r w:rsidRPr="00421DD4">
        <w:rPr>
          <w:b/>
          <w:bCs/>
        </w:rPr>
        <w:tab/>
      </w:r>
      <w:r w:rsidRPr="00421DD4">
        <w:rPr>
          <w:b/>
          <w:bCs/>
          <w:u w:val="single"/>
        </w:rPr>
        <w:t>Licensee</w:t>
      </w:r>
      <w:r w:rsidRPr="00421DD4">
        <w:rPr>
          <w:b/>
          <w:bCs/>
        </w:rPr>
        <w:tab/>
      </w:r>
      <w:r w:rsidRPr="00421DD4">
        <w:rPr>
          <w:b/>
          <w:bCs/>
        </w:rPr>
        <w:tab/>
      </w:r>
      <w:r w:rsidRPr="00421DD4">
        <w:rPr>
          <w:b/>
          <w:bCs/>
        </w:rPr>
        <w:tab/>
      </w:r>
      <w:r w:rsidR="00C5520F">
        <w:rPr>
          <w:b/>
          <w:bCs/>
        </w:rPr>
        <w:tab/>
      </w:r>
      <w:r w:rsidRPr="00421DD4">
        <w:rPr>
          <w:b/>
          <w:bCs/>
          <w:u w:val="single"/>
        </w:rPr>
        <w:t>Lead Call Sign</w:t>
      </w:r>
    </w:p>
    <w:p w:rsidR="00CE5DD6" w:rsidP="00CE5DD6" w14:paraId="6EC024BA" w14:textId="5B26A428">
      <w:pPr>
        <w:pStyle w:val="ParaNum"/>
        <w:numPr>
          <w:ilvl w:val="0"/>
          <w:numId w:val="0"/>
        </w:numPr>
      </w:pPr>
      <w:r>
        <w:t>SAT-T/C-20210322-00037</w:t>
      </w:r>
      <w:r>
        <w:tab/>
      </w:r>
      <w:r>
        <w:tab/>
      </w:r>
      <w:r w:rsidRPr="00C5520F" w:rsidR="00C5520F">
        <w:t>DIRECTV Enterprises, LLC</w:t>
      </w:r>
      <w:r>
        <w:tab/>
      </w:r>
      <w:r w:rsidR="00C5520F">
        <w:tab/>
      </w:r>
      <w:r w:rsidRPr="00CE5DD6">
        <w:t>S2632</w:t>
      </w:r>
    </w:p>
    <w:p w:rsidR="00CE5DD6" w:rsidP="00CE5DD6" w14:paraId="6FFD2DA8" w14:textId="545A97F9">
      <w:pPr>
        <w:pStyle w:val="ParaNum"/>
        <w:numPr>
          <w:ilvl w:val="0"/>
          <w:numId w:val="0"/>
        </w:numPr>
      </w:pPr>
      <w:r>
        <w:t>SAT-T/C-20210322-00038</w:t>
      </w:r>
      <w:r w:rsidR="00421DD4">
        <w:tab/>
      </w:r>
      <w:r w:rsidR="00421DD4">
        <w:tab/>
      </w:r>
      <w:r w:rsidRPr="00C5520F" w:rsidR="00C5520F">
        <w:t>DIRECTV Enterprises, LLC</w:t>
      </w:r>
      <w:r w:rsidR="00421DD4">
        <w:tab/>
      </w:r>
      <w:r w:rsidR="00C5520F">
        <w:tab/>
      </w:r>
      <w:r w:rsidRPr="00421DD4" w:rsidR="00421DD4">
        <w:t>S2640</w:t>
      </w:r>
    </w:p>
    <w:p w:rsidR="00421DD4" w:rsidP="00CE5DD6" w14:paraId="3872A5AA" w14:textId="214A29DA">
      <w:pPr>
        <w:pStyle w:val="ParaNum"/>
        <w:numPr>
          <w:ilvl w:val="0"/>
          <w:numId w:val="0"/>
        </w:numPr>
      </w:pPr>
    </w:p>
    <w:p w:rsidR="00421DD4" w:rsidRPr="007F0C1D" w:rsidP="00CE5DD6" w14:paraId="35344FCF" w14:textId="6434B559">
      <w:pPr>
        <w:pStyle w:val="ParaNum"/>
        <w:numPr>
          <w:ilvl w:val="0"/>
          <w:numId w:val="0"/>
        </w:numPr>
        <w:rPr>
          <w:b/>
          <w:bCs/>
        </w:rPr>
      </w:pPr>
      <w:r>
        <w:rPr>
          <w:b/>
          <w:bCs/>
        </w:rPr>
        <w:t xml:space="preserve">Part 25 – </w:t>
      </w:r>
      <w:r w:rsidRPr="007F0C1D" w:rsidR="00C5520F">
        <w:rPr>
          <w:b/>
          <w:bCs/>
        </w:rPr>
        <w:t>Earth Station Licenses</w:t>
      </w:r>
    </w:p>
    <w:p w:rsidR="00421DD4" w:rsidRPr="00421DD4" w:rsidP="00421DD4" w14:paraId="66831BF9" w14:textId="3285193A">
      <w:pPr>
        <w:pStyle w:val="ParaNum"/>
        <w:numPr>
          <w:ilvl w:val="0"/>
          <w:numId w:val="0"/>
        </w:numPr>
        <w:rPr>
          <w:b/>
          <w:bCs/>
        </w:rPr>
      </w:pPr>
      <w:r w:rsidRPr="00421DD4">
        <w:rPr>
          <w:b/>
          <w:bCs/>
          <w:u w:val="single"/>
        </w:rPr>
        <w:t>File No.</w:t>
      </w:r>
      <w:r w:rsidRPr="00421DD4">
        <w:rPr>
          <w:b/>
          <w:bCs/>
        </w:rPr>
        <w:tab/>
      </w:r>
      <w:r w:rsidRPr="00421DD4">
        <w:rPr>
          <w:b/>
          <w:bCs/>
        </w:rPr>
        <w:tab/>
      </w:r>
      <w:r w:rsidRPr="00421DD4">
        <w:rPr>
          <w:b/>
          <w:bCs/>
        </w:rPr>
        <w:tab/>
      </w:r>
      <w:r w:rsidRPr="00421DD4">
        <w:rPr>
          <w:b/>
          <w:bCs/>
        </w:rPr>
        <w:tab/>
      </w:r>
      <w:r w:rsidRPr="00421DD4">
        <w:rPr>
          <w:b/>
          <w:bCs/>
          <w:u w:val="single"/>
        </w:rPr>
        <w:t>Licensee</w:t>
      </w:r>
      <w:r w:rsidRPr="00421DD4">
        <w:rPr>
          <w:b/>
          <w:bCs/>
        </w:rPr>
        <w:tab/>
      </w:r>
      <w:r w:rsidRPr="00421DD4">
        <w:rPr>
          <w:b/>
          <w:bCs/>
        </w:rPr>
        <w:tab/>
      </w:r>
      <w:r w:rsidRPr="00421DD4">
        <w:rPr>
          <w:b/>
          <w:bCs/>
        </w:rPr>
        <w:tab/>
      </w:r>
      <w:r w:rsidR="00C5520F">
        <w:rPr>
          <w:b/>
          <w:bCs/>
        </w:rPr>
        <w:tab/>
      </w:r>
      <w:r w:rsidRPr="00421DD4">
        <w:rPr>
          <w:b/>
          <w:bCs/>
          <w:u w:val="single"/>
        </w:rPr>
        <w:t>Lead Call Sign</w:t>
      </w:r>
    </w:p>
    <w:p w:rsidR="00421DD4" w:rsidP="00421DD4" w14:paraId="74570E33" w14:textId="297EB122">
      <w:pPr>
        <w:pStyle w:val="ParaNum"/>
        <w:numPr>
          <w:ilvl w:val="0"/>
          <w:numId w:val="0"/>
        </w:numPr>
      </w:pPr>
      <w:r>
        <w:t>SES-T/C-20210322-00546</w:t>
      </w:r>
      <w:r>
        <w:tab/>
      </w:r>
      <w:r>
        <w:tab/>
      </w:r>
      <w:r w:rsidRPr="00C5520F" w:rsidR="00C5520F">
        <w:t>DIRECTV Enterprises, LLC</w:t>
      </w:r>
      <w:r>
        <w:tab/>
      </w:r>
      <w:r w:rsidR="00C5520F">
        <w:tab/>
      </w:r>
      <w:r w:rsidRPr="00421DD4">
        <w:t>E010129</w:t>
      </w:r>
    </w:p>
    <w:p w:rsidR="00421DD4" w:rsidP="00421DD4" w14:paraId="2CA32161" w14:textId="4806EA81">
      <w:pPr>
        <w:pStyle w:val="ParaNum"/>
        <w:numPr>
          <w:ilvl w:val="0"/>
          <w:numId w:val="0"/>
        </w:numPr>
      </w:pPr>
      <w:r>
        <w:t>SES-T/C-20210322-00547</w:t>
      </w:r>
      <w:r>
        <w:tab/>
      </w:r>
      <w:r>
        <w:tab/>
      </w:r>
      <w:r w:rsidRPr="00C5520F" w:rsidR="00C5520F">
        <w:t>DIRECTV Enterprises, LLC</w:t>
      </w:r>
      <w:r>
        <w:tab/>
      </w:r>
      <w:r w:rsidR="00C5520F">
        <w:tab/>
      </w:r>
      <w:r w:rsidRPr="00421DD4">
        <w:t>E050340</w:t>
      </w:r>
    </w:p>
    <w:p w:rsidR="004A0AFC" w:rsidP="00421DD4" w14:paraId="4C5F44C8" w14:textId="7DDE9866">
      <w:pPr>
        <w:pStyle w:val="ParaNum"/>
        <w:numPr>
          <w:ilvl w:val="0"/>
          <w:numId w:val="0"/>
        </w:numPr>
      </w:pPr>
    </w:p>
    <w:p w:rsidR="004A0AFC" w:rsidRPr="007F0C1D" w:rsidP="004A0AFC" w14:paraId="3A55C588" w14:textId="77777777">
      <w:pPr>
        <w:pStyle w:val="ParaNum"/>
        <w:numPr>
          <w:ilvl w:val="0"/>
          <w:numId w:val="0"/>
        </w:numPr>
        <w:rPr>
          <w:b/>
          <w:bCs/>
        </w:rPr>
      </w:pPr>
      <w:r>
        <w:rPr>
          <w:b/>
          <w:bCs/>
        </w:rPr>
        <w:t>Part 90 – Private L</w:t>
      </w:r>
      <w:r w:rsidRPr="003E37EB">
        <w:rPr>
          <w:b/>
          <w:bCs/>
        </w:rPr>
        <w:t xml:space="preserve">and </w:t>
      </w:r>
      <w:r>
        <w:rPr>
          <w:b/>
          <w:bCs/>
        </w:rPr>
        <w:t>M</w:t>
      </w:r>
      <w:r w:rsidRPr="003E37EB">
        <w:rPr>
          <w:b/>
          <w:bCs/>
        </w:rPr>
        <w:t xml:space="preserve">obile </w:t>
      </w:r>
      <w:r>
        <w:rPr>
          <w:b/>
          <w:bCs/>
        </w:rPr>
        <w:t>R</w:t>
      </w:r>
      <w:r w:rsidRPr="003E37EB">
        <w:rPr>
          <w:b/>
          <w:bCs/>
        </w:rPr>
        <w:t xml:space="preserve">adio </w:t>
      </w:r>
      <w:r>
        <w:rPr>
          <w:b/>
          <w:bCs/>
        </w:rPr>
        <w:t>L</w:t>
      </w:r>
      <w:r w:rsidRPr="003E37EB">
        <w:rPr>
          <w:b/>
          <w:bCs/>
        </w:rPr>
        <w:t>icenses</w:t>
      </w:r>
    </w:p>
    <w:p w:rsidR="004A0AFC" w:rsidRPr="00421DD4" w:rsidP="004A0AFC" w14:paraId="0787D46B" w14:textId="77777777">
      <w:pPr>
        <w:pStyle w:val="ParaNum"/>
        <w:numPr>
          <w:ilvl w:val="0"/>
          <w:numId w:val="0"/>
        </w:numPr>
        <w:rPr>
          <w:b/>
          <w:bCs/>
        </w:rPr>
      </w:pPr>
      <w:r w:rsidRPr="00421DD4">
        <w:rPr>
          <w:b/>
          <w:bCs/>
          <w:u w:val="single"/>
        </w:rPr>
        <w:t>File No.</w:t>
      </w:r>
      <w:r w:rsidRPr="00421DD4">
        <w:rPr>
          <w:b/>
          <w:bCs/>
        </w:rPr>
        <w:tab/>
      </w:r>
      <w:r w:rsidRPr="00421DD4">
        <w:rPr>
          <w:b/>
          <w:bCs/>
        </w:rPr>
        <w:tab/>
      </w:r>
      <w:r w:rsidRPr="00421DD4">
        <w:rPr>
          <w:b/>
          <w:bCs/>
        </w:rPr>
        <w:tab/>
      </w:r>
      <w:r w:rsidRPr="00421DD4">
        <w:rPr>
          <w:b/>
          <w:bCs/>
        </w:rPr>
        <w:tab/>
      </w:r>
      <w:r w:rsidRPr="00421DD4">
        <w:rPr>
          <w:b/>
          <w:bCs/>
          <w:u w:val="single"/>
        </w:rPr>
        <w:t>Licensee</w:t>
      </w:r>
      <w:r w:rsidRPr="00421DD4">
        <w:rPr>
          <w:b/>
          <w:bCs/>
        </w:rPr>
        <w:tab/>
      </w:r>
      <w:r w:rsidRPr="00421DD4">
        <w:rPr>
          <w:b/>
          <w:bCs/>
        </w:rPr>
        <w:tab/>
      </w:r>
      <w:r w:rsidRPr="00421DD4">
        <w:rPr>
          <w:b/>
          <w:bCs/>
        </w:rPr>
        <w:tab/>
      </w:r>
      <w:r>
        <w:rPr>
          <w:b/>
          <w:bCs/>
        </w:rPr>
        <w:tab/>
      </w:r>
      <w:r w:rsidRPr="00421DD4">
        <w:rPr>
          <w:b/>
          <w:bCs/>
          <w:u w:val="single"/>
        </w:rPr>
        <w:t>Lead Call Sign</w:t>
      </w:r>
    </w:p>
    <w:p w:rsidR="004A0AFC" w:rsidP="00421DD4" w14:paraId="5F8988E6" w14:textId="4B3B25DA">
      <w:pPr>
        <w:pStyle w:val="ParaNum"/>
        <w:numPr>
          <w:ilvl w:val="0"/>
          <w:numId w:val="0"/>
        </w:numPr>
      </w:pPr>
      <w:r w:rsidRPr="007F0C1D">
        <w:t>0009450204</w:t>
      </w:r>
      <w:r>
        <w:tab/>
      </w:r>
      <w:r>
        <w:tab/>
      </w:r>
      <w:r>
        <w:tab/>
      </w:r>
      <w:r>
        <w:tab/>
      </w:r>
      <w:r w:rsidRPr="007F0C1D">
        <w:t>DIRECTV Enterprises, LLC</w:t>
      </w:r>
      <w:r>
        <w:tab/>
      </w:r>
      <w:r>
        <w:tab/>
      </w:r>
      <w:r w:rsidRPr="007F0C1D">
        <w:t>WPTZ691</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CF82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C7D7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5D87F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DA0417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3FDF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84E" w14:paraId="22771A67" w14:textId="77777777">
      <w:r>
        <w:separator/>
      </w:r>
    </w:p>
  </w:footnote>
  <w:footnote w:type="continuationSeparator" w:id="1">
    <w:p w:rsidR="0090184E" w:rsidP="00C721AC" w14:paraId="0867A17E" w14:textId="77777777">
      <w:pPr>
        <w:spacing w:before="120"/>
        <w:rPr>
          <w:sz w:val="20"/>
        </w:rPr>
      </w:pPr>
      <w:r>
        <w:rPr>
          <w:sz w:val="20"/>
        </w:rPr>
        <w:t xml:space="preserve">(Continued from previous page)  </w:t>
      </w:r>
      <w:r>
        <w:rPr>
          <w:sz w:val="20"/>
        </w:rPr>
        <w:separator/>
      </w:r>
    </w:p>
  </w:footnote>
  <w:footnote w:type="continuationNotice" w:id="2">
    <w:p w:rsidR="0090184E" w:rsidP="00C721AC" w14:paraId="5F9496AC" w14:textId="77777777">
      <w:pPr>
        <w:jc w:val="right"/>
        <w:rPr>
          <w:sz w:val="20"/>
        </w:rPr>
      </w:pPr>
      <w:r>
        <w:rPr>
          <w:sz w:val="20"/>
        </w:rPr>
        <w:t>(continued….)</w:t>
      </w:r>
    </w:p>
  </w:footnote>
  <w:footnote w:id="3">
    <w:p w:rsidR="00B47608" w:rsidP="006B289B" w14:paraId="0115A6C5" w14:textId="55056EE8">
      <w:pPr>
        <w:pStyle w:val="FootnoteText"/>
      </w:pPr>
      <w:r>
        <w:rPr>
          <w:rStyle w:val="FootnoteReference"/>
        </w:rPr>
        <w:footnoteRef/>
      </w:r>
      <w:r>
        <w:t xml:space="preserve"> </w:t>
      </w:r>
      <w:r w:rsidRPr="00B47608">
        <w:rPr>
          <w:i/>
          <w:iCs/>
        </w:rPr>
        <w:t>See</w:t>
      </w:r>
      <w:r>
        <w:t xml:space="preserve"> 47 U.S.C. § 310(d); </w:t>
      </w:r>
      <w:r w:rsidR="006B289B">
        <w:t>Applications of AT&amp;T Inc.</w:t>
      </w:r>
      <w:r w:rsidR="0002372B">
        <w:t xml:space="preserve"> and</w:t>
      </w:r>
      <w:r w:rsidR="006B289B">
        <w:t xml:space="preserve"> TPG</w:t>
      </w:r>
      <w:r w:rsidR="0064525F">
        <w:t xml:space="preserve"> Capital</w:t>
      </w:r>
      <w:r w:rsidR="006B289B">
        <w:t xml:space="preserve"> for Consent to Transfer </w:t>
      </w:r>
      <w:r w:rsidR="00C66D34">
        <w:t xml:space="preserve">Control of </w:t>
      </w:r>
      <w:r w:rsidR="006B289B">
        <w:t xml:space="preserve">Licenses </w:t>
      </w:r>
      <w:r>
        <w:t xml:space="preserve">(filed </w:t>
      </w:r>
      <w:r w:rsidR="00F06D4B">
        <w:t>Mar</w:t>
      </w:r>
      <w:r>
        <w:t xml:space="preserve">. </w:t>
      </w:r>
      <w:r w:rsidR="00F06D4B">
        <w:t>22</w:t>
      </w:r>
      <w:r>
        <w:t>, 20</w:t>
      </w:r>
      <w:r w:rsidR="00F06D4B">
        <w:t>21, amended Apr. 2</w:t>
      </w:r>
      <w:r w:rsidR="0036493A">
        <w:t>2</w:t>
      </w:r>
      <w:r w:rsidR="00F06D4B">
        <w:t>, 2021</w:t>
      </w:r>
      <w:r>
        <w:t>) (Application)</w:t>
      </w:r>
      <w:r w:rsidR="005262EF">
        <w:t xml:space="preserve">; </w:t>
      </w:r>
      <w:r w:rsidRPr="00641A10" w:rsidR="005262EF">
        <w:rPr>
          <w:i/>
          <w:iCs/>
        </w:rPr>
        <w:t>see also</w:t>
      </w:r>
      <w:r w:rsidR="005262EF">
        <w:t xml:space="preserve"> 47 CFR </w:t>
      </w:r>
      <w:r w:rsidR="006D238A">
        <w:t xml:space="preserve">§§ </w:t>
      </w:r>
      <w:r w:rsidRPr="00641A10" w:rsidR="006D238A">
        <w:t>1.948</w:t>
      </w:r>
      <w:r w:rsidR="006D238A">
        <w:t xml:space="preserve">, </w:t>
      </w:r>
      <w:r w:rsidR="005262EF">
        <w:t>25.119</w:t>
      </w:r>
      <w:r>
        <w:t xml:space="preserve">. </w:t>
      </w:r>
      <w:r w:rsidR="005262EF">
        <w:t xml:space="preserve"> </w:t>
      </w:r>
      <w:r>
        <w:t xml:space="preserve">Page citations to the Application refer to the public interest statement submitted </w:t>
      </w:r>
      <w:r w:rsidR="006B289B">
        <w:t xml:space="preserve">as Exhibit A </w:t>
      </w:r>
      <w:r>
        <w:t xml:space="preserve">in </w:t>
      </w:r>
      <w:r w:rsidR="006B289B">
        <w:t xml:space="preserve">IBFS File No. </w:t>
      </w:r>
      <w:r w:rsidRPr="006B289B" w:rsidR="006B289B">
        <w:t>SAT-T/C-20210322-00037</w:t>
      </w:r>
      <w:r w:rsidR="006B289B">
        <w:t>.</w:t>
      </w:r>
    </w:p>
  </w:footnote>
  <w:footnote w:id="4">
    <w:p w:rsidR="00C302A0" w14:paraId="63768498" w14:textId="44BE689D">
      <w:pPr>
        <w:pStyle w:val="FootnoteText"/>
      </w:pPr>
      <w:r>
        <w:rPr>
          <w:rStyle w:val="FootnoteReference"/>
        </w:rPr>
        <w:footnoteRef/>
      </w:r>
      <w:r>
        <w:t xml:space="preserve"> </w:t>
      </w:r>
      <w:r w:rsidRPr="00C302A0">
        <w:rPr>
          <w:i/>
          <w:iCs/>
        </w:rPr>
        <w:t>See</w:t>
      </w:r>
      <w:r>
        <w:t xml:space="preserve"> Application at 2.</w:t>
      </w:r>
    </w:p>
  </w:footnote>
  <w:footnote w:id="5">
    <w:p w:rsidR="00843A8C" w14:paraId="014240B0" w14:textId="3799C5D2">
      <w:pPr>
        <w:pStyle w:val="FootnoteText"/>
      </w:pPr>
      <w:r>
        <w:rPr>
          <w:rStyle w:val="FootnoteReference"/>
        </w:rPr>
        <w:footnoteRef/>
      </w:r>
      <w:r>
        <w:t xml:space="preserve"> AT&amp;T </w:t>
      </w:r>
      <w:r w:rsidR="00EB4A9B">
        <w:t xml:space="preserve">Inc. </w:t>
      </w:r>
      <w:r>
        <w:t xml:space="preserve">Annual Report </w:t>
      </w:r>
      <w:r w:rsidR="00EB4A9B">
        <w:t xml:space="preserve">(Form 10-K) </w:t>
      </w:r>
      <w:r>
        <w:t>at 19</w:t>
      </w:r>
      <w:r w:rsidR="003A23A0">
        <w:t>-</w:t>
      </w:r>
      <w:r>
        <w:t>22</w:t>
      </w:r>
      <w:r w:rsidR="00DE76AB">
        <w:t xml:space="preserve"> (Feb. 25, 2021).</w:t>
      </w:r>
    </w:p>
  </w:footnote>
  <w:footnote w:id="6">
    <w:p w:rsidR="00CE431A" w14:paraId="4B92B41F" w14:textId="38273896">
      <w:pPr>
        <w:pStyle w:val="FootnoteText"/>
      </w:pPr>
      <w:r>
        <w:rPr>
          <w:rStyle w:val="FootnoteReference"/>
        </w:rPr>
        <w:footnoteRef/>
      </w:r>
      <w:r>
        <w:t xml:space="preserve"> </w:t>
      </w:r>
      <w:r w:rsidR="00262FCB">
        <w:rPr>
          <w:i/>
          <w:iCs/>
        </w:rPr>
        <w:t>I</w:t>
      </w:r>
      <w:r w:rsidRPr="00CE431A">
        <w:rPr>
          <w:i/>
          <w:iCs/>
        </w:rPr>
        <w:t>d.</w:t>
      </w:r>
      <w:r>
        <w:t xml:space="preserve"> at </w:t>
      </w:r>
      <w:r w:rsidR="00262FCB">
        <w:t>21</w:t>
      </w:r>
      <w:r>
        <w:t>.</w:t>
      </w:r>
    </w:p>
  </w:footnote>
  <w:footnote w:id="7">
    <w:p w:rsidR="008424FB" w14:paraId="618C43CE" w14:textId="2146D4AB">
      <w:pPr>
        <w:pStyle w:val="FootnoteText"/>
      </w:pPr>
      <w:r>
        <w:rPr>
          <w:rStyle w:val="FootnoteReference"/>
        </w:rPr>
        <w:footnoteRef/>
      </w:r>
      <w:r>
        <w:t xml:space="preserve"> </w:t>
      </w:r>
      <w:r w:rsidR="001B24F6">
        <w:t xml:space="preserve">Application </w:t>
      </w:r>
      <w:r>
        <w:t>at 4.</w:t>
      </w:r>
    </w:p>
  </w:footnote>
  <w:footnote w:id="8">
    <w:p w:rsidR="00363CA0" w14:paraId="1069E1FC" w14:textId="27C408BF">
      <w:pPr>
        <w:pStyle w:val="FootnoteText"/>
      </w:pPr>
      <w:r>
        <w:rPr>
          <w:rStyle w:val="FootnoteReference"/>
        </w:rPr>
        <w:footnoteRef/>
      </w:r>
      <w:r>
        <w:t xml:space="preserve"> </w:t>
      </w:r>
      <w:r w:rsidRPr="00363CA0">
        <w:rPr>
          <w:i/>
          <w:iCs/>
        </w:rPr>
        <w:t>Id.</w:t>
      </w:r>
      <w:r>
        <w:t xml:space="preserve"> at 3.</w:t>
      </w:r>
    </w:p>
  </w:footnote>
  <w:footnote w:id="9">
    <w:p w:rsidR="00EB1829" w14:paraId="7E8A4775" w14:textId="267CCFC3">
      <w:pPr>
        <w:pStyle w:val="FootnoteText"/>
      </w:pPr>
      <w:r>
        <w:rPr>
          <w:rStyle w:val="FootnoteReference"/>
        </w:rPr>
        <w:footnoteRef/>
      </w:r>
      <w:r>
        <w:t xml:space="preserve"> </w:t>
      </w:r>
      <w:r w:rsidR="00E85FB9">
        <w:rPr>
          <w:i/>
          <w:iCs/>
        </w:rPr>
        <w:t>See i</w:t>
      </w:r>
      <w:r w:rsidRPr="00EB1829">
        <w:rPr>
          <w:i/>
          <w:iCs/>
        </w:rPr>
        <w:t>d.</w:t>
      </w:r>
      <w:r>
        <w:t xml:space="preserve"> at 4.</w:t>
      </w:r>
    </w:p>
  </w:footnote>
  <w:footnote w:id="10">
    <w:p w:rsidR="00DC21AC" w14:paraId="1C39770C" w14:textId="674FA846">
      <w:pPr>
        <w:pStyle w:val="FootnoteText"/>
      </w:pPr>
      <w:r>
        <w:rPr>
          <w:rStyle w:val="FootnoteReference"/>
        </w:rPr>
        <w:footnoteRef/>
      </w:r>
      <w:r>
        <w:t xml:space="preserve"> </w:t>
      </w:r>
      <w:r w:rsidRPr="00DC21AC">
        <w:rPr>
          <w:i/>
          <w:iCs/>
        </w:rPr>
        <w:t>See</w:t>
      </w:r>
      <w:r w:rsidR="009E342D">
        <w:rPr>
          <w:i/>
          <w:iCs/>
        </w:rPr>
        <w:t>, e.g.,</w:t>
      </w:r>
      <w:r w:rsidRPr="00DC21AC">
        <w:rPr>
          <w:i/>
          <w:iCs/>
        </w:rPr>
        <w:t xml:space="preserve"> Applications Granted for the Transfer of Control of Subsidiaries of Radiate Holdings, L.P. to Stonepeak Associates IV LLC</w:t>
      </w:r>
      <w:r>
        <w:t xml:space="preserve">, Public Notice, </w:t>
      </w:r>
      <w:r w:rsidRPr="00DC21AC">
        <w:t>DA 21-634</w:t>
      </w:r>
      <w:r>
        <w:t xml:space="preserve"> (WCB </w:t>
      </w:r>
      <w:r w:rsidR="001E7FD9">
        <w:t>and</w:t>
      </w:r>
      <w:r>
        <w:t xml:space="preserve"> IB May 28, 2021)</w:t>
      </w:r>
      <w:r w:rsidR="001E7FD9">
        <w:t>;</w:t>
      </w:r>
      <w:r w:rsidR="00DF19A1">
        <w:t xml:space="preserve"> </w:t>
      </w:r>
      <w:r w:rsidRPr="00DF19A1" w:rsidR="00DF19A1">
        <w:rPr>
          <w:i/>
          <w:iCs/>
        </w:rPr>
        <w:t>Stamp Grant</w:t>
      </w:r>
      <w:r w:rsidR="00DF19A1">
        <w:t>, IBFS File No.</w:t>
      </w:r>
      <w:r w:rsidRPr="00DF19A1" w:rsidR="00DF19A1">
        <w:t xml:space="preserve"> </w:t>
      </w:r>
      <w:r w:rsidR="00DF19A1">
        <w:t>SES-</w:t>
      </w:r>
      <w:r w:rsidRPr="00DF19A1" w:rsidR="00DF19A1">
        <w:t xml:space="preserve">T/C-20201202-01289 </w:t>
      </w:r>
      <w:r w:rsidR="00DF19A1">
        <w:t>(</w:t>
      </w:r>
      <w:r w:rsidR="009E342D">
        <w:t>IB</w:t>
      </w:r>
      <w:r w:rsidR="00FD3F74">
        <w:t>-</w:t>
      </w:r>
      <w:r w:rsidR="008263A6">
        <w:t>SD</w:t>
      </w:r>
      <w:r w:rsidR="009E342D">
        <w:t xml:space="preserve"> </w:t>
      </w:r>
      <w:r w:rsidR="00DF19A1">
        <w:t>granted June 1, 2021)</w:t>
      </w:r>
      <w:r>
        <w:t>.</w:t>
      </w:r>
    </w:p>
  </w:footnote>
  <w:footnote w:id="11">
    <w:p w:rsidR="00A064E5" w:rsidRPr="00FA7BCB" w:rsidP="00FA7BCB" w14:paraId="504F0FA6" w14:textId="0C9AA8FE">
      <w:pPr>
        <w:pStyle w:val="FootnoteText"/>
      </w:pPr>
      <w:r>
        <w:rPr>
          <w:rStyle w:val="FootnoteReference"/>
        </w:rPr>
        <w:footnoteRef/>
      </w:r>
      <w:r>
        <w:t xml:space="preserve"> Application at </w:t>
      </w:r>
      <w:r w:rsidR="000C2823">
        <w:t>4</w:t>
      </w:r>
      <w:r>
        <w:t>.</w:t>
      </w:r>
      <w:r w:rsidR="00FA7BCB">
        <w:t xml:space="preserve">  AT&amp;T is retaining its Vrio Latin American satellite television business, its Sky Mexico investment, its regional sports networks, the U-verse network facility assets, the HBO Max streaming platform, and the other WarnerMedia businesses.  </w:t>
      </w:r>
      <w:r w:rsidR="00FA7BCB">
        <w:rPr>
          <w:i/>
          <w:iCs/>
        </w:rPr>
        <w:t xml:space="preserve">Id. </w:t>
      </w:r>
      <w:r w:rsidR="00FA7BCB">
        <w:t>at 2 n.1.</w:t>
      </w:r>
    </w:p>
  </w:footnote>
  <w:footnote w:id="12">
    <w:p w:rsidR="00BD6EA3" w:rsidRPr="005D1E5D" w14:paraId="0C0C3928" w14:textId="1651C35F">
      <w:pPr>
        <w:pStyle w:val="FootnoteText"/>
      </w:pPr>
      <w:r>
        <w:rPr>
          <w:rStyle w:val="FootnoteReference"/>
        </w:rPr>
        <w:footnoteRef/>
      </w:r>
      <w:r>
        <w:t xml:space="preserve"> </w:t>
      </w:r>
      <w:r w:rsidRPr="00BD6EA3">
        <w:rPr>
          <w:i/>
          <w:iCs/>
        </w:rPr>
        <w:t>Id.</w:t>
      </w:r>
      <w:r w:rsidR="005D1E5D">
        <w:t xml:space="preserve"> at 4.</w:t>
      </w:r>
    </w:p>
  </w:footnote>
  <w:footnote w:id="13">
    <w:p w:rsidR="006934B5" w:rsidRPr="0029539C" w:rsidP="006934B5" w14:paraId="16D8F613" w14:textId="679C62A1">
      <w:pPr>
        <w:widowControl/>
        <w:autoSpaceDE w:val="0"/>
        <w:autoSpaceDN w:val="0"/>
        <w:adjustRightInd w:val="0"/>
        <w:rPr>
          <w:snapToGrid/>
          <w:color w:val="000000"/>
          <w:kern w:val="0"/>
          <w:sz w:val="20"/>
        </w:rPr>
      </w:pPr>
      <w:r>
        <w:rPr>
          <w:rStyle w:val="FootnoteReference"/>
        </w:rPr>
        <w:footnoteRef/>
      </w:r>
      <w:r>
        <w:t xml:space="preserve"> </w:t>
      </w:r>
      <w:r w:rsidRPr="0029539C">
        <w:rPr>
          <w:i/>
          <w:iCs/>
          <w:sz w:val="20"/>
        </w:rPr>
        <w:t>Id.</w:t>
      </w:r>
      <w:r w:rsidRPr="0029539C">
        <w:rPr>
          <w:sz w:val="20"/>
        </w:rPr>
        <w:t xml:space="preserve"> at 4-5.</w:t>
      </w:r>
      <w:r w:rsidRPr="0029539C" w:rsidR="00C30BAC">
        <w:rPr>
          <w:sz w:val="20"/>
        </w:rPr>
        <w:t xml:space="preserve"> </w:t>
      </w:r>
      <w:r w:rsidR="00E15602">
        <w:rPr>
          <w:sz w:val="20"/>
        </w:rPr>
        <w:t xml:space="preserve"> </w:t>
      </w:r>
      <w:r w:rsidRPr="0029539C">
        <w:rPr>
          <w:snapToGrid/>
          <w:kern w:val="0"/>
          <w:sz w:val="20"/>
        </w:rPr>
        <w:t xml:space="preserve">TPG is contributing $1.8 billion to the new company in exchange for its shares. </w:t>
      </w:r>
      <w:r w:rsidR="00B66B52">
        <w:rPr>
          <w:snapToGrid/>
          <w:kern w:val="0"/>
          <w:sz w:val="20"/>
        </w:rPr>
        <w:t xml:space="preserve"> </w:t>
      </w:r>
      <w:r w:rsidRPr="0029539C">
        <w:rPr>
          <w:i/>
          <w:iCs/>
          <w:snapToGrid/>
          <w:color w:val="000000"/>
          <w:kern w:val="0"/>
          <w:sz w:val="20"/>
        </w:rPr>
        <w:t>AT&amp;T &amp; TPG To Form New Entity To Operate AT&amp;T’s U.S. Video Unit</w:t>
      </w:r>
      <w:r w:rsidRPr="0029539C">
        <w:rPr>
          <w:snapToGrid/>
          <w:color w:val="000000"/>
          <w:kern w:val="0"/>
          <w:sz w:val="20"/>
        </w:rPr>
        <w:t xml:space="preserve">, Press Release, Feb. 25, 2021, </w:t>
      </w:r>
    </w:p>
    <w:p w:rsidR="00BD6EA3" w:rsidRPr="00BD6EA3" w:rsidP="006934B5" w14:paraId="2FAF3AD8" w14:textId="02B9B31D">
      <w:pPr>
        <w:pStyle w:val="FootnoteText"/>
      </w:pPr>
      <w:hyperlink r:id="rId1" w:history="1">
        <w:r w:rsidRPr="0029539C" w:rsidR="006934B5">
          <w:rPr>
            <w:rStyle w:val="Hyperlink"/>
          </w:rPr>
          <w:t>https://www.sec.gov/Archives/edgar/data/732717/000119312521056922/d544248dex991.htm</w:t>
        </w:r>
      </w:hyperlink>
      <w:r w:rsidRPr="0029539C" w:rsidR="006934B5">
        <w:rPr>
          <w:color w:val="000000"/>
        </w:rPr>
        <w:t>. (cited at Application n. 9).</w:t>
      </w:r>
      <w:r w:rsidRPr="0011726F" w:rsidR="00C30BAC">
        <w:t xml:space="preserve"> </w:t>
      </w:r>
      <w:r w:rsidR="00E80C3A">
        <w:t xml:space="preserve"> </w:t>
      </w:r>
      <w:r w:rsidRPr="0011726F" w:rsidR="00C30BAC">
        <w:t xml:space="preserve">TPG and TPG VIII Merlin Investment Holdings, L.P. are ultimately controlled by David Bonderman and James Coulter, who are both U.S. citizens.  </w:t>
      </w:r>
      <w:r w:rsidRPr="0011726F" w:rsidR="00B367CB">
        <w:rPr>
          <w:i/>
          <w:iCs/>
        </w:rPr>
        <w:t>See</w:t>
      </w:r>
      <w:r w:rsidRPr="0011726F" w:rsidR="00B367CB">
        <w:t xml:space="preserve"> </w:t>
      </w:r>
      <w:r w:rsidRPr="0011726F" w:rsidR="006934B5">
        <w:t xml:space="preserve">Application </w:t>
      </w:r>
      <w:r w:rsidRPr="0011726F" w:rsidR="00B367CB">
        <w:t>at 3-4, Attach. 2.</w:t>
      </w:r>
      <w:r w:rsidR="006934B5">
        <w:t xml:space="preserve">  </w:t>
      </w:r>
    </w:p>
  </w:footnote>
  <w:footnote w:id="14">
    <w:p w:rsidR="00310001" w14:paraId="4AFB7EDD" w14:textId="30C99E61">
      <w:pPr>
        <w:pStyle w:val="FootnoteText"/>
      </w:pPr>
      <w:r>
        <w:rPr>
          <w:rStyle w:val="FootnoteReference"/>
        </w:rPr>
        <w:footnoteRef/>
      </w:r>
      <w:r>
        <w:t xml:space="preserve"> </w:t>
      </w:r>
      <w:r w:rsidRPr="00310001">
        <w:rPr>
          <w:i/>
          <w:iCs/>
        </w:rPr>
        <w:t>Id.</w:t>
      </w:r>
      <w:r>
        <w:t xml:space="preserve"> at 5.</w:t>
      </w:r>
    </w:p>
  </w:footnote>
  <w:footnote w:id="15">
    <w:p w:rsidR="00FA7BCB" w14:paraId="7F2D0598" w14:textId="29190BBF">
      <w:pPr>
        <w:pStyle w:val="FootnoteText"/>
      </w:pPr>
      <w:r>
        <w:rPr>
          <w:rStyle w:val="FootnoteReference"/>
        </w:rPr>
        <w:footnoteRef/>
      </w:r>
      <w:r>
        <w:t xml:space="preserve"> </w:t>
      </w:r>
      <w:r w:rsidRPr="0029539C" w:rsidR="00E25A39">
        <w:rPr>
          <w:i/>
          <w:iCs/>
        </w:rPr>
        <w:t>Id.</w:t>
      </w:r>
      <w:r w:rsidR="00E25A39">
        <w:t xml:space="preserve"> </w:t>
      </w:r>
      <w:r>
        <w:t>at 1.</w:t>
      </w:r>
    </w:p>
  </w:footnote>
  <w:footnote w:id="16">
    <w:p w:rsidR="000B3144" w:rsidRPr="00DF4743" w14:paraId="3D78EE60" w14:textId="5FF818D1">
      <w:pPr>
        <w:pStyle w:val="FootnoteText"/>
      </w:pPr>
      <w:r>
        <w:rPr>
          <w:rStyle w:val="FootnoteReference"/>
        </w:rPr>
        <w:footnoteRef/>
      </w:r>
      <w:r>
        <w:t xml:space="preserve"> </w:t>
      </w:r>
      <w:r w:rsidRPr="000B3144">
        <w:rPr>
          <w:i/>
          <w:iCs/>
        </w:rPr>
        <w:t xml:space="preserve">See </w:t>
      </w:r>
      <w:r w:rsidRPr="00DF4743" w:rsidR="00DF4743">
        <w:rPr>
          <w:i/>
          <w:iCs/>
        </w:rPr>
        <w:t>Satellite Radio Applications Accepted for Filing</w:t>
      </w:r>
      <w:r w:rsidR="00DF4743">
        <w:t xml:space="preserve">, Public Notice, </w:t>
      </w:r>
      <w:r w:rsidRPr="000B3144" w:rsidR="00DF4743">
        <w:t>Report No. SES-02353</w:t>
      </w:r>
      <w:r w:rsidR="00DF4743">
        <w:t xml:space="preserve"> (</w:t>
      </w:r>
      <w:r w:rsidR="009F10E0">
        <w:t>IB</w:t>
      </w:r>
      <w:r w:rsidR="003B7C17">
        <w:t>-</w:t>
      </w:r>
      <w:r w:rsidR="009F10E0">
        <w:t>SD</w:t>
      </w:r>
      <w:r w:rsidR="00DF4743">
        <w:t xml:space="preserve"> </w:t>
      </w:r>
      <w:r w:rsidRPr="000B3144" w:rsidR="00DF4743">
        <w:t>Apr</w:t>
      </w:r>
      <w:r w:rsidR="00DF4743">
        <w:t>.</w:t>
      </w:r>
      <w:r w:rsidRPr="000B3144" w:rsidR="00DF4743">
        <w:t xml:space="preserve"> 7, 2021</w:t>
      </w:r>
      <w:r w:rsidR="00DF4743">
        <w:t xml:space="preserve">); </w:t>
      </w:r>
      <w:r w:rsidRPr="000B3144">
        <w:rPr>
          <w:i/>
          <w:iCs/>
        </w:rPr>
        <w:t>Space Station Applications Accepted for Filing</w:t>
      </w:r>
      <w:r>
        <w:t xml:space="preserve">, Public Notice, </w:t>
      </w:r>
      <w:r w:rsidRPr="000B3144">
        <w:t>Report No. SAT-01541</w:t>
      </w:r>
      <w:r>
        <w:t xml:space="preserve"> (</w:t>
      </w:r>
      <w:r w:rsidR="009F10E0">
        <w:t>IB</w:t>
      </w:r>
      <w:r w:rsidR="003B7C17">
        <w:t>-</w:t>
      </w:r>
      <w:r w:rsidR="009F10E0">
        <w:t>SD</w:t>
      </w:r>
      <w:r>
        <w:t xml:space="preserve"> </w:t>
      </w:r>
      <w:r w:rsidRPr="000B3144">
        <w:t>Apr</w:t>
      </w:r>
      <w:r>
        <w:t>.</w:t>
      </w:r>
      <w:r w:rsidRPr="000B3144">
        <w:t xml:space="preserve"> 2, 2021</w:t>
      </w:r>
      <w:r>
        <w:t>)</w:t>
      </w:r>
      <w:r w:rsidR="00B04F4A">
        <w:t xml:space="preserve">; </w:t>
      </w:r>
      <w:r w:rsidRPr="00DF4743" w:rsidR="00B04F4A">
        <w:rPr>
          <w:i/>
          <w:iCs/>
        </w:rPr>
        <w:t>Wireless Telecommunications Bureau Assignment of License Authorization Applications, Transfer of Control of Licensee Applications, and De Facto Transfer Lease Applications, and Designated Entity Reportable Eligibility Event Applications Accepted For Filing</w:t>
      </w:r>
      <w:r w:rsidR="00B04F4A">
        <w:t xml:space="preserve">, Public Notice, </w:t>
      </w:r>
      <w:r w:rsidRPr="00DF4743" w:rsidR="00B04F4A">
        <w:t>Report N</w:t>
      </w:r>
      <w:r w:rsidR="00B04F4A">
        <w:t>o.</w:t>
      </w:r>
      <w:r w:rsidRPr="00DF4743" w:rsidR="00B04F4A">
        <w:t xml:space="preserve"> 15793</w:t>
      </w:r>
      <w:r w:rsidR="00B04F4A">
        <w:t xml:space="preserve"> (WTB Mar. </w:t>
      </w:r>
      <w:r w:rsidRPr="00DF4743" w:rsidR="00B04F4A">
        <w:t>31</w:t>
      </w:r>
      <w:r w:rsidR="00B04F4A">
        <w:t>, 2</w:t>
      </w:r>
      <w:r w:rsidRPr="00DF4743" w:rsidR="00B04F4A">
        <w:t>021</w:t>
      </w:r>
      <w:r w:rsidR="00B04F4A">
        <w:t>).</w:t>
      </w:r>
    </w:p>
  </w:footnote>
  <w:footnote w:id="17">
    <w:p w:rsidR="00477A6E" w:rsidP="006D410D" w14:paraId="6DD7E529" w14:textId="1113542C">
      <w:pPr>
        <w:pStyle w:val="FootnoteText"/>
      </w:pPr>
      <w:r>
        <w:rPr>
          <w:rStyle w:val="FootnoteReference"/>
        </w:rPr>
        <w:footnoteRef/>
      </w:r>
      <w:r>
        <w:t xml:space="preserve"> </w:t>
      </w:r>
      <w:r w:rsidR="0024225E">
        <w:t xml:space="preserve">RMG </w:t>
      </w:r>
      <w:r w:rsidR="00B0113F">
        <w:t xml:space="preserve">Comments (May 7, 2021); </w:t>
      </w:r>
      <w:r w:rsidR="006D410D">
        <w:t>Affiliates Associations</w:t>
      </w:r>
      <w:r w:rsidR="0024225E">
        <w:t xml:space="preserve"> Comments</w:t>
      </w:r>
      <w:r w:rsidR="006D410D">
        <w:t xml:space="preserve"> (May 3, 2021)</w:t>
      </w:r>
      <w:r w:rsidR="00BD5772">
        <w:t>.</w:t>
      </w:r>
      <w:r w:rsidR="006D410D">
        <w:t xml:space="preserve"> </w:t>
      </w:r>
    </w:p>
  </w:footnote>
  <w:footnote w:id="18">
    <w:p w:rsidR="00DD67F9" w14:paraId="0A27BD7F" w14:textId="1E555477">
      <w:pPr>
        <w:pStyle w:val="FootnoteText"/>
      </w:pPr>
      <w:r>
        <w:rPr>
          <w:rStyle w:val="FootnoteReference"/>
        </w:rPr>
        <w:footnoteRef/>
      </w:r>
      <w:r>
        <w:t xml:space="preserve"> </w:t>
      </w:r>
      <w:r w:rsidR="001D2D74">
        <w:t xml:space="preserve">Applicants </w:t>
      </w:r>
      <w:r>
        <w:t>Response (May 12, 2021)</w:t>
      </w:r>
      <w:r w:rsidR="00614139">
        <w:t>.</w:t>
      </w:r>
    </w:p>
  </w:footnote>
  <w:footnote w:id="19">
    <w:p w:rsidR="00DD67F9" w:rsidP="0067759B" w14:paraId="75082A2E" w14:textId="1D3C3E61">
      <w:pPr>
        <w:pStyle w:val="FootnoteText"/>
      </w:pPr>
      <w:r>
        <w:rPr>
          <w:rStyle w:val="FootnoteReference"/>
        </w:rPr>
        <w:footnoteRef/>
      </w:r>
      <w:r>
        <w:t xml:space="preserve"> </w:t>
      </w:r>
      <w:r w:rsidR="001D2D74">
        <w:t xml:space="preserve">Affiliates Associations </w:t>
      </w:r>
      <w:r w:rsidR="00A81CA1">
        <w:t xml:space="preserve">Reply </w:t>
      </w:r>
      <w:r>
        <w:t>(May 24, 2021).</w:t>
      </w:r>
    </w:p>
  </w:footnote>
  <w:footnote w:id="20">
    <w:p w:rsidR="002E73D1" w:rsidP="00B96E71" w14:paraId="2E1B3CAE" w14:textId="7DC207C1">
      <w:pPr>
        <w:pStyle w:val="FootnoteText"/>
      </w:pPr>
      <w:r>
        <w:rPr>
          <w:rStyle w:val="FootnoteReference"/>
        </w:rPr>
        <w:footnoteRef/>
      </w:r>
      <w:r>
        <w:t xml:space="preserve"> </w:t>
      </w:r>
      <w:r w:rsidRPr="00941BC2" w:rsidR="00941BC2">
        <w:rPr>
          <w:i/>
          <w:iCs/>
        </w:rPr>
        <w:t>See</w:t>
      </w:r>
      <w:r w:rsidR="00941BC2">
        <w:t xml:space="preserve"> </w:t>
      </w:r>
      <w:r w:rsidRPr="004871B8">
        <w:t>47 U.S.C. § 310(d)</w:t>
      </w:r>
      <w:r w:rsidR="00B96E71">
        <w:t xml:space="preserve">; </w:t>
      </w:r>
      <w:r w:rsidRPr="00306712" w:rsidR="00B96E71">
        <w:rPr>
          <w:i/>
          <w:iCs/>
        </w:rPr>
        <w:t>Applications of AT&amp;T Inc. and DIRECTV for Consent to Assign or Transfer Control of Licenses and Authorizations</w:t>
      </w:r>
      <w:r w:rsidR="007B2329">
        <w:t xml:space="preserve">, </w:t>
      </w:r>
      <w:r w:rsidRPr="007B2329" w:rsidR="007B2329">
        <w:t xml:space="preserve">Memorandum Opinion </w:t>
      </w:r>
      <w:r w:rsidR="007B2329">
        <w:t>a</w:t>
      </w:r>
      <w:r w:rsidRPr="007B2329" w:rsidR="007B2329">
        <w:t>nd Order</w:t>
      </w:r>
      <w:r w:rsidR="0099217D">
        <w:t xml:space="preserve">, </w:t>
      </w:r>
      <w:r w:rsidRPr="00306712" w:rsidR="00306712">
        <w:t>30 FCC Rcd 9131</w:t>
      </w:r>
      <w:r w:rsidR="00306712">
        <w:t xml:space="preserve">, </w:t>
      </w:r>
      <w:r w:rsidRPr="00306712" w:rsidR="00306712">
        <w:t>9139</w:t>
      </w:r>
      <w:r w:rsidR="00306712">
        <w:t>, para. 18 (2015) (</w:t>
      </w:r>
      <w:r w:rsidRPr="00306712" w:rsidR="00306712">
        <w:rPr>
          <w:i/>
          <w:iCs/>
        </w:rPr>
        <w:t>AT&amp;T/DIRECTV Order</w:t>
      </w:r>
      <w:r w:rsidR="00306712">
        <w:t>).</w:t>
      </w:r>
    </w:p>
  </w:footnote>
  <w:footnote w:id="21">
    <w:p w:rsidR="00533689" w:rsidRPr="00533689" w14:paraId="59278864" w14:textId="51CB9418">
      <w:pPr>
        <w:pStyle w:val="FootnoteText"/>
      </w:pPr>
      <w:r>
        <w:rPr>
          <w:rStyle w:val="FootnoteReference"/>
        </w:rPr>
        <w:footnoteRef/>
      </w:r>
      <w:r>
        <w:t xml:space="preserve"> </w:t>
      </w:r>
      <w:r w:rsidRPr="00306712">
        <w:rPr>
          <w:i/>
          <w:iCs/>
        </w:rPr>
        <w:t>AT&amp;T/DIRECTV Order</w:t>
      </w:r>
      <w:r>
        <w:t xml:space="preserve">, </w:t>
      </w:r>
      <w:r w:rsidRPr="00533689">
        <w:t xml:space="preserve">30 FCC Rcd </w:t>
      </w:r>
      <w:r>
        <w:t>at</w:t>
      </w:r>
      <w:r w:rsidRPr="00533689">
        <w:t xml:space="preserve"> 9139</w:t>
      </w:r>
      <w:r>
        <w:t>-40</w:t>
      </w:r>
      <w:r w:rsidRPr="00533689">
        <w:t>, para. 18</w:t>
      </w:r>
      <w:r>
        <w:t>.</w:t>
      </w:r>
    </w:p>
  </w:footnote>
  <w:footnote w:id="22">
    <w:p w:rsidR="00A95395" w:rsidRPr="00AB140F" w:rsidP="00A95395" w14:paraId="02933E30" w14:textId="77777777">
      <w:pPr>
        <w:pStyle w:val="FootnoteText"/>
      </w:pPr>
      <w:r w:rsidRPr="00AB140F">
        <w:rPr>
          <w:rStyle w:val="FootnoteReference"/>
        </w:rPr>
        <w:footnoteRef/>
      </w:r>
      <w:r w:rsidRPr="00AB140F">
        <w:rPr>
          <w:i/>
        </w:rPr>
        <w:t xml:space="preserve"> See id.</w:t>
      </w:r>
    </w:p>
  </w:footnote>
  <w:footnote w:id="23">
    <w:p w:rsidR="00A95395" w:rsidRPr="00AB140F" w:rsidP="00A95395" w14:paraId="65C56C09" w14:textId="5DF3A56C">
      <w:pPr>
        <w:pStyle w:val="FootnoteText"/>
        <w:rPr>
          <w:i/>
        </w:rPr>
      </w:pPr>
      <w:r w:rsidRPr="00AB140F">
        <w:rPr>
          <w:rStyle w:val="FootnoteReference"/>
        </w:rPr>
        <w:footnoteRef/>
      </w:r>
      <w:r w:rsidRPr="00AB140F">
        <w:rPr>
          <w:i/>
        </w:rPr>
        <w:t xml:space="preserve"> See id.</w:t>
      </w:r>
      <w:r w:rsidRPr="00AB140F">
        <w:t xml:space="preserve">; </w:t>
      </w:r>
      <w:r w:rsidRPr="00AB140F">
        <w:rPr>
          <w:i/>
          <w:color w:val="000000"/>
        </w:rPr>
        <w:t>General Motors Corp. and Hughes Electronics Corp., Transferors, and the News Corporation, Transferee</w:t>
      </w:r>
      <w:r w:rsidRPr="00AB140F">
        <w:rPr>
          <w:color w:val="000000"/>
        </w:rPr>
        <w:t xml:space="preserve">, </w:t>
      </w:r>
      <w:r w:rsidRPr="00AB140F">
        <w:t xml:space="preserve">Memorandum Opinion and Order, </w:t>
      </w:r>
      <w:r w:rsidRPr="00AB140F">
        <w:rPr>
          <w:color w:val="000000"/>
        </w:rPr>
        <w:t xml:space="preserve">19 FCC Rcd 473, 483, </w:t>
      </w:r>
      <w:r w:rsidR="00D077B4">
        <w:rPr>
          <w:color w:val="000000"/>
        </w:rPr>
        <w:t>para.</w:t>
      </w:r>
      <w:r w:rsidRPr="00AB140F">
        <w:rPr>
          <w:color w:val="000000"/>
        </w:rPr>
        <w:t xml:space="preserve"> 15 (2004) (</w:t>
      </w:r>
      <w:r w:rsidRPr="00AB140F">
        <w:rPr>
          <w:i/>
          <w:color w:val="000000"/>
        </w:rPr>
        <w:t>News Corp.-Hughes Order</w:t>
      </w:r>
      <w:r w:rsidRPr="00AB140F">
        <w:rPr>
          <w:color w:val="000000"/>
        </w:rPr>
        <w:t>)</w:t>
      </w:r>
      <w:r w:rsidRPr="00AB140F">
        <w:t>.</w:t>
      </w:r>
    </w:p>
  </w:footnote>
  <w:footnote w:id="24">
    <w:p w:rsidR="00533689" w14:paraId="63C44609" w14:textId="42B33533">
      <w:pPr>
        <w:pStyle w:val="FootnoteText"/>
      </w:pPr>
      <w:r>
        <w:rPr>
          <w:rStyle w:val="FootnoteReference"/>
        </w:rPr>
        <w:footnoteRef/>
      </w:r>
      <w:r>
        <w:t xml:space="preserve"> </w:t>
      </w:r>
      <w:r w:rsidRPr="00976E43" w:rsidR="000A0B75">
        <w:rPr>
          <w:i/>
          <w:iCs/>
        </w:rPr>
        <w:t xml:space="preserve">See </w:t>
      </w:r>
      <w:r w:rsidRPr="00306712" w:rsidR="00D077B4">
        <w:rPr>
          <w:i/>
          <w:iCs/>
        </w:rPr>
        <w:t>AT&amp;T/DIRECTV Order</w:t>
      </w:r>
      <w:r w:rsidR="00931568">
        <w:t>,</w:t>
      </w:r>
      <w:r w:rsidR="00D077B4">
        <w:t xml:space="preserve"> </w:t>
      </w:r>
      <w:r w:rsidR="00931568">
        <w:t xml:space="preserve">30 FCC Rcd </w:t>
      </w:r>
      <w:r>
        <w:t>at</w:t>
      </w:r>
      <w:r w:rsidRPr="00533689">
        <w:t xml:space="preserve"> 9238</w:t>
      </w:r>
      <w:r>
        <w:t xml:space="preserve">, para. </w:t>
      </w:r>
      <w:r w:rsidRPr="00533689">
        <w:t>276.</w:t>
      </w:r>
    </w:p>
  </w:footnote>
  <w:footnote w:id="25">
    <w:p w:rsidR="00A95395" w:rsidRPr="00AB140F" w:rsidP="00A95395" w14:paraId="4BA9DCB9" w14:textId="334A7BE3">
      <w:pPr>
        <w:pStyle w:val="FootnoteText"/>
      </w:pPr>
      <w:r w:rsidRPr="00AB140F">
        <w:rPr>
          <w:rStyle w:val="FootnoteReference"/>
        </w:rPr>
        <w:footnoteRef/>
      </w:r>
      <w:r w:rsidRPr="00AB140F">
        <w:t xml:space="preserve"> </w:t>
      </w:r>
      <w:r w:rsidRPr="00AB140F">
        <w:rPr>
          <w:rStyle w:val="FootnoteTextCharChar1"/>
          <w:i/>
        </w:rPr>
        <w:t xml:space="preserve">See </w:t>
      </w:r>
      <w:r w:rsidRPr="00AB140F" w:rsidR="00D077B4">
        <w:rPr>
          <w:i/>
          <w:color w:val="000000"/>
        </w:rPr>
        <w:t>News Corp.-Hughes Order</w:t>
      </w:r>
      <w:r w:rsidR="00931568">
        <w:rPr>
          <w:iCs/>
          <w:color w:val="000000"/>
        </w:rPr>
        <w:t>,</w:t>
      </w:r>
      <w:r w:rsidR="00D077B4">
        <w:rPr>
          <w:iCs/>
        </w:rPr>
        <w:t xml:space="preserve"> </w:t>
      </w:r>
      <w:r w:rsidRPr="00AB140F" w:rsidR="00931568">
        <w:rPr>
          <w:color w:val="000000"/>
        </w:rPr>
        <w:t xml:space="preserve">19 FCC Rcd </w:t>
      </w:r>
      <w:r w:rsidR="00D077B4">
        <w:rPr>
          <w:iCs/>
        </w:rPr>
        <w:t>at</w:t>
      </w:r>
      <w:r w:rsidR="00D077B4">
        <w:rPr>
          <w:i/>
        </w:rPr>
        <w:t xml:space="preserve"> </w:t>
      </w:r>
      <w:r w:rsidRPr="00D077B4" w:rsidR="00D077B4">
        <w:rPr>
          <w:iCs/>
        </w:rPr>
        <w:t>483, para 15</w:t>
      </w:r>
      <w:r w:rsidR="00D077B4">
        <w:rPr>
          <w:i/>
        </w:rPr>
        <w:t>.</w:t>
      </w:r>
    </w:p>
  </w:footnote>
  <w:footnote w:id="26">
    <w:p w:rsidR="00626A30" w14:paraId="429D66BD" w14:textId="6E04FEE1">
      <w:pPr>
        <w:pStyle w:val="FootnoteText"/>
      </w:pPr>
      <w:r>
        <w:rPr>
          <w:rStyle w:val="FootnoteReference"/>
        </w:rPr>
        <w:footnoteRef/>
      </w:r>
      <w:r>
        <w:t xml:space="preserve"> TPG holds a </w:t>
      </w:r>
      <w:r w:rsidRPr="00626A30">
        <w:t>less than 5% interest in Vice Media</w:t>
      </w:r>
      <w:r>
        <w:t>.  Applicants Response at 4 &amp; n.13.</w:t>
      </w:r>
    </w:p>
  </w:footnote>
  <w:footnote w:id="27">
    <w:p w:rsidR="00F81FFD" w14:paraId="74536224" w14:textId="4B7F941F">
      <w:pPr>
        <w:pStyle w:val="FootnoteText"/>
      </w:pPr>
      <w:r>
        <w:rPr>
          <w:rStyle w:val="FootnoteReference"/>
        </w:rPr>
        <w:footnoteRef/>
      </w:r>
      <w:r>
        <w:t xml:space="preserve"> </w:t>
      </w:r>
      <w:r w:rsidR="007C60CD">
        <w:t>Application at 10</w:t>
      </w:r>
      <w:r w:rsidRPr="00294853" w:rsidR="003C2CB1">
        <w:t>.</w:t>
      </w:r>
    </w:p>
  </w:footnote>
  <w:footnote w:id="28">
    <w:p w:rsidR="00FC4783" w14:paraId="3D45DC8E" w14:textId="23B05394">
      <w:pPr>
        <w:pStyle w:val="FootnoteText"/>
      </w:pPr>
      <w:r>
        <w:rPr>
          <w:rStyle w:val="FootnoteReference"/>
        </w:rPr>
        <w:footnoteRef/>
      </w:r>
      <w:r>
        <w:t xml:space="preserve"> </w:t>
      </w:r>
      <w:r w:rsidRPr="00FC4783">
        <w:rPr>
          <w:i/>
          <w:iCs/>
        </w:rPr>
        <w:t>See id.</w:t>
      </w:r>
      <w:r>
        <w:t xml:space="preserve"> at 7-8.</w:t>
      </w:r>
    </w:p>
  </w:footnote>
  <w:footnote w:id="29">
    <w:p w:rsidR="00D8067A" w14:paraId="594B3A9D" w14:textId="33727BD5">
      <w:pPr>
        <w:pStyle w:val="FootnoteText"/>
      </w:pPr>
      <w:r>
        <w:rPr>
          <w:rStyle w:val="FootnoteReference"/>
        </w:rPr>
        <w:footnoteRef/>
      </w:r>
      <w:r>
        <w:t xml:space="preserve"> Affiliates </w:t>
      </w:r>
      <w:r w:rsidR="00343DEC">
        <w:t>Associations Comments at 2.</w:t>
      </w:r>
    </w:p>
  </w:footnote>
  <w:footnote w:id="30">
    <w:p w:rsidR="009254DA" w14:paraId="66B2C577" w14:textId="31FFE309">
      <w:pPr>
        <w:pStyle w:val="FootnoteText"/>
      </w:pPr>
      <w:r>
        <w:rPr>
          <w:rStyle w:val="FootnoteReference"/>
        </w:rPr>
        <w:footnoteRef/>
      </w:r>
      <w:r>
        <w:t xml:space="preserve"> </w:t>
      </w:r>
      <w:r w:rsidRPr="00D55463" w:rsidR="00D55463">
        <w:rPr>
          <w:i/>
          <w:iCs/>
        </w:rPr>
        <w:t xml:space="preserve">See </w:t>
      </w:r>
      <w:r w:rsidR="00D55463">
        <w:rPr>
          <w:i/>
          <w:iCs/>
        </w:rPr>
        <w:t>i</w:t>
      </w:r>
      <w:r w:rsidRPr="009254DA">
        <w:rPr>
          <w:i/>
          <w:iCs/>
        </w:rPr>
        <w:t>d.</w:t>
      </w:r>
      <w:r>
        <w:t xml:space="preserve"> at 4.</w:t>
      </w:r>
    </w:p>
  </w:footnote>
  <w:footnote w:id="31">
    <w:p w:rsidR="0016054A" w14:paraId="2038E635" w14:textId="5B04906E">
      <w:pPr>
        <w:pStyle w:val="FootnoteText"/>
      </w:pPr>
      <w:r>
        <w:rPr>
          <w:rStyle w:val="FootnoteReference"/>
        </w:rPr>
        <w:footnoteRef/>
      </w:r>
      <w:r>
        <w:t xml:space="preserve"> </w:t>
      </w:r>
      <w:r w:rsidR="00FF136B">
        <w:rPr>
          <w:i/>
          <w:iCs/>
        </w:rPr>
        <w:t>See i</w:t>
      </w:r>
      <w:r w:rsidRPr="009254DA">
        <w:rPr>
          <w:i/>
          <w:iCs/>
        </w:rPr>
        <w:t>d.</w:t>
      </w:r>
      <w:r>
        <w:t xml:space="preserve"> at 3-4</w:t>
      </w:r>
      <w:r w:rsidR="00531337">
        <w:t>; Affiliates Associations Reply at 2</w:t>
      </w:r>
      <w:r>
        <w:t>.</w:t>
      </w:r>
    </w:p>
  </w:footnote>
  <w:footnote w:id="32">
    <w:p w:rsidR="00F056CE" w:rsidP="005C5646" w14:paraId="4A0F9452" w14:textId="6E86B92A">
      <w:pPr>
        <w:pStyle w:val="FootnoteText"/>
      </w:pPr>
      <w:r>
        <w:rPr>
          <w:rStyle w:val="FootnoteReference"/>
        </w:rPr>
        <w:footnoteRef/>
      </w:r>
      <w:r>
        <w:t xml:space="preserve"> </w:t>
      </w:r>
      <w:r w:rsidRPr="00CB2AF5">
        <w:rPr>
          <w:i/>
          <w:iCs/>
        </w:rPr>
        <w:t>See</w:t>
      </w:r>
      <w:r>
        <w:t xml:space="preserve"> Applicants Response at 2</w:t>
      </w:r>
      <w:r w:rsidR="007E2769">
        <w:t>.</w:t>
      </w:r>
    </w:p>
  </w:footnote>
  <w:footnote w:id="33">
    <w:p w:rsidR="00232B26" w14:paraId="6BBA826D" w14:textId="7672504B">
      <w:pPr>
        <w:pStyle w:val="FootnoteText"/>
      </w:pPr>
      <w:r>
        <w:rPr>
          <w:rStyle w:val="FootnoteReference"/>
        </w:rPr>
        <w:footnoteRef/>
      </w:r>
      <w:r>
        <w:t xml:space="preserve"> </w:t>
      </w:r>
      <w:r w:rsidRPr="00232B26">
        <w:rPr>
          <w:i/>
          <w:iCs/>
        </w:rPr>
        <w:t>See id.</w:t>
      </w:r>
      <w:r>
        <w:t xml:space="preserve"> at 2-3.</w:t>
      </w:r>
    </w:p>
  </w:footnote>
  <w:footnote w:id="34">
    <w:p w:rsidR="00D55351" w14:paraId="0CB956E7" w14:textId="46A00B63">
      <w:pPr>
        <w:pStyle w:val="FootnoteText"/>
      </w:pPr>
      <w:r>
        <w:rPr>
          <w:rStyle w:val="FootnoteReference"/>
        </w:rPr>
        <w:footnoteRef/>
      </w:r>
      <w:r>
        <w:t xml:space="preserve"> </w:t>
      </w:r>
      <w:r w:rsidRPr="00822030">
        <w:rPr>
          <w:i/>
          <w:iCs/>
        </w:rPr>
        <w:t>See</w:t>
      </w:r>
      <w:r>
        <w:t xml:space="preserve"> Affiliates Associations Reply at 5-9.</w:t>
      </w:r>
    </w:p>
  </w:footnote>
  <w:footnote w:id="35">
    <w:p w:rsidR="00A95395" w14:paraId="1E4A5D58" w14:textId="6833E5D3">
      <w:pPr>
        <w:pStyle w:val="FootnoteText"/>
      </w:pPr>
      <w:r>
        <w:rPr>
          <w:rStyle w:val="FootnoteReference"/>
        </w:rPr>
        <w:footnoteRef/>
      </w:r>
      <w:r>
        <w:t xml:space="preserve"> </w:t>
      </w:r>
      <w:r w:rsidR="007E2769">
        <w:rPr>
          <w:i/>
          <w:iCs/>
        </w:rPr>
        <w:t xml:space="preserve">See, e.g., </w:t>
      </w:r>
      <w:r w:rsidRPr="008D3799">
        <w:rPr>
          <w:i/>
          <w:iCs/>
        </w:rPr>
        <w:t>AT</w:t>
      </w:r>
      <w:r w:rsidR="008C2E56">
        <w:rPr>
          <w:i/>
          <w:iCs/>
        </w:rPr>
        <w:t>&amp;</w:t>
      </w:r>
      <w:r w:rsidRPr="008D3799">
        <w:rPr>
          <w:i/>
          <w:iCs/>
        </w:rPr>
        <w:t>T</w:t>
      </w:r>
      <w:r w:rsidRPr="008D3799" w:rsidR="007E2769">
        <w:rPr>
          <w:i/>
          <w:iCs/>
        </w:rPr>
        <w:t>/</w:t>
      </w:r>
      <w:r w:rsidRPr="008D3799">
        <w:rPr>
          <w:i/>
          <w:iCs/>
        </w:rPr>
        <w:t>DIRECTV</w:t>
      </w:r>
      <w:r w:rsidRPr="008D3799" w:rsidR="007E2769">
        <w:rPr>
          <w:i/>
          <w:iCs/>
        </w:rPr>
        <w:t xml:space="preserve"> Order</w:t>
      </w:r>
      <w:r>
        <w:t xml:space="preserve">, </w:t>
      </w:r>
      <w:r w:rsidR="007E2769">
        <w:t xml:space="preserve">30 FCC Rcd at 9277, </w:t>
      </w:r>
      <w:r>
        <w:t>para. 248</w:t>
      </w:r>
      <w:r w:rsidR="007E2769">
        <w:t xml:space="preserve">; </w:t>
      </w:r>
      <w:r w:rsidRPr="00E246BF" w:rsidR="007E2769">
        <w:rPr>
          <w:i/>
          <w:iCs/>
        </w:rPr>
        <w:t xml:space="preserve">News Corporation and The DIRECTV Group, Inc., Transferors, and Liberty Media Corporation, Transferee, </w:t>
      </w:r>
      <w:r w:rsidR="007E2769">
        <w:rPr>
          <w:i/>
          <w:iCs/>
        </w:rPr>
        <w:t>f</w:t>
      </w:r>
      <w:r w:rsidRPr="00E246BF" w:rsidR="007E2769">
        <w:rPr>
          <w:i/>
          <w:iCs/>
        </w:rPr>
        <w:t>or Authority to Transfer Control</w:t>
      </w:r>
      <w:r w:rsidRPr="009D08D6" w:rsidR="007E2769">
        <w:t>, Memorandum Opinion and Order, 23 FCC Rcd 3265, 3330</w:t>
      </w:r>
      <w:r w:rsidR="007E2769">
        <w:t>, para.</w:t>
      </w:r>
      <w:r w:rsidRPr="009D08D6" w:rsidR="007E2769">
        <w:t xml:space="preserve"> 137 (2008).</w:t>
      </w:r>
      <w:r>
        <w:t xml:space="preserve">  </w:t>
      </w:r>
    </w:p>
  </w:footnote>
  <w:footnote w:id="36">
    <w:p w:rsidR="00FE22BD" w14:paraId="0242AC3A" w14:textId="0EDC376B">
      <w:pPr>
        <w:pStyle w:val="FootnoteText"/>
      </w:pPr>
      <w:r>
        <w:rPr>
          <w:rStyle w:val="FootnoteReference"/>
        </w:rPr>
        <w:footnoteRef/>
      </w:r>
      <w:r>
        <w:t xml:space="preserve"> </w:t>
      </w:r>
      <w:r w:rsidRPr="00392712" w:rsidR="00392712">
        <w:rPr>
          <w:i/>
          <w:iCs/>
        </w:rPr>
        <w:t>See</w:t>
      </w:r>
      <w:r w:rsidR="00392712">
        <w:t xml:space="preserve"> </w:t>
      </w:r>
      <w:r>
        <w:t xml:space="preserve">RMG Comments at </w:t>
      </w:r>
      <w:r w:rsidR="00392712">
        <w:t>2-4.</w:t>
      </w:r>
    </w:p>
  </w:footnote>
  <w:footnote w:id="37">
    <w:p w:rsidR="00BB40C6" w14:paraId="1B6681F6" w14:textId="5AA2DDA1">
      <w:pPr>
        <w:pStyle w:val="FootnoteText"/>
      </w:pPr>
      <w:r>
        <w:rPr>
          <w:rStyle w:val="FootnoteReference"/>
        </w:rPr>
        <w:footnoteRef/>
      </w:r>
      <w:r>
        <w:t xml:space="preserve"> </w:t>
      </w:r>
      <w:r w:rsidRPr="00BB40C6">
        <w:rPr>
          <w:i/>
          <w:iCs/>
        </w:rPr>
        <w:t>Id.</w:t>
      </w:r>
      <w:r>
        <w:t xml:space="preserve"> at 1-2.</w:t>
      </w:r>
    </w:p>
  </w:footnote>
  <w:footnote w:id="38">
    <w:p w:rsidR="009D379F" w:rsidP="009D379F" w14:paraId="7413095F" w14:textId="7F9B3D34">
      <w:pPr>
        <w:pStyle w:val="FootnoteText"/>
      </w:pPr>
      <w:r>
        <w:rPr>
          <w:rStyle w:val="FootnoteReference"/>
        </w:rPr>
        <w:footnoteRef/>
      </w:r>
      <w:r>
        <w:t xml:space="preserve"> </w:t>
      </w:r>
      <w:r w:rsidRPr="006D50A4">
        <w:rPr>
          <w:i/>
          <w:iCs/>
        </w:rPr>
        <w:t>See</w:t>
      </w:r>
      <w:r>
        <w:t xml:space="preserve"> Applicants Response at 3-4; </w:t>
      </w:r>
      <w:r w:rsidRPr="006D50A4">
        <w:rPr>
          <w:i/>
          <w:iCs/>
        </w:rPr>
        <w:t>AT&amp;T/DIRECTV Order</w:t>
      </w:r>
      <w:r w:rsidRPr="006D50A4">
        <w:t>, 30 FCC Rcd at 9223</w:t>
      </w:r>
      <w:r>
        <w:t xml:space="preserve">, para. </w:t>
      </w:r>
      <w:r w:rsidRPr="006D50A4">
        <w:t>238</w:t>
      </w:r>
      <w:r>
        <w:t>.</w:t>
      </w:r>
    </w:p>
  </w:footnote>
  <w:footnote w:id="39">
    <w:p w:rsidR="007E2769" w:rsidP="007E2769" w14:paraId="077CA2E4" w14:textId="77777777">
      <w:pPr>
        <w:pStyle w:val="FootnoteText"/>
      </w:pPr>
      <w:r>
        <w:rPr>
          <w:rStyle w:val="FootnoteReference"/>
        </w:rPr>
        <w:footnoteRef/>
      </w:r>
      <w:r>
        <w:t xml:space="preserve"> </w:t>
      </w:r>
      <w:r w:rsidRPr="00BE6BDC">
        <w:t>47 CFR § 76.1301(a)-(b).</w:t>
      </w:r>
    </w:p>
  </w:footnote>
  <w:footnote w:id="40">
    <w:p w:rsidR="007E2769" w:rsidP="007E2769" w14:paraId="5381C258" w14:textId="77777777">
      <w:pPr>
        <w:pStyle w:val="FootnoteText"/>
      </w:pPr>
      <w:r>
        <w:rPr>
          <w:rStyle w:val="FootnoteReference"/>
        </w:rPr>
        <w:footnoteRef/>
      </w:r>
      <w:r>
        <w:t xml:space="preserve"> 47 CFR</w:t>
      </w:r>
      <w:r w:rsidRPr="00BE6BDC">
        <w:t xml:space="preserve"> § 76.1301(c).</w:t>
      </w:r>
    </w:p>
  </w:footnote>
  <w:footnote w:id="41">
    <w:p w:rsidR="00B865E4" w:rsidP="00B865E4" w14:paraId="5302DED7" w14:textId="5C05A592">
      <w:pPr>
        <w:pStyle w:val="FootnoteText"/>
      </w:pPr>
      <w:r>
        <w:rPr>
          <w:rStyle w:val="FootnoteReference"/>
        </w:rPr>
        <w:footnoteRef/>
      </w:r>
      <w:r>
        <w:t xml:space="preserve"> </w:t>
      </w:r>
      <w:r w:rsidRPr="00907C21">
        <w:rPr>
          <w:i/>
          <w:iCs/>
        </w:rPr>
        <w:t>See</w:t>
      </w:r>
      <w:r>
        <w:t xml:space="preserve"> Application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115" w14:paraId="79DDCA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155132" w14:textId="4C95030D">
    <w:pPr>
      <w:pStyle w:val="Header"/>
      <w:rPr>
        <w:b w:val="0"/>
      </w:rPr>
    </w:pPr>
    <w:r>
      <w:tab/>
      <w:t>Federal Communications Commission</w:t>
    </w:r>
    <w:r>
      <w:tab/>
    </w:r>
    <w:r w:rsidRPr="007A48B4" w:rsidR="007A48B4">
      <w:t>DA 21-838</w:t>
    </w:r>
  </w:p>
  <w:p w:rsidR="00D25FB5" w14:paraId="7AD8A3BB" w14:textId="18C54BE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40E427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A2D4EE" w14:textId="6A98CB3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7A48B4" w:rsidR="007A48B4">
      <w:rPr>
        <w:spacing w:val="-2"/>
      </w:rPr>
      <w:t>DA 21-838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44"/>
    <w:rsid w:val="000048C0"/>
    <w:rsid w:val="00017F9D"/>
    <w:rsid w:val="0002372B"/>
    <w:rsid w:val="000246A4"/>
    <w:rsid w:val="00026C80"/>
    <w:rsid w:val="00026D41"/>
    <w:rsid w:val="00031729"/>
    <w:rsid w:val="00031908"/>
    <w:rsid w:val="0003500E"/>
    <w:rsid w:val="00036039"/>
    <w:rsid w:val="00037F90"/>
    <w:rsid w:val="00042F57"/>
    <w:rsid w:val="000465A6"/>
    <w:rsid w:val="000500CD"/>
    <w:rsid w:val="00054188"/>
    <w:rsid w:val="000647BD"/>
    <w:rsid w:val="00083B20"/>
    <w:rsid w:val="000875BF"/>
    <w:rsid w:val="00087990"/>
    <w:rsid w:val="00096D8C"/>
    <w:rsid w:val="00097674"/>
    <w:rsid w:val="000A0B75"/>
    <w:rsid w:val="000B1B8F"/>
    <w:rsid w:val="000B3144"/>
    <w:rsid w:val="000C0B65"/>
    <w:rsid w:val="000C1AC0"/>
    <w:rsid w:val="000C2823"/>
    <w:rsid w:val="000C4158"/>
    <w:rsid w:val="000C710A"/>
    <w:rsid w:val="000C76B2"/>
    <w:rsid w:val="000D2030"/>
    <w:rsid w:val="000E05FE"/>
    <w:rsid w:val="000E3D42"/>
    <w:rsid w:val="000E41BF"/>
    <w:rsid w:val="000E7A24"/>
    <w:rsid w:val="000F0130"/>
    <w:rsid w:val="000F2EFA"/>
    <w:rsid w:val="000F4981"/>
    <w:rsid w:val="000F6CC0"/>
    <w:rsid w:val="001010F7"/>
    <w:rsid w:val="001020D2"/>
    <w:rsid w:val="0011726F"/>
    <w:rsid w:val="00122BD5"/>
    <w:rsid w:val="001274E2"/>
    <w:rsid w:val="00130849"/>
    <w:rsid w:val="00133733"/>
    <w:rsid w:val="00133952"/>
    <w:rsid w:val="00133F79"/>
    <w:rsid w:val="001458D8"/>
    <w:rsid w:val="00150F0D"/>
    <w:rsid w:val="001535A9"/>
    <w:rsid w:val="00153C3B"/>
    <w:rsid w:val="00157CEC"/>
    <w:rsid w:val="001601C5"/>
    <w:rsid w:val="0016054A"/>
    <w:rsid w:val="0016253C"/>
    <w:rsid w:val="0016745A"/>
    <w:rsid w:val="0016755D"/>
    <w:rsid w:val="00170184"/>
    <w:rsid w:val="00177F2C"/>
    <w:rsid w:val="00181629"/>
    <w:rsid w:val="001823AF"/>
    <w:rsid w:val="00183DC6"/>
    <w:rsid w:val="00185B7C"/>
    <w:rsid w:val="00187527"/>
    <w:rsid w:val="00191E74"/>
    <w:rsid w:val="0019425C"/>
    <w:rsid w:val="00194A66"/>
    <w:rsid w:val="001A0A74"/>
    <w:rsid w:val="001A1CE8"/>
    <w:rsid w:val="001A215E"/>
    <w:rsid w:val="001A5E26"/>
    <w:rsid w:val="001A6C80"/>
    <w:rsid w:val="001B21A3"/>
    <w:rsid w:val="001B24F6"/>
    <w:rsid w:val="001B2876"/>
    <w:rsid w:val="001B540E"/>
    <w:rsid w:val="001C0AFE"/>
    <w:rsid w:val="001C3014"/>
    <w:rsid w:val="001C3BFC"/>
    <w:rsid w:val="001D2D74"/>
    <w:rsid w:val="001D533A"/>
    <w:rsid w:val="001D6BCF"/>
    <w:rsid w:val="001D753B"/>
    <w:rsid w:val="001D7D9C"/>
    <w:rsid w:val="001D7E97"/>
    <w:rsid w:val="001E01CA"/>
    <w:rsid w:val="001E18EE"/>
    <w:rsid w:val="001E7FD9"/>
    <w:rsid w:val="001F5335"/>
    <w:rsid w:val="001F5631"/>
    <w:rsid w:val="001F768D"/>
    <w:rsid w:val="002033EF"/>
    <w:rsid w:val="00203748"/>
    <w:rsid w:val="00205FCD"/>
    <w:rsid w:val="002108AD"/>
    <w:rsid w:val="002167A1"/>
    <w:rsid w:val="00216D52"/>
    <w:rsid w:val="002251BB"/>
    <w:rsid w:val="00232B26"/>
    <w:rsid w:val="002407E0"/>
    <w:rsid w:val="00241D2D"/>
    <w:rsid w:val="0024225E"/>
    <w:rsid w:val="00246BCF"/>
    <w:rsid w:val="002513A6"/>
    <w:rsid w:val="00251661"/>
    <w:rsid w:val="0025691B"/>
    <w:rsid w:val="002627E4"/>
    <w:rsid w:val="00262BAF"/>
    <w:rsid w:val="00262FCB"/>
    <w:rsid w:val="00273376"/>
    <w:rsid w:val="00275CF5"/>
    <w:rsid w:val="0028301F"/>
    <w:rsid w:val="00285017"/>
    <w:rsid w:val="00286296"/>
    <w:rsid w:val="002937C3"/>
    <w:rsid w:val="00294853"/>
    <w:rsid w:val="0029539C"/>
    <w:rsid w:val="00296328"/>
    <w:rsid w:val="002A2D2E"/>
    <w:rsid w:val="002A4B2E"/>
    <w:rsid w:val="002A5C86"/>
    <w:rsid w:val="002A5D1F"/>
    <w:rsid w:val="002C00E8"/>
    <w:rsid w:val="002C135F"/>
    <w:rsid w:val="002C405C"/>
    <w:rsid w:val="002D05BF"/>
    <w:rsid w:val="002D411B"/>
    <w:rsid w:val="002D4D5B"/>
    <w:rsid w:val="002E73D1"/>
    <w:rsid w:val="002F16BC"/>
    <w:rsid w:val="002F3493"/>
    <w:rsid w:val="002F3B6D"/>
    <w:rsid w:val="002F46E0"/>
    <w:rsid w:val="002F6D0F"/>
    <w:rsid w:val="002F7659"/>
    <w:rsid w:val="00306712"/>
    <w:rsid w:val="00310001"/>
    <w:rsid w:val="003124DC"/>
    <w:rsid w:val="00323EF9"/>
    <w:rsid w:val="003279FE"/>
    <w:rsid w:val="003356B4"/>
    <w:rsid w:val="00342AF1"/>
    <w:rsid w:val="00342DFD"/>
    <w:rsid w:val="003433FE"/>
    <w:rsid w:val="00343749"/>
    <w:rsid w:val="00343DEC"/>
    <w:rsid w:val="00343FDD"/>
    <w:rsid w:val="00346FD4"/>
    <w:rsid w:val="00347A6B"/>
    <w:rsid w:val="00347C63"/>
    <w:rsid w:val="00350D9F"/>
    <w:rsid w:val="00363CA0"/>
    <w:rsid w:val="0036493A"/>
    <w:rsid w:val="003660ED"/>
    <w:rsid w:val="003672A1"/>
    <w:rsid w:val="003732B2"/>
    <w:rsid w:val="00375B16"/>
    <w:rsid w:val="0038140B"/>
    <w:rsid w:val="0039218A"/>
    <w:rsid w:val="00392712"/>
    <w:rsid w:val="003A1877"/>
    <w:rsid w:val="003A1FCC"/>
    <w:rsid w:val="003A22C0"/>
    <w:rsid w:val="003A23A0"/>
    <w:rsid w:val="003A7B3C"/>
    <w:rsid w:val="003B0550"/>
    <w:rsid w:val="003B1422"/>
    <w:rsid w:val="003B694F"/>
    <w:rsid w:val="003B7C17"/>
    <w:rsid w:val="003C2CB1"/>
    <w:rsid w:val="003D23F0"/>
    <w:rsid w:val="003E2576"/>
    <w:rsid w:val="003E37EB"/>
    <w:rsid w:val="003E4483"/>
    <w:rsid w:val="003F171C"/>
    <w:rsid w:val="003F42D9"/>
    <w:rsid w:val="003F6330"/>
    <w:rsid w:val="00400048"/>
    <w:rsid w:val="00401E32"/>
    <w:rsid w:val="00402707"/>
    <w:rsid w:val="0040724B"/>
    <w:rsid w:val="0041297E"/>
    <w:rsid w:val="00412FC5"/>
    <w:rsid w:val="00413012"/>
    <w:rsid w:val="00413340"/>
    <w:rsid w:val="004141BC"/>
    <w:rsid w:val="00421DD4"/>
    <w:rsid w:val="00422276"/>
    <w:rsid w:val="004242F1"/>
    <w:rsid w:val="00424789"/>
    <w:rsid w:val="00441D85"/>
    <w:rsid w:val="00445A00"/>
    <w:rsid w:val="00451B0F"/>
    <w:rsid w:val="00454675"/>
    <w:rsid w:val="004556CC"/>
    <w:rsid w:val="0045595E"/>
    <w:rsid w:val="0046257F"/>
    <w:rsid w:val="00477A6E"/>
    <w:rsid w:val="00481340"/>
    <w:rsid w:val="00482EA3"/>
    <w:rsid w:val="0048449E"/>
    <w:rsid w:val="004871B8"/>
    <w:rsid w:val="00487285"/>
    <w:rsid w:val="0049310A"/>
    <w:rsid w:val="00496AB0"/>
    <w:rsid w:val="004A0AFC"/>
    <w:rsid w:val="004A46DC"/>
    <w:rsid w:val="004B1B8F"/>
    <w:rsid w:val="004C2EE3"/>
    <w:rsid w:val="004D1B2A"/>
    <w:rsid w:val="004D6806"/>
    <w:rsid w:val="004E0B16"/>
    <w:rsid w:val="004E1B79"/>
    <w:rsid w:val="004E2A30"/>
    <w:rsid w:val="004E449F"/>
    <w:rsid w:val="004E4A22"/>
    <w:rsid w:val="004F024A"/>
    <w:rsid w:val="004F122C"/>
    <w:rsid w:val="004F1C58"/>
    <w:rsid w:val="00506803"/>
    <w:rsid w:val="005106B6"/>
    <w:rsid w:val="0051072C"/>
    <w:rsid w:val="00511968"/>
    <w:rsid w:val="00513588"/>
    <w:rsid w:val="00516A46"/>
    <w:rsid w:val="00525B6B"/>
    <w:rsid w:val="005262EF"/>
    <w:rsid w:val="00531337"/>
    <w:rsid w:val="00533689"/>
    <w:rsid w:val="00542378"/>
    <w:rsid w:val="00553468"/>
    <w:rsid w:val="00554A93"/>
    <w:rsid w:val="00555061"/>
    <w:rsid w:val="0055614C"/>
    <w:rsid w:val="00563BF5"/>
    <w:rsid w:val="00565AE5"/>
    <w:rsid w:val="00566D06"/>
    <w:rsid w:val="00571D6B"/>
    <w:rsid w:val="00572DAB"/>
    <w:rsid w:val="00581894"/>
    <w:rsid w:val="00584B5D"/>
    <w:rsid w:val="00593BAC"/>
    <w:rsid w:val="00597A38"/>
    <w:rsid w:val="005A68DA"/>
    <w:rsid w:val="005B44DF"/>
    <w:rsid w:val="005C5646"/>
    <w:rsid w:val="005D1E5D"/>
    <w:rsid w:val="005D4F84"/>
    <w:rsid w:val="005D67FD"/>
    <w:rsid w:val="005D7453"/>
    <w:rsid w:val="005E14C2"/>
    <w:rsid w:val="005E24FE"/>
    <w:rsid w:val="005E32F4"/>
    <w:rsid w:val="005E4F71"/>
    <w:rsid w:val="005F0F70"/>
    <w:rsid w:val="005F29CE"/>
    <w:rsid w:val="005F45E0"/>
    <w:rsid w:val="005F52EC"/>
    <w:rsid w:val="006001DD"/>
    <w:rsid w:val="00605525"/>
    <w:rsid w:val="00606519"/>
    <w:rsid w:val="00607BA5"/>
    <w:rsid w:val="00610D76"/>
    <w:rsid w:val="0061180A"/>
    <w:rsid w:val="00614139"/>
    <w:rsid w:val="006151E8"/>
    <w:rsid w:val="00626A30"/>
    <w:rsid w:val="00626EB6"/>
    <w:rsid w:val="00627648"/>
    <w:rsid w:val="00627B70"/>
    <w:rsid w:val="00630AF3"/>
    <w:rsid w:val="006334B8"/>
    <w:rsid w:val="0063692C"/>
    <w:rsid w:val="00637375"/>
    <w:rsid w:val="00641670"/>
    <w:rsid w:val="00641A10"/>
    <w:rsid w:val="00642BF7"/>
    <w:rsid w:val="00643449"/>
    <w:rsid w:val="006441F2"/>
    <w:rsid w:val="0064525F"/>
    <w:rsid w:val="00653555"/>
    <w:rsid w:val="00654FEF"/>
    <w:rsid w:val="00655D03"/>
    <w:rsid w:val="00667906"/>
    <w:rsid w:val="006700D7"/>
    <w:rsid w:val="006725D1"/>
    <w:rsid w:val="0067759B"/>
    <w:rsid w:val="0067799C"/>
    <w:rsid w:val="00683388"/>
    <w:rsid w:val="00683F84"/>
    <w:rsid w:val="00692188"/>
    <w:rsid w:val="006934B5"/>
    <w:rsid w:val="006979C5"/>
    <w:rsid w:val="006A22C0"/>
    <w:rsid w:val="006A2762"/>
    <w:rsid w:val="006A49AC"/>
    <w:rsid w:val="006A6A81"/>
    <w:rsid w:val="006B289B"/>
    <w:rsid w:val="006B338B"/>
    <w:rsid w:val="006B3765"/>
    <w:rsid w:val="006B7FA1"/>
    <w:rsid w:val="006C2C04"/>
    <w:rsid w:val="006C3F7F"/>
    <w:rsid w:val="006C78E5"/>
    <w:rsid w:val="006D238A"/>
    <w:rsid w:val="006D3DD7"/>
    <w:rsid w:val="006D410D"/>
    <w:rsid w:val="006D50A4"/>
    <w:rsid w:val="006D5272"/>
    <w:rsid w:val="006E3C37"/>
    <w:rsid w:val="006F6DDE"/>
    <w:rsid w:val="006F7393"/>
    <w:rsid w:val="0070224F"/>
    <w:rsid w:val="00702E50"/>
    <w:rsid w:val="00702EF0"/>
    <w:rsid w:val="00704087"/>
    <w:rsid w:val="007045F0"/>
    <w:rsid w:val="007115F7"/>
    <w:rsid w:val="0071636A"/>
    <w:rsid w:val="007279BF"/>
    <w:rsid w:val="00727F79"/>
    <w:rsid w:val="00737E82"/>
    <w:rsid w:val="00747144"/>
    <w:rsid w:val="00747D95"/>
    <w:rsid w:val="00763355"/>
    <w:rsid w:val="00765663"/>
    <w:rsid w:val="0076645A"/>
    <w:rsid w:val="007677CF"/>
    <w:rsid w:val="00772BB1"/>
    <w:rsid w:val="00775C08"/>
    <w:rsid w:val="00776810"/>
    <w:rsid w:val="00777433"/>
    <w:rsid w:val="00785689"/>
    <w:rsid w:val="0079174B"/>
    <w:rsid w:val="007960DC"/>
    <w:rsid w:val="0079754B"/>
    <w:rsid w:val="007A1E6D"/>
    <w:rsid w:val="007A48B4"/>
    <w:rsid w:val="007A6065"/>
    <w:rsid w:val="007B0EB2"/>
    <w:rsid w:val="007B2329"/>
    <w:rsid w:val="007B7A47"/>
    <w:rsid w:val="007C09AA"/>
    <w:rsid w:val="007C60CD"/>
    <w:rsid w:val="007C6C26"/>
    <w:rsid w:val="007C6C84"/>
    <w:rsid w:val="007D1712"/>
    <w:rsid w:val="007E23A7"/>
    <w:rsid w:val="007E2769"/>
    <w:rsid w:val="007E75F0"/>
    <w:rsid w:val="007F0C1D"/>
    <w:rsid w:val="007F1B05"/>
    <w:rsid w:val="007F78A8"/>
    <w:rsid w:val="00800279"/>
    <w:rsid w:val="008043A9"/>
    <w:rsid w:val="00810B6F"/>
    <w:rsid w:val="008136FF"/>
    <w:rsid w:val="00816D07"/>
    <w:rsid w:val="00822030"/>
    <w:rsid w:val="00822CE0"/>
    <w:rsid w:val="008251A1"/>
    <w:rsid w:val="008263A6"/>
    <w:rsid w:val="00831F66"/>
    <w:rsid w:val="00837C91"/>
    <w:rsid w:val="00841AB1"/>
    <w:rsid w:val="008424FB"/>
    <w:rsid w:val="00843693"/>
    <w:rsid w:val="00843A8C"/>
    <w:rsid w:val="00844394"/>
    <w:rsid w:val="0084492F"/>
    <w:rsid w:val="00845A97"/>
    <w:rsid w:val="00852D08"/>
    <w:rsid w:val="00857BFD"/>
    <w:rsid w:val="0087403F"/>
    <w:rsid w:val="0087474B"/>
    <w:rsid w:val="008766C3"/>
    <w:rsid w:val="00882A68"/>
    <w:rsid w:val="008833BF"/>
    <w:rsid w:val="008838AE"/>
    <w:rsid w:val="00886C0E"/>
    <w:rsid w:val="008908A5"/>
    <w:rsid w:val="008910DE"/>
    <w:rsid w:val="00892649"/>
    <w:rsid w:val="00892F1D"/>
    <w:rsid w:val="00896E22"/>
    <w:rsid w:val="008B4893"/>
    <w:rsid w:val="008B6277"/>
    <w:rsid w:val="008B6B2E"/>
    <w:rsid w:val="008C2E56"/>
    <w:rsid w:val="008C68F1"/>
    <w:rsid w:val="008C7F93"/>
    <w:rsid w:val="008D0E91"/>
    <w:rsid w:val="008D3799"/>
    <w:rsid w:val="008D60FA"/>
    <w:rsid w:val="008E0954"/>
    <w:rsid w:val="008E4181"/>
    <w:rsid w:val="008E41DB"/>
    <w:rsid w:val="008F4DCA"/>
    <w:rsid w:val="0090184E"/>
    <w:rsid w:val="00903A76"/>
    <w:rsid w:val="009075FF"/>
    <w:rsid w:val="00907884"/>
    <w:rsid w:val="00907C21"/>
    <w:rsid w:val="00911ABD"/>
    <w:rsid w:val="00917F20"/>
    <w:rsid w:val="00921803"/>
    <w:rsid w:val="009254DA"/>
    <w:rsid w:val="00926503"/>
    <w:rsid w:val="00926DDC"/>
    <w:rsid w:val="00927EE9"/>
    <w:rsid w:val="00931568"/>
    <w:rsid w:val="0093527D"/>
    <w:rsid w:val="00941BC2"/>
    <w:rsid w:val="00942245"/>
    <w:rsid w:val="00942FFA"/>
    <w:rsid w:val="00943FA7"/>
    <w:rsid w:val="00946DB8"/>
    <w:rsid w:val="00952EC9"/>
    <w:rsid w:val="00955CE3"/>
    <w:rsid w:val="009573A6"/>
    <w:rsid w:val="00961147"/>
    <w:rsid w:val="009620CA"/>
    <w:rsid w:val="00970034"/>
    <w:rsid w:val="009726D8"/>
    <w:rsid w:val="00973A22"/>
    <w:rsid w:val="00974218"/>
    <w:rsid w:val="00976E43"/>
    <w:rsid w:val="00986E1B"/>
    <w:rsid w:val="009903E0"/>
    <w:rsid w:val="00991510"/>
    <w:rsid w:val="009920F0"/>
    <w:rsid w:val="0099217D"/>
    <w:rsid w:val="00995156"/>
    <w:rsid w:val="00997060"/>
    <w:rsid w:val="009A3062"/>
    <w:rsid w:val="009B1281"/>
    <w:rsid w:val="009B6BD1"/>
    <w:rsid w:val="009C521A"/>
    <w:rsid w:val="009D08D6"/>
    <w:rsid w:val="009D379F"/>
    <w:rsid w:val="009D7308"/>
    <w:rsid w:val="009E342D"/>
    <w:rsid w:val="009E55E6"/>
    <w:rsid w:val="009F10E0"/>
    <w:rsid w:val="009F29C1"/>
    <w:rsid w:val="009F4A03"/>
    <w:rsid w:val="009F527B"/>
    <w:rsid w:val="009F76DB"/>
    <w:rsid w:val="00A02B8A"/>
    <w:rsid w:val="00A05D98"/>
    <w:rsid w:val="00A064E5"/>
    <w:rsid w:val="00A06E6A"/>
    <w:rsid w:val="00A1277C"/>
    <w:rsid w:val="00A233A1"/>
    <w:rsid w:val="00A25438"/>
    <w:rsid w:val="00A32C3B"/>
    <w:rsid w:val="00A35B9D"/>
    <w:rsid w:val="00A37B29"/>
    <w:rsid w:val="00A40F4F"/>
    <w:rsid w:val="00A4304A"/>
    <w:rsid w:val="00A45F4F"/>
    <w:rsid w:val="00A521DC"/>
    <w:rsid w:val="00A524C9"/>
    <w:rsid w:val="00A54778"/>
    <w:rsid w:val="00A55D6D"/>
    <w:rsid w:val="00A56ECE"/>
    <w:rsid w:val="00A600A9"/>
    <w:rsid w:val="00A732AA"/>
    <w:rsid w:val="00A757F8"/>
    <w:rsid w:val="00A81CA1"/>
    <w:rsid w:val="00A927B2"/>
    <w:rsid w:val="00A95395"/>
    <w:rsid w:val="00A96F4B"/>
    <w:rsid w:val="00AA31D6"/>
    <w:rsid w:val="00AA45D4"/>
    <w:rsid w:val="00AA55B7"/>
    <w:rsid w:val="00AA5B9E"/>
    <w:rsid w:val="00AA76EF"/>
    <w:rsid w:val="00AB1254"/>
    <w:rsid w:val="00AB140F"/>
    <w:rsid w:val="00AB2407"/>
    <w:rsid w:val="00AB53DF"/>
    <w:rsid w:val="00AB54E0"/>
    <w:rsid w:val="00AC32DE"/>
    <w:rsid w:val="00AD0417"/>
    <w:rsid w:val="00AD2C43"/>
    <w:rsid w:val="00AD67AE"/>
    <w:rsid w:val="00AD6EFE"/>
    <w:rsid w:val="00AD716B"/>
    <w:rsid w:val="00AE171C"/>
    <w:rsid w:val="00AE27D7"/>
    <w:rsid w:val="00AE4827"/>
    <w:rsid w:val="00AE55BB"/>
    <w:rsid w:val="00AE562E"/>
    <w:rsid w:val="00AF7BB2"/>
    <w:rsid w:val="00B0113F"/>
    <w:rsid w:val="00B04F4A"/>
    <w:rsid w:val="00B07E5C"/>
    <w:rsid w:val="00B214CA"/>
    <w:rsid w:val="00B26144"/>
    <w:rsid w:val="00B27340"/>
    <w:rsid w:val="00B367CB"/>
    <w:rsid w:val="00B40DED"/>
    <w:rsid w:val="00B40F47"/>
    <w:rsid w:val="00B47608"/>
    <w:rsid w:val="00B548E3"/>
    <w:rsid w:val="00B61868"/>
    <w:rsid w:val="00B66B52"/>
    <w:rsid w:val="00B70744"/>
    <w:rsid w:val="00B70CE8"/>
    <w:rsid w:val="00B7441A"/>
    <w:rsid w:val="00B75167"/>
    <w:rsid w:val="00B803E7"/>
    <w:rsid w:val="00B811F7"/>
    <w:rsid w:val="00B84D61"/>
    <w:rsid w:val="00B865E4"/>
    <w:rsid w:val="00B96E71"/>
    <w:rsid w:val="00BA09A6"/>
    <w:rsid w:val="00BA184F"/>
    <w:rsid w:val="00BA5DC6"/>
    <w:rsid w:val="00BA6196"/>
    <w:rsid w:val="00BB0D89"/>
    <w:rsid w:val="00BB40C6"/>
    <w:rsid w:val="00BC09AA"/>
    <w:rsid w:val="00BC10EB"/>
    <w:rsid w:val="00BC491A"/>
    <w:rsid w:val="00BC6D8C"/>
    <w:rsid w:val="00BD24A4"/>
    <w:rsid w:val="00BD490D"/>
    <w:rsid w:val="00BD5772"/>
    <w:rsid w:val="00BD6119"/>
    <w:rsid w:val="00BD6EA3"/>
    <w:rsid w:val="00BD7132"/>
    <w:rsid w:val="00BE0F6C"/>
    <w:rsid w:val="00BE1596"/>
    <w:rsid w:val="00BE379C"/>
    <w:rsid w:val="00BE6BDC"/>
    <w:rsid w:val="00BE7150"/>
    <w:rsid w:val="00BF7188"/>
    <w:rsid w:val="00C00381"/>
    <w:rsid w:val="00C0222E"/>
    <w:rsid w:val="00C02A8E"/>
    <w:rsid w:val="00C1083B"/>
    <w:rsid w:val="00C1672E"/>
    <w:rsid w:val="00C20AC4"/>
    <w:rsid w:val="00C21045"/>
    <w:rsid w:val="00C302A0"/>
    <w:rsid w:val="00C30BAC"/>
    <w:rsid w:val="00C336DA"/>
    <w:rsid w:val="00C34006"/>
    <w:rsid w:val="00C3552C"/>
    <w:rsid w:val="00C36B4C"/>
    <w:rsid w:val="00C426B1"/>
    <w:rsid w:val="00C46038"/>
    <w:rsid w:val="00C5520F"/>
    <w:rsid w:val="00C5564A"/>
    <w:rsid w:val="00C5746A"/>
    <w:rsid w:val="00C6340E"/>
    <w:rsid w:val="00C66160"/>
    <w:rsid w:val="00C66953"/>
    <w:rsid w:val="00C66D34"/>
    <w:rsid w:val="00C721AC"/>
    <w:rsid w:val="00C73AE3"/>
    <w:rsid w:val="00C73D02"/>
    <w:rsid w:val="00C84D83"/>
    <w:rsid w:val="00C90D6A"/>
    <w:rsid w:val="00CA14F7"/>
    <w:rsid w:val="00CA247E"/>
    <w:rsid w:val="00CA67E9"/>
    <w:rsid w:val="00CA68AE"/>
    <w:rsid w:val="00CA6D21"/>
    <w:rsid w:val="00CB2AF5"/>
    <w:rsid w:val="00CB40FA"/>
    <w:rsid w:val="00CC72B6"/>
    <w:rsid w:val="00CD131C"/>
    <w:rsid w:val="00CD32D9"/>
    <w:rsid w:val="00CE1914"/>
    <w:rsid w:val="00CE431A"/>
    <w:rsid w:val="00CE5137"/>
    <w:rsid w:val="00CE5DD6"/>
    <w:rsid w:val="00D0218D"/>
    <w:rsid w:val="00D077B4"/>
    <w:rsid w:val="00D14B5D"/>
    <w:rsid w:val="00D14ED0"/>
    <w:rsid w:val="00D238F7"/>
    <w:rsid w:val="00D25FB5"/>
    <w:rsid w:val="00D26FE6"/>
    <w:rsid w:val="00D3396B"/>
    <w:rsid w:val="00D33D9D"/>
    <w:rsid w:val="00D33F0E"/>
    <w:rsid w:val="00D34670"/>
    <w:rsid w:val="00D44223"/>
    <w:rsid w:val="00D457D6"/>
    <w:rsid w:val="00D55351"/>
    <w:rsid w:val="00D55463"/>
    <w:rsid w:val="00D704EC"/>
    <w:rsid w:val="00D8067A"/>
    <w:rsid w:val="00D83126"/>
    <w:rsid w:val="00DA2529"/>
    <w:rsid w:val="00DA6567"/>
    <w:rsid w:val="00DB130A"/>
    <w:rsid w:val="00DB2B1F"/>
    <w:rsid w:val="00DB2E94"/>
    <w:rsid w:val="00DB2EBB"/>
    <w:rsid w:val="00DB47ED"/>
    <w:rsid w:val="00DB6851"/>
    <w:rsid w:val="00DC10A1"/>
    <w:rsid w:val="00DC21AC"/>
    <w:rsid w:val="00DC33DA"/>
    <w:rsid w:val="00DC655F"/>
    <w:rsid w:val="00DC7F1E"/>
    <w:rsid w:val="00DD0B59"/>
    <w:rsid w:val="00DD1AF1"/>
    <w:rsid w:val="00DD2497"/>
    <w:rsid w:val="00DD46E3"/>
    <w:rsid w:val="00DD67F9"/>
    <w:rsid w:val="00DD7EBD"/>
    <w:rsid w:val="00DE2902"/>
    <w:rsid w:val="00DE54E5"/>
    <w:rsid w:val="00DE76AB"/>
    <w:rsid w:val="00DF19A1"/>
    <w:rsid w:val="00DF1FBE"/>
    <w:rsid w:val="00DF24ED"/>
    <w:rsid w:val="00DF4743"/>
    <w:rsid w:val="00DF62B6"/>
    <w:rsid w:val="00DF7D28"/>
    <w:rsid w:val="00E010D2"/>
    <w:rsid w:val="00E029C5"/>
    <w:rsid w:val="00E04C43"/>
    <w:rsid w:val="00E05DB7"/>
    <w:rsid w:val="00E07225"/>
    <w:rsid w:val="00E15602"/>
    <w:rsid w:val="00E16461"/>
    <w:rsid w:val="00E246BF"/>
    <w:rsid w:val="00E25A39"/>
    <w:rsid w:val="00E30ADA"/>
    <w:rsid w:val="00E30E06"/>
    <w:rsid w:val="00E334E0"/>
    <w:rsid w:val="00E361D5"/>
    <w:rsid w:val="00E42164"/>
    <w:rsid w:val="00E43C12"/>
    <w:rsid w:val="00E50C19"/>
    <w:rsid w:val="00E5409F"/>
    <w:rsid w:val="00E602C9"/>
    <w:rsid w:val="00E62FAE"/>
    <w:rsid w:val="00E7016C"/>
    <w:rsid w:val="00E72ADF"/>
    <w:rsid w:val="00E74AD1"/>
    <w:rsid w:val="00E80C3A"/>
    <w:rsid w:val="00E85115"/>
    <w:rsid w:val="00E85FB9"/>
    <w:rsid w:val="00E960BE"/>
    <w:rsid w:val="00EA5F95"/>
    <w:rsid w:val="00EB1829"/>
    <w:rsid w:val="00EB2B0D"/>
    <w:rsid w:val="00EB3E70"/>
    <w:rsid w:val="00EB4A91"/>
    <w:rsid w:val="00EB4A9B"/>
    <w:rsid w:val="00EB5B69"/>
    <w:rsid w:val="00EB6170"/>
    <w:rsid w:val="00EC4DCB"/>
    <w:rsid w:val="00EC5BAC"/>
    <w:rsid w:val="00ED32C3"/>
    <w:rsid w:val="00ED32C4"/>
    <w:rsid w:val="00EE2E60"/>
    <w:rsid w:val="00EE307E"/>
    <w:rsid w:val="00EE6488"/>
    <w:rsid w:val="00EF033E"/>
    <w:rsid w:val="00EF21D8"/>
    <w:rsid w:val="00EF30CE"/>
    <w:rsid w:val="00EF3BC4"/>
    <w:rsid w:val="00EF557A"/>
    <w:rsid w:val="00EF60C5"/>
    <w:rsid w:val="00F021FA"/>
    <w:rsid w:val="00F03D66"/>
    <w:rsid w:val="00F056CE"/>
    <w:rsid w:val="00F06D4B"/>
    <w:rsid w:val="00F07E16"/>
    <w:rsid w:val="00F1633E"/>
    <w:rsid w:val="00F169E9"/>
    <w:rsid w:val="00F2233A"/>
    <w:rsid w:val="00F24381"/>
    <w:rsid w:val="00F243C9"/>
    <w:rsid w:val="00F432B9"/>
    <w:rsid w:val="00F50D3C"/>
    <w:rsid w:val="00F52C2F"/>
    <w:rsid w:val="00F62E97"/>
    <w:rsid w:val="00F64209"/>
    <w:rsid w:val="00F70762"/>
    <w:rsid w:val="00F7299D"/>
    <w:rsid w:val="00F75601"/>
    <w:rsid w:val="00F81FFD"/>
    <w:rsid w:val="00F83CDA"/>
    <w:rsid w:val="00F864C4"/>
    <w:rsid w:val="00F91A00"/>
    <w:rsid w:val="00F93BF5"/>
    <w:rsid w:val="00F95A23"/>
    <w:rsid w:val="00F973CE"/>
    <w:rsid w:val="00FA07D6"/>
    <w:rsid w:val="00FA1777"/>
    <w:rsid w:val="00FA7BCB"/>
    <w:rsid w:val="00FA7EF1"/>
    <w:rsid w:val="00FB4257"/>
    <w:rsid w:val="00FB5F10"/>
    <w:rsid w:val="00FC292D"/>
    <w:rsid w:val="00FC445D"/>
    <w:rsid w:val="00FC4783"/>
    <w:rsid w:val="00FD37B0"/>
    <w:rsid w:val="00FD3F74"/>
    <w:rsid w:val="00FD51B8"/>
    <w:rsid w:val="00FE168D"/>
    <w:rsid w:val="00FE22BD"/>
    <w:rsid w:val="00FE2F41"/>
    <w:rsid w:val="00FF136B"/>
    <w:rsid w:val="00FF2D03"/>
    <w:rsid w:val="00FF6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4C3754"/>
  <w15:chartTrackingRefBased/>
  <w15:docId w15:val="{4FBCF52C-E5C5-49F8-999C-D1FF2A56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2Char">
    <w:name w:val="Heading 2 Char"/>
    <w:link w:val="Heading2"/>
    <w:rsid w:val="00BC491A"/>
    <w:rPr>
      <w:b/>
      <w:snapToGrid w:val="0"/>
      <w:kern w:val="28"/>
      <w:sz w:val="22"/>
    </w:rPr>
  </w:style>
  <w:style w:type="paragraph" w:styleId="BalloonText">
    <w:name w:val="Balloon Text"/>
    <w:basedOn w:val="Normal"/>
    <w:link w:val="BalloonTextChar"/>
    <w:rsid w:val="008F4DCA"/>
    <w:rPr>
      <w:rFonts w:ascii="Segoe UI" w:hAnsi="Segoe UI" w:cs="Segoe UI"/>
      <w:sz w:val="18"/>
      <w:szCs w:val="18"/>
    </w:rPr>
  </w:style>
  <w:style w:type="character" w:customStyle="1" w:styleId="BalloonTextChar">
    <w:name w:val="Balloon Text Char"/>
    <w:basedOn w:val="DefaultParagraphFont"/>
    <w:link w:val="BalloonText"/>
    <w:rsid w:val="008F4DCA"/>
    <w:rPr>
      <w:rFonts w:ascii="Segoe UI" w:hAnsi="Segoe UI" w:cs="Segoe UI"/>
      <w:snapToGrid w:val="0"/>
      <w:kern w:val="28"/>
      <w:sz w:val="18"/>
      <w:szCs w:val="18"/>
    </w:rPr>
  </w:style>
  <w:style w:type="character" w:styleId="CommentReference">
    <w:name w:val="annotation reference"/>
    <w:basedOn w:val="DefaultParagraphFont"/>
    <w:rsid w:val="005D67FD"/>
    <w:rPr>
      <w:sz w:val="16"/>
      <w:szCs w:val="16"/>
    </w:rPr>
  </w:style>
  <w:style w:type="paragraph" w:styleId="CommentText">
    <w:name w:val="annotation text"/>
    <w:basedOn w:val="Normal"/>
    <w:link w:val="CommentTextChar"/>
    <w:rsid w:val="005D67FD"/>
    <w:rPr>
      <w:sz w:val="20"/>
    </w:rPr>
  </w:style>
  <w:style w:type="character" w:customStyle="1" w:styleId="CommentTextChar">
    <w:name w:val="Comment Text Char"/>
    <w:basedOn w:val="DefaultParagraphFont"/>
    <w:link w:val="CommentText"/>
    <w:rsid w:val="005D67FD"/>
    <w:rPr>
      <w:snapToGrid w:val="0"/>
      <w:kern w:val="28"/>
    </w:rPr>
  </w:style>
  <w:style w:type="paragraph" w:styleId="CommentSubject">
    <w:name w:val="annotation subject"/>
    <w:basedOn w:val="CommentText"/>
    <w:next w:val="CommentText"/>
    <w:link w:val="CommentSubjectChar"/>
    <w:rsid w:val="005D67FD"/>
    <w:rPr>
      <w:b/>
      <w:bCs/>
    </w:rPr>
  </w:style>
  <w:style w:type="character" w:customStyle="1" w:styleId="CommentSubjectChar">
    <w:name w:val="Comment Subject Char"/>
    <w:basedOn w:val="CommentTextChar"/>
    <w:link w:val="CommentSubject"/>
    <w:rsid w:val="005D67FD"/>
    <w:rPr>
      <w:b/>
      <w:bCs/>
      <w:snapToGrid w:val="0"/>
      <w:kern w:val="28"/>
    </w:rPr>
  </w:style>
  <w:style w:type="character" w:customStyle="1" w:styleId="FootnoteTextChar1">
    <w:name w:val="Footnote Text Char1"/>
    <w:aliases w:val="Footnote Text Char Char,Footnote Text Char Char6 Char Char,Footnote Text Char Char6 Char Char1 Char1 Char,Footnote Text Char2 Char3 Char,Footnote Text Char4 Char2 Char Char Char Char Char,Footnote Text Char6 Char Char Char Char"/>
    <w:link w:val="FootnoteText"/>
    <w:locked/>
    <w:rsid w:val="00A95395"/>
  </w:style>
  <w:style w:type="character" w:customStyle="1" w:styleId="FootnoteTextCharChar1">
    <w:name w:val="Footnote Text Char Char1"/>
    <w:aliases w:val="Footnote Text Char Char1 Char Char,Footnote Text Char Char1 Char Char Char Char,Footnote Text Char1 Char1 Char Char Char Char Char,Footnote Text Char2 Char2 Char,Footnote Text Char2 Char2 Char Char Char,fn Char Char"/>
    <w:rsid w:val="00A95395"/>
    <w:rPr>
      <w:lang w:val="en-US" w:eastAsia="en-US"/>
    </w:rPr>
  </w:style>
  <w:style w:type="character" w:customStyle="1" w:styleId="UnresolvedMention">
    <w:name w:val="Unresolved Mention"/>
    <w:basedOn w:val="DefaultParagraphFont"/>
    <w:uiPriority w:val="99"/>
    <w:semiHidden/>
    <w:unhideWhenUsed/>
    <w:rsid w:val="0069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sec.gov/Archives/edgar/data/732717/000119312521056922/d544248dex991.ht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