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75796D0F" w14:paraId="748C0AB9" w14:textId="6ABF91BC">
      <w:pPr>
        <w:jc w:val="right"/>
        <w:rPr>
          <w:sz w:val="24"/>
          <w:szCs w:val="24"/>
        </w:rPr>
      </w:pPr>
    </w:p>
    <w:p w:rsidR="005614FA" w:rsidP="005614FA" w14:paraId="3B844814" w14:textId="0B8CE8A3">
      <w:pPr>
        <w:widowControl/>
        <w:suppressAutoHyphens/>
        <w:jc w:val="right"/>
        <w:rPr>
          <w:b/>
          <w:color w:val="000000"/>
        </w:rPr>
      </w:pPr>
      <w:r>
        <w:rPr>
          <w:b/>
          <w:color w:val="000000"/>
        </w:rPr>
        <w:t>DA 2</w:t>
      </w:r>
      <w:r w:rsidR="008864E9">
        <w:rPr>
          <w:b/>
          <w:color w:val="000000"/>
        </w:rPr>
        <w:t>1</w:t>
      </w:r>
      <w:r>
        <w:rPr>
          <w:b/>
          <w:color w:val="000000"/>
        </w:rPr>
        <w:t>-</w:t>
      </w:r>
      <w:r w:rsidR="009A2104">
        <w:rPr>
          <w:b/>
          <w:color w:val="000000"/>
        </w:rPr>
        <w:t>842</w:t>
      </w:r>
    </w:p>
    <w:p w:rsidR="005614FA" w:rsidP="005614FA" w14:paraId="5CCDFE42" w14:textId="303E5A14">
      <w:pPr>
        <w:widowControl/>
        <w:suppressAutoHyphens/>
        <w:spacing w:after="240"/>
        <w:jc w:val="right"/>
        <w:rPr>
          <w:b/>
          <w:color w:val="000000"/>
        </w:rPr>
      </w:pPr>
      <w:r>
        <w:rPr>
          <w:b/>
          <w:color w:val="000000"/>
        </w:rPr>
        <w:t xml:space="preserve">Released:  </w:t>
      </w:r>
      <w:r w:rsidR="002853CF">
        <w:rPr>
          <w:b/>
          <w:color w:val="000000"/>
        </w:rPr>
        <w:t xml:space="preserve">July 16, </w:t>
      </w:r>
      <w:r>
        <w:rPr>
          <w:b/>
          <w:color w:val="000000"/>
        </w:rPr>
        <w:t>202</w:t>
      </w:r>
      <w:r w:rsidR="008864E9">
        <w:rPr>
          <w:b/>
          <w:color w:val="000000"/>
        </w:rPr>
        <w:t>1</w:t>
      </w:r>
    </w:p>
    <w:p w:rsidR="000A0800" w:rsidP="007F2B65" w14:paraId="45613ACE" w14:textId="77777777">
      <w:pPr>
        <w:autoSpaceDE w:val="0"/>
        <w:autoSpaceDN w:val="0"/>
        <w:adjustRightInd w:val="0"/>
        <w:jc w:val="center"/>
        <w:rPr>
          <w:b/>
          <w:szCs w:val="22"/>
        </w:rPr>
      </w:pPr>
      <w:r w:rsidRPr="00307030">
        <w:rPr>
          <w:b/>
          <w:szCs w:val="22"/>
        </w:rPr>
        <w:t>APPLICATION</w:t>
      </w:r>
      <w:r w:rsidR="00F0746D">
        <w:rPr>
          <w:b/>
          <w:szCs w:val="22"/>
        </w:rPr>
        <w:t>S</w:t>
      </w:r>
      <w:r w:rsidRPr="00307030">
        <w:rPr>
          <w:b/>
          <w:szCs w:val="22"/>
        </w:rPr>
        <w:t xml:space="preserve"> </w:t>
      </w:r>
      <w:r>
        <w:rPr>
          <w:b/>
          <w:szCs w:val="22"/>
        </w:rPr>
        <w:t>GRANTED</w:t>
      </w:r>
      <w:r w:rsidRPr="00307030">
        <w:rPr>
          <w:b/>
          <w:szCs w:val="22"/>
        </w:rPr>
        <w:t xml:space="preserve"> FOR THE </w:t>
      </w:r>
      <w:r w:rsidRPr="00C42DB1">
        <w:rPr>
          <w:b/>
          <w:szCs w:val="22"/>
        </w:rPr>
        <w:t xml:space="preserve">TRANSFER OF CONTROL OF </w:t>
      </w:r>
    </w:p>
    <w:p w:rsidR="007F2B65" w:rsidRPr="000A0800" w:rsidP="000A0800" w14:paraId="659FFF65" w14:textId="69F93EB3">
      <w:pPr>
        <w:autoSpaceDE w:val="0"/>
        <w:autoSpaceDN w:val="0"/>
        <w:adjustRightInd w:val="0"/>
        <w:jc w:val="center"/>
        <w:rPr>
          <w:b/>
          <w:bCs/>
          <w:szCs w:val="22"/>
        </w:rPr>
      </w:pPr>
      <w:r>
        <w:rPr>
          <w:b/>
          <w:bCs/>
          <w:szCs w:val="22"/>
        </w:rPr>
        <w:t>ALASKA COMMUNICATIONS SYSTEMS GROUP, INC. AND ITS OPERATING SUBSIDIARIES TO PROJECT 8 BUYER, LLC</w:t>
      </w:r>
      <w:r w:rsidRPr="00C42DB1">
        <w:rPr>
          <w:b/>
          <w:szCs w:val="22"/>
        </w:rPr>
        <w:t xml:space="preserve"> </w:t>
      </w:r>
    </w:p>
    <w:p w:rsidR="005614FA" w:rsidRPr="00307030" w:rsidP="005614FA" w14:paraId="03F51AB9" w14:textId="77777777">
      <w:pPr>
        <w:autoSpaceDE w:val="0"/>
        <w:autoSpaceDN w:val="0"/>
        <w:adjustRightInd w:val="0"/>
        <w:jc w:val="center"/>
        <w:rPr>
          <w:b/>
          <w:szCs w:val="22"/>
        </w:rPr>
      </w:pPr>
    </w:p>
    <w:p w:rsidR="005614FA" w:rsidRPr="00307030" w:rsidP="005614FA" w14:paraId="6D0EE08E" w14:textId="591ABB6F">
      <w:pPr>
        <w:autoSpaceDE w:val="0"/>
        <w:autoSpaceDN w:val="0"/>
        <w:adjustRightInd w:val="0"/>
        <w:jc w:val="center"/>
        <w:rPr>
          <w:b/>
          <w:szCs w:val="22"/>
        </w:rPr>
      </w:pPr>
      <w:r w:rsidRPr="00307030">
        <w:rPr>
          <w:b/>
          <w:szCs w:val="22"/>
        </w:rPr>
        <w:t xml:space="preserve">WC Docket No. </w:t>
      </w:r>
      <w:r w:rsidR="00BE5020">
        <w:rPr>
          <w:b/>
          <w:szCs w:val="22"/>
        </w:rPr>
        <w:t>2</w:t>
      </w:r>
      <w:r w:rsidR="00C845C8">
        <w:rPr>
          <w:b/>
          <w:szCs w:val="22"/>
        </w:rPr>
        <w:t>1</w:t>
      </w:r>
      <w:r w:rsidR="00C42DB1">
        <w:rPr>
          <w:b/>
          <w:szCs w:val="22"/>
        </w:rPr>
        <w:t>-2</w:t>
      </w:r>
      <w:r w:rsidR="00C845C8">
        <w:rPr>
          <w:b/>
          <w:szCs w:val="22"/>
        </w:rPr>
        <w:t>3</w:t>
      </w:r>
      <w:r>
        <w:rPr>
          <w:b/>
          <w:szCs w:val="22"/>
        </w:rPr>
        <w:t xml:space="preserve"> </w:t>
      </w:r>
    </w:p>
    <w:p w:rsidR="005614FA" w:rsidP="005614FA" w14:paraId="6EC98E03" w14:textId="77777777">
      <w:pPr>
        <w:widowControl/>
        <w:suppressAutoHyphens/>
        <w:rPr>
          <w:b/>
          <w:color w:val="000000"/>
        </w:rPr>
      </w:pPr>
    </w:p>
    <w:p w:rsidR="00C42DB1" w:rsidRPr="00310188" w:rsidP="00C42DB1" w14:paraId="4559EE9E" w14:textId="209D8ECF">
      <w:pPr>
        <w:widowControl/>
        <w:autoSpaceDE w:val="0"/>
        <w:autoSpaceDN w:val="0"/>
        <w:adjustRightInd w:val="0"/>
        <w:spacing w:after="120"/>
        <w:ind w:firstLine="720"/>
        <w:rPr>
          <w:snapToGrid/>
          <w:kern w:val="0"/>
          <w:szCs w:val="22"/>
        </w:rPr>
      </w:pPr>
      <w:r w:rsidRPr="00310188">
        <w:rPr>
          <w:snapToGrid/>
          <w:kern w:val="0"/>
          <w:szCs w:val="22"/>
        </w:rPr>
        <w:t xml:space="preserve">By this Public Notice, the Wireline Competition Bureau, International Bureau, </w:t>
      </w:r>
      <w:r w:rsidR="00304CD4">
        <w:rPr>
          <w:snapToGrid/>
          <w:kern w:val="0"/>
          <w:szCs w:val="22"/>
        </w:rPr>
        <w:t xml:space="preserve">and </w:t>
      </w:r>
      <w:r w:rsidRPr="00310188">
        <w:rPr>
          <w:snapToGrid/>
          <w:kern w:val="0"/>
          <w:szCs w:val="22"/>
        </w:rPr>
        <w:t xml:space="preserve">Wireless Telecommunications Bureau </w:t>
      </w:r>
      <w:r w:rsidRPr="00310188" w:rsidR="00B370E1">
        <w:rPr>
          <w:snapToGrid/>
          <w:kern w:val="0"/>
          <w:szCs w:val="22"/>
        </w:rPr>
        <w:t>(</w:t>
      </w:r>
      <w:r w:rsidR="00F0746D">
        <w:rPr>
          <w:snapToGrid/>
          <w:kern w:val="0"/>
          <w:szCs w:val="22"/>
        </w:rPr>
        <w:t xml:space="preserve">together, </w:t>
      </w:r>
      <w:r w:rsidRPr="00310188" w:rsidR="00B370E1">
        <w:rPr>
          <w:snapToGrid/>
          <w:kern w:val="0"/>
          <w:szCs w:val="22"/>
        </w:rPr>
        <w:t xml:space="preserve">Bureaus) </w:t>
      </w:r>
      <w:r w:rsidRPr="00310188">
        <w:rPr>
          <w:snapToGrid/>
          <w:kern w:val="0"/>
          <w:szCs w:val="22"/>
        </w:rPr>
        <w:t xml:space="preserve">grant a series of applications filed by </w:t>
      </w:r>
      <w:r w:rsidR="00CE3F89">
        <w:rPr>
          <w:color w:val="231F20"/>
          <w:szCs w:val="22"/>
        </w:rPr>
        <w:t>Alaska Communications Systems Group, Inc. (Alaska Communications) and Project 8 Buyer, LLC (Project 8) (together, Applicants)</w:t>
      </w:r>
      <w:r w:rsidRPr="00FB3EDD" w:rsidR="00CE3F89">
        <w:rPr>
          <w:color w:val="231F20"/>
          <w:szCs w:val="22"/>
        </w:rPr>
        <w:t xml:space="preserve">, </w:t>
      </w:r>
      <w:r w:rsidRPr="007656E1" w:rsidR="00CE3F89">
        <w:rPr>
          <w:szCs w:val="22"/>
        </w:rPr>
        <w:t>pursuant to sections 214 and 310(d) of the Communications Act of 1934, as amended (Act),</w:t>
      </w:r>
      <w:r>
        <w:rPr>
          <w:rStyle w:val="FootnoteReference"/>
          <w:szCs w:val="22"/>
        </w:rPr>
        <w:footnoteReference w:id="3"/>
      </w:r>
      <w:r w:rsidRPr="007656E1" w:rsidR="00CE3F89">
        <w:rPr>
          <w:szCs w:val="22"/>
        </w:rPr>
        <w:t xml:space="preserve"> </w:t>
      </w:r>
      <w:r w:rsidRPr="00E40B8D" w:rsidR="00CE3F89">
        <w:rPr>
          <w:color w:val="000000"/>
          <w:szCs w:val="22"/>
        </w:rPr>
        <w:t>the Cable Landing License Act of 1921</w:t>
      </w:r>
      <w:r w:rsidR="00CE3F89">
        <w:rPr>
          <w:color w:val="000000"/>
          <w:szCs w:val="22"/>
        </w:rPr>
        <w:t>,</w:t>
      </w:r>
      <w:r>
        <w:rPr>
          <w:color w:val="000000"/>
          <w:szCs w:val="22"/>
          <w:vertAlign w:val="superscript"/>
        </w:rPr>
        <w:footnoteReference w:id="4"/>
      </w:r>
      <w:r w:rsidR="00CE3F89">
        <w:rPr>
          <w:color w:val="000000"/>
          <w:szCs w:val="22"/>
        </w:rPr>
        <w:t xml:space="preserve"> </w:t>
      </w:r>
      <w:r w:rsidRPr="007656E1" w:rsidR="00CE3F89">
        <w:rPr>
          <w:szCs w:val="22"/>
        </w:rPr>
        <w:t xml:space="preserve">and sections </w:t>
      </w:r>
      <w:r w:rsidR="00CE3F89">
        <w:rPr>
          <w:szCs w:val="22"/>
        </w:rPr>
        <w:t xml:space="preserve">1.767, 1.948, 25.119, </w:t>
      </w:r>
      <w:r w:rsidRPr="007656E1" w:rsidR="00CE3F89">
        <w:rPr>
          <w:szCs w:val="22"/>
        </w:rPr>
        <w:t>63.03-04, 63.18, and 63.24 of the Commission’s rules</w:t>
      </w:r>
      <w:r w:rsidR="00E84245">
        <w:rPr>
          <w:szCs w:val="22"/>
        </w:rPr>
        <w:t>,</w:t>
      </w:r>
      <w:r>
        <w:rPr>
          <w:szCs w:val="22"/>
          <w:vertAlign w:val="superscript"/>
        </w:rPr>
        <w:footnoteReference w:id="5"/>
      </w:r>
      <w:r w:rsidRPr="00310188">
        <w:rPr>
          <w:snapToGrid/>
          <w:kern w:val="0"/>
          <w:szCs w:val="22"/>
        </w:rPr>
        <w:t xml:space="preserve"> seeking approval to transfer control of various licenses and authorizations held by </w:t>
      </w:r>
      <w:r w:rsidR="00F618C6">
        <w:rPr>
          <w:snapToGrid/>
          <w:kern w:val="0"/>
          <w:szCs w:val="22"/>
        </w:rPr>
        <w:t>Alaska Communications</w:t>
      </w:r>
      <w:r w:rsidR="006134A5">
        <w:rPr>
          <w:snapToGrid/>
          <w:kern w:val="0"/>
          <w:szCs w:val="22"/>
        </w:rPr>
        <w:t>’</w:t>
      </w:r>
      <w:r w:rsidR="00F618C6">
        <w:rPr>
          <w:snapToGrid/>
          <w:kern w:val="0"/>
          <w:szCs w:val="22"/>
        </w:rPr>
        <w:t xml:space="preserve"> </w:t>
      </w:r>
      <w:r w:rsidRPr="00310188">
        <w:rPr>
          <w:snapToGrid/>
          <w:kern w:val="0"/>
          <w:szCs w:val="22"/>
        </w:rPr>
        <w:t xml:space="preserve">operating subsidiaries to </w:t>
      </w:r>
      <w:r w:rsidR="00F618C6">
        <w:rPr>
          <w:snapToGrid/>
          <w:kern w:val="0"/>
          <w:szCs w:val="22"/>
        </w:rPr>
        <w:t>Project 8</w:t>
      </w:r>
      <w:r w:rsidRPr="00310188">
        <w:rPr>
          <w:snapToGrid/>
          <w:kern w:val="0"/>
          <w:szCs w:val="22"/>
        </w:rPr>
        <w:t>.</w:t>
      </w:r>
      <w:r>
        <w:rPr>
          <w:rStyle w:val="FootnoteReference"/>
          <w:snapToGrid/>
          <w:kern w:val="0"/>
          <w:szCs w:val="22"/>
        </w:rPr>
        <w:footnoteReference w:id="6"/>
      </w:r>
    </w:p>
    <w:p w:rsidR="005614FA" w:rsidRPr="00310188" w:rsidP="003B26F4" w14:paraId="26240209" w14:textId="19491837">
      <w:pPr>
        <w:widowControl/>
        <w:autoSpaceDE w:val="0"/>
        <w:autoSpaceDN w:val="0"/>
        <w:adjustRightInd w:val="0"/>
        <w:spacing w:after="120"/>
        <w:ind w:firstLine="720"/>
        <w:rPr>
          <w:szCs w:val="22"/>
        </w:rPr>
      </w:pPr>
      <w:r w:rsidRPr="00310188">
        <w:rPr>
          <w:color w:val="000000"/>
          <w:szCs w:val="22"/>
        </w:rPr>
        <w:t xml:space="preserve">On </w:t>
      </w:r>
      <w:r w:rsidR="00BF0A94">
        <w:rPr>
          <w:color w:val="000000"/>
          <w:szCs w:val="22"/>
        </w:rPr>
        <w:t>February 16</w:t>
      </w:r>
      <w:r w:rsidRPr="00310188">
        <w:rPr>
          <w:color w:val="000000"/>
          <w:szCs w:val="22"/>
        </w:rPr>
        <w:t>, 20</w:t>
      </w:r>
      <w:r w:rsidRPr="00310188" w:rsidR="00A51758">
        <w:rPr>
          <w:color w:val="000000"/>
          <w:szCs w:val="22"/>
        </w:rPr>
        <w:t>2</w:t>
      </w:r>
      <w:r w:rsidR="00BF0A94">
        <w:rPr>
          <w:color w:val="000000"/>
          <w:szCs w:val="22"/>
        </w:rPr>
        <w:t>1</w:t>
      </w:r>
      <w:r w:rsidRPr="00310188">
        <w:rPr>
          <w:color w:val="000000"/>
          <w:szCs w:val="22"/>
        </w:rPr>
        <w:t>, the Bureau</w:t>
      </w:r>
      <w:r w:rsidRPr="00310188" w:rsidR="00B370E1">
        <w:rPr>
          <w:color w:val="000000"/>
          <w:szCs w:val="22"/>
        </w:rPr>
        <w:t>s</w:t>
      </w:r>
      <w:r w:rsidRPr="00310188">
        <w:rPr>
          <w:color w:val="000000"/>
          <w:szCs w:val="22"/>
        </w:rPr>
        <w:t xml:space="preserve"> released a </w:t>
      </w:r>
      <w:r w:rsidRPr="00310188" w:rsidR="00284E56">
        <w:rPr>
          <w:color w:val="000000"/>
          <w:szCs w:val="22"/>
        </w:rPr>
        <w:t xml:space="preserve">consolidated </w:t>
      </w:r>
      <w:r w:rsidRPr="00310188">
        <w:rPr>
          <w:color w:val="000000"/>
          <w:szCs w:val="22"/>
        </w:rPr>
        <w:t xml:space="preserve">public notice seeking comment on the </w:t>
      </w:r>
      <w:r w:rsidR="00F0746D">
        <w:rPr>
          <w:color w:val="000000"/>
          <w:szCs w:val="22"/>
        </w:rPr>
        <w:t>A</w:t>
      </w:r>
      <w:r w:rsidRPr="00310188">
        <w:rPr>
          <w:color w:val="000000"/>
          <w:szCs w:val="22"/>
        </w:rPr>
        <w:t>pplication</w:t>
      </w:r>
      <w:r w:rsidRPr="00310188" w:rsidR="00284E56">
        <w:rPr>
          <w:color w:val="000000"/>
          <w:szCs w:val="22"/>
        </w:rPr>
        <w:t>s</w:t>
      </w:r>
      <w:r w:rsidRPr="00310188">
        <w:rPr>
          <w:color w:val="000000"/>
          <w:szCs w:val="22"/>
        </w:rPr>
        <w:t>.</w:t>
      </w:r>
      <w:r>
        <w:rPr>
          <w:rStyle w:val="FootnoteReference"/>
          <w:szCs w:val="22"/>
        </w:rPr>
        <w:footnoteReference w:id="7"/>
      </w:r>
      <w:r w:rsidRPr="00310188">
        <w:rPr>
          <w:color w:val="000000"/>
          <w:szCs w:val="22"/>
        </w:rPr>
        <w:t xml:space="preserve">  </w:t>
      </w:r>
      <w:r w:rsidRPr="00310188" w:rsidR="00B370E1">
        <w:rPr>
          <w:szCs w:val="22"/>
        </w:rPr>
        <w:t xml:space="preserve">No </w:t>
      </w:r>
      <w:r w:rsidR="00255563">
        <w:rPr>
          <w:szCs w:val="22"/>
        </w:rPr>
        <w:t xml:space="preserve">party filed </w:t>
      </w:r>
      <w:r w:rsidRPr="00310188">
        <w:rPr>
          <w:szCs w:val="22"/>
        </w:rPr>
        <w:t xml:space="preserve">comments or petitions in opposition </w:t>
      </w:r>
      <w:r w:rsidR="00255563">
        <w:rPr>
          <w:szCs w:val="22"/>
        </w:rPr>
        <w:t>to the proposed transaction</w:t>
      </w:r>
      <w:r w:rsidRPr="00310188">
        <w:rPr>
          <w:szCs w:val="22"/>
        </w:rPr>
        <w:t>.</w:t>
      </w:r>
    </w:p>
    <w:p w:rsidR="00F0746D" w:rsidRPr="00025045" w:rsidP="00025045" w14:paraId="2762B48F" w14:textId="1EBE14E8">
      <w:pPr>
        <w:widowControl/>
        <w:autoSpaceDE w:val="0"/>
        <w:autoSpaceDN w:val="0"/>
        <w:adjustRightInd w:val="0"/>
        <w:spacing w:after="120"/>
        <w:rPr>
          <w:b/>
          <w:bCs/>
          <w:snapToGrid/>
          <w:kern w:val="0"/>
          <w:szCs w:val="22"/>
        </w:rPr>
      </w:pPr>
      <w:r w:rsidRPr="00025045">
        <w:rPr>
          <w:b/>
          <w:bCs/>
          <w:snapToGrid/>
          <w:kern w:val="0"/>
          <w:szCs w:val="22"/>
        </w:rPr>
        <w:t>Applicants and Description of Transaction</w:t>
      </w:r>
    </w:p>
    <w:p w:rsidR="001933C9" w:rsidP="00807806" w14:paraId="77ADD308" w14:textId="7166D62B">
      <w:pPr>
        <w:widowControl/>
        <w:autoSpaceDE w:val="0"/>
        <w:autoSpaceDN w:val="0"/>
        <w:adjustRightInd w:val="0"/>
        <w:spacing w:after="120"/>
        <w:ind w:firstLine="720"/>
        <w:rPr>
          <w:szCs w:val="22"/>
        </w:rPr>
      </w:pPr>
      <w:r>
        <w:rPr>
          <w:snapToGrid/>
          <w:kern w:val="0"/>
          <w:szCs w:val="22"/>
        </w:rPr>
        <w:t>Alaska Communications</w:t>
      </w:r>
      <w:r w:rsidRPr="00310188" w:rsidR="00C64CFA">
        <w:rPr>
          <w:snapToGrid/>
          <w:kern w:val="0"/>
          <w:szCs w:val="22"/>
        </w:rPr>
        <w:t xml:space="preserve">, </w:t>
      </w:r>
      <w:r w:rsidRPr="002E0AE6" w:rsidR="00565ACA">
        <w:rPr>
          <w:szCs w:val="22"/>
        </w:rPr>
        <w:t xml:space="preserve">a publicly traded </w:t>
      </w:r>
      <w:r w:rsidR="00565ACA">
        <w:rPr>
          <w:szCs w:val="22"/>
        </w:rPr>
        <w:t>Delaware</w:t>
      </w:r>
      <w:r w:rsidRPr="002E0AE6" w:rsidR="00565ACA">
        <w:rPr>
          <w:szCs w:val="22"/>
        </w:rPr>
        <w:t xml:space="preserve"> corporation, through its operating subsidiaries provides</w:t>
      </w:r>
      <w:r w:rsidR="00565ACA">
        <w:rPr>
          <w:szCs w:val="22"/>
        </w:rPr>
        <w:t xml:space="preserve"> telecommunications and</w:t>
      </w:r>
      <w:r w:rsidRPr="002E0AE6" w:rsidR="00565ACA">
        <w:rPr>
          <w:szCs w:val="22"/>
        </w:rPr>
        <w:t xml:space="preserve"> broadband services</w:t>
      </w:r>
      <w:r w:rsidR="00565ACA">
        <w:rPr>
          <w:szCs w:val="22"/>
        </w:rPr>
        <w:t>.</w:t>
      </w:r>
      <w:r>
        <w:rPr>
          <w:rStyle w:val="FootnoteReference"/>
          <w:szCs w:val="22"/>
        </w:rPr>
        <w:footnoteReference w:id="8"/>
      </w:r>
      <w:r w:rsidR="00484E36">
        <w:rPr>
          <w:szCs w:val="22"/>
        </w:rPr>
        <w:t xml:space="preserve">  </w:t>
      </w:r>
      <w:r>
        <w:rPr>
          <w:szCs w:val="22"/>
        </w:rPr>
        <w:t xml:space="preserve">Alaska Communications’ operating subsidiaries are:  (1) </w:t>
      </w:r>
      <w:r w:rsidRPr="002E0AE6">
        <w:rPr>
          <w:szCs w:val="22"/>
        </w:rPr>
        <w:t>ACS of Alaska, LLC, an incumbent local exchange carrier (LEC) serving two study areas that encompass (</w:t>
      </w:r>
      <w:r>
        <w:rPr>
          <w:szCs w:val="22"/>
        </w:rPr>
        <w:t>a</w:t>
      </w:r>
      <w:r w:rsidRPr="002E0AE6">
        <w:rPr>
          <w:szCs w:val="22"/>
        </w:rPr>
        <w:t xml:space="preserve">) the City and Borough of Juneau (the Juneau </w:t>
      </w:r>
      <w:r w:rsidR="00D80A7F">
        <w:rPr>
          <w:szCs w:val="22"/>
        </w:rPr>
        <w:t>S</w:t>
      </w:r>
      <w:r w:rsidRPr="002E0AE6">
        <w:rPr>
          <w:szCs w:val="22"/>
        </w:rPr>
        <w:t xml:space="preserve">tudy </w:t>
      </w:r>
      <w:r w:rsidR="00D80A7F">
        <w:rPr>
          <w:szCs w:val="22"/>
        </w:rPr>
        <w:t>A</w:t>
      </w:r>
      <w:r w:rsidRPr="002E0AE6">
        <w:rPr>
          <w:szCs w:val="22"/>
        </w:rPr>
        <w:t>rea) and (</w:t>
      </w:r>
      <w:r>
        <w:rPr>
          <w:szCs w:val="22"/>
        </w:rPr>
        <w:t>b</w:t>
      </w:r>
      <w:r w:rsidRPr="002E0AE6">
        <w:rPr>
          <w:szCs w:val="22"/>
        </w:rPr>
        <w:t xml:space="preserve">) Eielson Air Force Base and Fort Wainwright (the </w:t>
      </w:r>
      <w:r w:rsidRPr="002E0AE6">
        <w:rPr>
          <w:szCs w:val="22"/>
        </w:rPr>
        <w:t>Greatland</w:t>
      </w:r>
      <w:r w:rsidRPr="002E0AE6">
        <w:rPr>
          <w:szCs w:val="22"/>
        </w:rPr>
        <w:t xml:space="preserve"> Study Area); </w:t>
      </w:r>
      <w:r>
        <w:rPr>
          <w:szCs w:val="22"/>
        </w:rPr>
        <w:t xml:space="preserve">(2) </w:t>
      </w:r>
      <w:r w:rsidRPr="002E0AE6">
        <w:rPr>
          <w:szCs w:val="22"/>
        </w:rPr>
        <w:t>ACS of Fairbanks, LLC, an incumbent LEC serv</w:t>
      </w:r>
      <w:r>
        <w:rPr>
          <w:szCs w:val="22"/>
        </w:rPr>
        <w:t>ing</w:t>
      </w:r>
      <w:r w:rsidRPr="002E0AE6">
        <w:rPr>
          <w:szCs w:val="22"/>
        </w:rPr>
        <w:t xml:space="preserve"> the City of Fairbanks and certain nearby areas; </w:t>
      </w:r>
      <w:r>
        <w:rPr>
          <w:szCs w:val="22"/>
        </w:rPr>
        <w:t xml:space="preserve">(3) </w:t>
      </w:r>
      <w:r w:rsidRPr="002E0AE6">
        <w:rPr>
          <w:szCs w:val="22"/>
        </w:rPr>
        <w:t>ACS of the Northland, LLC, an incumbent LEC serving two study areas:</w:t>
      </w:r>
      <w:r>
        <w:rPr>
          <w:szCs w:val="22"/>
        </w:rPr>
        <w:t xml:space="preserve"> </w:t>
      </w:r>
      <w:r w:rsidRPr="002E0AE6">
        <w:rPr>
          <w:szCs w:val="22"/>
        </w:rPr>
        <w:t xml:space="preserve"> (</w:t>
      </w:r>
      <w:r>
        <w:rPr>
          <w:szCs w:val="22"/>
        </w:rPr>
        <w:t>a</w:t>
      </w:r>
      <w:r w:rsidRPr="002E0AE6">
        <w:rPr>
          <w:szCs w:val="22"/>
        </w:rPr>
        <w:t>) Sitka Borough and certain non-contiguous Bush areas, including part of Prince of Wales Island, Yakutat, Northway, Border City, and parts of the Aleutian Island chain (the Sitka Bush Study Area) and (</w:t>
      </w:r>
      <w:r>
        <w:rPr>
          <w:szCs w:val="22"/>
        </w:rPr>
        <w:t>b</w:t>
      </w:r>
      <w:r w:rsidRPr="002E0AE6">
        <w:rPr>
          <w:szCs w:val="22"/>
        </w:rPr>
        <w:t xml:space="preserve">) Kenai, Soldotna, Kodiak, and areas outside Fairbanks, including Delta Junction, Nenana, and North Pole (the Glacier State Study Area); </w:t>
      </w:r>
      <w:r>
        <w:rPr>
          <w:szCs w:val="22"/>
        </w:rPr>
        <w:t xml:space="preserve">(4) </w:t>
      </w:r>
      <w:r w:rsidRPr="002E0AE6">
        <w:rPr>
          <w:szCs w:val="22"/>
        </w:rPr>
        <w:t>ACS of Anchorage, LLC</w:t>
      </w:r>
      <w:r>
        <w:rPr>
          <w:szCs w:val="22"/>
        </w:rPr>
        <w:t>,</w:t>
      </w:r>
      <w:r w:rsidRPr="002E0AE6">
        <w:rPr>
          <w:szCs w:val="22"/>
        </w:rPr>
        <w:t xml:space="preserve"> an incumbent LEC serving the Anchorage area, including Joint Base Elmendorf-Richardson, and certain small communities such as Girdwood and Hope</w:t>
      </w:r>
      <w:r>
        <w:rPr>
          <w:szCs w:val="22"/>
        </w:rPr>
        <w:t>;</w:t>
      </w:r>
      <w:r>
        <w:rPr>
          <w:rStyle w:val="FootnoteReference"/>
          <w:szCs w:val="22"/>
        </w:rPr>
        <w:footnoteReference w:id="9"/>
      </w:r>
      <w:r w:rsidRPr="002E0AE6">
        <w:rPr>
          <w:szCs w:val="22"/>
        </w:rPr>
        <w:t xml:space="preserve"> </w:t>
      </w:r>
      <w:r>
        <w:rPr>
          <w:szCs w:val="22"/>
        </w:rPr>
        <w:t xml:space="preserve">and (5) </w:t>
      </w:r>
      <w:r w:rsidRPr="002E0AE6">
        <w:rPr>
          <w:szCs w:val="22"/>
        </w:rPr>
        <w:t>ACS Long Distance, LLC</w:t>
      </w:r>
      <w:r>
        <w:rPr>
          <w:szCs w:val="22"/>
        </w:rPr>
        <w:t>, a</w:t>
      </w:r>
      <w:r w:rsidRPr="002E0AE6">
        <w:rPr>
          <w:szCs w:val="22"/>
        </w:rPr>
        <w:t xml:space="preserve"> long-distance </w:t>
      </w:r>
      <w:r>
        <w:rPr>
          <w:szCs w:val="22"/>
        </w:rPr>
        <w:t>provider serving</w:t>
      </w:r>
      <w:r w:rsidRPr="002E0AE6">
        <w:rPr>
          <w:szCs w:val="22"/>
        </w:rPr>
        <w:t xml:space="preserve"> within Alaska, and between Alaska and other states, using a combination of its own facilities and those of other facilities-based carriers.</w:t>
      </w:r>
      <w:r>
        <w:rPr>
          <w:rStyle w:val="FootnoteReference"/>
          <w:szCs w:val="22"/>
        </w:rPr>
        <w:footnoteReference w:id="10"/>
      </w:r>
      <w:r w:rsidRPr="002E0AE6">
        <w:rPr>
          <w:szCs w:val="22"/>
        </w:rPr>
        <w:t xml:space="preserve">  </w:t>
      </w:r>
      <w:r>
        <w:rPr>
          <w:szCs w:val="22"/>
        </w:rPr>
        <w:t xml:space="preserve">Through its subsidiaries, </w:t>
      </w:r>
      <w:r w:rsidRPr="002E0AE6">
        <w:rPr>
          <w:szCs w:val="22"/>
        </w:rPr>
        <w:t xml:space="preserve">Alaska Communications also provides broadband and business data services </w:t>
      </w:r>
      <w:r>
        <w:rPr>
          <w:szCs w:val="22"/>
        </w:rPr>
        <w:t>to residential, enterprise, and wholesale customers in its incumbent LEC areas and in other locations in Alaska.</w:t>
      </w:r>
      <w:r>
        <w:rPr>
          <w:rStyle w:val="FootnoteReference"/>
          <w:szCs w:val="22"/>
        </w:rPr>
        <w:footnoteReference w:id="11"/>
      </w:r>
      <w:r>
        <w:rPr>
          <w:szCs w:val="22"/>
        </w:rPr>
        <w:t xml:space="preserve">  ACS Internet offers limited wholesale services (such as terrestrial and undersea cable capacity) to carrier-customers in Oregon, on a private (non-common carrier) contractual basis and is a licensee of a transmit/receive earth station license.</w:t>
      </w:r>
      <w:r>
        <w:rPr>
          <w:rStyle w:val="FootnoteReference"/>
          <w:szCs w:val="22"/>
        </w:rPr>
        <w:footnoteReference w:id="12"/>
      </w:r>
      <w:r>
        <w:rPr>
          <w:szCs w:val="22"/>
        </w:rPr>
        <w:t xml:space="preserve">  Through its two domestic undersea cable systems, the AKORN and NorthStar Cable Systems, Alaska Communications offers wholesale fiber optic cable capacity between Alaska and Oregon.</w:t>
      </w:r>
      <w:r>
        <w:rPr>
          <w:rStyle w:val="FootnoteReference"/>
          <w:szCs w:val="22"/>
        </w:rPr>
        <w:footnoteReference w:id="13"/>
      </w:r>
      <w:r>
        <w:rPr>
          <w:szCs w:val="22"/>
        </w:rPr>
        <w:t xml:space="preserve"> </w:t>
      </w:r>
    </w:p>
    <w:p w:rsidR="001933C9" w:rsidRPr="00310188" w:rsidP="001933C9" w14:paraId="4E6ED68E" w14:textId="27BE61A1">
      <w:pPr>
        <w:widowControl/>
        <w:autoSpaceDE w:val="0"/>
        <w:autoSpaceDN w:val="0"/>
        <w:adjustRightInd w:val="0"/>
        <w:spacing w:after="120"/>
        <w:ind w:firstLine="720"/>
        <w:rPr>
          <w:snapToGrid/>
          <w:kern w:val="0"/>
          <w:szCs w:val="22"/>
        </w:rPr>
      </w:pPr>
      <w:r>
        <w:rPr>
          <w:szCs w:val="22"/>
        </w:rPr>
        <w:t xml:space="preserve">Project 8, a Delaware limited liability company, is a newly formed holding company held by ATN International, Inc. (ATN) and Freedom 3 Investments IV, LP (Freedom), for the purposes of </w:t>
      </w:r>
      <w:r>
        <w:rPr>
          <w:szCs w:val="22"/>
        </w:rPr>
        <w:t>acquiring Alaska Communications.</w:t>
      </w:r>
      <w:r>
        <w:rPr>
          <w:rStyle w:val="FootnoteReference"/>
          <w:szCs w:val="22"/>
        </w:rPr>
        <w:footnoteReference w:id="14"/>
      </w:r>
      <w:r>
        <w:rPr>
          <w:szCs w:val="22"/>
        </w:rPr>
        <w:t xml:space="preserve">  Project 8 is a wholly owned subsidiary of ALSK Holdings, LLC (ALSK Holdings), a Delaware limited liability company.</w:t>
      </w:r>
      <w:r>
        <w:rPr>
          <w:rStyle w:val="FootnoteReference"/>
          <w:szCs w:val="22"/>
        </w:rPr>
        <w:footnoteReference w:id="15"/>
      </w:r>
      <w:r>
        <w:rPr>
          <w:szCs w:val="22"/>
        </w:rPr>
        <w:t xml:space="preserve">  ATN, a publicly traded Delaware corporation, will control Project 8 through ALSK Holdings (52% voting interest and 50.67% equity interest in ALSK Holdings).</w:t>
      </w:r>
      <w:r>
        <w:rPr>
          <w:rStyle w:val="FootnoteReference"/>
          <w:szCs w:val="22"/>
        </w:rPr>
        <w:footnoteReference w:id="16"/>
      </w:r>
      <w:r>
        <w:rPr>
          <w:szCs w:val="22"/>
        </w:rPr>
        <w:t xml:space="preserve">  One individual and one entity hold an interest in ATN of 10% or more:  Cornelius B. Prior, Jr., a U.S. citizen (26.4% of ATN’s stock)</w:t>
      </w:r>
      <w:r w:rsidR="00090D4F">
        <w:rPr>
          <w:szCs w:val="22"/>
        </w:rPr>
        <w:t>,</w:t>
      </w:r>
      <w:r>
        <w:rPr>
          <w:szCs w:val="22"/>
        </w:rPr>
        <w:t xml:space="preserve"> and BlackRock Fund Advisors, a U.S. entity (10.1% of ATN’s stock).</w:t>
      </w:r>
      <w:r>
        <w:rPr>
          <w:rStyle w:val="FootnoteReference"/>
          <w:szCs w:val="22"/>
        </w:rPr>
        <w:footnoteReference w:id="17"/>
      </w:r>
      <w:r>
        <w:rPr>
          <w:szCs w:val="22"/>
        </w:rPr>
        <w:t xml:space="preserve">  Freedom, a Delaware limited partnership, holds, directly and indirectly through its wholly owned subsidiary, F3C AK, LLC (F3C AK), a 48% voting interest and 49.43% equity interest in ALSK Holdings.</w:t>
      </w:r>
      <w:r>
        <w:rPr>
          <w:rStyle w:val="FootnoteReference"/>
          <w:szCs w:val="22"/>
        </w:rPr>
        <w:footnoteReference w:id="18"/>
      </w:r>
      <w:r>
        <w:rPr>
          <w:szCs w:val="22"/>
        </w:rPr>
        <w:t xml:space="preserve">  Through a series of intermediate U.S. entities, Freedom is ultimately controlled by the following U.S. citizens: </w:t>
      </w:r>
      <w:bookmarkStart w:id="5" w:name="_Hlk63156493"/>
      <w:r>
        <w:rPr>
          <w:szCs w:val="22"/>
        </w:rPr>
        <w:t xml:space="preserve"> Jason Block, Erik Glover, and Daniel </w:t>
      </w:r>
      <w:r>
        <w:rPr>
          <w:szCs w:val="22"/>
        </w:rPr>
        <w:t>Tamkin</w:t>
      </w:r>
      <w:bookmarkEnd w:id="5"/>
      <w:r>
        <w:rPr>
          <w:szCs w:val="22"/>
        </w:rPr>
        <w:t>.</w:t>
      </w:r>
      <w:r>
        <w:rPr>
          <w:rStyle w:val="FootnoteReference"/>
          <w:szCs w:val="22"/>
        </w:rPr>
        <w:footnoteReference w:id="19"/>
      </w:r>
      <w:r>
        <w:rPr>
          <w:szCs w:val="22"/>
        </w:rPr>
        <w:t xml:space="preserve">   </w:t>
      </w:r>
    </w:p>
    <w:p w:rsidR="00F03E34" w:rsidP="00DB5E3F" w14:paraId="23812AD0" w14:textId="77777777">
      <w:pPr>
        <w:widowControl/>
        <w:autoSpaceDE w:val="0"/>
        <w:autoSpaceDN w:val="0"/>
        <w:adjustRightInd w:val="0"/>
        <w:ind w:firstLine="720"/>
        <w:rPr>
          <w:szCs w:val="22"/>
        </w:rPr>
      </w:pPr>
      <w:r w:rsidRPr="00DE3D45">
        <w:rPr>
          <w:szCs w:val="22"/>
        </w:rPr>
        <w:t xml:space="preserve">Pursuant to </w:t>
      </w:r>
      <w:r>
        <w:rPr>
          <w:szCs w:val="22"/>
        </w:rPr>
        <w:t xml:space="preserve">an </w:t>
      </w:r>
      <w:r w:rsidRPr="00DE3D45">
        <w:rPr>
          <w:szCs w:val="22"/>
        </w:rPr>
        <w:t>Agreement and Plan of Merger</w:t>
      </w:r>
      <w:r>
        <w:rPr>
          <w:szCs w:val="22"/>
        </w:rPr>
        <w:t xml:space="preserve"> (Merger Agreement)</w:t>
      </w:r>
      <w:r w:rsidRPr="00DE3D45">
        <w:rPr>
          <w:szCs w:val="22"/>
        </w:rPr>
        <w:t xml:space="preserve">, dated </w:t>
      </w:r>
      <w:r>
        <w:rPr>
          <w:szCs w:val="22"/>
        </w:rPr>
        <w:t>December</w:t>
      </w:r>
      <w:r w:rsidRPr="00DE3D45">
        <w:rPr>
          <w:szCs w:val="22"/>
        </w:rPr>
        <w:t xml:space="preserve"> 3</w:t>
      </w:r>
      <w:r>
        <w:rPr>
          <w:szCs w:val="22"/>
        </w:rPr>
        <w:t>1</w:t>
      </w:r>
      <w:r w:rsidRPr="00DE3D45">
        <w:rPr>
          <w:szCs w:val="22"/>
        </w:rPr>
        <w:t xml:space="preserve">, 2020, by and among </w:t>
      </w:r>
      <w:r>
        <w:rPr>
          <w:szCs w:val="22"/>
        </w:rPr>
        <w:t xml:space="preserve">Project 8, its wholly owned subsidiary, Project 8 </w:t>
      </w:r>
      <w:r>
        <w:rPr>
          <w:szCs w:val="22"/>
        </w:rPr>
        <w:t>MergerSub</w:t>
      </w:r>
      <w:r>
        <w:rPr>
          <w:szCs w:val="22"/>
        </w:rPr>
        <w:t xml:space="preserve">, Inc. (Merger Sub), a Delaware corporation, and Alaska Communications, Merger Sub </w:t>
      </w:r>
      <w:r w:rsidRPr="00DE3D45">
        <w:rPr>
          <w:szCs w:val="22"/>
        </w:rPr>
        <w:t xml:space="preserve">will merge with and into </w:t>
      </w:r>
      <w:r>
        <w:rPr>
          <w:szCs w:val="22"/>
        </w:rPr>
        <w:t xml:space="preserve">Alaska </w:t>
      </w:r>
      <w:r>
        <w:rPr>
          <w:szCs w:val="22"/>
        </w:rPr>
        <w:t>Communications.</w:t>
      </w:r>
      <w:r>
        <w:rPr>
          <w:rStyle w:val="FootnoteReference"/>
          <w:szCs w:val="22"/>
        </w:rPr>
        <w:footnoteReference w:id="20"/>
      </w:r>
      <w:r>
        <w:rPr>
          <w:szCs w:val="22"/>
        </w:rPr>
        <w:t xml:space="preserve">  As a result of the transaction, Alaska Communications will continue as the surviving corporate entity and will become a wholly owned subsidiary of Project 8.</w:t>
      </w:r>
      <w:r>
        <w:rPr>
          <w:rStyle w:val="FootnoteReference"/>
          <w:szCs w:val="22"/>
        </w:rPr>
        <w:footnoteReference w:id="21"/>
      </w:r>
      <w:r>
        <w:rPr>
          <w:szCs w:val="22"/>
        </w:rPr>
        <w:t xml:space="preserve">  </w:t>
      </w:r>
    </w:p>
    <w:p w:rsidR="00F03E34" w:rsidP="00DB5E3F" w14:paraId="030AEDAC" w14:textId="34D1DBE8">
      <w:pPr>
        <w:widowControl/>
        <w:autoSpaceDE w:val="0"/>
        <w:autoSpaceDN w:val="0"/>
        <w:adjustRightInd w:val="0"/>
        <w:ind w:firstLine="720"/>
        <w:rPr>
          <w:szCs w:val="22"/>
        </w:rPr>
      </w:pPr>
    </w:p>
    <w:p w:rsidR="00AF6CC7" w:rsidRPr="00D8501B" w:rsidP="00D8501B" w14:paraId="1BFED03F" w14:textId="2742F43C">
      <w:pPr>
        <w:widowControl/>
        <w:autoSpaceDE w:val="0"/>
        <w:autoSpaceDN w:val="0"/>
        <w:adjustRightInd w:val="0"/>
        <w:spacing w:after="120"/>
        <w:ind w:firstLine="720"/>
        <w:rPr>
          <w:color w:val="000000"/>
          <w:szCs w:val="22"/>
        </w:rPr>
      </w:pPr>
      <w:r w:rsidRPr="00F55292">
        <w:rPr>
          <w:szCs w:val="22"/>
        </w:rPr>
        <w:t xml:space="preserve">Applicants assert </w:t>
      </w:r>
      <w:r>
        <w:rPr>
          <w:szCs w:val="22"/>
        </w:rPr>
        <w:t xml:space="preserve">that a grant of the </w:t>
      </w:r>
      <w:r w:rsidR="00F0746D">
        <w:rPr>
          <w:szCs w:val="22"/>
        </w:rPr>
        <w:t>A</w:t>
      </w:r>
      <w:r>
        <w:rPr>
          <w:szCs w:val="22"/>
        </w:rPr>
        <w:t>pplications</w:t>
      </w:r>
      <w:r w:rsidRPr="00F55292">
        <w:rPr>
          <w:szCs w:val="22"/>
        </w:rPr>
        <w:t xml:space="preserve"> will serve the public interest, convenience, and necessity.</w:t>
      </w:r>
      <w:r>
        <w:rPr>
          <w:rStyle w:val="FootnoteReference"/>
          <w:szCs w:val="22"/>
        </w:rPr>
        <w:footnoteReference w:id="22"/>
      </w:r>
      <w:r w:rsidRPr="00F55292">
        <w:rPr>
          <w:szCs w:val="22"/>
        </w:rPr>
        <w:t xml:space="preserve"> </w:t>
      </w:r>
      <w:r>
        <w:rPr>
          <w:szCs w:val="22"/>
        </w:rPr>
        <w:t xml:space="preserve"> They maintain that ATN is “uniquely qualified” to control Alaska Communications because it has “</w:t>
      </w:r>
      <w:r w:rsidR="00043BA2">
        <w:rPr>
          <w:szCs w:val="22"/>
        </w:rPr>
        <w:t>s</w:t>
      </w:r>
      <w:r>
        <w:rPr>
          <w:szCs w:val="22"/>
        </w:rPr>
        <w:t>ignificant expertise deploying, upgrading, maintaining, and operating communications networks and service businesses in rural, tribal, island-based, and other insular and underserved markets in the United States, the Caribbean region, South America, and Bermuda.”</w:t>
      </w:r>
      <w:r>
        <w:rPr>
          <w:rStyle w:val="FootnoteReference"/>
          <w:szCs w:val="22"/>
        </w:rPr>
        <w:footnoteReference w:id="23"/>
      </w:r>
      <w:r>
        <w:rPr>
          <w:szCs w:val="22"/>
        </w:rPr>
        <w:t xml:space="preserve">  Further, the Applicants state that </w:t>
      </w:r>
      <w:r w:rsidRPr="00D218B4">
        <w:rPr>
          <w:color w:val="000000"/>
          <w:szCs w:val="22"/>
        </w:rPr>
        <w:t>they</w:t>
      </w:r>
      <w:r>
        <w:rPr>
          <w:szCs w:val="22"/>
        </w:rPr>
        <w:t xml:space="preserve"> are “</w:t>
      </w:r>
      <w:r w:rsidR="00043BA2">
        <w:rPr>
          <w:szCs w:val="22"/>
        </w:rPr>
        <w:t>c</w:t>
      </w:r>
      <w:r>
        <w:rPr>
          <w:szCs w:val="22"/>
        </w:rPr>
        <w:t>ommitted to Alaska Communications fulfilling its obligations to rural and other underserved populations under the CAF [Connect America Fund] Phase II program, E-rate, and other FCC universal service programs.”</w:t>
      </w:r>
      <w:r>
        <w:rPr>
          <w:rStyle w:val="FootnoteReference"/>
          <w:szCs w:val="22"/>
        </w:rPr>
        <w:footnoteReference w:id="24"/>
      </w:r>
      <w:r>
        <w:rPr>
          <w:szCs w:val="22"/>
        </w:rPr>
        <w:t xml:space="preserve">  Applicants submit that the proposed transaction will be at the holding company level, and customers will continue to receive service under the current rates, terms, and </w:t>
      </w:r>
      <w:r w:rsidRPr="00250636">
        <w:rPr>
          <w:szCs w:val="22"/>
        </w:rPr>
        <w:t>conditions of service post-closing.</w:t>
      </w:r>
      <w:r>
        <w:rPr>
          <w:rStyle w:val="FootnoteReference"/>
          <w:szCs w:val="22"/>
        </w:rPr>
        <w:footnoteReference w:id="25"/>
      </w:r>
      <w:r w:rsidRPr="00250636">
        <w:rPr>
          <w:szCs w:val="22"/>
        </w:rPr>
        <w:t xml:space="preserve">  Applicants maintain that the proposed transaction will not result in a reduction in competition, as their service areas do not overlap, and that the proposed transaction will enhance competition by providing Alaska Communication</w:t>
      </w:r>
      <w:r w:rsidR="00005D2A">
        <w:rPr>
          <w:szCs w:val="22"/>
        </w:rPr>
        <w:t>s</w:t>
      </w:r>
      <w:r w:rsidRPr="00250636">
        <w:rPr>
          <w:szCs w:val="22"/>
        </w:rPr>
        <w:t xml:space="preserve"> with “</w:t>
      </w:r>
      <w:r w:rsidR="00043BA2">
        <w:rPr>
          <w:szCs w:val="22"/>
        </w:rPr>
        <w:t>a</w:t>
      </w:r>
      <w:r w:rsidRPr="00250636">
        <w:rPr>
          <w:szCs w:val="22"/>
        </w:rPr>
        <w:t>ccess to significant capital resources needed to upgrade networks and offer innovative services at competitive prices.”</w:t>
      </w:r>
      <w:r>
        <w:rPr>
          <w:rStyle w:val="FootnoteReference"/>
          <w:szCs w:val="22"/>
        </w:rPr>
        <w:footnoteReference w:id="26"/>
      </w:r>
      <w:r w:rsidRPr="00250636" w:rsidR="003E6C2F">
        <w:rPr>
          <w:color w:val="000000"/>
          <w:szCs w:val="22"/>
        </w:rPr>
        <w:t xml:space="preserve"> </w:t>
      </w:r>
      <w:r w:rsidRPr="00250636" w:rsidR="00D8501B">
        <w:rPr>
          <w:color w:val="000000"/>
          <w:szCs w:val="22"/>
        </w:rPr>
        <w:t xml:space="preserve"> </w:t>
      </w:r>
      <w:r w:rsidRPr="00250636" w:rsidR="00B87EA6">
        <w:rPr>
          <w:color w:val="000000"/>
          <w:szCs w:val="22"/>
        </w:rPr>
        <w:t xml:space="preserve">Finally, Applicants assert that </w:t>
      </w:r>
      <w:r w:rsidRPr="00250636" w:rsidR="00A659C5">
        <w:rPr>
          <w:color w:val="000000"/>
          <w:szCs w:val="22"/>
        </w:rPr>
        <w:t xml:space="preserve">through </w:t>
      </w:r>
      <w:r w:rsidRPr="00250636" w:rsidR="00B87EA6">
        <w:rPr>
          <w:color w:val="000000"/>
          <w:szCs w:val="22"/>
        </w:rPr>
        <w:t>the transaction</w:t>
      </w:r>
      <w:r w:rsidRPr="00250636" w:rsidR="00A659C5">
        <w:rPr>
          <w:color w:val="000000"/>
          <w:szCs w:val="22"/>
        </w:rPr>
        <w:t xml:space="preserve">, Alaska Communications will </w:t>
      </w:r>
      <w:r w:rsidRPr="00250636" w:rsidR="00A659C5">
        <w:rPr>
          <w:szCs w:val="22"/>
        </w:rPr>
        <w:t xml:space="preserve">have access to increased </w:t>
      </w:r>
      <w:r w:rsidRPr="00250636" w:rsidR="00A659C5">
        <w:rPr>
          <w:rStyle w:val="highlight"/>
          <w:szCs w:val="22"/>
        </w:rPr>
        <w:t>financial resour</w:t>
      </w:r>
      <w:r w:rsidRPr="00250636" w:rsidR="00A659C5">
        <w:rPr>
          <w:szCs w:val="22"/>
        </w:rPr>
        <w:t>ces</w:t>
      </w:r>
      <w:r w:rsidRPr="00250636" w:rsidR="00A51F79">
        <w:rPr>
          <w:szCs w:val="22"/>
        </w:rPr>
        <w:t xml:space="preserve"> and greater technical resources</w:t>
      </w:r>
      <w:r w:rsidRPr="00250636" w:rsidR="00A659C5">
        <w:rPr>
          <w:szCs w:val="22"/>
        </w:rPr>
        <w:t xml:space="preserve"> that could benefit customers.</w:t>
      </w:r>
      <w:r>
        <w:rPr>
          <w:rStyle w:val="FootnoteReference"/>
          <w:szCs w:val="22"/>
        </w:rPr>
        <w:footnoteReference w:id="27"/>
      </w:r>
      <w:r w:rsidRPr="00250636" w:rsidR="00B87EA6">
        <w:rPr>
          <w:color w:val="000000"/>
          <w:szCs w:val="22"/>
        </w:rPr>
        <w:t xml:space="preserve"> </w:t>
      </w:r>
      <w:r w:rsidRPr="00250636" w:rsidR="000D3AB0">
        <w:rPr>
          <w:color w:val="000000"/>
          <w:szCs w:val="22"/>
        </w:rPr>
        <w:t xml:space="preserve"> Specifically, Applicants assert that the transaction </w:t>
      </w:r>
      <w:r w:rsidRPr="00250636" w:rsidR="00B87EA6">
        <w:rPr>
          <w:color w:val="000000"/>
          <w:szCs w:val="22"/>
        </w:rPr>
        <w:t>will</w:t>
      </w:r>
      <w:r w:rsidRPr="00250636" w:rsidR="00B6793C">
        <w:rPr>
          <w:szCs w:val="22"/>
        </w:rPr>
        <w:t xml:space="preserve"> </w:t>
      </w:r>
      <w:r w:rsidRPr="00250636" w:rsidR="007A6DB6">
        <w:rPr>
          <w:szCs w:val="22"/>
        </w:rPr>
        <w:t>“</w:t>
      </w:r>
      <w:r w:rsidRPr="00250636" w:rsidR="00B6793C">
        <w:rPr>
          <w:szCs w:val="22"/>
        </w:rPr>
        <w:t>provide Alaska Communications with access to greater technical and financial resources that will improve its ability to expand and improve its broadband network</w:t>
      </w:r>
      <w:r w:rsidRPr="00250636" w:rsidR="004D3137">
        <w:rPr>
          <w:szCs w:val="22"/>
        </w:rPr>
        <w:t>,</w:t>
      </w:r>
      <w:r w:rsidRPr="00250636" w:rsidR="00F72A81">
        <w:rPr>
          <w:szCs w:val="22"/>
        </w:rPr>
        <w:t>”</w:t>
      </w:r>
      <w:r>
        <w:rPr>
          <w:rStyle w:val="FootnoteReference"/>
          <w:szCs w:val="22"/>
        </w:rPr>
        <w:footnoteReference w:id="28"/>
      </w:r>
      <w:r w:rsidRPr="00250636" w:rsidR="00F72A81">
        <w:rPr>
          <w:szCs w:val="22"/>
        </w:rPr>
        <w:t xml:space="preserve"> noting</w:t>
      </w:r>
      <w:r w:rsidRPr="00250636" w:rsidR="004D3137">
        <w:rPr>
          <w:szCs w:val="22"/>
        </w:rPr>
        <w:t xml:space="preserve"> </w:t>
      </w:r>
      <w:r w:rsidRPr="00250636" w:rsidR="00F72A81">
        <w:rPr>
          <w:szCs w:val="22"/>
        </w:rPr>
        <w:t xml:space="preserve">the </w:t>
      </w:r>
      <w:r w:rsidRPr="00250636" w:rsidR="008349B1">
        <w:rPr>
          <w:szCs w:val="22"/>
        </w:rPr>
        <w:t xml:space="preserve">financial and technical difficulties unique to </w:t>
      </w:r>
      <w:r w:rsidRPr="00250636" w:rsidR="00B91FA3">
        <w:rPr>
          <w:szCs w:val="22"/>
        </w:rPr>
        <w:t xml:space="preserve">deployment in Alaska due to its </w:t>
      </w:r>
      <w:r w:rsidRPr="00250636" w:rsidR="005A16B3">
        <w:rPr>
          <w:szCs w:val="22"/>
        </w:rPr>
        <w:t>“harsh weather and terrain, as well as a disperse, largely rural population many of whom live in remote and inaccessible locations not served by roads.</w:t>
      </w:r>
      <w:r w:rsidRPr="00250636" w:rsidR="00C70E71">
        <w:rPr>
          <w:szCs w:val="22"/>
        </w:rPr>
        <w:t>”</w:t>
      </w:r>
      <w:r>
        <w:rPr>
          <w:rStyle w:val="FootnoteReference"/>
          <w:szCs w:val="22"/>
        </w:rPr>
        <w:footnoteReference w:id="29"/>
      </w:r>
    </w:p>
    <w:p w:rsidR="00F0746D" w:rsidRPr="00025045" w:rsidP="00D4118F" w14:paraId="7367EB57" w14:textId="59689DAA">
      <w:pPr>
        <w:keepNext/>
        <w:widowControl/>
        <w:autoSpaceDE w:val="0"/>
        <w:autoSpaceDN w:val="0"/>
        <w:adjustRightInd w:val="0"/>
        <w:spacing w:after="120"/>
        <w:rPr>
          <w:b/>
          <w:bCs/>
          <w:color w:val="000000"/>
          <w:szCs w:val="22"/>
        </w:rPr>
      </w:pPr>
      <w:r w:rsidRPr="00025045">
        <w:rPr>
          <w:b/>
          <w:bCs/>
          <w:color w:val="000000"/>
          <w:szCs w:val="22"/>
        </w:rPr>
        <w:t xml:space="preserve">Grant of Applications </w:t>
      </w:r>
    </w:p>
    <w:p w:rsidR="00286D4F" w:rsidP="00286D4F" w14:paraId="25C669CA" w14:textId="3CA670F8">
      <w:pPr>
        <w:widowControl/>
        <w:autoSpaceDE w:val="0"/>
        <w:autoSpaceDN w:val="0"/>
        <w:adjustRightInd w:val="0"/>
        <w:spacing w:after="120"/>
        <w:ind w:firstLine="720"/>
        <w:rPr>
          <w:szCs w:val="22"/>
        </w:rPr>
      </w:pPr>
      <w:r w:rsidRPr="00206BA9">
        <w:rPr>
          <w:color w:val="000000"/>
          <w:szCs w:val="22"/>
        </w:rPr>
        <w:t>We find, upon consideration of the record, that the proposed transfer will serve the public interest, convenience, and necessity</w:t>
      </w:r>
      <w:r w:rsidRPr="00AB48D1">
        <w:rPr>
          <w:szCs w:val="22"/>
        </w:rPr>
        <w:t>.</w:t>
      </w:r>
      <w:r>
        <w:rPr>
          <w:rStyle w:val="FootnoteReference"/>
          <w:szCs w:val="22"/>
        </w:rPr>
        <w:footnoteReference w:id="30"/>
      </w:r>
      <w:r>
        <w:rPr>
          <w:color w:val="000000"/>
          <w:szCs w:val="22"/>
        </w:rPr>
        <w:t xml:space="preserve">  As </w:t>
      </w:r>
      <w:r w:rsidRPr="00880227">
        <w:rPr>
          <w:szCs w:val="22"/>
        </w:rPr>
        <w:t xml:space="preserve">Applicants </w:t>
      </w:r>
      <w:r>
        <w:rPr>
          <w:szCs w:val="22"/>
        </w:rPr>
        <w:t>explain, ATN, Freedom, and their affiliates do not compete with Alaska Communications</w:t>
      </w:r>
      <w:r w:rsidR="00896F17">
        <w:rPr>
          <w:szCs w:val="22"/>
        </w:rPr>
        <w:t>,</w:t>
      </w:r>
      <w:r>
        <w:rPr>
          <w:szCs w:val="22"/>
        </w:rPr>
        <w:t xml:space="preserve"> and neither ATN nor Freedom has a market presence in Alaska </w:t>
      </w:r>
      <w:r w:rsidR="00896F17">
        <w:rPr>
          <w:szCs w:val="22"/>
        </w:rPr>
        <w:t xml:space="preserve">or </w:t>
      </w:r>
      <w:r>
        <w:rPr>
          <w:szCs w:val="22"/>
        </w:rPr>
        <w:t xml:space="preserve">provides overlapping telecommunications services in the markets </w:t>
      </w:r>
      <w:r w:rsidR="00896F17">
        <w:rPr>
          <w:szCs w:val="22"/>
        </w:rPr>
        <w:t>o</w:t>
      </w:r>
      <w:r>
        <w:rPr>
          <w:szCs w:val="22"/>
        </w:rPr>
        <w:t>utside of Alaska where Alaska Communications has limited facilities-based operations.</w:t>
      </w:r>
      <w:r>
        <w:rPr>
          <w:rStyle w:val="FootnoteReference"/>
          <w:szCs w:val="22"/>
        </w:rPr>
        <w:footnoteReference w:id="31"/>
      </w:r>
      <w:r>
        <w:rPr>
          <w:szCs w:val="22"/>
        </w:rPr>
        <w:t xml:space="preserve">  </w:t>
      </w:r>
      <w:r w:rsidRPr="00880227">
        <w:rPr>
          <w:szCs w:val="22"/>
        </w:rPr>
        <w:t xml:space="preserve">There are no adverse competitive harms resulting from the proposed transaction, and no commenter has raised claims of other potential harms.  </w:t>
      </w:r>
      <w:r w:rsidR="00896F17">
        <w:rPr>
          <w:szCs w:val="22"/>
        </w:rPr>
        <w:t xml:space="preserve">In addition, </w:t>
      </w:r>
      <w:r w:rsidR="000A62D2">
        <w:rPr>
          <w:szCs w:val="22"/>
        </w:rPr>
        <w:t>we expect the proposed transaction is likely to benefit the public interest, particularly with regard to Alaska Communications’ access to increased capital and investment to expand its broadband network, including its expectation that it will extend broadband services to more than 6</w:t>
      </w:r>
      <w:r w:rsidR="00304CD4">
        <w:rPr>
          <w:szCs w:val="22"/>
        </w:rPr>
        <w:t>,</w:t>
      </w:r>
      <w:r w:rsidR="000A62D2">
        <w:rPr>
          <w:szCs w:val="22"/>
        </w:rPr>
        <w:t xml:space="preserve">000 previously unserved locations that are not subject to </w:t>
      </w:r>
      <w:r w:rsidR="00142E27">
        <w:rPr>
          <w:szCs w:val="22"/>
        </w:rPr>
        <w:t xml:space="preserve">existing </w:t>
      </w:r>
      <w:r w:rsidR="000A62D2">
        <w:rPr>
          <w:szCs w:val="22"/>
        </w:rPr>
        <w:t xml:space="preserve">CAF support </w:t>
      </w:r>
      <w:r w:rsidR="00142E27">
        <w:rPr>
          <w:szCs w:val="22"/>
        </w:rPr>
        <w:t xml:space="preserve">requirements </w:t>
      </w:r>
      <w:r w:rsidR="000A62D2">
        <w:rPr>
          <w:szCs w:val="22"/>
        </w:rPr>
        <w:t xml:space="preserve">but are adjacent to network expansions already </w:t>
      </w:r>
      <w:r w:rsidR="000A62D2">
        <w:rPr>
          <w:szCs w:val="22"/>
        </w:rPr>
        <w:t>required under the CAF program.</w:t>
      </w:r>
      <w:r>
        <w:rPr>
          <w:rStyle w:val="FootnoteReference"/>
          <w:szCs w:val="22"/>
        </w:rPr>
        <w:footnoteReference w:id="32"/>
      </w:r>
      <w:r w:rsidR="000A62D2">
        <w:rPr>
          <w:szCs w:val="22"/>
        </w:rPr>
        <w:t xml:space="preserve">  In addition, </w:t>
      </w:r>
      <w:r w:rsidR="00142E27">
        <w:rPr>
          <w:szCs w:val="22"/>
        </w:rPr>
        <w:t>Applicants</w:t>
      </w:r>
      <w:r w:rsidR="000A62D2">
        <w:rPr>
          <w:szCs w:val="22"/>
        </w:rPr>
        <w:t xml:space="preserve"> </w:t>
      </w:r>
      <w:r w:rsidR="000E49F8">
        <w:rPr>
          <w:szCs w:val="22"/>
        </w:rPr>
        <w:t xml:space="preserve">affirm that </w:t>
      </w:r>
      <w:r w:rsidR="005822F6">
        <w:rPr>
          <w:szCs w:val="22"/>
        </w:rPr>
        <w:t>“</w:t>
      </w:r>
      <w:r w:rsidR="000E49F8">
        <w:t>more than 35</w:t>
      </w:r>
      <w:r w:rsidR="00304CD4">
        <w:t>%</w:t>
      </w:r>
      <w:r w:rsidR="000E49F8">
        <w:t xml:space="preserve"> of CAF-supported locations to which Alaska Communications has deployed broadband will receive speeds of 25/3 Mbps or higher, rather than the 10/1 Mbps required under CAF Phase II.”</w:t>
      </w:r>
      <w:r>
        <w:rPr>
          <w:rStyle w:val="FootnoteReference"/>
          <w:szCs w:val="22"/>
        </w:rPr>
        <w:footnoteReference w:id="33"/>
      </w:r>
      <w:r w:rsidR="00142E27">
        <w:rPr>
          <w:szCs w:val="22"/>
        </w:rPr>
        <w:t xml:space="preserve"> </w:t>
      </w:r>
    </w:p>
    <w:p w:rsidR="00314CDC" w:rsidRPr="00310188" w:rsidP="00314CDC" w14:paraId="50ACEC7D" w14:textId="1269B147">
      <w:pPr>
        <w:widowControl/>
        <w:autoSpaceDE w:val="0"/>
        <w:autoSpaceDN w:val="0"/>
        <w:adjustRightInd w:val="0"/>
        <w:spacing w:after="120"/>
        <w:ind w:firstLine="720"/>
        <w:rPr>
          <w:color w:val="000000"/>
          <w:szCs w:val="22"/>
        </w:rPr>
      </w:pPr>
      <w:r w:rsidRPr="00310188">
        <w:rPr>
          <w:color w:val="000000"/>
          <w:szCs w:val="22"/>
        </w:rPr>
        <w:t>Pursuant to sections</w:t>
      </w:r>
      <w:r w:rsidRPr="00310188" w:rsidR="00C551B3">
        <w:rPr>
          <w:color w:val="000000"/>
          <w:szCs w:val="22"/>
        </w:rPr>
        <w:t xml:space="preserve"> 4(</w:t>
      </w:r>
      <w:r w:rsidRPr="00310188" w:rsidR="00C551B3">
        <w:rPr>
          <w:color w:val="000000"/>
          <w:szCs w:val="22"/>
        </w:rPr>
        <w:t>i</w:t>
      </w:r>
      <w:r w:rsidRPr="00310188" w:rsidR="00C551B3">
        <w:rPr>
          <w:color w:val="000000"/>
          <w:szCs w:val="22"/>
        </w:rPr>
        <w:t>) and (j), 5(c),</w:t>
      </w:r>
      <w:r w:rsidRPr="00310188">
        <w:rPr>
          <w:color w:val="000000"/>
          <w:szCs w:val="22"/>
        </w:rPr>
        <w:t xml:space="preserve"> 214(a), 214(c), 303(r), 309, and 310(d) of the Communications Act of 1934, as amended,</w:t>
      </w:r>
      <w:r w:rsidR="009F421F">
        <w:rPr>
          <w:color w:val="000000"/>
          <w:szCs w:val="22"/>
        </w:rPr>
        <w:t xml:space="preserve"> </w:t>
      </w:r>
      <w:r w:rsidRPr="003C5B59" w:rsidR="00237E2F">
        <w:rPr>
          <w:szCs w:val="22"/>
        </w:rPr>
        <w:t>47 U.S.C. §§ 154(</w:t>
      </w:r>
      <w:r w:rsidRPr="003C5B59" w:rsidR="00237E2F">
        <w:rPr>
          <w:szCs w:val="22"/>
        </w:rPr>
        <w:t>i</w:t>
      </w:r>
      <w:r w:rsidRPr="003C5B59" w:rsidR="00237E2F">
        <w:rPr>
          <w:szCs w:val="22"/>
        </w:rPr>
        <w:t>), 154(j), 155(c),</w:t>
      </w:r>
      <w:r w:rsidR="00090D4F">
        <w:rPr>
          <w:szCs w:val="22"/>
        </w:rPr>
        <w:t xml:space="preserve"> </w:t>
      </w:r>
      <w:r w:rsidRPr="003C5B59" w:rsidR="00237E2F">
        <w:rPr>
          <w:szCs w:val="22"/>
        </w:rPr>
        <w:t>214(a)</w:t>
      </w:r>
      <w:r w:rsidRPr="00310188">
        <w:rPr>
          <w:color w:val="000000"/>
          <w:szCs w:val="22"/>
        </w:rPr>
        <w:t>,</w:t>
      </w:r>
      <w:r w:rsidR="009F421F">
        <w:rPr>
          <w:color w:val="000000"/>
          <w:szCs w:val="22"/>
        </w:rPr>
        <w:t xml:space="preserve"> </w:t>
      </w:r>
      <w:r w:rsidRPr="003C5B59" w:rsidR="00237E2F">
        <w:rPr>
          <w:szCs w:val="22"/>
        </w:rPr>
        <w:t>214(c)</w:t>
      </w:r>
      <w:r w:rsidRPr="00310188">
        <w:rPr>
          <w:color w:val="000000"/>
          <w:szCs w:val="22"/>
        </w:rPr>
        <w:t>,</w:t>
      </w:r>
      <w:r w:rsidR="009F421F">
        <w:rPr>
          <w:color w:val="000000"/>
          <w:szCs w:val="22"/>
        </w:rPr>
        <w:t xml:space="preserve"> </w:t>
      </w:r>
      <w:r w:rsidRPr="003C5B59" w:rsidR="00237E2F">
        <w:rPr>
          <w:szCs w:val="22"/>
        </w:rPr>
        <w:t>303(r)</w:t>
      </w:r>
      <w:r w:rsidRPr="00310188">
        <w:rPr>
          <w:color w:val="000000"/>
          <w:szCs w:val="22"/>
        </w:rPr>
        <w:t>,</w:t>
      </w:r>
      <w:r w:rsidR="009F421F">
        <w:rPr>
          <w:color w:val="000000"/>
          <w:szCs w:val="22"/>
        </w:rPr>
        <w:t xml:space="preserve"> </w:t>
      </w:r>
      <w:r w:rsidRPr="003C5B59" w:rsidR="00237E2F">
        <w:rPr>
          <w:szCs w:val="22"/>
        </w:rPr>
        <w:t>309</w:t>
      </w:r>
      <w:r w:rsidRPr="00310188">
        <w:rPr>
          <w:color w:val="000000"/>
          <w:szCs w:val="22"/>
        </w:rPr>
        <w:t>,</w:t>
      </w:r>
      <w:r w:rsidR="009F421F">
        <w:rPr>
          <w:color w:val="000000"/>
          <w:szCs w:val="22"/>
        </w:rPr>
        <w:t xml:space="preserve"> </w:t>
      </w:r>
      <w:r w:rsidRPr="003C5B59" w:rsidR="00237E2F">
        <w:rPr>
          <w:szCs w:val="22"/>
        </w:rPr>
        <w:t>310(d)</w:t>
      </w:r>
      <w:r w:rsidRPr="00310188">
        <w:rPr>
          <w:color w:val="000000"/>
          <w:szCs w:val="22"/>
        </w:rPr>
        <w:t xml:space="preserve">, </w:t>
      </w:r>
      <w:r w:rsidRPr="00310188" w:rsidR="002263EE">
        <w:rPr>
          <w:color w:val="000000"/>
          <w:szCs w:val="22"/>
        </w:rPr>
        <w:t xml:space="preserve">the Cable Landing License Act, 47 U.S.C. §§ 34-39, </w:t>
      </w:r>
      <w:r w:rsidRPr="00310188">
        <w:rPr>
          <w:color w:val="000000"/>
          <w:szCs w:val="22"/>
        </w:rPr>
        <w:t xml:space="preserve">and sections </w:t>
      </w:r>
      <w:r w:rsidRPr="00310188" w:rsidR="006227D7">
        <w:rPr>
          <w:color w:val="000000"/>
          <w:szCs w:val="22"/>
        </w:rPr>
        <w:t xml:space="preserve">1.767, </w:t>
      </w:r>
      <w:r w:rsidRPr="00310188">
        <w:rPr>
          <w:color w:val="000000"/>
          <w:szCs w:val="22"/>
        </w:rPr>
        <w:t xml:space="preserve">1.948, </w:t>
      </w:r>
      <w:r w:rsidRPr="00310188" w:rsidR="00F317C8">
        <w:rPr>
          <w:color w:val="000000"/>
          <w:szCs w:val="22"/>
        </w:rPr>
        <w:t xml:space="preserve">25.119, </w:t>
      </w:r>
      <w:r w:rsidRPr="00310188">
        <w:rPr>
          <w:color w:val="000000"/>
          <w:szCs w:val="22"/>
        </w:rPr>
        <w:t>63.</w:t>
      </w:r>
      <w:r w:rsidRPr="00310188" w:rsidR="00CF7682">
        <w:rPr>
          <w:color w:val="000000"/>
          <w:szCs w:val="22"/>
        </w:rPr>
        <w:t>03</w:t>
      </w:r>
      <w:r w:rsidRPr="00310188" w:rsidR="00313902">
        <w:rPr>
          <w:color w:val="000000"/>
          <w:szCs w:val="22"/>
        </w:rPr>
        <w:t>, 63.</w:t>
      </w:r>
      <w:r w:rsidRPr="00310188">
        <w:rPr>
          <w:color w:val="000000"/>
          <w:szCs w:val="22"/>
        </w:rPr>
        <w:t>04, 63.18, and 63.24 of the Commission's rules, </w:t>
      </w:r>
      <w:r w:rsidRPr="003C5B59" w:rsidR="00237E2F">
        <w:rPr>
          <w:szCs w:val="22"/>
        </w:rPr>
        <w:t>47 C.F.R. §§ 1.767, 1.948</w:t>
      </w:r>
      <w:r w:rsidRPr="00310188">
        <w:rPr>
          <w:color w:val="000000"/>
          <w:szCs w:val="22"/>
        </w:rPr>
        <w:t>,</w:t>
      </w:r>
      <w:r w:rsidRPr="00310188" w:rsidR="00F317C8">
        <w:rPr>
          <w:color w:val="000000"/>
          <w:szCs w:val="22"/>
        </w:rPr>
        <w:t xml:space="preserve"> 25.1</w:t>
      </w:r>
      <w:r w:rsidR="007D04C3">
        <w:rPr>
          <w:color w:val="000000"/>
          <w:szCs w:val="22"/>
        </w:rPr>
        <w:t>1</w:t>
      </w:r>
      <w:r w:rsidRPr="00310188" w:rsidR="00F317C8">
        <w:rPr>
          <w:color w:val="000000"/>
          <w:szCs w:val="22"/>
        </w:rPr>
        <w:t>9,</w:t>
      </w:r>
      <w:r w:rsidR="009F421F">
        <w:rPr>
          <w:color w:val="000000"/>
          <w:szCs w:val="22"/>
        </w:rPr>
        <w:t xml:space="preserve"> </w:t>
      </w:r>
      <w:r w:rsidRPr="00310188" w:rsidR="00313902">
        <w:rPr>
          <w:color w:val="000000"/>
          <w:szCs w:val="22"/>
        </w:rPr>
        <w:t>63.03, 63.04</w:t>
      </w:r>
      <w:r w:rsidRPr="00310188">
        <w:rPr>
          <w:color w:val="000000"/>
          <w:szCs w:val="22"/>
        </w:rPr>
        <w:t>,</w:t>
      </w:r>
      <w:r w:rsidR="009F421F">
        <w:rPr>
          <w:color w:val="000000"/>
          <w:szCs w:val="22"/>
        </w:rPr>
        <w:t xml:space="preserve"> </w:t>
      </w:r>
      <w:r w:rsidRPr="003C5B59" w:rsidR="00237E2F">
        <w:rPr>
          <w:szCs w:val="22"/>
        </w:rPr>
        <w:t>63.18</w:t>
      </w:r>
      <w:r w:rsidRPr="00310188">
        <w:rPr>
          <w:color w:val="000000"/>
          <w:szCs w:val="22"/>
        </w:rPr>
        <w:t>,</w:t>
      </w:r>
      <w:r w:rsidR="009F421F">
        <w:rPr>
          <w:color w:val="000000"/>
          <w:szCs w:val="22"/>
        </w:rPr>
        <w:t xml:space="preserve"> </w:t>
      </w:r>
      <w:r w:rsidRPr="003C5B59" w:rsidR="00237E2F">
        <w:rPr>
          <w:szCs w:val="22"/>
        </w:rPr>
        <w:t>63.24</w:t>
      </w:r>
      <w:r w:rsidRPr="00310188">
        <w:rPr>
          <w:color w:val="000000"/>
          <w:szCs w:val="22"/>
        </w:rPr>
        <w:t>, and pursuant to the authority delegated under sections 0.51, 0.61, 0.91, 0.131,  0.261, 0.283, 0.291, and 0.331 of the Commission's rules, </w:t>
      </w:r>
      <w:r w:rsidRPr="003C5B59" w:rsidR="00237E2F">
        <w:rPr>
          <w:szCs w:val="22"/>
        </w:rPr>
        <w:t>47 CFR §§</w:t>
      </w:r>
      <w:r w:rsidR="009F421F">
        <w:rPr>
          <w:szCs w:val="22"/>
        </w:rPr>
        <w:t xml:space="preserve"> </w:t>
      </w:r>
      <w:r w:rsidRPr="003C5B59" w:rsidR="00237E2F">
        <w:rPr>
          <w:szCs w:val="22"/>
        </w:rPr>
        <w:t>0.51</w:t>
      </w:r>
      <w:r w:rsidRPr="00310188">
        <w:rPr>
          <w:color w:val="000000"/>
          <w:szCs w:val="22"/>
        </w:rPr>
        <w:t>,</w:t>
      </w:r>
      <w:r w:rsidR="009F421F">
        <w:rPr>
          <w:color w:val="000000"/>
          <w:szCs w:val="22"/>
        </w:rPr>
        <w:t xml:space="preserve"> </w:t>
      </w:r>
      <w:r w:rsidRPr="003C5B59" w:rsidR="00237E2F">
        <w:rPr>
          <w:szCs w:val="22"/>
        </w:rPr>
        <w:t>0.61</w:t>
      </w:r>
      <w:r w:rsidRPr="00310188">
        <w:rPr>
          <w:color w:val="000000"/>
          <w:szCs w:val="22"/>
        </w:rPr>
        <w:t>,</w:t>
      </w:r>
      <w:r w:rsidR="009F421F">
        <w:rPr>
          <w:color w:val="000000"/>
          <w:szCs w:val="22"/>
        </w:rPr>
        <w:t xml:space="preserve"> </w:t>
      </w:r>
      <w:r w:rsidRPr="003C5B59" w:rsidR="00237E2F">
        <w:rPr>
          <w:szCs w:val="22"/>
        </w:rPr>
        <w:t>0.91</w:t>
      </w:r>
      <w:r w:rsidRPr="00310188">
        <w:rPr>
          <w:color w:val="000000"/>
          <w:szCs w:val="22"/>
        </w:rPr>
        <w:t>,</w:t>
      </w:r>
      <w:r w:rsidR="009F421F">
        <w:rPr>
          <w:color w:val="000000"/>
          <w:szCs w:val="22"/>
        </w:rPr>
        <w:t xml:space="preserve"> </w:t>
      </w:r>
      <w:r w:rsidRPr="003C5B59" w:rsidR="00237E2F">
        <w:rPr>
          <w:szCs w:val="22"/>
        </w:rPr>
        <w:t>0.131</w:t>
      </w:r>
      <w:r w:rsidRPr="00310188">
        <w:rPr>
          <w:color w:val="000000"/>
          <w:szCs w:val="22"/>
        </w:rPr>
        <w:t>,</w:t>
      </w:r>
      <w:r w:rsidR="009F421F">
        <w:rPr>
          <w:color w:val="000000"/>
          <w:szCs w:val="22"/>
        </w:rPr>
        <w:t xml:space="preserve"> </w:t>
      </w:r>
      <w:r w:rsidRPr="003C5B59" w:rsidR="00237E2F">
        <w:rPr>
          <w:szCs w:val="22"/>
        </w:rPr>
        <w:t>0.261</w:t>
      </w:r>
      <w:r w:rsidRPr="00310188">
        <w:rPr>
          <w:color w:val="000000"/>
          <w:szCs w:val="22"/>
        </w:rPr>
        <w:t>,</w:t>
      </w:r>
      <w:r w:rsidR="009F421F">
        <w:rPr>
          <w:color w:val="000000"/>
          <w:szCs w:val="22"/>
        </w:rPr>
        <w:t xml:space="preserve"> </w:t>
      </w:r>
      <w:r w:rsidRPr="003C5B59" w:rsidR="00237E2F">
        <w:rPr>
          <w:szCs w:val="22"/>
        </w:rPr>
        <w:t>0.283</w:t>
      </w:r>
      <w:r w:rsidRPr="00310188">
        <w:rPr>
          <w:color w:val="000000"/>
          <w:szCs w:val="22"/>
        </w:rPr>
        <w:t>,</w:t>
      </w:r>
      <w:r w:rsidR="009F421F">
        <w:rPr>
          <w:color w:val="000000"/>
          <w:szCs w:val="22"/>
        </w:rPr>
        <w:t xml:space="preserve"> </w:t>
      </w:r>
      <w:r w:rsidRPr="003C5B59" w:rsidR="00237E2F">
        <w:rPr>
          <w:szCs w:val="22"/>
        </w:rPr>
        <w:t>0.291</w:t>
      </w:r>
      <w:r w:rsidRPr="00310188">
        <w:rPr>
          <w:color w:val="000000"/>
          <w:szCs w:val="22"/>
        </w:rPr>
        <w:t>,</w:t>
      </w:r>
      <w:r w:rsidR="009F421F">
        <w:rPr>
          <w:color w:val="000000"/>
          <w:szCs w:val="22"/>
        </w:rPr>
        <w:t xml:space="preserve"> </w:t>
      </w:r>
      <w:r w:rsidRPr="003C5B59" w:rsidR="00237E2F">
        <w:rPr>
          <w:szCs w:val="22"/>
        </w:rPr>
        <w:t>0.331</w:t>
      </w:r>
      <w:r w:rsidRPr="00310188">
        <w:rPr>
          <w:color w:val="000000"/>
          <w:szCs w:val="22"/>
        </w:rPr>
        <w:t>, we grant the Applications listed in Attachment A to this Public Notice</w:t>
      </w:r>
      <w:r w:rsidRPr="00C42502" w:rsidR="00C42502">
        <w:rPr>
          <w:color w:val="000000"/>
          <w:szCs w:val="22"/>
        </w:rPr>
        <w:t>.</w:t>
      </w:r>
    </w:p>
    <w:p w:rsidR="00121A42" w:rsidRPr="00310188" w:rsidP="006D6B2D" w14:paraId="14F95D17" w14:textId="29B6C7D2">
      <w:pPr>
        <w:widowControl/>
        <w:autoSpaceDE w:val="0"/>
        <w:autoSpaceDN w:val="0"/>
        <w:adjustRightInd w:val="0"/>
        <w:spacing w:after="120"/>
        <w:ind w:firstLine="720"/>
        <w:rPr>
          <w:color w:val="000000"/>
          <w:szCs w:val="22"/>
        </w:rPr>
      </w:pPr>
      <w:r w:rsidRPr="00310188">
        <w:rPr>
          <w:color w:val="000000"/>
          <w:szCs w:val="22"/>
        </w:rPr>
        <w:t>Pursuant to section 1.103 of the Commission's rules,</w:t>
      </w:r>
      <w:r w:rsidR="009F421F">
        <w:rPr>
          <w:color w:val="000000"/>
          <w:szCs w:val="22"/>
        </w:rPr>
        <w:t xml:space="preserve"> </w:t>
      </w:r>
      <w:r w:rsidRPr="003C5B59" w:rsidR="00237E2F">
        <w:rPr>
          <w:szCs w:val="22"/>
        </w:rPr>
        <w:t>47 CFR § 1.103</w:t>
      </w:r>
      <w:r w:rsidRPr="00310188">
        <w:rPr>
          <w:color w:val="000000"/>
          <w:szCs w:val="22"/>
        </w:rPr>
        <w:t xml:space="preserve">, the consent granted herein is effective upon the release of this Public Notice. </w:t>
      </w:r>
      <w:r w:rsidRPr="00310188" w:rsidR="00F317C8">
        <w:rPr>
          <w:color w:val="000000"/>
          <w:szCs w:val="22"/>
        </w:rPr>
        <w:t xml:space="preserve"> </w:t>
      </w:r>
      <w:r w:rsidRPr="00310188">
        <w:rPr>
          <w:color w:val="000000"/>
          <w:szCs w:val="22"/>
        </w:rPr>
        <w:t>Petitions for reconsideration under section 1.106 or applications for review under section 1.115 of the Commission's rules,</w:t>
      </w:r>
      <w:r w:rsidR="009F421F">
        <w:rPr>
          <w:color w:val="000000"/>
          <w:szCs w:val="22"/>
        </w:rPr>
        <w:t xml:space="preserve"> </w:t>
      </w:r>
      <w:r w:rsidRPr="003C5B59" w:rsidR="00237E2F">
        <w:rPr>
          <w:szCs w:val="22"/>
        </w:rPr>
        <w:t>47 CFR §§ 1.106</w:t>
      </w:r>
      <w:r w:rsidRPr="00310188">
        <w:rPr>
          <w:color w:val="000000"/>
          <w:szCs w:val="22"/>
        </w:rPr>
        <w:t>, </w:t>
      </w:r>
      <w:r w:rsidRPr="003C5B59" w:rsidR="00237E2F">
        <w:rPr>
          <w:szCs w:val="22"/>
        </w:rPr>
        <w:t>1.115</w:t>
      </w:r>
      <w:r w:rsidRPr="00310188">
        <w:rPr>
          <w:color w:val="000000"/>
          <w:szCs w:val="22"/>
        </w:rPr>
        <w:t>, may be filed within 30 days of the date of this Public Notic</w:t>
      </w:r>
      <w:r w:rsidRPr="00310188" w:rsidR="002F3C5D">
        <w:rPr>
          <w:color w:val="000000"/>
          <w:szCs w:val="22"/>
        </w:rPr>
        <w:t>e</w:t>
      </w:r>
      <w:r w:rsidR="00F0384E">
        <w:rPr>
          <w:color w:val="000000"/>
          <w:szCs w:val="22"/>
        </w:rPr>
        <w:t>.</w:t>
      </w:r>
    </w:p>
    <w:p w:rsidR="005614FA" w:rsidRPr="00310188" w:rsidP="006D6B2D" w14:paraId="3D75017D" w14:textId="641C90D7">
      <w:pPr>
        <w:widowControl/>
        <w:spacing w:after="240"/>
        <w:ind w:firstLine="720"/>
        <w:rPr>
          <w:szCs w:val="22"/>
        </w:rPr>
      </w:pPr>
      <w:r w:rsidRPr="00310188">
        <w:rPr>
          <w:szCs w:val="22"/>
        </w:rPr>
        <w:t>For further information, please contact M</w:t>
      </w:r>
      <w:r w:rsidR="00D01989">
        <w:rPr>
          <w:szCs w:val="22"/>
        </w:rPr>
        <w:t>ichele Berlove</w:t>
      </w:r>
      <w:r w:rsidRPr="00310188">
        <w:rPr>
          <w:szCs w:val="22"/>
        </w:rPr>
        <w:t>, Wireline Competition Bureau, (202) 418-</w:t>
      </w:r>
      <w:r w:rsidR="00D01989">
        <w:rPr>
          <w:szCs w:val="22"/>
        </w:rPr>
        <w:t>1477</w:t>
      </w:r>
      <w:r w:rsidRPr="00310188">
        <w:rPr>
          <w:szCs w:val="22"/>
        </w:rPr>
        <w:t xml:space="preserve">; </w:t>
      </w:r>
      <w:r w:rsidR="00D01989">
        <w:rPr>
          <w:szCs w:val="22"/>
        </w:rPr>
        <w:t>Dennis Johnson</w:t>
      </w:r>
      <w:r w:rsidRPr="00310188">
        <w:rPr>
          <w:szCs w:val="22"/>
        </w:rPr>
        <w:t>, Wireline Competition Bureau, (202) 418-</w:t>
      </w:r>
      <w:r w:rsidR="00D01989">
        <w:rPr>
          <w:szCs w:val="22"/>
        </w:rPr>
        <w:t>0809</w:t>
      </w:r>
      <w:r w:rsidRPr="00310188">
        <w:rPr>
          <w:szCs w:val="22"/>
        </w:rPr>
        <w:t xml:space="preserve">; </w:t>
      </w:r>
      <w:r w:rsidR="00A95E41">
        <w:rPr>
          <w:szCs w:val="22"/>
        </w:rPr>
        <w:t>David Krech</w:t>
      </w:r>
      <w:r w:rsidRPr="00310188">
        <w:rPr>
          <w:szCs w:val="22"/>
        </w:rPr>
        <w:t>, International Bureau, (202) 418-</w:t>
      </w:r>
      <w:r w:rsidR="00A95E41">
        <w:rPr>
          <w:szCs w:val="22"/>
        </w:rPr>
        <w:t>7443</w:t>
      </w:r>
      <w:r w:rsidRPr="00310188">
        <w:rPr>
          <w:szCs w:val="22"/>
        </w:rPr>
        <w:t xml:space="preserve">; </w:t>
      </w:r>
      <w:r w:rsidRPr="00310188" w:rsidR="00FF1110">
        <w:rPr>
          <w:szCs w:val="22"/>
        </w:rPr>
        <w:t xml:space="preserve">Clay </w:t>
      </w:r>
      <w:r w:rsidRPr="00310188" w:rsidR="00FF1110">
        <w:rPr>
          <w:szCs w:val="22"/>
        </w:rPr>
        <w:t>DeCell</w:t>
      </w:r>
      <w:r w:rsidRPr="00310188" w:rsidR="00FF1110">
        <w:rPr>
          <w:szCs w:val="22"/>
        </w:rPr>
        <w:t xml:space="preserve">, </w:t>
      </w:r>
      <w:r w:rsidRPr="00310188" w:rsidR="00295CFA">
        <w:rPr>
          <w:szCs w:val="22"/>
        </w:rPr>
        <w:t>International Bureau</w:t>
      </w:r>
      <w:r w:rsidRPr="00310188" w:rsidR="00FF1110">
        <w:rPr>
          <w:szCs w:val="22"/>
        </w:rPr>
        <w:t>, (202) 418-0803</w:t>
      </w:r>
      <w:r w:rsidRPr="00310188" w:rsidR="006E5AB7">
        <w:rPr>
          <w:szCs w:val="22"/>
        </w:rPr>
        <w:t xml:space="preserve">; </w:t>
      </w:r>
      <w:r w:rsidRPr="00310188">
        <w:rPr>
          <w:szCs w:val="22"/>
        </w:rPr>
        <w:t>Linda Ray, Wireless Telecommunications Bureau, (202) 418-0257.</w:t>
      </w:r>
    </w:p>
    <w:p w:rsidR="005614FA" w:rsidRPr="00310188" w:rsidP="005614FA" w14:paraId="4CC6F2D9" w14:textId="77777777">
      <w:pPr>
        <w:rPr>
          <w:b/>
          <w:color w:val="000000"/>
          <w:szCs w:val="22"/>
        </w:rPr>
      </w:pPr>
    </w:p>
    <w:p w:rsidR="00930ECF" w:rsidP="002B0207" w14:paraId="075F51E4" w14:textId="77777777">
      <w:pPr>
        <w:jc w:val="center"/>
        <w:rPr>
          <w:b/>
          <w:color w:val="000000"/>
          <w:szCs w:val="22"/>
        </w:rPr>
      </w:pPr>
      <w:r w:rsidRPr="00D8472B">
        <w:rPr>
          <w:b/>
          <w:color w:val="000000"/>
          <w:szCs w:val="22"/>
        </w:rPr>
        <w:t xml:space="preserve">- FCC </w:t>
      </w:r>
      <w:r w:rsidR="002F3C5D">
        <w:rPr>
          <w:b/>
          <w:color w:val="000000"/>
          <w:szCs w:val="22"/>
        </w:rPr>
        <w:t>–</w:t>
      </w:r>
    </w:p>
    <w:p w:rsidR="002F3C5D" w:rsidP="002B0207" w14:paraId="6ED5503F" w14:textId="77777777">
      <w:pPr>
        <w:jc w:val="center"/>
        <w:rPr>
          <w:b/>
          <w:color w:val="000000"/>
          <w:szCs w:val="22"/>
        </w:rPr>
      </w:pPr>
    </w:p>
    <w:p w:rsidR="001E2721" w:rsidRPr="00585942" w:rsidP="000B0D6B" w14:paraId="558AE2E1" w14:textId="0C613510">
      <w:pPr>
        <w:widowControl/>
        <w:autoSpaceDE w:val="0"/>
        <w:autoSpaceDN w:val="0"/>
        <w:adjustRightInd w:val="0"/>
        <w:jc w:val="center"/>
        <w:rPr>
          <w:b/>
          <w:color w:val="000000"/>
          <w:szCs w:val="22"/>
          <w:u w:val="single"/>
        </w:rPr>
      </w:pPr>
      <w:r>
        <w:rPr>
          <w:b/>
          <w:color w:val="000000"/>
          <w:szCs w:val="22"/>
        </w:rPr>
        <w:br w:type="page"/>
      </w:r>
      <w:r w:rsidRPr="002F3C5D">
        <w:rPr>
          <w:b/>
          <w:snapToGrid/>
          <w:kern w:val="0"/>
          <w:szCs w:val="22"/>
          <w:u w:val="single"/>
        </w:rPr>
        <w:t>ATTACHMENT A</w:t>
      </w:r>
    </w:p>
    <w:p w:rsidR="001E2721" w:rsidRPr="00585942" w:rsidP="001E2721" w14:paraId="4C2EAB34" w14:textId="77777777">
      <w:pPr>
        <w:rPr>
          <w:b/>
          <w:color w:val="000000"/>
          <w:szCs w:val="22"/>
        </w:rPr>
      </w:pPr>
    </w:p>
    <w:p w:rsidR="001E2721" w:rsidRPr="0022664E" w:rsidP="001E2721" w14:paraId="5B31769F" w14:textId="77777777">
      <w:pPr>
        <w:rPr>
          <w:color w:val="000000"/>
          <w:szCs w:val="22"/>
        </w:rPr>
      </w:pPr>
      <w:r w:rsidRPr="00585942">
        <w:rPr>
          <w:b/>
          <w:color w:val="000000"/>
          <w:szCs w:val="22"/>
        </w:rPr>
        <w:t>SECTION 214 AUTHORIZATIONS</w:t>
      </w:r>
    </w:p>
    <w:p w:rsidR="001E2721" w:rsidRPr="0022664E" w:rsidP="001E2721" w14:paraId="13A0A47B" w14:textId="77777777">
      <w:pPr>
        <w:rPr>
          <w:color w:val="000000"/>
          <w:szCs w:val="22"/>
        </w:rPr>
      </w:pPr>
    </w:p>
    <w:p w:rsidR="001E2721" w:rsidRPr="00585942" w:rsidP="001E2721" w14:paraId="14D2B9AF" w14:textId="77777777">
      <w:pPr>
        <w:rPr>
          <w:b/>
          <w:color w:val="000000"/>
          <w:szCs w:val="22"/>
        </w:rPr>
      </w:pPr>
      <w:r w:rsidRPr="00585942">
        <w:rPr>
          <w:b/>
          <w:color w:val="000000"/>
          <w:szCs w:val="22"/>
        </w:rPr>
        <w:t>A.</w:t>
      </w:r>
      <w:r w:rsidRPr="00585942">
        <w:rPr>
          <w:b/>
          <w:color w:val="000000"/>
          <w:szCs w:val="22"/>
        </w:rPr>
        <w:tab/>
        <w:t>International</w:t>
      </w:r>
    </w:p>
    <w:p w:rsidR="001E2721" w:rsidRPr="0022664E" w:rsidP="001E2721" w14:paraId="732A2E7C" w14:textId="77777777">
      <w:pPr>
        <w:rPr>
          <w:color w:val="000000"/>
          <w:szCs w:val="22"/>
        </w:rPr>
      </w:pPr>
    </w:p>
    <w:tbl>
      <w:tblPr>
        <w:tblW w:w="9738" w:type="dxa"/>
        <w:tblLook w:val="01E0"/>
      </w:tblPr>
      <w:tblGrid>
        <w:gridCol w:w="2880"/>
        <w:gridCol w:w="3888"/>
        <w:gridCol w:w="2970"/>
      </w:tblGrid>
      <w:tr w14:paraId="14911CB6" w14:textId="77777777" w:rsidTr="00EF5980">
        <w:tblPrEx>
          <w:tblW w:w="9738" w:type="dxa"/>
          <w:tblLook w:val="01E0"/>
        </w:tblPrEx>
        <w:tc>
          <w:tcPr>
            <w:tcW w:w="2880" w:type="dxa"/>
          </w:tcPr>
          <w:p w:rsidR="001E2721" w:rsidRPr="00B77496" w:rsidP="00EF5980" w14:paraId="50CD0F83" w14:textId="77777777">
            <w:pPr>
              <w:rPr>
                <w:b/>
                <w:bCs/>
                <w:color w:val="000000"/>
                <w:szCs w:val="22"/>
              </w:rPr>
            </w:pPr>
            <w:bookmarkStart w:id="9" w:name="_Hlk1656452"/>
            <w:bookmarkStart w:id="10" w:name="_Hlk62751682"/>
            <w:r w:rsidRPr="00B77496">
              <w:rPr>
                <w:b/>
                <w:bCs/>
                <w:color w:val="000000"/>
                <w:szCs w:val="22"/>
                <w:u w:val="single"/>
              </w:rPr>
              <w:t>File Number</w:t>
            </w:r>
          </w:p>
        </w:tc>
        <w:tc>
          <w:tcPr>
            <w:tcW w:w="3888" w:type="dxa"/>
          </w:tcPr>
          <w:p w:rsidR="001E2721" w:rsidRPr="00B77496" w:rsidP="00EF5980" w14:paraId="65D8FD90" w14:textId="77777777">
            <w:pPr>
              <w:rPr>
                <w:b/>
                <w:bCs/>
                <w:color w:val="000000"/>
                <w:szCs w:val="22"/>
              </w:rPr>
            </w:pPr>
            <w:r w:rsidRPr="00B77496">
              <w:rPr>
                <w:b/>
                <w:bCs/>
                <w:color w:val="000000"/>
                <w:szCs w:val="22"/>
                <w:u w:val="single"/>
              </w:rPr>
              <w:t>Authorization Holder</w:t>
            </w:r>
          </w:p>
        </w:tc>
        <w:tc>
          <w:tcPr>
            <w:tcW w:w="2970" w:type="dxa"/>
          </w:tcPr>
          <w:p w:rsidR="001E2721" w:rsidRPr="00B77496" w:rsidP="00EF5980" w14:paraId="50846982" w14:textId="77777777">
            <w:pPr>
              <w:rPr>
                <w:b/>
                <w:bCs/>
                <w:color w:val="000000"/>
                <w:szCs w:val="22"/>
                <w:u w:val="single"/>
              </w:rPr>
            </w:pPr>
            <w:r w:rsidRPr="00B77496">
              <w:rPr>
                <w:b/>
                <w:bCs/>
                <w:color w:val="000000"/>
                <w:szCs w:val="22"/>
                <w:u w:val="single"/>
              </w:rPr>
              <w:t>Authorization Number</w:t>
            </w:r>
          </w:p>
          <w:p w:rsidR="001E2721" w:rsidRPr="0022664E" w:rsidP="00EF5980" w14:paraId="02D08529" w14:textId="77777777">
            <w:pPr>
              <w:rPr>
                <w:color w:val="000000"/>
                <w:szCs w:val="22"/>
                <w:u w:val="single"/>
              </w:rPr>
            </w:pPr>
          </w:p>
        </w:tc>
      </w:tr>
      <w:bookmarkEnd w:id="9"/>
      <w:tr w14:paraId="741F1D54" w14:textId="77777777" w:rsidTr="00EF5980">
        <w:tblPrEx>
          <w:tblW w:w="9738" w:type="dxa"/>
          <w:tblLook w:val="01E0"/>
        </w:tblPrEx>
        <w:tc>
          <w:tcPr>
            <w:tcW w:w="2880" w:type="dxa"/>
          </w:tcPr>
          <w:p w:rsidR="001E2721" w:rsidRPr="00704B2F" w:rsidP="00EF5980" w14:paraId="1E07290B" w14:textId="77777777">
            <w:pPr>
              <w:rPr>
                <w:color w:val="000000"/>
                <w:szCs w:val="22"/>
                <w:highlight w:val="yellow"/>
              </w:rPr>
            </w:pPr>
            <w:r w:rsidRPr="008D3514">
              <w:rPr>
                <w:color w:val="000000"/>
                <w:szCs w:val="22"/>
              </w:rPr>
              <w:t>ITC-</w:t>
            </w:r>
            <w:r>
              <w:t xml:space="preserve">T/C-20210121-00013 </w:t>
            </w:r>
            <w:r>
              <w:rPr>
                <w:color w:val="000000"/>
                <w:szCs w:val="22"/>
              </w:rPr>
              <w:t xml:space="preserve"> </w:t>
            </w:r>
          </w:p>
        </w:tc>
        <w:tc>
          <w:tcPr>
            <w:tcW w:w="3888" w:type="dxa"/>
          </w:tcPr>
          <w:p w:rsidR="001E2721" w:rsidRPr="0022664E" w:rsidP="00EF5980" w14:paraId="13BE5AF3" w14:textId="77777777">
            <w:pPr>
              <w:rPr>
                <w:color w:val="000000"/>
                <w:szCs w:val="22"/>
              </w:rPr>
            </w:pPr>
            <w:r>
              <w:rPr>
                <w:color w:val="000000"/>
                <w:szCs w:val="22"/>
              </w:rPr>
              <w:t>ACS Long Distance, LLC</w:t>
            </w:r>
          </w:p>
        </w:tc>
        <w:tc>
          <w:tcPr>
            <w:tcW w:w="2970" w:type="dxa"/>
          </w:tcPr>
          <w:p w:rsidR="001E2721" w:rsidRPr="00704B2F" w:rsidP="00EF5980" w14:paraId="08B3C87D" w14:textId="77777777">
            <w:pPr>
              <w:rPr>
                <w:color w:val="000000"/>
                <w:szCs w:val="22"/>
                <w:highlight w:val="yellow"/>
              </w:rPr>
            </w:pPr>
            <w:r w:rsidRPr="008D3514">
              <w:rPr>
                <w:color w:val="000000"/>
                <w:szCs w:val="22"/>
              </w:rPr>
              <w:t>ITC-214-</w:t>
            </w:r>
            <w:r>
              <w:rPr>
                <w:color w:val="000000"/>
                <w:szCs w:val="22"/>
              </w:rPr>
              <w:t>19960612-00248</w:t>
            </w:r>
          </w:p>
        </w:tc>
      </w:tr>
      <w:tr w14:paraId="3FD3ACC2" w14:textId="77777777" w:rsidTr="00EF5980">
        <w:tblPrEx>
          <w:tblW w:w="9738" w:type="dxa"/>
          <w:tblLook w:val="01E0"/>
        </w:tblPrEx>
        <w:tc>
          <w:tcPr>
            <w:tcW w:w="2880" w:type="dxa"/>
          </w:tcPr>
          <w:p w:rsidR="001E2721" w:rsidRPr="00704B2F" w:rsidP="00EF5980" w14:paraId="68B50903" w14:textId="77777777">
            <w:pPr>
              <w:rPr>
                <w:color w:val="000000"/>
                <w:szCs w:val="22"/>
                <w:highlight w:val="yellow"/>
              </w:rPr>
            </w:pPr>
            <w:bookmarkStart w:id="11" w:name="_Hlk12362083"/>
            <w:r>
              <w:t xml:space="preserve">ITC-T/C-20210121-00014 </w:t>
            </w:r>
          </w:p>
        </w:tc>
        <w:tc>
          <w:tcPr>
            <w:tcW w:w="3888" w:type="dxa"/>
          </w:tcPr>
          <w:p w:rsidR="001E2721" w:rsidRPr="0022664E" w:rsidP="00EF5980" w14:paraId="0427AEB5" w14:textId="36ED61DF">
            <w:pPr>
              <w:rPr>
                <w:color w:val="000000"/>
                <w:szCs w:val="22"/>
              </w:rPr>
            </w:pPr>
            <w:r>
              <w:rPr>
                <w:color w:val="000000"/>
                <w:szCs w:val="22"/>
              </w:rPr>
              <w:t>North</w:t>
            </w:r>
            <w:r w:rsidR="009003A2">
              <w:rPr>
                <w:color w:val="000000"/>
                <w:szCs w:val="22"/>
              </w:rPr>
              <w:t>S</w:t>
            </w:r>
            <w:r>
              <w:rPr>
                <w:color w:val="000000"/>
                <w:szCs w:val="22"/>
              </w:rPr>
              <w:t>tar License Corporation</w:t>
            </w:r>
          </w:p>
        </w:tc>
        <w:tc>
          <w:tcPr>
            <w:tcW w:w="2970" w:type="dxa"/>
          </w:tcPr>
          <w:p w:rsidR="001E2721" w:rsidRPr="00704B2F" w:rsidP="00EF5980" w14:paraId="0165F77A" w14:textId="77777777">
            <w:pPr>
              <w:rPr>
                <w:color w:val="000000"/>
                <w:szCs w:val="22"/>
                <w:highlight w:val="yellow"/>
              </w:rPr>
            </w:pPr>
            <w:r w:rsidRPr="008D3514">
              <w:rPr>
                <w:color w:val="000000"/>
                <w:szCs w:val="22"/>
              </w:rPr>
              <w:t>ITC-</w:t>
            </w:r>
            <w:r>
              <w:rPr>
                <w:color w:val="000000"/>
                <w:szCs w:val="22"/>
              </w:rPr>
              <w:t>214</w:t>
            </w:r>
            <w:r w:rsidRPr="008D3514">
              <w:rPr>
                <w:color w:val="000000"/>
                <w:szCs w:val="22"/>
              </w:rPr>
              <w:t>-</w:t>
            </w:r>
            <w:r>
              <w:rPr>
                <w:color w:val="000000"/>
                <w:szCs w:val="22"/>
              </w:rPr>
              <w:t>20000330-00209</w:t>
            </w:r>
          </w:p>
        </w:tc>
      </w:tr>
      <w:bookmarkEnd w:id="11"/>
      <w:tr w14:paraId="0C56E994" w14:textId="77777777" w:rsidTr="00EF5980">
        <w:tblPrEx>
          <w:tblW w:w="9738" w:type="dxa"/>
          <w:tblLook w:val="01E0"/>
        </w:tblPrEx>
        <w:tc>
          <w:tcPr>
            <w:tcW w:w="2880" w:type="dxa"/>
          </w:tcPr>
          <w:p w:rsidR="001E2721" w:rsidRPr="00704B2F" w:rsidP="00EF5980" w14:paraId="665C4D29" w14:textId="77777777">
            <w:pPr>
              <w:rPr>
                <w:color w:val="000000"/>
                <w:szCs w:val="22"/>
                <w:highlight w:val="yellow"/>
              </w:rPr>
            </w:pPr>
          </w:p>
        </w:tc>
        <w:tc>
          <w:tcPr>
            <w:tcW w:w="3888" w:type="dxa"/>
          </w:tcPr>
          <w:p w:rsidR="001E2721" w:rsidRPr="0022664E" w:rsidP="00EF5980" w14:paraId="7E08FEA0" w14:textId="77777777">
            <w:pPr>
              <w:rPr>
                <w:color w:val="000000"/>
                <w:szCs w:val="22"/>
              </w:rPr>
            </w:pPr>
          </w:p>
        </w:tc>
        <w:tc>
          <w:tcPr>
            <w:tcW w:w="2970" w:type="dxa"/>
          </w:tcPr>
          <w:p w:rsidR="001E2721" w:rsidRPr="00704B2F" w:rsidP="00EF5980" w14:paraId="3A1D2D12" w14:textId="77777777">
            <w:pPr>
              <w:rPr>
                <w:color w:val="000000"/>
                <w:szCs w:val="22"/>
                <w:highlight w:val="yellow"/>
              </w:rPr>
            </w:pPr>
          </w:p>
        </w:tc>
      </w:tr>
    </w:tbl>
    <w:bookmarkEnd w:id="10"/>
    <w:p w:rsidR="001E2721" w:rsidRPr="00585942" w:rsidP="001E2721" w14:paraId="7D4B84AA" w14:textId="77777777">
      <w:pPr>
        <w:rPr>
          <w:b/>
          <w:color w:val="000000"/>
          <w:szCs w:val="22"/>
        </w:rPr>
      </w:pPr>
      <w:r w:rsidRPr="00585942">
        <w:rPr>
          <w:b/>
          <w:color w:val="000000"/>
          <w:szCs w:val="22"/>
        </w:rPr>
        <w:t>B.</w:t>
      </w:r>
      <w:r w:rsidRPr="00585942">
        <w:rPr>
          <w:b/>
          <w:color w:val="000000"/>
          <w:szCs w:val="22"/>
        </w:rPr>
        <w:tab/>
        <w:t>Domestic</w:t>
      </w:r>
    </w:p>
    <w:p w:rsidR="001E2721" w:rsidRPr="0022664E" w:rsidP="001E2721" w14:paraId="552D6CE9" w14:textId="77777777">
      <w:pPr>
        <w:rPr>
          <w:color w:val="000000"/>
          <w:szCs w:val="22"/>
        </w:rPr>
      </w:pPr>
    </w:p>
    <w:p w:rsidR="001E2721" w:rsidRPr="0022664E" w:rsidP="001E2721" w14:paraId="4AB809ED" w14:textId="62DE6C89">
      <w:pPr>
        <w:rPr>
          <w:color w:val="000000"/>
          <w:szCs w:val="22"/>
        </w:rPr>
      </w:pPr>
      <w:r>
        <w:rPr>
          <w:color w:val="000000"/>
          <w:szCs w:val="22"/>
        </w:rPr>
        <w:t xml:space="preserve">WCB grants the </w:t>
      </w:r>
      <w:r w:rsidRPr="0022664E">
        <w:rPr>
          <w:color w:val="000000"/>
          <w:szCs w:val="22"/>
        </w:rPr>
        <w:t>application to transfer control of domestic section 214 authority in connection with the proposed transaction</w:t>
      </w:r>
      <w:r w:rsidRPr="008E581F">
        <w:rPr>
          <w:color w:val="000000"/>
          <w:szCs w:val="22"/>
        </w:rPr>
        <w:t>.</w:t>
      </w:r>
      <w:bookmarkStart w:id="12" w:name="sp_999_4"/>
      <w:bookmarkStart w:id="13" w:name="SDU_4"/>
      <w:bookmarkStart w:id="14" w:name="citeas((Cite_as:_26_F.C.C.R._13372,_*133"/>
      <w:bookmarkEnd w:id="12"/>
      <w:bookmarkEnd w:id="13"/>
      <w:bookmarkEnd w:id="14"/>
      <w:r w:rsidRPr="008E581F">
        <w:rPr>
          <w:color w:val="000000"/>
          <w:szCs w:val="22"/>
        </w:rPr>
        <w:t xml:space="preserve">  </w:t>
      </w:r>
      <w:r w:rsidRPr="00B62EDB">
        <w:rPr>
          <w:color w:val="000000"/>
          <w:szCs w:val="22"/>
        </w:rPr>
        <w:t xml:space="preserve"> </w:t>
      </w:r>
    </w:p>
    <w:tbl>
      <w:tblPr>
        <w:tblW w:w="9744" w:type="dxa"/>
        <w:tblLook w:val="01E0"/>
      </w:tblPr>
      <w:tblGrid>
        <w:gridCol w:w="2882"/>
        <w:gridCol w:w="3890"/>
        <w:gridCol w:w="2972"/>
      </w:tblGrid>
      <w:tr w14:paraId="5968986D" w14:textId="77777777" w:rsidTr="00EF5980">
        <w:tblPrEx>
          <w:tblW w:w="9744" w:type="dxa"/>
          <w:tblLook w:val="01E0"/>
        </w:tblPrEx>
        <w:trPr>
          <w:trHeight w:val="297"/>
        </w:trPr>
        <w:tc>
          <w:tcPr>
            <w:tcW w:w="2882" w:type="dxa"/>
          </w:tcPr>
          <w:p w:rsidR="001E2721" w:rsidRPr="0022664E" w:rsidP="00EF5980" w14:paraId="1161966D" w14:textId="77777777">
            <w:pPr>
              <w:rPr>
                <w:color w:val="000000"/>
                <w:szCs w:val="22"/>
              </w:rPr>
            </w:pPr>
          </w:p>
        </w:tc>
        <w:tc>
          <w:tcPr>
            <w:tcW w:w="3890" w:type="dxa"/>
          </w:tcPr>
          <w:p w:rsidR="001E2721" w:rsidRPr="0022664E" w:rsidP="00EF5980" w14:paraId="67D49874" w14:textId="77777777">
            <w:pPr>
              <w:rPr>
                <w:color w:val="000000"/>
                <w:szCs w:val="22"/>
              </w:rPr>
            </w:pPr>
          </w:p>
        </w:tc>
        <w:tc>
          <w:tcPr>
            <w:tcW w:w="2972" w:type="dxa"/>
          </w:tcPr>
          <w:p w:rsidR="001E2721" w:rsidRPr="0022664E" w:rsidP="00EF5980" w14:paraId="61E99792" w14:textId="77777777">
            <w:pPr>
              <w:rPr>
                <w:color w:val="000000"/>
                <w:szCs w:val="22"/>
              </w:rPr>
            </w:pPr>
          </w:p>
        </w:tc>
      </w:tr>
    </w:tbl>
    <w:p w:rsidR="001E2721" w:rsidRPr="008C77CA" w:rsidP="001E2721" w14:paraId="1CD267D2" w14:textId="77777777">
      <w:pPr>
        <w:rPr>
          <w:b/>
          <w:color w:val="000000"/>
          <w:szCs w:val="22"/>
        </w:rPr>
      </w:pPr>
      <w:r w:rsidRPr="008C77CA">
        <w:rPr>
          <w:b/>
          <w:color w:val="000000"/>
          <w:szCs w:val="22"/>
        </w:rPr>
        <w:t>CABLE LANDING LICENSES</w:t>
      </w:r>
    </w:p>
    <w:p w:rsidR="001E2721" w:rsidRPr="008C77CA" w:rsidP="001E2721" w14:paraId="4EE597E3" w14:textId="77777777">
      <w:pPr>
        <w:rPr>
          <w:b/>
          <w:color w:val="000000"/>
          <w:szCs w:val="22"/>
        </w:rPr>
      </w:pPr>
      <w:r w:rsidRPr="008C77CA">
        <w:rPr>
          <w:b/>
          <w:color w:val="000000"/>
          <w:szCs w:val="22"/>
        </w:rPr>
        <w:tab/>
      </w:r>
    </w:p>
    <w:tbl>
      <w:tblPr>
        <w:tblW w:w="9738" w:type="dxa"/>
        <w:tblLook w:val="01E0"/>
      </w:tblPr>
      <w:tblGrid>
        <w:gridCol w:w="2880"/>
        <w:gridCol w:w="3888"/>
        <w:gridCol w:w="2970"/>
      </w:tblGrid>
      <w:tr w14:paraId="7DD6640D" w14:textId="77777777" w:rsidTr="00EF5980">
        <w:tblPrEx>
          <w:tblW w:w="9738" w:type="dxa"/>
          <w:tblLook w:val="01E0"/>
        </w:tblPrEx>
        <w:tc>
          <w:tcPr>
            <w:tcW w:w="2880" w:type="dxa"/>
          </w:tcPr>
          <w:p w:rsidR="001E2721" w:rsidRPr="008C77CA" w:rsidP="00EF5980" w14:paraId="5900CCEF" w14:textId="77777777">
            <w:pPr>
              <w:rPr>
                <w:b/>
                <w:color w:val="000000"/>
                <w:szCs w:val="22"/>
              </w:rPr>
            </w:pPr>
            <w:r w:rsidRPr="008C77CA">
              <w:rPr>
                <w:b/>
                <w:color w:val="000000"/>
                <w:szCs w:val="22"/>
                <w:u w:val="single"/>
              </w:rPr>
              <w:t>File Number</w:t>
            </w:r>
          </w:p>
        </w:tc>
        <w:tc>
          <w:tcPr>
            <w:tcW w:w="3888" w:type="dxa"/>
          </w:tcPr>
          <w:p w:rsidR="001E2721" w:rsidRPr="008C77CA" w:rsidP="00EF5980" w14:paraId="0EC2D521" w14:textId="77777777">
            <w:pPr>
              <w:rPr>
                <w:b/>
                <w:color w:val="000000"/>
                <w:szCs w:val="22"/>
                <w:u w:val="single"/>
              </w:rPr>
            </w:pPr>
            <w:r w:rsidRPr="008C77CA">
              <w:rPr>
                <w:b/>
                <w:color w:val="000000"/>
                <w:szCs w:val="22"/>
                <w:u w:val="single"/>
              </w:rPr>
              <w:t>Licensee</w:t>
            </w:r>
          </w:p>
        </w:tc>
        <w:tc>
          <w:tcPr>
            <w:tcW w:w="2970" w:type="dxa"/>
          </w:tcPr>
          <w:p w:rsidR="001E2721" w:rsidRPr="008C77CA" w:rsidP="00EF5980" w14:paraId="63770078" w14:textId="77777777">
            <w:pPr>
              <w:rPr>
                <w:b/>
                <w:color w:val="000000"/>
                <w:szCs w:val="22"/>
                <w:u w:val="single"/>
              </w:rPr>
            </w:pPr>
            <w:r w:rsidRPr="008C77CA">
              <w:rPr>
                <w:b/>
                <w:color w:val="000000"/>
                <w:szCs w:val="22"/>
                <w:u w:val="single"/>
              </w:rPr>
              <w:t>License Number</w:t>
            </w:r>
          </w:p>
          <w:p w:rsidR="001E2721" w:rsidRPr="008C77CA" w:rsidP="00EF5980" w14:paraId="6759DF3F" w14:textId="77777777">
            <w:pPr>
              <w:rPr>
                <w:b/>
                <w:color w:val="000000"/>
                <w:szCs w:val="22"/>
                <w:u w:val="single"/>
              </w:rPr>
            </w:pPr>
          </w:p>
        </w:tc>
      </w:tr>
      <w:tr w14:paraId="74B16D6F" w14:textId="77777777" w:rsidTr="00EF5980">
        <w:tblPrEx>
          <w:tblW w:w="9738" w:type="dxa"/>
          <w:tblLook w:val="01E0"/>
        </w:tblPrEx>
        <w:tc>
          <w:tcPr>
            <w:tcW w:w="2880" w:type="dxa"/>
          </w:tcPr>
          <w:p w:rsidR="001E2721" w:rsidRPr="008C77CA" w:rsidP="00EF5980" w14:paraId="24C943B4" w14:textId="77777777">
            <w:pPr>
              <w:rPr>
                <w:color w:val="000000"/>
                <w:szCs w:val="22"/>
              </w:rPr>
            </w:pPr>
            <w:r w:rsidRPr="00AA5C4E">
              <w:rPr>
                <w:color w:val="000000"/>
                <w:szCs w:val="22"/>
              </w:rPr>
              <w:t xml:space="preserve">SCL-T/C-20210120-00005 </w:t>
            </w:r>
          </w:p>
        </w:tc>
        <w:tc>
          <w:tcPr>
            <w:tcW w:w="3888" w:type="dxa"/>
          </w:tcPr>
          <w:p w:rsidR="001E2721" w:rsidRPr="008C77CA" w:rsidP="00EF5980" w14:paraId="58372954" w14:textId="77777777">
            <w:pPr>
              <w:rPr>
                <w:color w:val="000000"/>
                <w:szCs w:val="22"/>
              </w:rPr>
            </w:pPr>
            <w:r>
              <w:rPr>
                <w:color w:val="000000"/>
                <w:szCs w:val="22"/>
              </w:rPr>
              <w:t>ACS Cable Systems, LLC</w:t>
            </w:r>
          </w:p>
          <w:p w:rsidR="001E2721" w:rsidRPr="008C77CA" w:rsidP="00EF5980" w14:paraId="57396CA8" w14:textId="77777777">
            <w:pPr>
              <w:rPr>
                <w:color w:val="000000"/>
                <w:szCs w:val="22"/>
              </w:rPr>
            </w:pPr>
          </w:p>
        </w:tc>
        <w:tc>
          <w:tcPr>
            <w:tcW w:w="2970" w:type="dxa"/>
          </w:tcPr>
          <w:p w:rsidR="001E2721" w:rsidRPr="008C77CA" w:rsidP="00EF5980" w14:paraId="510A4D82" w14:textId="77777777">
            <w:pPr>
              <w:rPr>
                <w:color w:val="000000"/>
                <w:szCs w:val="22"/>
              </w:rPr>
            </w:pPr>
            <w:r w:rsidRPr="008C77CA">
              <w:rPr>
                <w:color w:val="000000"/>
                <w:szCs w:val="22"/>
              </w:rPr>
              <w:t>SCL-</w:t>
            </w:r>
            <w:r>
              <w:rPr>
                <w:color w:val="000000"/>
                <w:szCs w:val="22"/>
              </w:rPr>
              <w:t>LIC</w:t>
            </w:r>
            <w:r w:rsidRPr="008C77CA">
              <w:rPr>
                <w:color w:val="000000"/>
                <w:szCs w:val="22"/>
              </w:rPr>
              <w:t>-</w:t>
            </w:r>
            <w:r>
              <w:rPr>
                <w:color w:val="000000"/>
                <w:szCs w:val="22"/>
              </w:rPr>
              <w:t xml:space="preserve">20071025-00018 </w:t>
            </w:r>
          </w:p>
          <w:p w:rsidR="001E2721" w:rsidRPr="008C77CA" w:rsidP="00EF5980" w14:paraId="134C6453" w14:textId="77777777">
            <w:pPr>
              <w:rPr>
                <w:color w:val="000000"/>
                <w:szCs w:val="22"/>
              </w:rPr>
            </w:pPr>
          </w:p>
        </w:tc>
      </w:tr>
      <w:tr w14:paraId="7A626298" w14:textId="77777777" w:rsidTr="00EF5980">
        <w:tblPrEx>
          <w:tblW w:w="9738" w:type="dxa"/>
          <w:tblLook w:val="01E0"/>
        </w:tblPrEx>
        <w:tc>
          <w:tcPr>
            <w:tcW w:w="2880" w:type="dxa"/>
          </w:tcPr>
          <w:p w:rsidR="001E2721" w:rsidRPr="007834A3" w:rsidP="00EF5980" w14:paraId="55C03EBF" w14:textId="77777777">
            <w:pPr>
              <w:rPr>
                <w:color w:val="000000"/>
              </w:rPr>
            </w:pPr>
            <w:r w:rsidRPr="007834A3">
              <w:rPr>
                <w:color w:val="000000"/>
              </w:rPr>
              <w:t>SCL-T/C-20210120-00003</w:t>
            </w:r>
          </w:p>
          <w:p w:rsidR="001E2721" w:rsidRPr="008C77CA" w:rsidP="00EF5980" w14:paraId="4B34164E" w14:textId="77777777">
            <w:pPr>
              <w:rPr>
                <w:color w:val="000000"/>
              </w:rPr>
            </w:pPr>
          </w:p>
        </w:tc>
        <w:tc>
          <w:tcPr>
            <w:tcW w:w="3888" w:type="dxa"/>
          </w:tcPr>
          <w:p w:rsidR="001E2721" w:rsidP="00EF5980" w14:paraId="28487DE9" w14:textId="36727AEE">
            <w:pPr>
              <w:rPr>
                <w:color w:val="000000"/>
                <w:szCs w:val="22"/>
              </w:rPr>
            </w:pPr>
            <w:r>
              <w:rPr>
                <w:color w:val="000000"/>
                <w:szCs w:val="22"/>
              </w:rPr>
              <w:t>North</w:t>
            </w:r>
            <w:r w:rsidR="009003A2">
              <w:rPr>
                <w:color w:val="000000"/>
                <w:szCs w:val="22"/>
              </w:rPr>
              <w:t>S</w:t>
            </w:r>
            <w:r>
              <w:rPr>
                <w:color w:val="000000"/>
                <w:szCs w:val="22"/>
              </w:rPr>
              <w:t>tar License Corporation</w:t>
            </w:r>
          </w:p>
        </w:tc>
        <w:tc>
          <w:tcPr>
            <w:tcW w:w="2970" w:type="dxa"/>
          </w:tcPr>
          <w:p w:rsidR="001E2721" w:rsidRPr="00D1496E" w:rsidP="00EF5980" w14:paraId="001329BE" w14:textId="77777777">
            <w:pPr>
              <w:rPr>
                <w:color w:val="000000"/>
                <w:szCs w:val="22"/>
              </w:rPr>
            </w:pPr>
            <w:r w:rsidRPr="00565608">
              <w:rPr>
                <w:color w:val="000000"/>
                <w:szCs w:val="22"/>
              </w:rPr>
              <w:t>SCL-MOD-20020725-0009</w:t>
            </w:r>
            <w:r w:rsidRPr="00D1496E">
              <w:rPr>
                <w:color w:val="000000"/>
                <w:szCs w:val="22"/>
              </w:rPr>
              <w:t>0</w:t>
            </w:r>
          </w:p>
          <w:p w:rsidR="001E2721" w:rsidRPr="00D1496E" w:rsidP="00EF5980" w14:paraId="7A35062F" w14:textId="77777777">
            <w:pPr>
              <w:rPr>
                <w:color w:val="000000"/>
                <w:szCs w:val="22"/>
              </w:rPr>
            </w:pPr>
            <w:r w:rsidRPr="00D1496E">
              <w:rPr>
                <w:color w:val="000000"/>
                <w:szCs w:val="22"/>
              </w:rPr>
              <w:t>SCL-LIC-19940617-00002</w:t>
            </w:r>
          </w:p>
          <w:p w:rsidR="001E2721" w:rsidRPr="008C77CA" w:rsidP="00EF5980" w14:paraId="5F3B20B3" w14:textId="77777777">
            <w:pPr>
              <w:rPr>
                <w:color w:val="000000"/>
              </w:rPr>
            </w:pPr>
            <w:r w:rsidRPr="00565608">
              <w:rPr>
                <w:color w:val="000000"/>
                <w:szCs w:val="22"/>
              </w:rPr>
              <w:t xml:space="preserve">SCL-MOD-20020725-00091 </w:t>
            </w:r>
            <w:r w:rsidRPr="00D1496E">
              <w:rPr>
                <w:color w:val="000000"/>
                <w:szCs w:val="22"/>
              </w:rPr>
              <w:t>SCL-LIC-19960308-00001</w:t>
            </w:r>
          </w:p>
        </w:tc>
      </w:tr>
    </w:tbl>
    <w:p w:rsidR="001E2721" w:rsidP="001E2721" w14:paraId="1B28C179" w14:textId="77777777">
      <w:pPr>
        <w:rPr>
          <w:b/>
          <w:color w:val="000000"/>
          <w:szCs w:val="22"/>
        </w:rPr>
      </w:pPr>
    </w:p>
    <w:p w:rsidR="001E2721" w:rsidP="001E2721" w14:paraId="059306BE" w14:textId="77777777">
      <w:pPr>
        <w:rPr>
          <w:b/>
          <w:color w:val="000000"/>
          <w:szCs w:val="22"/>
        </w:rPr>
      </w:pPr>
      <w:r>
        <w:rPr>
          <w:b/>
          <w:color w:val="000000"/>
          <w:szCs w:val="22"/>
        </w:rPr>
        <w:t>EARTH STATION LICENSE</w:t>
      </w:r>
    </w:p>
    <w:p w:rsidR="001E2721" w:rsidP="001E2721" w14:paraId="74765AF2" w14:textId="77777777">
      <w:pPr>
        <w:rPr>
          <w:b/>
          <w:color w:val="000000"/>
          <w:szCs w:val="22"/>
        </w:rPr>
      </w:pPr>
    </w:p>
    <w:tbl>
      <w:tblPr>
        <w:tblW w:w="9738" w:type="dxa"/>
        <w:tblLook w:val="01E0"/>
      </w:tblPr>
      <w:tblGrid>
        <w:gridCol w:w="2880"/>
        <w:gridCol w:w="3888"/>
        <w:gridCol w:w="2970"/>
      </w:tblGrid>
      <w:tr w14:paraId="3D0FB8D6" w14:textId="77777777" w:rsidTr="00EF5980">
        <w:tblPrEx>
          <w:tblW w:w="9738" w:type="dxa"/>
          <w:tblLook w:val="01E0"/>
        </w:tblPrEx>
        <w:tc>
          <w:tcPr>
            <w:tcW w:w="2880" w:type="dxa"/>
          </w:tcPr>
          <w:p w:rsidR="001E2721" w:rsidRPr="00B77496" w:rsidP="00EF5980" w14:paraId="7B8BF164" w14:textId="77777777">
            <w:pPr>
              <w:rPr>
                <w:b/>
                <w:bCs/>
                <w:color w:val="000000"/>
                <w:szCs w:val="22"/>
              </w:rPr>
            </w:pPr>
            <w:r w:rsidRPr="00B77496">
              <w:rPr>
                <w:b/>
                <w:bCs/>
                <w:color w:val="000000"/>
                <w:szCs w:val="22"/>
                <w:u w:val="single"/>
              </w:rPr>
              <w:t>Call Sign</w:t>
            </w:r>
          </w:p>
        </w:tc>
        <w:tc>
          <w:tcPr>
            <w:tcW w:w="3888" w:type="dxa"/>
          </w:tcPr>
          <w:p w:rsidR="001E2721" w:rsidRPr="00B77496" w:rsidP="00EF5980" w14:paraId="42B896B8" w14:textId="77777777">
            <w:pPr>
              <w:rPr>
                <w:b/>
                <w:bCs/>
                <w:color w:val="000000"/>
                <w:szCs w:val="22"/>
              </w:rPr>
            </w:pPr>
            <w:r w:rsidRPr="00B77496">
              <w:rPr>
                <w:b/>
                <w:bCs/>
                <w:color w:val="000000"/>
                <w:szCs w:val="22"/>
                <w:u w:val="single"/>
              </w:rPr>
              <w:t>Authorization Holder</w:t>
            </w:r>
          </w:p>
        </w:tc>
        <w:tc>
          <w:tcPr>
            <w:tcW w:w="2970" w:type="dxa"/>
          </w:tcPr>
          <w:p w:rsidR="001E2721" w:rsidRPr="00B77496" w:rsidP="00EF5980" w14:paraId="3E7AE164" w14:textId="77777777">
            <w:pPr>
              <w:rPr>
                <w:b/>
                <w:bCs/>
                <w:color w:val="000000"/>
                <w:szCs w:val="22"/>
                <w:u w:val="single"/>
              </w:rPr>
            </w:pPr>
            <w:r w:rsidRPr="00B77496">
              <w:rPr>
                <w:b/>
                <w:bCs/>
                <w:color w:val="000000"/>
                <w:szCs w:val="22"/>
                <w:u w:val="single"/>
              </w:rPr>
              <w:t>Authorization Number</w:t>
            </w:r>
          </w:p>
          <w:p w:rsidR="001E2721" w:rsidRPr="0022664E" w:rsidP="00EF5980" w14:paraId="0B259D49" w14:textId="77777777">
            <w:pPr>
              <w:rPr>
                <w:color w:val="000000"/>
                <w:szCs w:val="22"/>
                <w:u w:val="single"/>
              </w:rPr>
            </w:pPr>
          </w:p>
        </w:tc>
      </w:tr>
      <w:tr w14:paraId="67601055" w14:textId="77777777" w:rsidTr="00EF5980">
        <w:tblPrEx>
          <w:tblW w:w="9738" w:type="dxa"/>
          <w:tblLook w:val="01E0"/>
        </w:tblPrEx>
        <w:tc>
          <w:tcPr>
            <w:tcW w:w="2880" w:type="dxa"/>
          </w:tcPr>
          <w:p w:rsidR="001E2721" w:rsidRPr="00704B2F" w:rsidP="00EF5980" w14:paraId="1F32AFE1" w14:textId="77777777">
            <w:pPr>
              <w:rPr>
                <w:color w:val="000000"/>
                <w:szCs w:val="22"/>
                <w:highlight w:val="yellow"/>
              </w:rPr>
            </w:pPr>
            <w:r>
              <w:rPr>
                <w:color w:val="000000"/>
                <w:szCs w:val="22"/>
              </w:rPr>
              <w:t xml:space="preserve">E170205 </w:t>
            </w:r>
          </w:p>
        </w:tc>
        <w:tc>
          <w:tcPr>
            <w:tcW w:w="3888" w:type="dxa"/>
          </w:tcPr>
          <w:p w:rsidR="001E2721" w:rsidRPr="0022664E" w:rsidP="00EF5980" w14:paraId="7691FECF" w14:textId="77777777">
            <w:pPr>
              <w:rPr>
                <w:color w:val="000000"/>
                <w:szCs w:val="22"/>
              </w:rPr>
            </w:pPr>
            <w:r>
              <w:rPr>
                <w:color w:val="000000"/>
                <w:szCs w:val="22"/>
              </w:rPr>
              <w:t>Alaska Communications Internet, LLC</w:t>
            </w:r>
          </w:p>
        </w:tc>
        <w:tc>
          <w:tcPr>
            <w:tcW w:w="2970" w:type="dxa"/>
          </w:tcPr>
          <w:p w:rsidR="001E2721" w:rsidRPr="00704B2F" w:rsidP="00EF5980" w14:paraId="59E9549E" w14:textId="60E2D1CD">
            <w:pPr>
              <w:rPr>
                <w:color w:val="000000"/>
                <w:szCs w:val="22"/>
                <w:highlight w:val="yellow"/>
              </w:rPr>
            </w:pPr>
            <w:r w:rsidRPr="008E2E4C">
              <w:rPr>
                <w:color w:val="000000"/>
                <w:szCs w:val="22"/>
              </w:rPr>
              <w:t>SES-MOD-20</w:t>
            </w:r>
            <w:r w:rsidR="00392523">
              <w:rPr>
                <w:color w:val="000000"/>
                <w:szCs w:val="22"/>
              </w:rPr>
              <w:t>201214-01370</w:t>
            </w:r>
          </w:p>
        </w:tc>
      </w:tr>
    </w:tbl>
    <w:p w:rsidR="001E2721" w:rsidP="001E2721" w14:paraId="6B5F6C09" w14:textId="77777777">
      <w:pPr>
        <w:rPr>
          <w:b/>
          <w:color w:val="000000"/>
          <w:szCs w:val="22"/>
        </w:rPr>
      </w:pPr>
    </w:p>
    <w:p w:rsidR="001E2721" w:rsidP="001E2721" w14:paraId="46C08955" w14:textId="10EF842A">
      <w:pPr>
        <w:rPr>
          <w:b/>
          <w:color w:val="000000"/>
          <w:szCs w:val="22"/>
        </w:rPr>
      </w:pPr>
      <w:r w:rsidRPr="008C77CA">
        <w:rPr>
          <w:b/>
          <w:color w:val="000000"/>
          <w:szCs w:val="22"/>
        </w:rPr>
        <w:t>SECTION 310(d) APPLICATION</w:t>
      </w:r>
    </w:p>
    <w:p w:rsidR="009F3FCB" w:rsidRPr="008C77CA" w:rsidP="001E2721" w14:paraId="4FADF98D" w14:textId="77777777">
      <w:pPr>
        <w:rPr>
          <w:b/>
          <w:color w:val="000000"/>
          <w:szCs w:val="22"/>
        </w:rPr>
      </w:pPr>
    </w:p>
    <w:tbl>
      <w:tblPr>
        <w:tblW w:w="9738" w:type="dxa"/>
        <w:tblLook w:val="01E0"/>
      </w:tblPr>
      <w:tblGrid>
        <w:gridCol w:w="2880"/>
        <w:gridCol w:w="3888"/>
        <w:gridCol w:w="2970"/>
      </w:tblGrid>
      <w:tr w14:paraId="5293B28D" w14:textId="77777777" w:rsidTr="00EF5980">
        <w:tblPrEx>
          <w:tblW w:w="9738" w:type="dxa"/>
          <w:tblLook w:val="01E0"/>
        </w:tblPrEx>
        <w:trPr>
          <w:trHeight w:val="669"/>
        </w:trPr>
        <w:tc>
          <w:tcPr>
            <w:tcW w:w="2880" w:type="dxa"/>
          </w:tcPr>
          <w:p w:rsidR="001E2721" w:rsidRPr="008C77CA" w:rsidP="00EF5980" w14:paraId="636169A7" w14:textId="77777777">
            <w:pPr>
              <w:rPr>
                <w:b/>
                <w:color w:val="000000"/>
                <w:szCs w:val="22"/>
              </w:rPr>
            </w:pPr>
            <w:r w:rsidRPr="008C77CA">
              <w:rPr>
                <w:b/>
                <w:color w:val="000000"/>
                <w:szCs w:val="22"/>
                <w:u w:val="single"/>
              </w:rPr>
              <w:t>File Number</w:t>
            </w:r>
          </w:p>
        </w:tc>
        <w:tc>
          <w:tcPr>
            <w:tcW w:w="3888" w:type="dxa"/>
          </w:tcPr>
          <w:p w:rsidR="001E2721" w:rsidRPr="008C77CA" w:rsidP="00EF5980" w14:paraId="2B1F1B76" w14:textId="77777777">
            <w:pPr>
              <w:rPr>
                <w:b/>
                <w:color w:val="000000"/>
                <w:szCs w:val="22"/>
                <w:u w:val="single"/>
              </w:rPr>
            </w:pPr>
            <w:r w:rsidRPr="008C77CA">
              <w:rPr>
                <w:b/>
                <w:color w:val="000000"/>
                <w:szCs w:val="22"/>
                <w:u w:val="single"/>
              </w:rPr>
              <w:t>Licensee</w:t>
            </w:r>
          </w:p>
        </w:tc>
        <w:tc>
          <w:tcPr>
            <w:tcW w:w="2970" w:type="dxa"/>
          </w:tcPr>
          <w:p w:rsidR="001E2721" w:rsidRPr="008C77CA" w:rsidP="00EF5980" w14:paraId="636D5801" w14:textId="77777777">
            <w:pPr>
              <w:rPr>
                <w:b/>
                <w:color w:val="000000"/>
                <w:szCs w:val="22"/>
                <w:u w:val="single"/>
              </w:rPr>
            </w:pPr>
            <w:r w:rsidRPr="008C77CA">
              <w:rPr>
                <w:b/>
                <w:color w:val="000000"/>
                <w:szCs w:val="22"/>
                <w:u w:val="single"/>
              </w:rPr>
              <w:t>Lead Call Sign</w:t>
            </w:r>
          </w:p>
          <w:p w:rsidR="001E2721" w:rsidRPr="008C77CA" w:rsidP="00EF5980" w14:paraId="74D60BE8" w14:textId="77777777">
            <w:pPr>
              <w:rPr>
                <w:b/>
                <w:color w:val="000000"/>
                <w:szCs w:val="22"/>
                <w:u w:val="single"/>
              </w:rPr>
            </w:pPr>
          </w:p>
        </w:tc>
      </w:tr>
      <w:tr w14:paraId="756BF9BD" w14:textId="77777777" w:rsidTr="00EF5980">
        <w:tblPrEx>
          <w:tblW w:w="9738" w:type="dxa"/>
          <w:tblLook w:val="01E0"/>
        </w:tblPrEx>
        <w:tc>
          <w:tcPr>
            <w:tcW w:w="2880" w:type="dxa"/>
          </w:tcPr>
          <w:p w:rsidR="001E2721" w:rsidRPr="008C77CA" w:rsidP="00EF5980" w14:paraId="07359B06" w14:textId="77777777">
            <w:pPr>
              <w:rPr>
                <w:szCs w:val="22"/>
              </w:rPr>
            </w:pPr>
            <w:r w:rsidRPr="002E3F4D">
              <w:rPr>
                <w:szCs w:val="22"/>
              </w:rPr>
              <w:t>0009368555</w:t>
            </w:r>
            <w:r>
              <w:rPr>
                <w:rStyle w:val="FootnoteReference"/>
                <w:szCs w:val="22"/>
              </w:rPr>
              <w:footnoteReference w:id="34"/>
            </w:r>
          </w:p>
        </w:tc>
        <w:tc>
          <w:tcPr>
            <w:tcW w:w="3888" w:type="dxa"/>
          </w:tcPr>
          <w:p w:rsidR="001E2721" w:rsidRPr="008C77CA" w:rsidP="00EF5980" w14:paraId="2E88F9D1" w14:textId="77777777">
            <w:pPr>
              <w:rPr>
                <w:szCs w:val="22"/>
              </w:rPr>
            </w:pPr>
            <w:r>
              <w:t>ACS Wireless License Sub, LLC</w:t>
            </w:r>
          </w:p>
        </w:tc>
        <w:tc>
          <w:tcPr>
            <w:tcW w:w="2970" w:type="dxa"/>
          </w:tcPr>
          <w:p w:rsidR="001E2721" w:rsidRPr="008C77CA" w:rsidP="00EF5980" w14:paraId="57E48916" w14:textId="77777777">
            <w:pPr>
              <w:rPr>
                <w:szCs w:val="22"/>
              </w:rPr>
            </w:pPr>
            <w:r>
              <w:rPr>
                <w:szCs w:val="22"/>
              </w:rPr>
              <w:t>WMN700</w:t>
            </w:r>
          </w:p>
        </w:tc>
      </w:tr>
      <w:tr w14:paraId="3B588DEA" w14:textId="77777777" w:rsidTr="00EF5980">
        <w:tblPrEx>
          <w:tblW w:w="9738" w:type="dxa"/>
          <w:tblLook w:val="01E0"/>
        </w:tblPrEx>
        <w:tc>
          <w:tcPr>
            <w:tcW w:w="2880" w:type="dxa"/>
          </w:tcPr>
          <w:p w:rsidR="001E2721" w:rsidRPr="008C77CA" w:rsidP="00EF5980" w14:paraId="4A58C551" w14:textId="77777777">
            <w:pPr>
              <w:rPr>
                <w:szCs w:val="22"/>
              </w:rPr>
            </w:pPr>
          </w:p>
        </w:tc>
        <w:tc>
          <w:tcPr>
            <w:tcW w:w="3888" w:type="dxa"/>
          </w:tcPr>
          <w:p w:rsidR="001E2721" w:rsidRPr="008C77CA" w:rsidP="00EF5980" w14:paraId="4A967F6E" w14:textId="77777777"/>
        </w:tc>
        <w:tc>
          <w:tcPr>
            <w:tcW w:w="2970" w:type="dxa"/>
          </w:tcPr>
          <w:p w:rsidR="001E2721" w:rsidRPr="008C77CA" w:rsidP="00EF5980" w14:paraId="0AA371FC" w14:textId="77777777"/>
        </w:tc>
      </w:tr>
      <w:tr w14:paraId="2F658E4E" w14:textId="77777777" w:rsidTr="00EF5980">
        <w:tblPrEx>
          <w:tblW w:w="9738" w:type="dxa"/>
          <w:tblLook w:val="01E0"/>
        </w:tblPrEx>
        <w:tc>
          <w:tcPr>
            <w:tcW w:w="2880" w:type="dxa"/>
          </w:tcPr>
          <w:p w:rsidR="001E2721" w:rsidRPr="008C77CA" w:rsidP="00EF5980" w14:paraId="4F491AC8" w14:textId="77777777">
            <w:pPr>
              <w:rPr>
                <w:szCs w:val="22"/>
              </w:rPr>
            </w:pPr>
            <w:r w:rsidRPr="002E3F4D">
              <w:rPr>
                <w:szCs w:val="22"/>
              </w:rPr>
              <w:t>0009370199</w:t>
            </w:r>
          </w:p>
        </w:tc>
        <w:tc>
          <w:tcPr>
            <w:tcW w:w="3888" w:type="dxa"/>
          </w:tcPr>
          <w:p w:rsidR="001E2721" w:rsidRPr="008C77CA" w:rsidP="00EF5980" w14:paraId="42953D27" w14:textId="77777777">
            <w:r>
              <w:t>ACS of Anchorage License Sub, LLC</w:t>
            </w:r>
          </w:p>
        </w:tc>
        <w:tc>
          <w:tcPr>
            <w:tcW w:w="2970" w:type="dxa"/>
          </w:tcPr>
          <w:p w:rsidR="001E2721" w:rsidRPr="008C77CA" w:rsidP="00EF5980" w14:paraId="7257DA7B" w14:textId="77777777">
            <w:r>
              <w:t>WLC603</w:t>
            </w:r>
          </w:p>
        </w:tc>
      </w:tr>
      <w:tr w14:paraId="2363A9B7" w14:textId="77777777" w:rsidTr="00EF5980">
        <w:tblPrEx>
          <w:tblW w:w="9738" w:type="dxa"/>
          <w:tblLook w:val="01E0"/>
        </w:tblPrEx>
        <w:tc>
          <w:tcPr>
            <w:tcW w:w="2880" w:type="dxa"/>
          </w:tcPr>
          <w:p w:rsidR="001E2721" w:rsidRPr="008C77CA" w:rsidP="00EF5980" w14:paraId="66111648" w14:textId="77777777">
            <w:pPr>
              <w:rPr>
                <w:szCs w:val="22"/>
              </w:rPr>
            </w:pPr>
          </w:p>
        </w:tc>
        <w:tc>
          <w:tcPr>
            <w:tcW w:w="3888" w:type="dxa"/>
          </w:tcPr>
          <w:p w:rsidR="001E2721" w:rsidP="00EF5980" w14:paraId="3890C117" w14:textId="77777777"/>
        </w:tc>
        <w:tc>
          <w:tcPr>
            <w:tcW w:w="2970" w:type="dxa"/>
          </w:tcPr>
          <w:p w:rsidR="001E2721" w:rsidP="00EF5980" w14:paraId="244C6FA4" w14:textId="77777777"/>
        </w:tc>
      </w:tr>
      <w:tr w14:paraId="19B08A40" w14:textId="77777777" w:rsidTr="00EF5980">
        <w:tblPrEx>
          <w:tblW w:w="9738" w:type="dxa"/>
          <w:tblLook w:val="01E0"/>
        </w:tblPrEx>
        <w:tc>
          <w:tcPr>
            <w:tcW w:w="2880" w:type="dxa"/>
          </w:tcPr>
          <w:p w:rsidR="001E2721" w:rsidRPr="008C77CA" w:rsidP="00EF5980" w14:paraId="4172A1BB" w14:textId="77777777">
            <w:pPr>
              <w:rPr>
                <w:szCs w:val="22"/>
              </w:rPr>
            </w:pPr>
            <w:r w:rsidRPr="002E3F4D">
              <w:rPr>
                <w:szCs w:val="22"/>
              </w:rPr>
              <w:t>0009370202</w:t>
            </w:r>
          </w:p>
        </w:tc>
        <w:tc>
          <w:tcPr>
            <w:tcW w:w="3888" w:type="dxa"/>
          </w:tcPr>
          <w:p w:rsidR="001E2721" w:rsidRPr="008C77CA" w:rsidP="00EF5980" w14:paraId="65B34B03" w14:textId="77777777">
            <w:r>
              <w:t>ACS of Fairbanks License Sub, LLC</w:t>
            </w:r>
          </w:p>
        </w:tc>
        <w:tc>
          <w:tcPr>
            <w:tcW w:w="2970" w:type="dxa"/>
          </w:tcPr>
          <w:p w:rsidR="001E2721" w:rsidRPr="008C77CA" w:rsidP="00EF5980" w14:paraId="2A51A841" w14:textId="77777777">
            <w:r>
              <w:t>WMS885</w:t>
            </w:r>
          </w:p>
        </w:tc>
      </w:tr>
      <w:tr w14:paraId="5E6012F9" w14:textId="77777777" w:rsidTr="00EF5980">
        <w:tblPrEx>
          <w:tblW w:w="9738" w:type="dxa"/>
          <w:tblLook w:val="01E0"/>
        </w:tblPrEx>
        <w:tc>
          <w:tcPr>
            <w:tcW w:w="2880" w:type="dxa"/>
          </w:tcPr>
          <w:p w:rsidR="001E2721" w:rsidRPr="008C77CA" w:rsidP="00EF5980" w14:paraId="24B47B6A" w14:textId="77777777">
            <w:pPr>
              <w:rPr>
                <w:szCs w:val="22"/>
              </w:rPr>
            </w:pPr>
          </w:p>
        </w:tc>
        <w:tc>
          <w:tcPr>
            <w:tcW w:w="3888" w:type="dxa"/>
          </w:tcPr>
          <w:p w:rsidR="001E2721" w:rsidP="00EF5980" w14:paraId="3AEF53E5" w14:textId="77777777"/>
        </w:tc>
        <w:tc>
          <w:tcPr>
            <w:tcW w:w="2970" w:type="dxa"/>
          </w:tcPr>
          <w:p w:rsidR="001E2721" w:rsidP="00EF5980" w14:paraId="0A724F7D" w14:textId="77777777"/>
        </w:tc>
      </w:tr>
      <w:tr w14:paraId="390A05C7" w14:textId="77777777" w:rsidTr="00EF5980">
        <w:tblPrEx>
          <w:tblW w:w="9738" w:type="dxa"/>
          <w:tblLook w:val="01E0"/>
        </w:tblPrEx>
        <w:tc>
          <w:tcPr>
            <w:tcW w:w="2880" w:type="dxa"/>
          </w:tcPr>
          <w:p w:rsidR="001E2721" w:rsidRPr="008C77CA" w:rsidP="00EF5980" w14:paraId="26C4CCE0" w14:textId="77777777">
            <w:pPr>
              <w:rPr>
                <w:szCs w:val="22"/>
              </w:rPr>
            </w:pPr>
            <w:r w:rsidRPr="002E3F4D">
              <w:rPr>
                <w:szCs w:val="22"/>
              </w:rPr>
              <w:t>0009370204</w:t>
            </w:r>
          </w:p>
        </w:tc>
        <w:tc>
          <w:tcPr>
            <w:tcW w:w="3888" w:type="dxa"/>
          </w:tcPr>
          <w:p w:rsidR="001E2721" w:rsidP="00EF5980" w14:paraId="66F46EDC" w14:textId="77777777">
            <w:r>
              <w:t>ACS of the Northland License Sub, LLC</w:t>
            </w:r>
          </w:p>
          <w:p w:rsidR="001E2721" w:rsidP="00EF5980" w14:paraId="4A4DE4AF" w14:textId="77777777"/>
        </w:tc>
        <w:tc>
          <w:tcPr>
            <w:tcW w:w="2970" w:type="dxa"/>
          </w:tcPr>
          <w:p w:rsidR="001E2721" w:rsidP="00EF5980" w14:paraId="294AE398" w14:textId="77777777">
            <w:r>
              <w:t>KNKH871</w:t>
            </w:r>
          </w:p>
        </w:tc>
      </w:tr>
      <w:tr w14:paraId="6152B5E8" w14:textId="77777777" w:rsidTr="00EF5980">
        <w:tblPrEx>
          <w:tblW w:w="9738" w:type="dxa"/>
          <w:tblLook w:val="01E0"/>
        </w:tblPrEx>
        <w:tc>
          <w:tcPr>
            <w:tcW w:w="2880" w:type="dxa"/>
          </w:tcPr>
          <w:p w:rsidR="001E2721" w:rsidRPr="008C77CA" w:rsidP="00EF5980" w14:paraId="508C68AD" w14:textId="77777777">
            <w:pPr>
              <w:rPr>
                <w:szCs w:val="22"/>
              </w:rPr>
            </w:pPr>
            <w:r w:rsidRPr="002E3F4D">
              <w:rPr>
                <w:szCs w:val="22"/>
              </w:rPr>
              <w:t>0009370207</w:t>
            </w:r>
          </w:p>
        </w:tc>
        <w:tc>
          <w:tcPr>
            <w:tcW w:w="3888" w:type="dxa"/>
          </w:tcPr>
          <w:p w:rsidR="001E2721" w:rsidP="00EF5980" w14:paraId="35989655" w14:textId="77777777">
            <w:r>
              <w:t>ACS Long Distance License Sub, LLC</w:t>
            </w:r>
          </w:p>
        </w:tc>
        <w:tc>
          <w:tcPr>
            <w:tcW w:w="2970" w:type="dxa"/>
          </w:tcPr>
          <w:p w:rsidR="001E2721" w:rsidP="00EF5980" w14:paraId="39CBFA6B" w14:textId="77777777">
            <w:r>
              <w:t>WNEH752</w:t>
            </w:r>
          </w:p>
        </w:tc>
      </w:tr>
    </w:tbl>
    <w:p w:rsidR="001E2721" w:rsidP="001E2721" w14:paraId="3D1979B8" w14:textId="77777777">
      <w:pPr>
        <w:autoSpaceDE w:val="0"/>
        <w:autoSpaceDN w:val="0"/>
        <w:adjustRightInd w:val="0"/>
        <w:rPr>
          <w:rFonts w:ascii="TimesNewRoman,Bold" w:hAnsi="TimesNewRoman,Bold" w:cs="TimesNewRoman,Bold"/>
          <w:b/>
          <w:bCs/>
          <w:color w:val="010101"/>
          <w:szCs w:val="22"/>
        </w:rPr>
      </w:pPr>
    </w:p>
    <w:tbl>
      <w:tblPr>
        <w:tblW w:w="9738" w:type="dxa"/>
        <w:tblLook w:val="01E0"/>
      </w:tblPr>
      <w:tblGrid>
        <w:gridCol w:w="2880"/>
        <w:gridCol w:w="3888"/>
        <w:gridCol w:w="2970"/>
      </w:tblGrid>
      <w:tr w14:paraId="48587D98" w14:textId="77777777" w:rsidTr="004F5C91">
        <w:tblPrEx>
          <w:tblW w:w="9738" w:type="dxa"/>
          <w:tblLook w:val="01E0"/>
        </w:tblPrEx>
        <w:tc>
          <w:tcPr>
            <w:tcW w:w="2880" w:type="dxa"/>
          </w:tcPr>
          <w:p w:rsidR="00C42502" w:rsidRPr="008C77CA" w:rsidP="004F5C91" w14:paraId="6CB28EE5" w14:textId="3E5D1375">
            <w:pPr>
              <w:rPr>
                <w:szCs w:val="22"/>
              </w:rPr>
            </w:pPr>
            <w:r w:rsidRPr="002E3F4D">
              <w:rPr>
                <w:szCs w:val="22"/>
              </w:rPr>
              <w:t>0009</w:t>
            </w:r>
            <w:r>
              <w:rPr>
                <w:szCs w:val="22"/>
              </w:rPr>
              <w:t>453199</w:t>
            </w:r>
          </w:p>
        </w:tc>
        <w:tc>
          <w:tcPr>
            <w:tcW w:w="3888" w:type="dxa"/>
          </w:tcPr>
          <w:p w:rsidR="00C42502" w:rsidP="004F5C91" w14:paraId="1920CAEC" w14:textId="23C0BBAF">
            <w:r>
              <w:t>Alaska Communications Internet, LLC</w:t>
            </w:r>
          </w:p>
        </w:tc>
        <w:tc>
          <w:tcPr>
            <w:tcW w:w="2970" w:type="dxa"/>
          </w:tcPr>
          <w:p w:rsidR="00C42502" w:rsidP="004F5C91" w14:paraId="1A159096" w14:textId="60FFA0FA">
            <w:r>
              <w:t>WRLA814</w:t>
            </w:r>
          </w:p>
        </w:tc>
      </w:tr>
    </w:tbl>
    <w:p w:rsidR="002F3C5D" w:rsidRPr="00930ECF" w:rsidP="00090D4F" w14:paraId="4E8E265C"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P="0055614C" w14:paraId="70C48C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E6C2F" w14:paraId="3F5CE1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P="00910F12" w14:paraId="0BB80E31"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14:paraId="1431B6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3CEB" w14:paraId="4F145913" w14:textId="77777777">
      <w:r>
        <w:separator/>
      </w:r>
    </w:p>
  </w:footnote>
  <w:footnote w:type="continuationSeparator" w:id="1">
    <w:p w:rsidR="003E3CEB" w14:paraId="475F7C8D" w14:textId="77777777">
      <w:pPr>
        <w:rPr>
          <w:sz w:val="20"/>
        </w:rPr>
      </w:pPr>
      <w:r>
        <w:rPr>
          <w:sz w:val="20"/>
        </w:rPr>
        <w:t xml:space="preserve">(Continued from previous page)  </w:t>
      </w:r>
      <w:r>
        <w:rPr>
          <w:sz w:val="20"/>
        </w:rPr>
        <w:separator/>
      </w:r>
    </w:p>
  </w:footnote>
  <w:footnote w:type="continuationNotice" w:id="2">
    <w:p w:rsidR="003E3CEB" w:rsidP="00910F12" w14:paraId="0C593791" w14:textId="77777777">
      <w:pPr>
        <w:jc w:val="right"/>
        <w:rPr>
          <w:sz w:val="20"/>
        </w:rPr>
      </w:pPr>
      <w:r>
        <w:rPr>
          <w:sz w:val="20"/>
        </w:rPr>
        <w:t>(continued….)</w:t>
      </w:r>
    </w:p>
  </w:footnote>
  <w:footnote w:id="3">
    <w:p w:rsidR="00CE3F89" w:rsidP="00CE3F89" w14:paraId="148B0C7D" w14:textId="77777777">
      <w:pPr>
        <w:pStyle w:val="FootnoteText"/>
      </w:pPr>
      <w:r>
        <w:rPr>
          <w:rStyle w:val="FootnoteReference"/>
        </w:rPr>
        <w:footnoteRef/>
      </w:r>
      <w:r>
        <w:t xml:space="preserve"> </w:t>
      </w:r>
      <w:r w:rsidRPr="00021F2D">
        <w:t>47 U.S.C. §§ 214, 310(d)</w:t>
      </w:r>
      <w:r>
        <w:t>.</w:t>
      </w:r>
    </w:p>
  </w:footnote>
  <w:footnote w:id="4">
    <w:p w:rsidR="00CE3F89" w:rsidP="00CE3F89" w14:paraId="356AE616" w14:textId="77777777">
      <w:pPr>
        <w:pStyle w:val="FootnoteText"/>
      </w:pPr>
      <w:r>
        <w:rPr>
          <w:rStyle w:val="FootnoteReference"/>
        </w:rPr>
        <w:footnoteRef/>
      </w:r>
      <w:r>
        <w:t xml:space="preserve"> </w:t>
      </w:r>
      <w:hyperlink r:id="rId1" w:history="1">
        <w:r w:rsidRPr="00A8529B">
          <w:rPr>
            <w:rStyle w:val="Hyperlink"/>
            <w:color w:val="000000"/>
            <w:u w:val="none"/>
          </w:rPr>
          <w:t>47 U.S.C. §§ 34</w:t>
        </w:r>
      </w:hyperlink>
      <w:r w:rsidRPr="00A8529B">
        <w:rPr>
          <w:color w:val="000000"/>
        </w:rPr>
        <w:t>-</w:t>
      </w:r>
      <w:hyperlink r:id="rId2" w:history="1">
        <w:r w:rsidRPr="00A8529B">
          <w:rPr>
            <w:rStyle w:val="Hyperlink"/>
            <w:color w:val="000000"/>
            <w:u w:val="none"/>
          </w:rPr>
          <w:t>39</w:t>
        </w:r>
      </w:hyperlink>
      <w:r>
        <w:rPr>
          <w:color w:val="000000"/>
        </w:rPr>
        <w:t xml:space="preserve">; </w:t>
      </w:r>
      <w:r>
        <w:rPr>
          <w:i/>
          <w:color w:val="000000"/>
        </w:rPr>
        <w:t>s</w:t>
      </w:r>
      <w:r>
        <w:rPr>
          <w:i/>
          <w:iCs/>
          <w:color w:val="000000"/>
        </w:rPr>
        <w:t>ee also</w:t>
      </w:r>
      <w:r>
        <w:rPr>
          <w:color w:val="000000"/>
        </w:rPr>
        <w:t xml:space="preserve"> </w:t>
      </w:r>
      <w:hyperlink r:id="rId3" w:history="1">
        <w:r w:rsidRPr="00A8529B">
          <w:rPr>
            <w:rStyle w:val="Hyperlink"/>
            <w:color w:val="000000"/>
            <w:u w:val="none"/>
          </w:rPr>
          <w:t>Exec. Ord. No. 10530</w:t>
        </w:r>
      </w:hyperlink>
      <w:r>
        <w:rPr>
          <w:color w:val="000000"/>
        </w:rPr>
        <w:t xml:space="preserve">, Sec. 5(a), reprinted as amended at </w:t>
      </w:r>
      <w:hyperlink r:id="rId4" w:history="1">
        <w:r w:rsidRPr="00A8529B">
          <w:rPr>
            <w:rStyle w:val="Hyperlink"/>
            <w:color w:val="000000"/>
            <w:u w:val="none"/>
          </w:rPr>
          <w:t>3 U.S.C. § 301</w:t>
        </w:r>
      </w:hyperlink>
      <w:r>
        <w:rPr>
          <w:color w:val="000000"/>
        </w:rPr>
        <w:t xml:space="preserve"> (delegating the President’s authority under the Cable Landing License Act to the Commission).</w:t>
      </w:r>
    </w:p>
  </w:footnote>
  <w:footnote w:id="5">
    <w:p w:rsidR="00CE3F89" w:rsidRPr="00021F2D" w:rsidP="00CE3F89" w14:paraId="6109A931" w14:textId="55FDE034">
      <w:pPr>
        <w:pStyle w:val="FootnoteText"/>
      </w:pPr>
      <w:r w:rsidRPr="00021F2D">
        <w:rPr>
          <w:rStyle w:val="FootnoteReference"/>
        </w:rPr>
        <w:footnoteRef/>
      </w:r>
      <w:r w:rsidRPr="00021F2D">
        <w:t xml:space="preserve"> 47 CFR §§ </w:t>
      </w:r>
      <w:r>
        <w:t xml:space="preserve">1.767, 1.948, </w:t>
      </w:r>
      <w:r w:rsidRPr="00DE65B1">
        <w:t>25.119</w:t>
      </w:r>
      <w:r>
        <w:t xml:space="preserve">, </w:t>
      </w:r>
      <w:r w:rsidRPr="00021F2D">
        <w:t>63.03-04, 63.18, 63.24</w:t>
      </w:r>
      <w:r>
        <w:t xml:space="preserve">; </w:t>
      </w:r>
      <w:r w:rsidRPr="00E84245">
        <w:t xml:space="preserve">Joint Application </w:t>
      </w:r>
      <w:r w:rsidRPr="00E84245" w:rsidR="00125C43">
        <w:t>f</w:t>
      </w:r>
      <w:r w:rsidRPr="00E84245">
        <w:t>or Consent to Transfer Control of Domestic and International Section 214 Authorizations, WC Docket No. 21-23 (filed Jan. 21, 2021) (Lead Application).  The Commission licenses and authorizations subject to the applications are listed in Attachment A to this Public Notice and include domestic and international section 214 authorizations, wireless licenses, a non-common carrier earth station license, and submarine cable landing licenses</w:t>
      </w:r>
      <w:r w:rsidR="00F0746D">
        <w:t xml:space="preserve"> (Lead Application, together with applications listed in Attachment A, Applications)</w:t>
      </w:r>
      <w:r w:rsidRPr="00E84245">
        <w:t>.  Applicants filed supplement</w:t>
      </w:r>
      <w:r w:rsidR="005822F6">
        <w:t>s</w:t>
      </w:r>
      <w:r w:rsidRPr="00E84245">
        <w:t xml:space="preserve"> to the Lead Application on February 16, 2021</w:t>
      </w:r>
      <w:r w:rsidR="00AC4A49">
        <w:t>, March 25, 2021, April 13, 2021, and April 20, 2021</w:t>
      </w:r>
      <w:r w:rsidRPr="00E84245">
        <w:t>.  Letter from Karen Brinkmann, Counsel to Alaska Communications., and Phillip R. Marchesiello, Counsel to Project 8 Buyer, to Marlene H. Dortch, Secretary, FCC (filed Feb. 16, 2021) (on file in WC Docket No. 21-23) (</w:t>
      </w:r>
      <w:r w:rsidR="00C32E7E">
        <w:t xml:space="preserve">First </w:t>
      </w:r>
      <w:r w:rsidRPr="00E84245">
        <w:t>Supplement Letter)</w:t>
      </w:r>
      <w:r w:rsidR="001B0EE7">
        <w:t>;</w:t>
      </w:r>
      <w:r w:rsidRPr="001B0EE7" w:rsidR="001B0EE7">
        <w:t xml:space="preserve"> </w:t>
      </w:r>
      <w:r w:rsidR="001B0EE7">
        <w:t xml:space="preserve">Letter from </w:t>
      </w:r>
      <w:r w:rsidRPr="00F64895" w:rsidR="001B0EE7">
        <w:t>Richard Cameron, Counsel to Alaska Communications, to Marlene H. Dortch, Secretary, FCC, WC Docket No. 21-23 (filed Mar. 25, 2021)</w:t>
      </w:r>
      <w:r w:rsidR="001B0EE7">
        <w:t xml:space="preserve"> (Second Supplement Letter); Letter from </w:t>
      </w:r>
      <w:r w:rsidRPr="00F64895" w:rsidR="001B0EE7">
        <w:t xml:space="preserve">Richard Cameron, Counsel to Alaska Communications, to Marlene H. Dortch, Secretary, FCC, WC Docket No. 21-23 (filed </w:t>
      </w:r>
      <w:r w:rsidR="001B0EE7">
        <w:t>Ap</w:t>
      </w:r>
      <w:r w:rsidRPr="00F64895" w:rsidR="001B0EE7">
        <w:t xml:space="preserve">r. </w:t>
      </w:r>
      <w:r w:rsidR="001B0EE7">
        <w:t>13</w:t>
      </w:r>
      <w:r w:rsidRPr="00F64895" w:rsidR="001B0EE7">
        <w:t>, 2021)</w:t>
      </w:r>
      <w:r w:rsidR="001B0EE7">
        <w:t xml:space="preserve"> (Third Supplement Letter); Letter from Karen Brinkmann, Counsel to Alaska Communications., to Marlene H. Dortch, Secretary, FCC, WC Docket No. 21-23 (filed Apr. 20, 2021)</w:t>
      </w:r>
      <w:r w:rsidR="007A4136">
        <w:t xml:space="preserve"> (Fourth Supplement Letter)</w:t>
      </w:r>
      <w:r w:rsidRPr="00E84245">
        <w:t>.</w:t>
      </w:r>
      <w:r w:rsidR="00710376">
        <w:t xml:space="preserve">  </w:t>
      </w:r>
    </w:p>
  </w:footnote>
  <w:footnote w:id="6">
    <w:p w:rsidR="00C42DB1" w:rsidRPr="00F64895" w:rsidP="00F64895" w14:paraId="4A8ADF52" w14:textId="3386D57C">
      <w:pPr>
        <w:pStyle w:val="FootnoteText"/>
      </w:pPr>
      <w:r w:rsidRPr="00F64895">
        <w:rPr>
          <w:rStyle w:val="FootnoteReference"/>
          <w:sz w:val="20"/>
        </w:rPr>
        <w:footnoteRef/>
      </w:r>
      <w:r w:rsidRPr="00F64895">
        <w:t xml:space="preserve"> </w:t>
      </w:r>
      <w:r w:rsidRPr="00F64895" w:rsidR="00F64895">
        <w:t>Alaska Communications, through counsel, made subsequent filing</w:t>
      </w:r>
      <w:r w:rsidR="00FB04FE">
        <w:t>s</w:t>
      </w:r>
      <w:r w:rsidRPr="00F64895" w:rsidR="00F64895">
        <w:t xml:space="preserve"> pointing out that </w:t>
      </w:r>
      <w:r w:rsidR="00F64895">
        <w:t>the</w:t>
      </w:r>
      <w:r w:rsidRPr="00F64895" w:rsidR="00F64895">
        <w:t xml:space="preserve"> applications to transfer</w:t>
      </w:r>
      <w:r w:rsidR="00F64895">
        <w:t xml:space="preserve"> </w:t>
      </w:r>
      <w:r w:rsidRPr="00F64895" w:rsidR="00F64895">
        <w:t xml:space="preserve">control </w:t>
      </w:r>
      <w:r w:rsidR="00F64895">
        <w:t>included</w:t>
      </w:r>
      <w:r w:rsidRPr="00F64895" w:rsidR="00F64895">
        <w:t xml:space="preserve"> </w:t>
      </w:r>
      <w:r w:rsidR="00F64895">
        <w:t>“</w:t>
      </w:r>
      <w:r w:rsidRPr="00F64895" w:rsidR="00F64895">
        <w:t>certain point-to-point microwave licenses held by ACS of Fairbanks License Sub, LLC</w:t>
      </w:r>
      <w:r w:rsidR="00F64895">
        <w:t>,” some of which</w:t>
      </w:r>
      <w:r w:rsidRPr="00F64895" w:rsidR="00F64895">
        <w:t xml:space="preserve"> </w:t>
      </w:r>
      <w:r w:rsidR="00F64895">
        <w:t>“</w:t>
      </w:r>
      <w:r w:rsidRPr="00F64895" w:rsidR="00F64895">
        <w:t>are not yet constructed, having a construction deadline of May 3, 2022.</w:t>
      </w:r>
      <w:r w:rsidR="00F64895">
        <w:t xml:space="preserve">”  </w:t>
      </w:r>
      <w:r w:rsidR="00C32E7E">
        <w:t>Second Supplement Letter</w:t>
      </w:r>
      <w:r w:rsidR="00AB2313">
        <w:t xml:space="preserve">; </w:t>
      </w:r>
      <w:r w:rsidRPr="00AB2313" w:rsidR="00AB2313">
        <w:rPr>
          <w:i/>
          <w:iCs/>
        </w:rPr>
        <w:t>see also</w:t>
      </w:r>
      <w:r w:rsidR="00AB2313">
        <w:t xml:space="preserve"> Third Supplement Letter</w:t>
      </w:r>
      <w:r w:rsidRPr="00F64895" w:rsidR="00F64895">
        <w:t>.  Th</w:t>
      </w:r>
      <w:r w:rsidR="00C32E7E">
        <w:t>e Second</w:t>
      </w:r>
      <w:r w:rsidRPr="00F64895" w:rsidR="00F64895">
        <w:t xml:space="preserve"> </w:t>
      </w:r>
      <w:r w:rsidR="00D14AE4">
        <w:t xml:space="preserve">and Third </w:t>
      </w:r>
      <w:r w:rsidR="00C32E7E">
        <w:t>S</w:t>
      </w:r>
      <w:r w:rsidRPr="00F64895" w:rsidR="00F64895">
        <w:t>upplement</w:t>
      </w:r>
      <w:r w:rsidR="00C32E7E">
        <w:t xml:space="preserve"> Letter</w:t>
      </w:r>
      <w:r w:rsidR="00D14AE4">
        <w:t>s</w:t>
      </w:r>
      <w:r w:rsidRPr="00F64895" w:rsidR="00F64895">
        <w:t xml:space="preserve"> included affidavit</w:t>
      </w:r>
      <w:r w:rsidR="001F6C5F">
        <w:t>s</w:t>
      </w:r>
      <w:r w:rsidRPr="00F64895" w:rsidR="00F64895">
        <w:t xml:space="preserve"> making the showing required by section 101.55(c) of the Commission’s rules “</w:t>
      </w:r>
      <w:r w:rsidRPr="00F64895" w:rsidR="00F64895">
        <w:rPr>
          <w:color w:val="000000"/>
          <w:shd w:val="clear" w:color="auto" w:fill="FFFFFF"/>
        </w:rPr>
        <w:t>to demonstrate that the proposed assignor or transferor has not acquired an authorization or operated a station for the principal purpose of profitable sale rather than public service.”</w:t>
      </w:r>
      <w:r w:rsidR="005247D1">
        <w:rPr>
          <w:color w:val="000000"/>
          <w:shd w:val="clear" w:color="auto" w:fill="FFFFFF"/>
        </w:rPr>
        <w:t xml:space="preserve">  47 CFR </w:t>
      </w:r>
      <w:r w:rsidRPr="00021F2D" w:rsidR="005247D1">
        <w:t>§</w:t>
      </w:r>
      <w:r w:rsidR="005247D1">
        <w:t xml:space="preserve"> 101.55(c).</w:t>
      </w:r>
    </w:p>
  </w:footnote>
  <w:footnote w:id="7">
    <w:p w:rsidR="003E6C2F" w:rsidRPr="00854AA8" w:rsidP="00167821" w14:paraId="4CA62401" w14:textId="2F62940F">
      <w:pPr>
        <w:pStyle w:val="FootnoteText"/>
        <w:rPr>
          <w:i/>
          <w:iCs/>
        </w:rPr>
      </w:pPr>
      <w:r w:rsidRPr="00FD403E">
        <w:rPr>
          <w:rStyle w:val="FootnoteReference"/>
          <w:sz w:val="20"/>
        </w:rPr>
        <w:footnoteRef/>
      </w:r>
      <w:r w:rsidRPr="00FD403E">
        <w:t xml:space="preserve"> </w:t>
      </w:r>
      <w:r w:rsidRPr="00854AA8" w:rsidR="00854AA8">
        <w:rPr>
          <w:i/>
          <w:iCs/>
        </w:rPr>
        <w:t>Applications Filed for the Transfer of Control of Alaska Communications Systems Group, Inc. to Project 8 Buyer, LLC; Pleading Cycle Established</w:t>
      </w:r>
      <w:r w:rsidRPr="00854AA8">
        <w:t>, WC Docket No. 2</w:t>
      </w:r>
      <w:r w:rsidR="00854AA8">
        <w:t>1-23</w:t>
      </w:r>
      <w:r w:rsidRPr="00854AA8">
        <w:t>, Public Notice, DA 2</w:t>
      </w:r>
      <w:r w:rsidR="009B0EA7">
        <w:t>1</w:t>
      </w:r>
      <w:r w:rsidRPr="00854AA8">
        <w:t>-</w:t>
      </w:r>
      <w:r w:rsidRPr="00854AA8" w:rsidR="00574505">
        <w:t>1</w:t>
      </w:r>
      <w:r w:rsidR="009B0EA7">
        <w:t>78</w:t>
      </w:r>
      <w:r w:rsidRPr="00854AA8">
        <w:t xml:space="preserve"> (</w:t>
      </w:r>
      <w:r w:rsidR="005E6FBC">
        <w:t>WCB/</w:t>
      </w:r>
      <w:r w:rsidR="009B0EA7">
        <w:t>I</w:t>
      </w:r>
      <w:r w:rsidRPr="00854AA8">
        <w:t>B</w:t>
      </w:r>
      <w:r w:rsidR="005E6FBC">
        <w:t>/WTB</w:t>
      </w:r>
      <w:r w:rsidRPr="00854AA8">
        <w:t xml:space="preserve"> </w:t>
      </w:r>
      <w:r w:rsidR="005E6FBC">
        <w:t xml:space="preserve">rel. Feb. 16, </w:t>
      </w:r>
      <w:r w:rsidRPr="00854AA8">
        <w:t>202</w:t>
      </w:r>
      <w:r w:rsidR="009B0EA7">
        <w:t>1</w:t>
      </w:r>
      <w:r w:rsidRPr="00854AA8">
        <w:t>).</w:t>
      </w:r>
      <w:r w:rsidR="00C42502">
        <w:t xml:space="preserve"> </w:t>
      </w:r>
      <w:r w:rsidR="004F5427">
        <w:t xml:space="preserve"> In a subsequent amendment filed on </w:t>
      </w:r>
      <w:r w:rsidR="00EF0DFE">
        <w:t>July 1, 2021</w:t>
      </w:r>
      <w:r w:rsidR="004F5427">
        <w:t>, the Applicants withdrew their request for a waiver of section 96.31 of the Commission’s rules t</w:t>
      </w:r>
      <w:r w:rsidR="008E64EE">
        <w:t>o</w:t>
      </w:r>
      <w:r w:rsidR="004F5427">
        <w:t xml:space="preserve"> allow ATN to control 50 megahertz of Priority Access Licenses </w:t>
      </w:r>
      <w:r w:rsidR="009A2DE1">
        <w:t xml:space="preserve">(PALs) </w:t>
      </w:r>
      <w:r w:rsidR="004F5427">
        <w:t>for a temporary period to provide ATN with an opportunity to sell a 10 megahertz PAL in the Kenai Peninsula Borough to bring it into compliance with the 40 megahertz aggregation limit set forth in the Commission’s rules.</w:t>
      </w:r>
      <w:r w:rsidR="00761975">
        <w:t xml:space="preserve">  </w:t>
      </w:r>
      <w:r w:rsidRPr="00761975" w:rsidR="00761975">
        <w:rPr>
          <w:i/>
          <w:iCs/>
        </w:rPr>
        <w:t>See</w:t>
      </w:r>
      <w:r w:rsidR="00761975">
        <w:t xml:space="preserve"> </w:t>
      </w:r>
      <w:r w:rsidR="00131EFA">
        <w:t>Amendment/Supplement to Joint Applications for Transfer of Control of the Operating Subsidiaries of Alaska Communications Systems Group, Inc., WC Docket No. 21-23</w:t>
      </w:r>
      <w:r w:rsidR="00761975">
        <w:t>.</w:t>
      </w:r>
      <w:r w:rsidR="00AA26B9">
        <w:t xml:space="preserve">  Instead, the Applicants filed the same waiver request as an amendment to SAL Spectrum’s </w:t>
      </w:r>
      <w:r w:rsidR="009A2DE1">
        <w:t xml:space="preserve">(an affiliate of ATN) </w:t>
      </w:r>
      <w:r w:rsidR="00AA26B9">
        <w:t xml:space="preserve">pending Auction 105 long-form application.  </w:t>
      </w:r>
      <w:r w:rsidR="00AA26B9">
        <w:rPr>
          <w:i/>
          <w:iCs/>
        </w:rPr>
        <w:t>See</w:t>
      </w:r>
      <w:r w:rsidRPr="005A2ABB" w:rsidR="00AA26B9">
        <w:t xml:space="preserve"> </w:t>
      </w:r>
      <w:r w:rsidR="00AA26B9">
        <w:t xml:space="preserve">Amended Application of SAL Spectrum, LLC for 3.5 GHz Priority Access Licenses, Form 601, </w:t>
      </w:r>
      <w:r w:rsidRPr="00824C94" w:rsidR="00AA26B9">
        <w:t>ULS File No. 000</w:t>
      </w:r>
      <w:r w:rsidR="00AA26B9">
        <w:t>9223630</w:t>
      </w:r>
      <w:r w:rsidRPr="00824C94" w:rsidR="00AA26B9">
        <w:t xml:space="preserve"> </w:t>
      </w:r>
      <w:r w:rsidR="00AA26B9">
        <w:t xml:space="preserve">(filed </w:t>
      </w:r>
      <w:r w:rsidR="000F275B">
        <w:t>July 13, 2021</w:t>
      </w:r>
      <w:r w:rsidR="00AA26B9">
        <w:t xml:space="preserve">). </w:t>
      </w:r>
    </w:p>
  </w:footnote>
  <w:footnote w:id="8">
    <w:p w:rsidR="00565ACA" w:rsidRPr="00E62E8C" w:rsidP="00565ACA" w14:paraId="51071146" w14:textId="77777777">
      <w:pPr>
        <w:pStyle w:val="FootnoteText"/>
      </w:pPr>
      <w:r w:rsidRPr="00E62E8C">
        <w:rPr>
          <w:rStyle w:val="FootnoteReference"/>
        </w:rPr>
        <w:footnoteRef/>
      </w:r>
      <w:r w:rsidRPr="00E62E8C">
        <w:t xml:space="preserve"> </w:t>
      </w:r>
      <w:bookmarkStart w:id="0" w:name="_Hlk62745485"/>
      <w:r w:rsidRPr="00E62E8C">
        <w:t>Lead Application</w:t>
      </w:r>
      <w:r>
        <w:t>,</w:t>
      </w:r>
      <w:r w:rsidRPr="00E62E8C">
        <w:t xml:space="preserve"> </w:t>
      </w:r>
      <w:r w:rsidRPr="00E62E8C">
        <w:t>Exh</w:t>
      </w:r>
      <w:r>
        <w:t>.</w:t>
      </w:r>
      <w:r w:rsidRPr="00E62E8C">
        <w:t xml:space="preserve"> 1</w:t>
      </w:r>
      <w:r>
        <w:t xml:space="preserve"> </w:t>
      </w:r>
      <w:r w:rsidRPr="00E62E8C">
        <w:t>(Description of the Parties</w:t>
      </w:r>
      <w:r>
        <w:t>, Description of the Transaction, Public Interest Statement, Administrative Matters</w:t>
      </w:r>
      <w:r w:rsidRPr="00E62E8C">
        <w:t xml:space="preserve">) at </w:t>
      </w:r>
      <w:r>
        <w:t>19</w:t>
      </w:r>
      <w:r w:rsidRPr="00E62E8C">
        <w:t>.</w:t>
      </w:r>
      <w:bookmarkEnd w:id="0"/>
    </w:p>
  </w:footnote>
  <w:footnote w:id="9">
    <w:p w:rsidR="001933C9" w:rsidRPr="00ED1577" w:rsidP="001933C9" w14:paraId="40869E87" w14:textId="77777777">
      <w:pPr>
        <w:pStyle w:val="FootnoteText"/>
      </w:pPr>
      <w:r w:rsidRPr="00ED1577">
        <w:rPr>
          <w:rStyle w:val="FootnoteReference"/>
        </w:rPr>
        <w:footnoteRef/>
      </w:r>
      <w:r w:rsidRPr="00ED1577">
        <w:t xml:space="preserve"> </w:t>
      </w:r>
      <w:bookmarkStart w:id="1" w:name="_Hlk62578251"/>
      <w:r w:rsidRPr="00ED1577">
        <w:rPr>
          <w:i/>
          <w:iCs/>
        </w:rPr>
        <w:t>Id.</w:t>
      </w:r>
      <w:r>
        <w:t>,</w:t>
      </w:r>
      <w:r w:rsidRPr="00ED1577">
        <w:t xml:space="preserve"> </w:t>
      </w:r>
      <w:r w:rsidRPr="00ED1577">
        <w:t>Exh</w:t>
      </w:r>
      <w:r w:rsidRPr="00ED1577">
        <w:t xml:space="preserve">. 1 at </w:t>
      </w:r>
      <w:r>
        <w:t>19</w:t>
      </w:r>
      <w:r w:rsidRPr="00ED1577">
        <w:t>-</w:t>
      </w:r>
      <w:r>
        <w:t>21</w:t>
      </w:r>
      <w:r w:rsidRPr="00ED1577">
        <w:t>.</w:t>
      </w:r>
      <w:bookmarkEnd w:id="1"/>
    </w:p>
  </w:footnote>
  <w:footnote w:id="10">
    <w:p w:rsidR="001933C9" w:rsidRPr="00CE3E63" w:rsidP="001933C9" w14:paraId="077C7710" w14:textId="77777777">
      <w:pPr>
        <w:pStyle w:val="FootnoteText"/>
      </w:pPr>
      <w:r w:rsidRPr="00404CBF">
        <w:rPr>
          <w:rStyle w:val="FootnoteReference"/>
        </w:rPr>
        <w:footnoteRef/>
      </w:r>
      <w:r w:rsidRPr="00404CBF">
        <w:t xml:space="preserve"> </w:t>
      </w:r>
      <w:bookmarkStart w:id="2" w:name="_Hlk41917768"/>
      <w:r w:rsidRPr="001F15D2">
        <w:rPr>
          <w:i/>
        </w:rPr>
        <w:t>Id</w:t>
      </w:r>
      <w:r>
        <w:t xml:space="preserve">., </w:t>
      </w:r>
      <w:r>
        <w:t>Exh</w:t>
      </w:r>
      <w:r>
        <w:t>. 1 at 20.</w:t>
      </w:r>
      <w:bookmarkEnd w:id="2"/>
    </w:p>
  </w:footnote>
  <w:footnote w:id="11">
    <w:p w:rsidR="001933C9" w:rsidRPr="00C61DDE" w:rsidP="001933C9" w14:paraId="4CF0685E" w14:textId="77777777">
      <w:pPr>
        <w:pStyle w:val="FootnoteText"/>
      </w:pPr>
      <w:r w:rsidRPr="00C61DDE">
        <w:rPr>
          <w:rStyle w:val="FootnoteReference"/>
        </w:rPr>
        <w:footnoteRef/>
      </w:r>
      <w:r w:rsidRPr="00C61DDE">
        <w:t xml:space="preserve"> </w:t>
      </w:r>
      <w:r w:rsidRPr="00C61DDE">
        <w:rPr>
          <w:i/>
          <w:iCs/>
        </w:rPr>
        <w:t>Id.</w:t>
      </w:r>
      <w:r>
        <w:t>,</w:t>
      </w:r>
      <w:r w:rsidRPr="00C61DDE">
        <w:t xml:space="preserve"> </w:t>
      </w:r>
      <w:r>
        <w:t>Exh</w:t>
      </w:r>
      <w:r>
        <w:t>. 1 at 20-21</w:t>
      </w:r>
      <w:r w:rsidRPr="00C61DDE">
        <w:t>.</w:t>
      </w:r>
    </w:p>
  </w:footnote>
  <w:footnote w:id="12">
    <w:p w:rsidR="001933C9" w:rsidRPr="00AF3AE2" w:rsidP="001933C9" w14:paraId="3DE0C9E5" w14:textId="77777777">
      <w:pPr>
        <w:pStyle w:val="FootnoteText"/>
      </w:pPr>
      <w:r>
        <w:rPr>
          <w:rStyle w:val="FootnoteReference"/>
        </w:rPr>
        <w:footnoteRef/>
      </w:r>
      <w:r>
        <w:t xml:space="preserve"> </w:t>
      </w:r>
      <w:r w:rsidRPr="000C6CB2">
        <w:rPr>
          <w:i/>
          <w:iCs/>
        </w:rPr>
        <w:t>Id.</w:t>
      </w:r>
      <w:r>
        <w:t>,</w:t>
      </w:r>
      <w:r w:rsidRPr="00C61DDE">
        <w:t xml:space="preserve"> </w:t>
      </w:r>
      <w:r>
        <w:t>Exh</w:t>
      </w:r>
      <w:r>
        <w:t>. 1 at 21</w:t>
      </w:r>
      <w:r w:rsidRPr="00C61DDE">
        <w:t>.</w:t>
      </w:r>
      <w:r>
        <w:t xml:space="preserve">  </w:t>
      </w:r>
      <w:r w:rsidRPr="00AF3AE2">
        <w:t xml:space="preserve">Alaska Communications does not provide mobile wireless services to the public, and, through its </w:t>
      </w:r>
      <w:r>
        <w:t xml:space="preserve">operating </w:t>
      </w:r>
      <w:r w:rsidRPr="00AF3AE2">
        <w:t xml:space="preserve">subsidiaries, has fixed wireless services licenses used to complete the provision of local exchange, interexchange, and broadband services, particularly in rural and remote areas.  </w:t>
      </w:r>
      <w:r w:rsidRPr="00AF3AE2">
        <w:rPr>
          <w:i/>
          <w:iCs/>
        </w:rPr>
        <w:t>Id</w:t>
      </w:r>
      <w:r w:rsidRPr="00AF3AE2">
        <w:t>.</w:t>
      </w:r>
    </w:p>
  </w:footnote>
  <w:footnote w:id="13">
    <w:p w:rsidR="001933C9" w:rsidRPr="00D1496E" w:rsidP="001933C9" w14:paraId="73AE37AC" w14:textId="7897A167">
      <w:pPr>
        <w:spacing w:after="120"/>
        <w:rPr>
          <w:color w:val="000000"/>
          <w:szCs w:val="22"/>
        </w:rPr>
      </w:pPr>
      <w:r w:rsidRPr="00AF3AE2">
        <w:rPr>
          <w:rStyle w:val="FootnoteReference"/>
          <w:sz w:val="20"/>
        </w:rPr>
        <w:footnoteRef/>
      </w:r>
      <w:r w:rsidRPr="00AF3AE2">
        <w:rPr>
          <w:sz w:val="20"/>
        </w:rPr>
        <w:t xml:space="preserve"> </w:t>
      </w:r>
      <w:r w:rsidRPr="00AF3AE2">
        <w:rPr>
          <w:i/>
          <w:iCs/>
          <w:sz w:val="20"/>
        </w:rPr>
        <w:t>Id</w:t>
      </w:r>
      <w:r w:rsidRPr="0081046F">
        <w:rPr>
          <w:i/>
          <w:iCs/>
          <w:sz w:val="20"/>
        </w:rPr>
        <w:t>.</w:t>
      </w:r>
      <w:r>
        <w:rPr>
          <w:sz w:val="20"/>
        </w:rPr>
        <w:t xml:space="preserve"> </w:t>
      </w:r>
      <w:r w:rsidRPr="00D1496E">
        <w:rPr>
          <w:sz w:val="20"/>
        </w:rPr>
        <w:t xml:space="preserve">ACS </w:t>
      </w:r>
      <w:r w:rsidR="00540ECE">
        <w:rPr>
          <w:sz w:val="20"/>
        </w:rPr>
        <w:t>Cable Systems</w:t>
      </w:r>
      <w:r w:rsidRPr="00D1496E">
        <w:rPr>
          <w:sz w:val="20"/>
        </w:rPr>
        <w:t xml:space="preserve">, LLC is the licensee for the AKORN system, </w:t>
      </w:r>
      <w:r w:rsidRPr="00D1496E">
        <w:rPr>
          <w:color w:val="000000"/>
          <w:sz w:val="20"/>
        </w:rPr>
        <w:t>SCL-LIC-20071025-00018, and NorthStar License Corpora</w:t>
      </w:r>
      <w:r>
        <w:rPr>
          <w:color w:val="000000"/>
          <w:sz w:val="20"/>
        </w:rPr>
        <w:t>t</w:t>
      </w:r>
      <w:r w:rsidRPr="00D1496E">
        <w:rPr>
          <w:color w:val="000000"/>
          <w:sz w:val="20"/>
        </w:rPr>
        <w:t xml:space="preserve">ion is the licensee for the NorthStar system, SCL-LIC-19940617-00002, </w:t>
      </w:r>
      <w:r w:rsidRPr="005225E9">
        <w:rPr>
          <w:color w:val="000000"/>
          <w:sz w:val="20"/>
        </w:rPr>
        <w:t xml:space="preserve">SCL-MOD-20020725-00090, </w:t>
      </w:r>
      <w:r w:rsidRPr="00D1496E">
        <w:rPr>
          <w:color w:val="000000"/>
          <w:sz w:val="20"/>
        </w:rPr>
        <w:t>SCL-LIC-19960308-0000</w:t>
      </w:r>
      <w:r w:rsidR="003F240E">
        <w:rPr>
          <w:color w:val="000000"/>
          <w:sz w:val="20"/>
        </w:rPr>
        <w:t>1</w:t>
      </w:r>
      <w:r w:rsidRPr="00D1496E">
        <w:rPr>
          <w:color w:val="000000"/>
          <w:sz w:val="20"/>
        </w:rPr>
        <w:t xml:space="preserve">, </w:t>
      </w:r>
      <w:r>
        <w:rPr>
          <w:color w:val="000000"/>
          <w:sz w:val="20"/>
        </w:rPr>
        <w:t xml:space="preserve">and </w:t>
      </w:r>
      <w:r w:rsidRPr="00D1496E">
        <w:rPr>
          <w:sz w:val="20"/>
        </w:rPr>
        <w:t>SCL-MOD-20020725-00091.</w:t>
      </w:r>
    </w:p>
  </w:footnote>
  <w:footnote w:id="14">
    <w:p w:rsidR="001933C9" w:rsidRPr="00AF3AE2" w:rsidP="001933C9" w14:paraId="7D9AA762" w14:textId="77777777">
      <w:pPr>
        <w:pStyle w:val="FootnoteText"/>
      </w:pPr>
      <w:r w:rsidRPr="00AF3AE2">
        <w:rPr>
          <w:rStyle w:val="FootnoteReference"/>
        </w:rPr>
        <w:footnoteRef/>
      </w:r>
      <w:r w:rsidRPr="00AF3AE2">
        <w:t xml:space="preserve"> </w:t>
      </w:r>
      <w:r w:rsidRPr="00A44A76">
        <w:rPr>
          <w:i/>
          <w:iCs/>
        </w:rPr>
        <w:t>Id.</w:t>
      </w:r>
      <w:r>
        <w:t>,</w:t>
      </w:r>
      <w:r w:rsidRPr="00A44A76">
        <w:t xml:space="preserve"> </w:t>
      </w:r>
      <w:r w:rsidRPr="00724D02">
        <w:t>Exh</w:t>
      </w:r>
      <w:r w:rsidRPr="00724D02">
        <w:t>. 1 at 2</w:t>
      </w:r>
      <w:r w:rsidRPr="0055368C">
        <w:t xml:space="preserve">2.  The affiliates of ATN provide wholesale wireless or fixed wireless consumer broadband services in the U.S. Virgin Islands, Arizona, California, Colorado, Montana, Nevada, New Mexico, Texas, Utah, and Wyoming, and incumbent LEC and other telecommunications services in the U.S. Virgin Islands.  </w:t>
      </w:r>
      <w:r w:rsidRPr="0055368C">
        <w:rPr>
          <w:i/>
          <w:iCs/>
        </w:rPr>
        <w:t>Id</w:t>
      </w:r>
      <w:r w:rsidRPr="0055368C">
        <w:t xml:space="preserve">. at 12.  Freedom does not provide telecommunications services.  </w:t>
      </w:r>
      <w:r w:rsidRPr="0055368C">
        <w:rPr>
          <w:i/>
          <w:iCs/>
        </w:rPr>
        <w:t>Id</w:t>
      </w:r>
      <w:r w:rsidRPr="0055368C">
        <w:t>. at 12-13.</w:t>
      </w:r>
    </w:p>
  </w:footnote>
  <w:footnote w:id="15">
    <w:p w:rsidR="001933C9" w:rsidRPr="00F0746D" w:rsidP="001933C9" w14:paraId="31145C01" w14:textId="5B515789">
      <w:pPr>
        <w:pStyle w:val="FootnoteText"/>
      </w:pPr>
      <w:r w:rsidRPr="00AF3AE2">
        <w:rPr>
          <w:rStyle w:val="FootnoteReference"/>
        </w:rPr>
        <w:footnoteRef/>
      </w:r>
      <w:r w:rsidRPr="00AF3AE2">
        <w:t xml:space="preserve"> </w:t>
      </w:r>
      <w:r w:rsidRPr="00A44A76">
        <w:rPr>
          <w:i/>
          <w:iCs/>
        </w:rPr>
        <w:t>Id.</w:t>
      </w:r>
      <w:r w:rsidR="00F0746D">
        <w:t xml:space="preserve">, </w:t>
      </w:r>
      <w:r w:rsidR="00F0746D">
        <w:t>Exh</w:t>
      </w:r>
      <w:r w:rsidR="00F0746D">
        <w:t>. 1 at 12-13.</w:t>
      </w:r>
    </w:p>
  </w:footnote>
  <w:footnote w:id="16">
    <w:p w:rsidR="001933C9" w:rsidRPr="000C6CB2" w:rsidP="001933C9" w14:paraId="751A6083" w14:textId="77777777">
      <w:pPr>
        <w:pStyle w:val="FootnoteText"/>
      </w:pPr>
      <w:r w:rsidRPr="000C6CB2">
        <w:rPr>
          <w:rStyle w:val="FootnoteReference"/>
        </w:rPr>
        <w:footnoteRef/>
      </w:r>
      <w:r w:rsidRPr="000C6CB2">
        <w:t xml:space="preserve"> </w:t>
      </w:r>
      <w:r w:rsidRPr="000C6CB2">
        <w:rPr>
          <w:i/>
          <w:iCs/>
        </w:rPr>
        <w:t>Id.</w:t>
      </w:r>
      <w:r>
        <w:t>,</w:t>
      </w:r>
      <w:r w:rsidRPr="000C6CB2">
        <w:t xml:space="preserve"> </w:t>
      </w:r>
      <w:r>
        <w:t>Exh</w:t>
      </w:r>
      <w:r>
        <w:t>. 1 at 22</w:t>
      </w:r>
      <w:r w:rsidRPr="000C6CB2">
        <w:t>.</w:t>
      </w:r>
    </w:p>
  </w:footnote>
  <w:footnote w:id="17">
    <w:p w:rsidR="001933C9" w:rsidRPr="00705358" w:rsidP="001933C9" w14:paraId="0FF56CBE" w14:textId="6E136711">
      <w:pPr>
        <w:pStyle w:val="FootnoteText"/>
      </w:pPr>
      <w:r w:rsidRPr="00DF6624">
        <w:rPr>
          <w:rStyle w:val="FootnoteReference"/>
        </w:rPr>
        <w:footnoteRef/>
      </w:r>
      <w:r w:rsidRPr="00DF6624">
        <w:t xml:space="preserve"> </w:t>
      </w:r>
      <w:r w:rsidRPr="00DF6624">
        <w:rPr>
          <w:i/>
          <w:iCs/>
        </w:rPr>
        <w:t>Id.</w:t>
      </w:r>
      <w:r w:rsidRPr="00DF6624">
        <w:t xml:space="preserve">, </w:t>
      </w:r>
      <w:r w:rsidRPr="00DF6624">
        <w:t>Exh</w:t>
      </w:r>
      <w:r w:rsidRPr="00DF6624">
        <w:t>. 1 at 23.  BlackRock Fund Advisors is a subsidiary of BlackRock, Inc. (BlackRock), a publicly traded Delaware corporation.  BlackRock is an investment entity and neither it nor its subsidiaries have the power to manage, operate, or control ATN and they do not have the power to individually elect members of the Board of ATN.</w:t>
      </w:r>
      <w:r>
        <w:t xml:space="preserve">  The majority of BlackRock’s board members are U.S. citizens.  </w:t>
      </w:r>
      <w:r w:rsidR="00286D4F">
        <w:t xml:space="preserve">First </w:t>
      </w:r>
      <w:r>
        <w:t xml:space="preserve">Supplement Letter at 1-3.  Applicants list telecommunications entities in which they state that BlackRock has reported an ownership </w:t>
      </w:r>
      <w:r w:rsidRPr="0051796A">
        <w:t>interest of less than 17%, including several competitive telecommunications entities serving Alaska.</w:t>
      </w:r>
      <w:r w:rsidRPr="0031734D">
        <w:t xml:space="preserve">  </w:t>
      </w:r>
      <w:r w:rsidRPr="00705358">
        <w:rPr>
          <w:i/>
          <w:iCs/>
        </w:rPr>
        <w:t>Id</w:t>
      </w:r>
      <w:r w:rsidRPr="00705358">
        <w:t>. at Attach A (FCC-Regulated Businesses that List Their Principal Business as Communications or Telecommunications in Which BlackRock Qualifies as a Disclosable Interest Holder).</w:t>
      </w:r>
      <w:r w:rsidR="00F026B4">
        <w:t xml:space="preserve">  </w:t>
      </w:r>
      <w:r w:rsidRPr="000A0800" w:rsidR="000A0800">
        <w:rPr>
          <w:color w:val="000000" w:themeColor="text1"/>
        </w:rPr>
        <w:t xml:space="preserve">While BlackRock will hold an indirect minority ownership interest in Alaska Communications post-transaction, </w:t>
      </w:r>
      <w:r w:rsidRPr="0016699A" w:rsidR="000A0800">
        <w:rPr>
          <w:color w:val="000000" w:themeColor="text1"/>
        </w:rPr>
        <w:t>neither BlackRock nor the entities in which it has an ownership interest will have any control over, or ability to influence its operations or management, as confirmed by Applicants.</w:t>
      </w:r>
      <w:r w:rsidRPr="000A0800" w:rsidR="000A0800">
        <w:rPr>
          <w:color w:val="000000" w:themeColor="text1"/>
        </w:rPr>
        <w:t xml:space="preserve">  </w:t>
      </w:r>
      <w:r w:rsidR="00924D5E">
        <w:rPr>
          <w:color w:val="000000" w:themeColor="text1"/>
        </w:rPr>
        <w:t>First Supplement Letter at 4 (“</w:t>
      </w:r>
      <w:r w:rsidRPr="00B1036C" w:rsidR="00924D5E">
        <w:t>Aside from their normal-course voting rights as common stock shareholders, neither BlackRock nor the BlackRock Subsidiaries hold any additional rights to participate in the management or operations of ATN. They do not have the power to individually elect or block the election of any officer or director of ATN, and they have no control over, or involvement in, the day-to-day operations or management of the businesses of ATN and its subsidiaries.</w:t>
      </w:r>
      <w:r w:rsidR="00924D5E">
        <w:t xml:space="preserve">”).  </w:t>
      </w:r>
      <w:r w:rsidRPr="000A0800" w:rsidR="000A0800">
        <w:rPr>
          <w:color w:val="000000" w:themeColor="text1"/>
        </w:rPr>
        <w:t xml:space="preserve">As a result, there is no risk of cost shifting among affiliates that may receive high cost support under different mechanisms of fixed model-based support and cost-based support, and thus we do not find it “necessary” to apply a condition capping support.  </w:t>
      </w:r>
      <w:r w:rsidRPr="000A0800" w:rsidR="000A0800">
        <w:rPr>
          <w:i/>
          <w:iCs/>
          <w:color w:val="000000" w:themeColor="text1"/>
        </w:rPr>
        <w:t xml:space="preserve">See Joint Application of W. Mansfield Jennings Limited Partnership and </w:t>
      </w:r>
      <w:r w:rsidRPr="000A0800" w:rsidR="000A0800">
        <w:rPr>
          <w:i/>
          <w:iCs/>
          <w:color w:val="000000" w:themeColor="text1"/>
        </w:rPr>
        <w:t>Hargray</w:t>
      </w:r>
      <w:r w:rsidRPr="000A0800" w:rsidR="000A0800">
        <w:rPr>
          <w:i/>
          <w:iCs/>
          <w:color w:val="000000" w:themeColor="text1"/>
        </w:rPr>
        <w:t xml:space="preserve"> Communications Group, Inc. for Consent to the Transfer of Control of </w:t>
      </w:r>
      <w:r w:rsidRPr="000A0800" w:rsidR="000A0800">
        <w:rPr>
          <w:i/>
          <w:iCs/>
          <w:color w:val="000000" w:themeColor="text1"/>
        </w:rPr>
        <w:t>ComSouth</w:t>
      </w:r>
      <w:r w:rsidRPr="000A0800" w:rsidR="000A0800">
        <w:rPr>
          <w:i/>
          <w:iCs/>
          <w:color w:val="000000" w:themeColor="text1"/>
        </w:rPr>
        <w:t xml:space="preserve"> Corporation Pursuant to Section 214 of the Communications Act of 1934</w:t>
      </w:r>
      <w:r w:rsidRPr="000A0800" w:rsidR="000A0800">
        <w:rPr>
          <w:color w:val="000000" w:themeColor="text1"/>
        </w:rPr>
        <w:t xml:space="preserve">, WC Docket 18-52, Memorandum Opinion and Order, 33 FCC Rcd 4780, 4783, 4789, para. 27, n.72 (2018); </w:t>
      </w:r>
      <w:r w:rsidRPr="000A0800" w:rsidR="000A0800">
        <w:rPr>
          <w:i/>
          <w:iCs/>
          <w:color w:val="000000" w:themeColor="text1"/>
        </w:rPr>
        <w:t>Domestic Section 214 Application for the Transfer of Control of Lavaca Telephone Company, Inc. to Dobson Technologies Inc</w:t>
      </w:r>
      <w:r w:rsidRPr="000A0800" w:rsidR="000A0800">
        <w:rPr>
          <w:color w:val="000000" w:themeColor="text1"/>
        </w:rPr>
        <w:t>., WC Docket No. 20-389, Order on Reconsideration, FCC 21-63, para. 14 (2021).</w:t>
      </w:r>
    </w:p>
  </w:footnote>
  <w:footnote w:id="18">
    <w:p w:rsidR="001933C9" w:rsidRPr="00705358" w:rsidP="001933C9" w14:paraId="55595EE8" w14:textId="77777777">
      <w:pPr>
        <w:pStyle w:val="FootnoteText"/>
      </w:pPr>
      <w:r w:rsidRPr="00705358">
        <w:rPr>
          <w:rStyle w:val="FootnoteReference"/>
        </w:rPr>
        <w:footnoteRef/>
      </w:r>
      <w:r w:rsidRPr="00705358">
        <w:t xml:space="preserve"> </w:t>
      </w:r>
      <w:bookmarkStart w:id="3" w:name="_Hlk62747506"/>
      <w:r w:rsidRPr="00705358">
        <w:t>Lead Application</w:t>
      </w:r>
      <w:r w:rsidRPr="0051796A">
        <w:rPr>
          <w:i/>
          <w:iCs/>
        </w:rPr>
        <w:t>.</w:t>
      </w:r>
      <w:r w:rsidRPr="0051796A">
        <w:t>,</w:t>
      </w:r>
      <w:bookmarkStart w:id="4" w:name="_Hlk63155887"/>
      <w:r w:rsidRPr="0031734D">
        <w:t xml:space="preserve"> </w:t>
      </w:r>
      <w:r w:rsidRPr="00705358">
        <w:t>Exh</w:t>
      </w:r>
      <w:r w:rsidRPr="00705358">
        <w:t>. 1 at 22.</w:t>
      </w:r>
      <w:bookmarkEnd w:id="3"/>
      <w:bookmarkEnd w:id="4"/>
    </w:p>
  </w:footnote>
  <w:footnote w:id="19">
    <w:p w:rsidR="001933C9" w:rsidRPr="00D639C1" w:rsidP="001933C9" w14:paraId="609AD8B9" w14:textId="77777777">
      <w:pPr>
        <w:pStyle w:val="FootnoteText"/>
      </w:pPr>
      <w:r w:rsidRPr="0051796A">
        <w:rPr>
          <w:rStyle w:val="FootnoteReference"/>
        </w:rPr>
        <w:footnoteRef/>
      </w:r>
      <w:r w:rsidRPr="0051796A">
        <w:t xml:space="preserve"> </w:t>
      </w:r>
      <w:r w:rsidRPr="0051796A">
        <w:rPr>
          <w:i/>
          <w:iCs/>
        </w:rPr>
        <w:t>Id.</w:t>
      </w:r>
      <w:r w:rsidRPr="0051796A">
        <w:t>,</w:t>
      </w:r>
      <w:r w:rsidRPr="0031734D">
        <w:t xml:space="preserve"> </w:t>
      </w:r>
      <w:r w:rsidRPr="00705358">
        <w:t>Exh</w:t>
      </w:r>
      <w:r w:rsidRPr="00705358">
        <w:t>. 1 at 4-9, 24 and Attach B (Pre- and Post-Consummation</w:t>
      </w:r>
      <w:r>
        <w:t xml:space="preserve"> Organization Diagrams for Alaska Communications Systems Group, Inc.).  </w:t>
      </w:r>
      <w:r w:rsidRPr="00FD32FC">
        <w:t xml:space="preserve">Jason Block, Erik Glover, and Daniel </w:t>
      </w:r>
      <w:r w:rsidRPr="00FD32FC">
        <w:t>Tamkin</w:t>
      </w:r>
      <w:r>
        <w:t xml:space="preserve"> hold their interest in Freedom through Freedom 3 Capital, LLC, a Delaware entity, and Jason Block and Daniel </w:t>
      </w:r>
      <w:r>
        <w:t>Tamkin</w:t>
      </w:r>
      <w:r>
        <w:t xml:space="preserve"> also hold their interest in Freedom through Freedom 3 GP IV, LLC (Freedom 3 GP), a Delaware entity.  </w:t>
      </w:r>
      <w:r>
        <w:rPr>
          <w:i/>
          <w:iCs/>
        </w:rPr>
        <w:t>Id</w:t>
      </w:r>
      <w:r>
        <w:t xml:space="preserve">., </w:t>
      </w:r>
      <w:r>
        <w:t>Exh</w:t>
      </w:r>
      <w:r>
        <w:t>. 1 at</w:t>
      </w:r>
      <w:r>
        <w:rPr>
          <w:i/>
          <w:iCs/>
        </w:rPr>
        <w:t xml:space="preserve"> </w:t>
      </w:r>
      <w:r>
        <w:t xml:space="preserve">Attach. B(3) (Post Consummation Ownership Diagram; Freedom) at 47-48.  Applicants state that there are passive investor members of Freedom 3 GP, which are all U.S. citizens or U.S. entities, and are not involved in the management or operation of Freedom 3 GP.  </w:t>
      </w:r>
      <w:r>
        <w:rPr>
          <w:i/>
          <w:iCs/>
        </w:rPr>
        <w:t>Id</w:t>
      </w:r>
      <w:r>
        <w:t xml:space="preserve">., </w:t>
      </w:r>
      <w:r>
        <w:t>Exh</w:t>
      </w:r>
      <w:r>
        <w:t>. 1 at n.15 and Attach. B(3) at 48.</w:t>
      </w:r>
    </w:p>
  </w:footnote>
  <w:footnote w:id="20">
    <w:p w:rsidR="00F03E34" w:rsidRPr="001B5AD6" w:rsidP="00F03E34" w14:paraId="735BB3CF" w14:textId="77777777">
      <w:pPr>
        <w:pStyle w:val="FootnoteText"/>
      </w:pPr>
      <w:r w:rsidRPr="001B5AD6">
        <w:rPr>
          <w:rStyle w:val="FootnoteReference"/>
        </w:rPr>
        <w:footnoteRef/>
      </w:r>
      <w:r w:rsidRPr="001B5AD6">
        <w:t xml:space="preserve"> </w:t>
      </w:r>
      <w:r w:rsidRPr="000C6CB2">
        <w:rPr>
          <w:i/>
          <w:iCs/>
        </w:rPr>
        <w:t>Id.</w:t>
      </w:r>
      <w:r>
        <w:t>,</w:t>
      </w:r>
      <w:r w:rsidRPr="000C6CB2">
        <w:t xml:space="preserve"> </w:t>
      </w:r>
      <w:r>
        <w:t>Exh</w:t>
      </w:r>
      <w:r>
        <w:t>. 1 at 24-25.</w:t>
      </w:r>
    </w:p>
  </w:footnote>
  <w:footnote w:id="21">
    <w:p w:rsidR="00F03E34" w:rsidRPr="001B5AD6" w:rsidP="00F03E34" w14:paraId="200E05A9" w14:textId="77777777">
      <w:pPr>
        <w:pStyle w:val="FootnoteText"/>
      </w:pPr>
      <w:r w:rsidRPr="001B5AD6">
        <w:rPr>
          <w:rStyle w:val="FootnoteReference"/>
        </w:rPr>
        <w:footnoteRef/>
      </w:r>
      <w:r w:rsidRPr="001B5AD6">
        <w:t xml:space="preserve"> </w:t>
      </w:r>
      <w:r w:rsidRPr="001B5AD6">
        <w:rPr>
          <w:i/>
          <w:iCs/>
        </w:rPr>
        <w:t>Id</w:t>
      </w:r>
      <w:r>
        <w:rPr>
          <w:i/>
          <w:iCs/>
        </w:rPr>
        <w:t>.</w:t>
      </w:r>
    </w:p>
  </w:footnote>
  <w:footnote w:id="22">
    <w:p w:rsidR="00F03E34" w:rsidRPr="003D3B9E" w:rsidP="00F03E34" w14:paraId="7093A470" w14:textId="77777777">
      <w:pPr>
        <w:pStyle w:val="FootnoteText"/>
      </w:pPr>
      <w:r w:rsidRPr="003D3B9E">
        <w:rPr>
          <w:rStyle w:val="FootnoteReference"/>
        </w:rPr>
        <w:footnoteRef/>
      </w:r>
      <w:r w:rsidRPr="003D3B9E">
        <w:t xml:space="preserve"> </w:t>
      </w:r>
      <w:bookmarkStart w:id="6" w:name="_Hlk41917104"/>
      <w:r w:rsidRPr="001F15D2">
        <w:rPr>
          <w:i/>
        </w:rPr>
        <w:t>Id</w:t>
      </w:r>
      <w:r>
        <w:t xml:space="preserve">., </w:t>
      </w:r>
      <w:r>
        <w:t>Exh</w:t>
      </w:r>
      <w:r>
        <w:t xml:space="preserve">. 1 at </w:t>
      </w:r>
      <w:bookmarkEnd w:id="6"/>
      <w:r>
        <w:t>25-26.</w:t>
      </w:r>
    </w:p>
  </w:footnote>
  <w:footnote w:id="23">
    <w:p w:rsidR="00F03E34" w:rsidP="00F03E34" w14:paraId="6B184403" w14:textId="77777777">
      <w:pPr>
        <w:pStyle w:val="FootnoteText"/>
      </w:pPr>
      <w:r>
        <w:rPr>
          <w:rStyle w:val="FootnoteReference"/>
        </w:rPr>
        <w:footnoteRef/>
      </w:r>
      <w:r>
        <w:t xml:space="preserve"> </w:t>
      </w:r>
      <w:r w:rsidRPr="001F15D2">
        <w:rPr>
          <w:i/>
        </w:rPr>
        <w:t>Id</w:t>
      </w:r>
      <w:r>
        <w:t xml:space="preserve">., </w:t>
      </w:r>
      <w:r>
        <w:t>Exh</w:t>
      </w:r>
      <w:r>
        <w:t>. 1 at 27.</w:t>
      </w:r>
    </w:p>
  </w:footnote>
  <w:footnote w:id="24">
    <w:p w:rsidR="00F03E34" w:rsidP="00F03E34" w14:paraId="1CF61383" w14:textId="77777777">
      <w:pPr>
        <w:pStyle w:val="FootnoteText"/>
      </w:pPr>
      <w:r>
        <w:rPr>
          <w:rStyle w:val="FootnoteReference"/>
        </w:rPr>
        <w:footnoteRef/>
      </w:r>
      <w:r>
        <w:t xml:space="preserve"> </w:t>
      </w:r>
      <w:r w:rsidRPr="001F15D2">
        <w:rPr>
          <w:i/>
        </w:rPr>
        <w:t>Id</w:t>
      </w:r>
      <w:r>
        <w:t xml:space="preserve">., </w:t>
      </w:r>
      <w:r>
        <w:t>Exh</w:t>
      </w:r>
      <w:r>
        <w:t>. 1 at 29.</w:t>
      </w:r>
    </w:p>
  </w:footnote>
  <w:footnote w:id="25">
    <w:p w:rsidR="00F03E34" w:rsidP="00F03E34" w14:paraId="27575C23" w14:textId="77777777">
      <w:pPr>
        <w:pStyle w:val="FootnoteText"/>
      </w:pPr>
      <w:r>
        <w:rPr>
          <w:rStyle w:val="FootnoteReference"/>
        </w:rPr>
        <w:footnoteRef/>
      </w:r>
      <w:r>
        <w:t xml:space="preserve"> </w:t>
      </w:r>
      <w:bookmarkStart w:id="7" w:name="_Hlk41918418"/>
      <w:r w:rsidRPr="001F15D2">
        <w:rPr>
          <w:i/>
        </w:rPr>
        <w:t>Id</w:t>
      </w:r>
      <w:r>
        <w:t xml:space="preserve">., </w:t>
      </w:r>
      <w:r>
        <w:t>Exh</w:t>
      </w:r>
      <w:r>
        <w:t>. 1 at 30-31.</w:t>
      </w:r>
      <w:bookmarkEnd w:id="7"/>
    </w:p>
  </w:footnote>
  <w:footnote w:id="26">
    <w:p w:rsidR="00F03E34" w:rsidP="00F03E34" w14:paraId="5D76727F" w14:textId="77777777">
      <w:pPr>
        <w:pStyle w:val="FootnoteText"/>
      </w:pPr>
      <w:r>
        <w:rPr>
          <w:rStyle w:val="FootnoteReference"/>
        </w:rPr>
        <w:footnoteRef/>
      </w:r>
      <w:r>
        <w:t xml:space="preserve"> </w:t>
      </w:r>
      <w:r w:rsidRPr="001F15D2">
        <w:rPr>
          <w:i/>
        </w:rPr>
        <w:t>Id</w:t>
      </w:r>
      <w:r>
        <w:t xml:space="preserve">., </w:t>
      </w:r>
      <w:r>
        <w:t>Exh</w:t>
      </w:r>
      <w:r>
        <w:t>. 1 at 30.</w:t>
      </w:r>
    </w:p>
  </w:footnote>
  <w:footnote w:id="27">
    <w:p w:rsidR="00A51F79" w14:paraId="2A2C794C" w14:textId="2DFE16FB">
      <w:pPr>
        <w:pStyle w:val="FootnoteText"/>
      </w:pPr>
      <w:r>
        <w:rPr>
          <w:rStyle w:val="FootnoteReference"/>
        </w:rPr>
        <w:footnoteRef/>
      </w:r>
      <w:r>
        <w:t xml:space="preserve"> </w:t>
      </w:r>
      <w:r w:rsidRPr="001F15D2" w:rsidR="00B27FC8">
        <w:rPr>
          <w:i/>
        </w:rPr>
        <w:t>Id</w:t>
      </w:r>
      <w:r w:rsidR="00B27FC8">
        <w:t xml:space="preserve">., </w:t>
      </w:r>
      <w:r w:rsidR="00B27FC8">
        <w:t>Exh</w:t>
      </w:r>
      <w:r w:rsidR="00B27FC8">
        <w:t>. 1 at 11-14.</w:t>
      </w:r>
    </w:p>
  </w:footnote>
  <w:footnote w:id="28">
    <w:p w:rsidR="00C70E71" w14:paraId="1593E577" w14:textId="6FC3693E">
      <w:pPr>
        <w:pStyle w:val="FootnoteText"/>
      </w:pPr>
      <w:r>
        <w:rPr>
          <w:rStyle w:val="FootnoteReference"/>
        </w:rPr>
        <w:footnoteRef/>
      </w:r>
      <w:r>
        <w:t xml:space="preserve"> Fourth Supplement Letter at 1.</w:t>
      </w:r>
    </w:p>
  </w:footnote>
  <w:footnote w:id="29">
    <w:p w:rsidR="00B772E9" w14:paraId="1313DAA1" w14:textId="56B8C219">
      <w:pPr>
        <w:pStyle w:val="FootnoteText"/>
      </w:pPr>
      <w:r>
        <w:rPr>
          <w:rStyle w:val="FootnoteReference"/>
        </w:rPr>
        <w:footnoteRef/>
      </w:r>
      <w:r>
        <w:t xml:space="preserve"> </w:t>
      </w:r>
      <w:r w:rsidRPr="00C70E71" w:rsidR="00C70E71">
        <w:rPr>
          <w:i/>
          <w:iCs/>
        </w:rPr>
        <w:t>Id.</w:t>
      </w:r>
      <w:r w:rsidR="00AF444B">
        <w:t xml:space="preserve"> at </w:t>
      </w:r>
      <w:r w:rsidR="00F0746D">
        <w:t>2</w:t>
      </w:r>
      <w:r w:rsidR="00AF444B">
        <w:t>.</w:t>
      </w:r>
      <w:r w:rsidR="00F3258B">
        <w:t xml:space="preserve">  </w:t>
      </w:r>
    </w:p>
  </w:footnote>
  <w:footnote w:id="30">
    <w:p w:rsidR="00286D4F" w:rsidRPr="00FD403E" w:rsidP="00025045" w14:paraId="10885375" w14:textId="0771FDBA">
      <w:pPr>
        <w:pStyle w:val="xmsonormal"/>
      </w:pPr>
      <w:r w:rsidRPr="00D13895">
        <w:rPr>
          <w:rStyle w:val="FootnoteReference"/>
          <w:rFonts w:cs="Times New Roman"/>
          <w:sz w:val="20"/>
          <w:szCs w:val="20"/>
        </w:rPr>
        <w:footnoteRef/>
      </w:r>
      <w:r w:rsidRPr="00D13895">
        <w:rPr>
          <w:rFonts w:ascii="Times New Roman" w:hAnsi="Times New Roman" w:cs="Times New Roman"/>
          <w:sz w:val="20"/>
          <w:szCs w:val="20"/>
        </w:rPr>
        <w:t xml:space="preserve"> </w:t>
      </w:r>
      <w:r w:rsidRPr="00D13895">
        <w:rPr>
          <w:rFonts w:ascii="Times New Roman" w:hAnsi="Times New Roman" w:cs="Times New Roman"/>
          <w:i/>
          <w:sz w:val="20"/>
          <w:szCs w:val="20"/>
        </w:rPr>
        <w:t>See</w:t>
      </w:r>
      <w:r w:rsidRPr="00D13895">
        <w:rPr>
          <w:rFonts w:ascii="Times New Roman" w:hAnsi="Times New Roman" w:cs="Times New Roman"/>
          <w:sz w:val="20"/>
          <w:szCs w:val="20"/>
        </w:rPr>
        <w:t xml:space="preserve"> 47 U.S.C. § 214(a); 310(d); and 47 CFR § 63.03.</w:t>
      </w:r>
    </w:p>
  </w:footnote>
  <w:footnote w:id="31">
    <w:p w:rsidR="00286D4F" w14:paraId="7CEEE983" w14:textId="503B673F">
      <w:pPr>
        <w:pStyle w:val="FootnoteText"/>
      </w:pPr>
      <w:r>
        <w:rPr>
          <w:rStyle w:val="FootnoteReference"/>
        </w:rPr>
        <w:footnoteRef/>
      </w:r>
      <w:r>
        <w:t xml:space="preserve"> Lead Application, </w:t>
      </w:r>
      <w:r>
        <w:t>Exh</w:t>
      </w:r>
      <w:r>
        <w:t>. 1 at 31.</w:t>
      </w:r>
    </w:p>
  </w:footnote>
  <w:footnote w:id="32">
    <w:p w:rsidR="00142E27" w:rsidRPr="00142E27" w14:paraId="7712F81E" w14:textId="44E9075F">
      <w:pPr>
        <w:pStyle w:val="FootnoteText"/>
      </w:pPr>
      <w:r>
        <w:rPr>
          <w:rStyle w:val="FootnoteReference"/>
        </w:rPr>
        <w:footnoteRef/>
      </w:r>
      <w:r>
        <w:t xml:space="preserve"> Fourth Supplement Letter at 2-3.  </w:t>
      </w:r>
      <w:r w:rsidRPr="5BA570E1">
        <w:t>The Commission finds a claimed benefit</w:t>
      </w:r>
      <w:r w:rsidRPr="00CD0694">
        <w:t xml:space="preserve"> to be cognizable only if it is transaction-specif</w:t>
      </w:r>
      <w:r>
        <w:t>ic, is</w:t>
      </w:r>
      <w:r w:rsidRPr="00CD0694">
        <w:t xml:space="preserve"> verifiable</w:t>
      </w:r>
      <w:r>
        <w:t>, and is likely to flow through to consumers and not inure solely to the benefit of the company.</w:t>
      </w:r>
      <w:r w:rsidR="00F0746D">
        <w:t xml:space="preserve"> </w:t>
      </w:r>
      <w:r w:rsidR="005822F6">
        <w:t xml:space="preserve"> </w:t>
      </w:r>
      <w:r>
        <w:rPr>
          <w:i/>
          <w:iCs/>
        </w:rPr>
        <w:t xml:space="preserve">See </w:t>
      </w:r>
      <w:bookmarkStart w:id="8" w:name="_Hlk24021324"/>
      <w:r>
        <w:rPr>
          <w:i/>
          <w:iCs/>
        </w:rPr>
        <w:t xml:space="preserve">Applications of T-Mobile US, </w:t>
      </w:r>
      <w:r>
        <w:rPr>
          <w:i/>
          <w:iCs/>
        </w:rPr>
        <w:t>Inc.</w:t>
      </w:r>
      <w:r>
        <w:rPr>
          <w:i/>
          <w:iCs/>
        </w:rPr>
        <w:t xml:space="preserve"> and Sprint Corporation for Consent to Transfer Control of Licenses and Authorizations, et al.</w:t>
      </w:r>
      <w:r>
        <w:t xml:space="preserve">, WT Docket 18-197, Memorandum Opinion and </w:t>
      </w:r>
      <w:r w:rsidRPr="00CE73BA">
        <w:t>Order</w:t>
      </w:r>
      <w:r>
        <w:t>, Declaratory Ruling, and Order of Proposed Modification</w:t>
      </w:r>
      <w:r>
        <w:rPr>
          <w:iCs/>
        </w:rPr>
        <w:t xml:space="preserve">, </w:t>
      </w:r>
      <w:r>
        <w:t>34 FCC Rcd 10578, 10671, para. 214</w:t>
      </w:r>
      <w:bookmarkEnd w:id="8"/>
      <w:r>
        <w:t xml:space="preserve"> </w:t>
      </w:r>
      <w:r w:rsidR="00F0746D">
        <w:t>(</w:t>
      </w:r>
      <w:r>
        <w:t xml:space="preserve">2019); </w:t>
      </w:r>
      <w:r w:rsidRPr="008155D9">
        <w:rPr>
          <w:i/>
          <w:iCs/>
        </w:rPr>
        <w:t>Applications of</w:t>
      </w:r>
      <w:r>
        <w:t xml:space="preserve"> </w:t>
      </w:r>
      <w:r w:rsidRPr="005C7979">
        <w:rPr>
          <w:i/>
        </w:rPr>
        <w:t xml:space="preserve">Level 3 </w:t>
      </w:r>
      <w:r>
        <w:rPr>
          <w:i/>
        </w:rPr>
        <w:t>Communications, Inc. and</w:t>
      </w:r>
      <w:r w:rsidRPr="00CE73BA">
        <w:rPr>
          <w:i/>
        </w:rPr>
        <w:t xml:space="preserve"> </w:t>
      </w:r>
      <w:r>
        <w:rPr>
          <w:i/>
        </w:rPr>
        <w:t xml:space="preserve">CenturyLink, Inc. for Consent to Transfer Control of Licenses and </w:t>
      </w:r>
      <w:r w:rsidRPr="005C3EF5">
        <w:rPr>
          <w:iCs/>
        </w:rPr>
        <w:t>Authorizations</w:t>
      </w:r>
      <w:r>
        <w:rPr>
          <w:iCs/>
        </w:rPr>
        <w:t xml:space="preserve">, Memorandum Opinion and </w:t>
      </w:r>
      <w:r w:rsidRPr="00CE73BA">
        <w:t>Order</w:t>
      </w:r>
      <w:r>
        <w:t xml:space="preserve">, </w:t>
      </w:r>
      <w:r w:rsidRPr="003F21AD">
        <w:t>32</w:t>
      </w:r>
      <w:r w:rsidRPr="006650A4">
        <w:t xml:space="preserve"> FCC Rcd </w:t>
      </w:r>
      <w:r>
        <w:t>9581,</w:t>
      </w:r>
      <w:r w:rsidRPr="006650A4">
        <w:t xml:space="preserve"> </w:t>
      </w:r>
      <w:r>
        <w:t>9604</w:t>
      </w:r>
      <w:r w:rsidRPr="006650A4">
        <w:t xml:space="preserve">, para. </w:t>
      </w:r>
      <w:r>
        <w:t xml:space="preserve">50 (2017) </w:t>
      </w:r>
      <w:r w:rsidRPr="006650A4">
        <w:t xml:space="preserve">(citing </w:t>
      </w:r>
      <w:r w:rsidRPr="00FF6C04" w:rsidR="000E49F8">
        <w:rPr>
          <w:i/>
          <w:iCs/>
          <w:snapToGrid w:val="0"/>
          <w:color w:val="000000"/>
          <w:kern w:val="28"/>
          <w:bdr w:val="none" w:sz="0" w:space="0" w:color="auto" w:frame="1"/>
          <w:shd w:val="clear" w:color="auto" w:fill="FFFFFF"/>
        </w:rPr>
        <w:t>AT</w:t>
      </w:r>
      <w:r w:rsidRPr="007E45E8" w:rsidR="000E49F8">
        <w:rPr>
          <w:i/>
          <w:iCs/>
          <w:snapToGrid w:val="0"/>
          <w:color w:val="000000"/>
          <w:kern w:val="28"/>
          <w:bdr w:val="none" w:sz="0" w:space="0" w:color="auto" w:frame="1"/>
          <w:shd w:val="clear" w:color="auto" w:fill="FFFFFF"/>
        </w:rPr>
        <w:t>&amp;T</w:t>
      </w:r>
      <w:r w:rsidR="000E49F8">
        <w:rPr>
          <w:i/>
          <w:iCs/>
          <w:snapToGrid w:val="0"/>
          <w:color w:val="000000"/>
          <w:kern w:val="28"/>
          <w:bdr w:val="none" w:sz="0" w:space="0" w:color="auto" w:frame="1"/>
          <w:shd w:val="clear" w:color="auto" w:fill="FFFFFF"/>
        </w:rPr>
        <w:t xml:space="preserve"> Inc. and BellSouth Corporation Application for Transfer of Control</w:t>
      </w:r>
      <w:r w:rsidR="000E49F8">
        <w:rPr>
          <w:snapToGrid w:val="0"/>
          <w:color w:val="000000"/>
          <w:kern w:val="28"/>
          <w:bdr w:val="none" w:sz="0" w:space="0" w:color="auto" w:frame="1"/>
          <w:shd w:val="clear" w:color="auto" w:fill="FFFFFF"/>
        </w:rPr>
        <w:t xml:space="preserve">, WC Docket No. 06-74, Memorandum Opinion and </w:t>
      </w:r>
      <w:r w:rsidRPr="00CE73BA" w:rsidR="000E49F8">
        <w:rPr>
          <w:color w:val="000000"/>
          <w:kern w:val="28"/>
          <w:bdr w:val="none" w:sz="0" w:space="0" w:color="auto" w:frame="1"/>
          <w:shd w:val="clear" w:color="auto" w:fill="FFFFFF"/>
        </w:rPr>
        <w:t>Order</w:t>
      </w:r>
      <w:r w:rsidRPr="007E45E8" w:rsidR="000E49F8">
        <w:rPr>
          <w:iCs/>
          <w:snapToGrid w:val="0"/>
          <w:color w:val="000000"/>
          <w:kern w:val="28"/>
          <w:bdr w:val="none" w:sz="0" w:space="0" w:color="auto" w:frame="1"/>
          <w:shd w:val="clear" w:color="auto" w:fill="FFFFFF"/>
        </w:rPr>
        <w:t>, 22 FCC Rcd</w:t>
      </w:r>
      <w:r w:rsidR="000E49F8">
        <w:rPr>
          <w:iCs/>
          <w:snapToGrid w:val="0"/>
          <w:color w:val="000000"/>
          <w:kern w:val="28"/>
          <w:bdr w:val="none" w:sz="0" w:space="0" w:color="auto" w:frame="1"/>
          <w:shd w:val="clear" w:color="auto" w:fill="FFFFFF"/>
        </w:rPr>
        <w:t xml:space="preserve"> 5662,</w:t>
      </w:r>
      <w:r w:rsidRPr="007E45E8" w:rsidR="000E49F8">
        <w:rPr>
          <w:iCs/>
          <w:snapToGrid w:val="0"/>
          <w:color w:val="000000"/>
          <w:kern w:val="28"/>
          <w:bdr w:val="none" w:sz="0" w:space="0" w:color="auto" w:frame="1"/>
          <w:shd w:val="clear" w:color="auto" w:fill="FFFFFF"/>
        </w:rPr>
        <w:t xml:space="preserve"> 5</w:t>
      </w:r>
      <w:r w:rsidR="000E49F8">
        <w:rPr>
          <w:iCs/>
          <w:snapToGrid w:val="0"/>
          <w:color w:val="000000"/>
          <w:kern w:val="28"/>
          <w:bdr w:val="none" w:sz="0" w:space="0" w:color="auto" w:frame="1"/>
          <w:shd w:val="clear" w:color="auto" w:fill="FFFFFF"/>
        </w:rPr>
        <w:t>761</w:t>
      </w:r>
      <w:r w:rsidRPr="007E45E8" w:rsidR="000E49F8">
        <w:rPr>
          <w:iCs/>
          <w:snapToGrid w:val="0"/>
          <w:color w:val="000000"/>
          <w:kern w:val="28"/>
          <w:bdr w:val="none" w:sz="0" w:space="0" w:color="auto" w:frame="1"/>
          <w:shd w:val="clear" w:color="auto" w:fill="FFFFFF"/>
        </w:rPr>
        <w:t xml:space="preserve">, para. </w:t>
      </w:r>
      <w:r w:rsidR="000E49F8">
        <w:rPr>
          <w:iCs/>
          <w:snapToGrid w:val="0"/>
          <w:color w:val="000000"/>
          <w:kern w:val="28"/>
          <w:bdr w:val="none" w:sz="0" w:space="0" w:color="auto" w:frame="1"/>
          <w:shd w:val="clear" w:color="auto" w:fill="FFFFFF"/>
        </w:rPr>
        <w:t>202 (2007)).</w:t>
      </w:r>
    </w:p>
  </w:footnote>
  <w:footnote w:id="33">
    <w:p w:rsidR="00142E27" w:rsidRPr="00142E27" w14:paraId="03E3107E" w14:textId="62A50ECF">
      <w:pPr>
        <w:pStyle w:val="FootnoteText"/>
      </w:pPr>
      <w:r>
        <w:rPr>
          <w:rStyle w:val="FootnoteReference"/>
        </w:rPr>
        <w:footnoteRef/>
      </w:r>
      <w:r>
        <w:t xml:space="preserve"> </w:t>
      </w:r>
      <w:r w:rsidR="00F0746D">
        <w:t xml:space="preserve">Fourth Supplement Letter at 3.  </w:t>
      </w:r>
    </w:p>
  </w:footnote>
  <w:footnote w:id="34">
    <w:p w:rsidR="001E2721" w:rsidP="001E2721" w14:paraId="43BB1800" w14:textId="77777777">
      <w:pPr>
        <w:pStyle w:val="FootnoteText"/>
      </w:pPr>
      <w:r>
        <w:rPr>
          <w:rStyle w:val="FootnoteReference"/>
        </w:rPr>
        <w:footnoteRef/>
      </w:r>
      <w:r>
        <w:t xml:space="preserve"> This application is the lead application for the wireless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RPr="009838BC" w:rsidP="009838BC" w14:paraId="5FB68464" w14:textId="05DA955B">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3E6C2F" w:rsidRPr="009838BC" w:rsidP="009838BC" w14:paraId="7801CAD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RPr="00A866AC" w:rsidP="009838BC" w14:paraId="74DA1B71" w14:textId="239B7599">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6C2F" w:rsidP="009838BC" w14:textId="77777777">
                          <w:pPr>
                            <w:rPr>
                              <w:rFonts w:ascii="Arial" w:hAnsi="Arial"/>
                              <w:b/>
                            </w:rPr>
                          </w:pPr>
                          <w:r>
                            <w:rPr>
                              <w:rFonts w:ascii="Arial" w:hAnsi="Arial"/>
                              <w:b/>
                            </w:rPr>
                            <w:t>Federal Communications Commission</w:t>
                          </w:r>
                        </w:p>
                        <w:p w:rsidR="003E6C2F" w:rsidP="009838BC" w14:textId="7B7FE499">
                          <w:pPr>
                            <w:rPr>
                              <w:rFonts w:ascii="Arial" w:hAnsi="Arial"/>
                              <w:sz w:val="24"/>
                            </w:rPr>
                          </w:pPr>
                          <w:r>
                            <w:rPr>
                              <w:rFonts w:ascii="Arial" w:hAnsi="Arial"/>
                              <w:b/>
                            </w:rPr>
                            <w:t>45 L St., N.E.</w:t>
                          </w:r>
                          <w:r w:rsidR="00A651B4">
                            <w:rPr>
                              <w:rFonts w:ascii="Arial" w:hAnsi="Arial"/>
                              <w:b/>
                            </w:rPr>
                            <w:t xml:space="preserve"> </w:t>
                          </w:r>
                          <w:r w:rsidR="00C64CFA">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E6C2F" w:rsidP="009838BC" w14:paraId="34E454B0" w14:textId="77777777">
                    <w:pPr>
                      <w:rPr>
                        <w:rFonts w:ascii="Arial" w:hAnsi="Arial"/>
                        <w:b/>
                      </w:rPr>
                    </w:pPr>
                    <w:r>
                      <w:rPr>
                        <w:rFonts w:ascii="Arial" w:hAnsi="Arial"/>
                        <w:b/>
                      </w:rPr>
                      <w:t>Federal Communications Commission</w:t>
                    </w:r>
                  </w:p>
                  <w:p w:rsidR="003E6C2F" w:rsidP="009838BC" w14:paraId="0E1684E5" w14:textId="7B7FE499">
                    <w:pPr>
                      <w:rPr>
                        <w:rFonts w:ascii="Arial" w:hAnsi="Arial"/>
                        <w:sz w:val="24"/>
                      </w:rPr>
                    </w:pPr>
                    <w:r>
                      <w:rPr>
                        <w:rFonts w:ascii="Arial" w:hAnsi="Arial"/>
                        <w:b/>
                      </w:rPr>
                      <w:t>45 L St., N.E.</w:t>
                    </w:r>
                    <w:r w:rsidR="00A651B4">
                      <w:rPr>
                        <w:rFonts w:ascii="Arial" w:hAnsi="Arial"/>
                        <w:b/>
                      </w:rPr>
                      <w:t xml:space="preserve"> </w:t>
                    </w:r>
                    <w:r w:rsidR="00C64CFA">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75796D0F" w:rsidR="00C64CFA">
      <w:rPr>
        <w:rFonts w:ascii="Arial" w:hAnsi="Arial" w:cs="Arial"/>
        <w:b/>
        <w:bCs/>
        <w:sz w:val="96"/>
        <w:szCs w:val="96"/>
      </w:rPr>
      <w:t>PUBLIC NOTICE</w:t>
    </w:r>
  </w:p>
  <w:p w:rsidR="003E6C2F" w:rsidRPr="00357D50" w:rsidP="009838BC" w14:paraId="6E5BB928" w14:textId="2AF634D0">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6C2F" w:rsidP="009838BC" w14:textId="77777777">
                          <w:pPr>
                            <w:spacing w:before="40"/>
                            <w:jc w:val="right"/>
                            <w:rPr>
                              <w:rFonts w:ascii="Arial" w:hAnsi="Arial"/>
                              <w:b/>
                              <w:sz w:val="16"/>
                            </w:rPr>
                          </w:pPr>
                          <w:r>
                            <w:rPr>
                              <w:rFonts w:ascii="Arial" w:hAnsi="Arial"/>
                              <w:b/>
                              <w:sz w:val="16"/>
                            </w:rPr>
                            <w:t>News Media Information 202 / 418-0500</w:t>
                          </w:r>
                        </w:p>
                        <w:p w:rsidR="003E6C2F" w:rsidP="009838BC" w14:textId="77777777">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E6C2F" w:rsidP="009838BC" w14:paraId="202872FA" w14:textId="77777777">
                    <w:pPr>
                      <w:spacing w:before="40"/>
                      <w:jc w:val="right"/>
                      <w:rPr>
                        <w:rFonts w:ascii="Arial" w:hAnsi="Arial"/>
                        <w:b/>
                        <w:sz w:val="16"/>
                      </w:rPr>
                    </w:pPr>
                    <w:r>
                      <w:rPr>
                        <w:rFonts w:ascii="Arial" w:hAnsi="Arial"/>
                        <w:b/>
                        <w:sz w:val="16"/>
                      </w:rPr>
                      <w:t>News Media Information 202 / 418-0500</w:t>
                    </w:r>
                  </w:p>
                  <w:p w:rsidR="003E6C2F" w:rsidP="009838BC" w14:paraId="4ACFABE6" w14:textId="77777777">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txbxContent>
              </v:textbox>
            </v:shape>
          </w:pict>
        </mc:Fallback>
      </mc:AlternateContent>
    </w:r>
  </w:p>
  <w:p w:rsidR="003E6C2F" w:rsidRPr="009838BC" w:rsidP="009838BC" w14:paraId="4FDB1E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95D3B49"/>
    <w:multiLevelType w:val="hybridMultilevel"/>
    <w:tmpl w:val="0A2C7C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8C"/>
    <w:rsid w:val="000009A3"/>
    <w:rsid w:val="00004FE7"/>
    <w:rsid w:val="00005D2A"/>
    <w:rsid w:val="000072CE"/>
    <w:rsid w:val="00011424"/>
    <w:rsid w:val="00013A8B"/>
    <w:rsid w:val="00016BF1"/>
    <w:rsid w:val="00021252"/>
    <w:rsid w:val="00021445"/>
    <w:rsid w:val="00021F2D"/>
    <w:rsid w:val="00023E9D"/>
    <w:rsid w:val="00025045"/>
    <w:rsid w:val="000326B7"/>
    <w:rsid w:val="00036039"/>
    <w:rsid w:val="00037BAC"/>
    <w:rsid w:val="00037F90"/>
    <w:rsid w:val="00043BA2"/>
    <w:rsid w:val="000654FE"/>
    <w:rsid w:val="0007304F"/>
    <w:rsid w:val="00073398"/>
    <w:rsid w:val="000806D4"/>
    <w:rsid w:val="000875BF"/>
    <w:rsid w:val="00090879"/>
    <w:rsid w:val="00090D4F"/>
    <w:rsid w:val="0009443B"/>
    <w:rsid w:val="000957AA"/>
    <w:rsid w:val="00096D8C"/>
    <w:rsid w:val="000A0800"/>
    <w:rsid w:val="000A2482"/>
    <w:rsid w:val="000A62D2"/>
    <w:rsid w:val="000A719C"/>
    <w:rsid w:val="000B0D6B"/>
    <w:rsid w:val="000B206F"/>
    <w:rsid w:val="000C0B65"/>
    <w:rsid w:val="000C6518"/>
    <w:rsid w:val="000C6CB2"/>
    <w:rsid w:val="000D3AB0"/>
    <w:rsid w:val="000D50EB"/>
    <w:rsid w:val="000E3D42"/>
    <w:rsid w:val="000E49F8"/>
    <w:rsid w:val="000E53AC"/>
    <w:rsid w:val="000E5884"/>
    <w:rsid w:val="000E6601"/>
    <w:rsid w:val="000E716A"/>
    <w:rsid w:val="000F248A"/>
    <w:rsid w:val="000F275B"/>
    <w:rsid w:val="000F27F5"/>
    <w:rsid w:val="000F70F5"/>
    <w:rsid w:val="000F7336"/>
    <w:rsid w:val="000F7AFB"/>
    <w:rsid w:val="00102BA9"/>
    <w:rsid w:val="00114C73"/>
    <w:rsid w:val="001204AD"/>
    <w:rsid w:val="001219A0"/>
    <w:rsid w:val="00121A42"/>
    <w:rsid w:val="00122BD5"/>
    <w:rsid w:val="00125396"/>
    <w:rsid w:val="00125C43"/>
    <w:rsid w:val="00131EFA"/>
    <w:rsid w:val="001330FF"/>
    <w:rsid w:val="001333DA"/>
    <w:rsid w:val="001361ED"/>
    <w:rsid w:val="00140E1E"/>
    <w:rsid w:val="001415BA"/>
    <w:rsid w:val="0014243B"/>
    <w:rsid w:val="00142E27"/>
    <w:rsid w:val="00150D3B"/>
    <w:rsid w:val="00152CE7"/>
    <w:rsid w:val="001539F3"/>
    <w:rsid w:val="001541A8"/>
    <w:rsid w:val="00154EB8"/>
    <w:rsid w:val="00162F40"/>
    <w:rsid w:val="00164FFA"/>
    <w:rsid w:val="0016699A"/>
    <w:rsid w:val="00167821"/>
    <w:rsid w:val="00177A0E"/>
    <w:rsid w:val="00181174"/>
    <w:rsid w:val="00192E10"/>
    <w:rsid w:val="001933C9"/>
    <w:rsid w:val="001975FA"/>
    <w:rsid w:val="001979D9"/>
    <w:rsid w:val="001A03EE"/>
    <w:rsid w:val="001A04F8"/>
    <w:rsid w:val="001A0E9C"/>
    <w:rsid w:val="001A18DC"/>
    <w:rsid w:val="001A429C"/>
    <w:rsid w:val="001A6361"/>
    <w:rsid w:val="001A7BEA"/>
    <w:rsid w:val="001B0EE7"/>
    <w:rsid w:val="001B158F"/>
    <w:rsid w:val="001B5AD6"/>
    <w:rsid w:val="001B5B0D"/>
    <w:rsid w:val="001D147D"/>
    <w:rsid w:val="001D6BCF"/>
    <w:rsid w:val="001E01CA"/>
    <w:rsid w:val="001E2721"/>
    <w:rsid w:val="001E5978"/>
    <w:rsid w:val="001F15D2"/>
    <w:rsid w:val="001F1CB2"/>
    <w:rsid w:val="001F1FF1"/>
    <w:rsid w:val="001F3582"/>
    <w:rsid w:val="001F47C1"/>
    <w:rsid w:val="001F6BFB"/>
    <w:rsid w:val="001F6C5F"/>
    <w:rsid w:val="00203CFD"/>
    <w:rsid w:val="00204D99"/>
    <w:rsid w:val="002060D9"/>
    <w:rsid w:val="00206137"/>
    <w:rsid w:val="00206BA9"/>
    <w:rsid w:val="002078DE"/>
    <w:rsid w:val="00210106"/>
    <w:rsid w:val="00210515"/>
    <w:rsid w:val="00215AF2"/>
    <w:rsid w:val="0021655B"/>
    <w:rsid w:val="00224DB8"/>
    <w:rsid w:val="002263EE"/>
    <w:rsid w:val="0022664E"/>
    <w:rsid w:val="00226822"/>
    <w:rsid w:val="002334CD"/>
    <w:rsid w:val="00237E2F"/>
    <w:rsid w:val="00240A9F"/>
    <w:rsid w:val="00245087"/>
    <w:rsid w:val="002456F6"/>
    <w:rsid w:val="00250636"/>
    <w:rsid w:val="0025072B"/>
    <w:rsid w:val="0025082C"/>
    <w:rsid w:val="00251D16"/>
    <w:rsid w:val="00254E19"/>
    <w:rsid w:val="00255563"/>
    <w:rsid w:val="002572DC"/>
    <w:rsid w:val="00260594"/>
    <w:rsid w:val="00264D98"/>
    <w:rsid w:val="00276C04"/>
    <w:rsid w:val="00276CEF"/>
    <w:rsid w:val="00280975"/>
    <w:rsid w:val="00284E56"/>
    <w:rsid w:val="00285017"/>
    <w:rsid w:val="002853CF"/>
    <w:rsid w:val="00285610"/>
    <w:rsid w:val="00286D4F"/>
    <w:rsid w:val="00295CFA"/>
    <w:rsid w:val="002A03DD"/>
    <w:rsid w:val="002A2D2E"/>
    <w:rsid w:val="002A6D6A"/>
    <w:rsid w:val="002B0207"/>
    <w:rsid w:val="002B19F3"/>
    <w:rsid w:val="002C1AF9"/>
    <w:rsid w:val="002C21E2"/>
    <w:rsid w:val="002C339D"/>
    <w:rsid w:val="002C6DAB"/>
    <w:rsid w:val="002D1A7E"/>
    <w:rsid w:val="002D4035"/>
    <w:rsid w:val="002D4218"/>
    <w:rsid w:val="002D447E"/>
    <w:rsid w:val="002D4944"/>
    <w:rsid w:val="002D62DD"/>
    <w:rsid w:val="002E0AE6"/>
    <w:rsid w:val="002E3F4D"/>
    <w:rsid w:val="002F2339"/>
    <w:rsid w:val="002F2EF7"/>
    <w:rsid w:val="002F3C5D"/>
    <w:rsid w:val="002F7221"/>
    <w:rsid w:val="00304CD4"/>
    <w:rsid w:val="00307030"/>
    <w:rsid w:val="00310188"/>
    <w:rsid w:val="0031328E"/>
    <w:rsid w:val="00313902"/>
    <w:rsid w:val="00314CDC"/>
    <w:rsid w:val="00316CF0"/>
    <w:rsid w:val="0031734D"/>
    <w:rsid w:val="0032799C"/>
    <w:rsid w:val="00327A84"/>
    <w:rsid w:val="003338FC"/>
    <w:rsid w:val="00343749"/>
    <w:rsid w:val="00353A57"/>
    <w:rsid w:val="00357C21"/>
    <w:rsid w:val="00357D50"/>
    <w:rsid w:val="003602FC"/>
    <w:rsid w:val="00375E79"/>
    <w:rsid w:val="003778B4"/>
    <w:rsid w:val="00377C00"/>
    <w:rsid w:val="00381FE8"/>
    <w:rsid w:val="00392523"/>
    <w:rsid w:val="003925DC"/>
    <w:rsid w:val="0039445D"/>
    <w:rsid w:val="00395F38"/>
    <w:rsid w:val="0039668F"/>
    <w:rsid w:val="003A33EA"/>
    <w:rsid w:val="003A3FC6"/>
    <w:rsid w:val="003A49D1"/>
    <w:rsid w:val="003B0550"/>
    <w:rsid w:val="003B06B7"/>
    <w:rsid w:val="003B26F4"/>
    <w:rsid w:val="003B28FF"/>
    <w:rsid w:val="003B366F"/>
    <w:rsid w:val="003B694F"/>
    <w:rsid w:val="003C2436"/>
    <w:rsid w:val="003C47B1"/>
    <w:rsid w:val="003C589A"/>
    <w:rsid w:val="003C5B59"/>
    <w:rsid w:val="003C5D0F"/>
    <w:rsid w:val="003D3B9E"/>
    <w:rsid w:val="003E3CEB"/>
    <w:rsid w:val="003E6C2F"/>
    <w:rsid w:val="003E7B6C"/>
    <w:rsid w:val="003F171C"/>
    <w:rsid w:val="003F21AD"/>
    <w:rsid w:val="003F240E"/>
    <w:rsid w:val="003F36AB"/>
    <w:rsid w:val="00402A03"/>
    <w:rsid w:val="00403231"/>
    <w:rsid w:val="00404CBF"/>
    <w:rsid w:val="00404DFC"/>
    <w:rsid w:val="00412582"/>
    <w:rsid w:val="00412FC5"/>
    <w:rsid w:val="00413423"/>
    <w:rsid w:val="00414A6E"/>
    <w:rsid w:val="00420DDC"/>
    <w:rsid w:val="00422276"/>
    <w:rsid w:val="004242F1"/>
    <w:rsid w:val="004243FE"/>
    <w:rsid w:val="004273FE"/>
    <w:rsid w:val="00432780"/>
    <w:rsid w:val="00436A28"/>
    <w:rsid w:val="00445A00"/>
    <w:rsid w:val="00451B0F"/>
    <w:rsid w:val="00453E1E"/>
    <w:rsid w:val="00456735"/>
    <w:rsid w:val="0046125F"/>
    <w:rsid w:val="00462520"/>
    <w:rsid w:val="00466B8E"/>
    <w:rsid w:val="0046783E"/>
    <w:rsid w:val="004708B7"/>
    <w:rsid w:val="00470E9D"/>
    <w:rsid w:val="00484E36"/>
    <w:rsid w:val="00484EF7"/>
    <w:rsid w:val="00487524"/>
    <w:rsid w:val="004876D1"/>
    <w:rsid w:val="004903BF"/>
    <w:rsid w:val="004928F5"/>
    <w:rsid w:val="004943CA"/>
    <w:rsid w:val="00496106"/>
    <w:rsid w:val="00497657"/>
    <w:rsid w:val="004A0804"/>
    <w:rsid w:val="004B091D"/>
    <w:rsid w:val="004B3077"/>
    <w:rsid w:val="004B72EC"/>
    <w:rsid w:val="004C12D0"/>
    <w:rsid w:val="004C2EE3"/>
    <w:rsid w:val="004C3FFB"/>
    <w:rsid w:val="004C7643"/>
    <w:rsid w:val="004C77D6"/>
    <w:rsid w:val="004D058F"/>
    <w:rsid w:val="004D1880"/>
    <w:rsid w:val="004D22C3"/>
    <w:rsid w:val="004D3137"/>
    <w:rsid w:val="004D3BF2"/>
    <w:rsid w:val="004E3DC3"/>
    <w:rsid w:val="004E4A22"/>
    <w:rsid w:val="004F4239"/>
    <w:rsid w:val="004F5427"/>
    <w:rsid w:val="004F5C91"/>
    <w:rsid w:val="00511968"/>
    <w:rsid w:val="00516C98"/>
    <w:rsid w:val="0051796A"/>
    <w:rsid w:val="0052214B"/>
    <w:rsid w:val="00522216"/>
    <w:rsid w:val="005225E9"/>
    <w:rsid w:val="005247D1"/>
    <w:rsid w:val="00525F91"/>
    <w:rsid w:val="00526302"/>
    <w:rsid w:val="005300A4"/>
    <w:rsid w:val="00536CF8"/>
    <w:rsid w:val="0053740C"/>
    <w:rsid w:val="00540ECE"/>
    <w:rsid w:val="0054650E"/>
    <w:rsid w:val="00550354"/>
    <w:rsid w:val="0055333C"/>
    <w:rsid w:val="0055368C"/>
    <w:rsid w:val="0055582E"/>
    <w:rsid w:val="0055614C"/>
    <w:rsid w:val="0055722C"/>
    <w:rsid w:val="00557E1E"/>
    <w:rsid w:val="005614FA"/>
    <w:rsid w:val="00563C1F"/>
    <w:rsid w:val="00565608"/>
    <w:rsid w:val="00565ACA"/>
    <w:rsid w:val="00572130"/>
    <w:rsid w:val="005721CE"/>
    <w:rsid w:val="00574505"/>
    <w:rsid w:val="00577322"/>
    <w:rsid w:val="005773DB"/>
    <w:rsid w:val="00577898"/>
    <w:rsid w:val="00577BFF"/>
    <w:rsid w:val="00581C61"/>
    <w:rsid w:val="005822F6"/>
    <w:rsid w:val="00585942"/>
    <w:rsid w:val="00585F1E"/>
    <w:rsid w:val="00587756"/>
    <w:rsid w:val="00594B84"/>
    <w:rsid w:val="00595381"/>
    <w:rsid w:val="005A16B3"/>
    <w:rsid w:val="005A2ABB"/>
    <w:rsid w:val="005A3062"/>
    <w:rsid w:val="005A4610"/>
    <w:rsid w:val="005A7658"/>
    <w:rsid w:val="005C1C35"/>
    <w:rsid w:val="005C3EF5"/>
    <w:rsid w:val="005C680A"/>
    <w:rsid w:val="005C7979"/>
    <w:rsid w:val="005D0403"/>
    <w:rsid w:val="005D5843"/>
    <w:rsid w:val="005D74E0"/>
    <w:rsid w:val="005E5F6A"/>
    <w:rsid w:val="005E6FBC"/>
    <w:rsid w:val="005E74A9"/>
    <w:rsid w:val="005F04C9"/>
    <w:rsid w:val="006009CB"/>
    <w:rsid w:val="0060479C"/>
    <w:rsid w:val="0060625A"/>
    <w:rsid w:val="00607BA5"/>
    <w:rsid w:val="006134A5"/>
    <w:rsid w:val="00620DBB"/>
    <w:rsid w:val="00620F82"/>
    <w:rsid w:val="00621457"/>
    <w:rsid w:val="006227D7"/>
    <w:rsid w:val="00625CD0"/>
    <w:rsid w:val="00626EB6"/>
    <w:rsid w:val="006275B0"/>
    <w:rsid w:val="00631B71"/>
    <w:rsid w:val="006353A3"/>
    <w:rsid w:val="00642BCC"/>
    <w:rsid w:val="00642E7B"/>
    <w:rsid w:val="00643878"/>
    <w:rsid w:val="00655D03"/>
    <w:rsid w:val="00664AB4"/>
    <w:rsid w:val="006650A4"/>
    <w:rsid w:val="00665BC7"/>
    <w:rsid w:val="00683F84"/>
    <w:rsid w:val="006848DD"/>
    <w:rsid w:val="006908E1"/>
    <w:rsid w:val="00694156"/>
    <w:rsid w:val="006A6A81"/>
    <w:rsid w:val="006B06C1"/>
    <w:rsid w:val="006B448D"/>
    <w:rsid w:val="006B6F46"/>
    <w:rsid w:val="006C47FA"/>
    <w:rsid w:val="006D1219"/>
    <w:rsid w:val="006D40DD"/>
    <w:rsid w:val="006D6B2D"/>
    <w:rsid w:val="006D760F"/>
    <w:rsid w:val="006E08B5"/>
    <w:rsid w:val="006E26AF"/>
    <w:rsid w:val="006E4CDD"/>
    <w:rsid w:val="006E57B3"/>
    <w:rsid w:val="006E5AB7"/>
    <w:rsid w:val="006F7393"/>
    <w:rsid w:val="00701094"/>
    <w:rsid w:val="0070224F"/>
    <w:rsid w:val="00703BB5"/>
    <w:rsid w:val="00704B2F"/>
    <w:rsid w:val="00705358"/>
    <w:rsid w:val="0070671E"/>
    <w:rsid w:val="00710376"/>
    <w:rsid w:val="007115F7"/>
    <w:rsid w:val="0071386A"/>
    <w:rsid w:val="00715B36"/>
    <w:rsid w:val="007248DE"/>
    <w:rsid w:val="00724D02"/>
    <w:rsid w:val="00725674"/>
    <w:rsid w:val="00726F80"/>
    <w:rsid w:val="0073020A"/>
    <w:rsid w:val="00741D3D"/>
    <w:rsid w:val="007531B8"/>
    <w:rsid w:val="00761975"/>
    <w:rsid w:val="007656E1"/>
    <w:rsid w:val="007668C8"/>
    <w:rsid w:val="0078005C"/>
    <w:rsid w:val="007834A3"/>
    <w:rsid w:val="00785689"/>
    <w:rsid w:val="00793BA0"/>
    <w:rsid w:val="0079754B"/>
    <w:rsid w:val="007A1E6D"/>
    <w:rsid w:val="007A4136"/>
    <w:rsid w:val="007A6DB6"/>
    <w:rsid w:val="007B3856"/>
    <w:rsid w:val="007B72F9"/>
    <w:rsid w:val="007C2228"/>
    <w:rsid w:val="007C674D"/>
    <w:rsid w:val="007C7056"/>
    <w:rsid w:val="007D04C3"/>
    <w:rsid w:val="007D1743"/>
    <w:rsid w:val="007D3761"/>
    <w:rsid w:val="007D6054"/>
    <w:rsid w:val="007E2344"/>
    <w:rsid w:val="007E45E8"/>
    <w:rsid w:val="007F0DBB"/>
    <w:rsid w:val="007F29ED"/>
    <w:rsid w:val="007F2B65"/>
    <w:rsid w:val="007F3799"/>
    <w:rsid w:val="007F5818"/>
    <w:rsid w:val="007F74D5"/>
    <w:rsid w:val="007F754A"/>
    <w:rsid w:val="00803131"/>
    <w:rsid w:val="008041FE"/>
    <w:rsid w:val="008068FD"/>
    <w:rsid w:val="00807806"/>
    <w:rsid w:val="0081046F"/>
    <w:rsid w:val="00814E02"/>
    <w:rsid w:val="008155D9"/>
    <w:rsid w:val="00822CE0"/>
    <w:rsid w:val="00824C94"/>
    <w:rsid w:val="00825E7D"/>
    <w:rsid w:val="0083155B"/>
    <w:rsid w:val="008324E7"/>
    <w:rsid w:val="008338CE"/>
    <w:rsid w:val="008349B1"/>
    <w:rsid w:val="00837C62"/>
    <w:rsid w:val="00840869"/>
    <w:rsid w:val="00841404"/>
    <w:rsid w:val="00841AB1"/>
    <w:rsid w:val="00842DCD"/>
    <w:rsid w:val="00845944"/>
    <w:rsid w:val="00851E64"/>
    <w:rsid w:val="00854AA8"/>
    <w:rsid w:val="0086068D"/>
    <w:rsid w:val="00861958"/>
    <w:rsid w:val="008670A1"/>
    <w:rsid w:val="00880227"/>
    <w:rsid w:val="00880549"/>
    <w:rsid w:val="008864E9"/>
    <w:rsid w:val="00890537"/>
    <w:rsid w:val="008928B0"/>
    <w:rsid w:val="00892BEE"/>
    <w:rsid w:val="00896F17"/>
    <w:rsid w:val="008A6D6F"/>
    <w:rsid w:val="008C22FD"/>
    <w:rsid w:val="008C2513"/>
    <w:rsid w:val="008C3A73"/>
    <w:rsid w:val="008C77CA"/>
    <w:rsid w:val="008D3514"/>
    <w:rsid w:val="008D3F6E"/>
    <w:rsid w:val="008E0EE6"/>
    <w:rsid w:val="008E0F31"/>
    <w:rsid w:val="008E2A65"/>
    <w:rsid w:val="008E2E4C"/>
    <w:rsid w:val="008E581F"/>
    <w:rsid w:val="008E64EE"/>
    <w:rsid w:val="008F30F1"/>
    <w:rsid w:val="009003A2"/>
    <w:rsid w:val="0090085D"/>
    <w:rsid w:val="00910F12"/>
    <w:rsid w:val="0091539A"/>
    <w:rsid w:val="0091650F"/>
    <w:rsid w:val="00917ABE"/>
    <w:rsid w:val="00920984"/>
    <w:rsid w:val="009215E6"/>
    <w:rsid w:val="00924D5E"/>
    <w:rsid w:val="00925937"/>
    <w:rsid w:val="00925ACF"/>
    <w:rsid w:val="00926397"/>
    <w:rsid w:val="00926503"/>
    <w:rsid w:val="0092692D"/>
    <w:rsid w:val="00926C1D"/>
    <w:rsid w:val="00930ECF"/>
    <w:rsid w:val="0093267F"/>
    <w:rsid w:val="00943B23"/>
    <w:rsid w:val="00947F4D"/>
    <w:rsid w:val="0095053C"/>
    <w:rsid w:val="00965739"/>
    <w:rsid w:val="009713DD"/>
    <w:rsid w:val="00973D21"/>
    <w:rsid w:val="009753C9"/>
    <w:rsid w:val="00976129"/>
    <w:rsid w:val="009801F8"/>
    <w:rsid w:val="009817C9"/>
    <w:rsid w:val="00982CA5"/>
    <w:rsid w:val="009838BC"/>
    <w:rsid w:val="00986163"/>
    <w:rsid w:val="0098741E"/>
    <w:rsid w:val="00987F82"/>
    <w:rsid w:val="009905BD"/>
    <w:rsid w:val="009939FB"/>
    <w:rsid w:val="009A2104"/>
    <w:rsid w:val="009A2DE1"/>
    <w:rsid w:val="009A65B8"/>
    <w:rsid w:val="009B0EA7"/>
    <w:rsid w:val="009B3988"/>
    <w:rsid w:val="009B63B0"/>
    <w:rsid w:val="009C006E"/>
    <w:rsid w:val="009C61C9"/>
    <w:rsid w:val="009C6B7C"/>
    <w:rsid w:val="009D36AB"/>
    <w:rsid w:val="009D4CF4"/>
    <w:rsid w:val="009D7435"/>
    <w:rsid w:val="009E0A80"/>
    <w:rsid w:val="009F1761"/>
    <w:rsid w:val="009F3FCB"/>
    <w:rsid w:val="009F421F"/>
    <w:rsid w:val="00A0270D"/>
    <w:rsid w:val="00A02DD3"/>
    <w:rsid w:val="00A03FAC"/>
    <w:rsid w:val="00A06E7E"/>
    <w:rsid w:val="00A13DDC"/>
    <w:rsid w:val="00A164EA"/>
    <w:rsid w:val="00A34553"/>
    <w:rsid w:val="00A40309"/>
    <w:rsid w:val="00A43D61"/>
    <w:rsid w:val="00A44A76"/>
    <w:rsid w:val="00A45F4F"/>
    <w:rsid w:val="00A51758"/>
    <w:rsid w:val="00A517E9"/>
    <w:rsid w:val="00A51F79"/>
    <w:rsid w:val="00A600A9"/>
    <w:rsid w:val="00A61E25"/>
    <w:rsid w:val="00A6263A"/>
    <w:rsid w:val="00A651B4"/>
    <w:rsid w:val="00A659C5"/>
    <w:rsid w:val="00A70B53"/>
    <w:rsid w:val="00A7173C"/>
    <w:rsid w:val="00A7404D"/>
    <w:rsid w:val="00A81B95"/>
    <w:rsid w:val="00A84BCC"/>
    <w:rsid w:val="00A8529B"/>
    <w:rsid w:val="00A866AC"/>
    <w:rsid w:val="00A92F17"/>
    <w:rsid w:val="00A9392C"/>
    <w:rsid w:val="00A945A5"/>
    <w:rsid w:val="00A950E2"/>
    <w:rsid w:val="00A95E41"/>
    <w:rsid w:val="00A96075"/>
    <w:rsid w:val="00AA26B9"/>
    <w:rsid w:val="00AA3F8C"/>
    <w:rsid w:val="00AA55B7"/>
    <w:rsid w:val="00AA5B9E"/>
    <w:rsid w:val="00AA5C4E"/>
    <w:rsid w:val="00AB1460"/>
    <w:rsid w:val="00AB2109"/>
    <w:rsid w:val="00AB2313"/>
    <w:rsid w:val="00AB2407"/>
    <w:rsid w:val="00AB48D1"/>
    <w:rsid w:val="00AB53DF"/>
    <w:rsid w:val="00AB61ED"/>
    <w:rsid w:val="00AB7889"/>
    <w:rsid w:val="00AC37DF"/>
    <w:rsid w:val="00AC4A49"/>
    <w:rsid w:val="00AC62C1"/>
    <w:rsid w:val="00AD0DD3"/>
    <w:rsid w:val="00AD50D4"/>
    <w:rsid w:val="00AF33C3"/>
    <w:rsid w:val="00AF3AE2"/>
    <w:rsid w:val="00AF444B"/>
    <w:rsid w:val="00AF6CC7"/>
    <w:rsid w:val="00B0245A"/>
    <w:rsid w:val="00B07E5C"/>
    <w:rsid w:val="00B1036C"/>
    <w:rsid w:val="00B27FC8"/>
    <w:rsid w:val="00B326E3"/>
    <w:rsid w:val="00B340E4"/>
    <w:rsid w:val="00B36901"/>
    <w:rsid w:val="00B370E1"/>
    <w:rsid w:val="00B43169"/>
    <w:rsid w:val="00B44339"/>
    <w:rsid w:val="00B47261"/>
    <w:rsid w:val="00B62EDB"/>
    <w:rsid w:val="00B6793C"/>
    <w:rsid w:val="00B7124D"/>
    <w:rsid w:val="00B73C0C"/>
    <w:rsid w:val="00B74EB4"/>
    <w:rsid w:val="00B772E9"/>
    <w:rsid w:val="00B77496"/>
    <w:rsid w:val="00B811F7"/>
    <w:rsid w:val="00B82285"/>
    <w:rsid w:val="00B836B7"/>
    <w:rsid w:val="00B84BD2"/>
    <w:rsid w:val="00B87EA6"/>
    <w:rsid w:val="00B91E34"/>
    <w:rsid w:val="00B91FA3"/>
    <w:rsid w:val="00B959E6"/>
    <w:rsid w:val="00BA1383"/>
    <w:rsid w:val="00BA5DC6"/>
    <w:rsid w:val="00BA6196"/>
    <w:rsid w:val="00BB5746"/>
    <w:rsid w:val="00BC0680"/>
    <w:rsid w:val="00BC506D"/>
    <w:rsid w:val="00BC5DB6"/>
    <w:rsid w:val="00BC6D8C"/>
    <w:rsid w:val="00BD17B8"/>
    <w:rsid w:val="00BD1F31"/>
    <w:rsid w:val="00BD1F5F"/>
    <w:rsid w:val="00BD38DB"/>
    <w:rsid w:val="00BE5020"/>
    <w:rsid w:val="00BF0A94"/>
    <w:rsid w:val="00BF1F34"/>
    <w:rsid w:val="00BF7EC8"/>
    <w:rsid w:val="00C01554"/>
    <w:rsid w:val="00C01B19"/>
    <w:rsid w:val="00C03A2F"/>
    <w:rsid w:val="00C07140"/>
    <w:rsid w:val="00C14E8F"/>
    <w:rsid w:val="00C16AF2"/>
    <w:rsid w:val="00C31891"/>
    <w:rsid w:val="00C32E7E"/>
    <w:rsid w:val="00C34006"/>
    <w:rsid w:val="00C35272"/>
    <w:rsid w:val="00C360F5"/>
    <w:rsid w:val="00C367FB"/>
    <w:rsid w:val="00C42502"/>
    <w:rsid w:val="00C426B1"/>
    <w:rsid w:val="00C42DB1"/>
    <w:rsid w:val="00C45211"/>
    <w:rsid w:val="00C50A2E"/>
    <w:rsid w:val="00C53B94"/>
    <w:rsid w:val="00C53EAA"/>
    <w:rsid w:val="00C551B3"/>
    <w:rsid w:val="00C61DDE"/>
    <w:rsid w:val="00C63A98"/>
    <w:rsid w:val="00C64CFA"/>
    <w:rsid w:val="00C70E71"/>
    <w:rsid w:val="00C70F5B"/>
    <w:rsid w:val="00C7200D"/>
    <w:rsid w:val="00C7222F"/>
    <w:rsid w:val="00C82B6B"/>
    <w:rsid w:val="00C845C8"/>
    <w:rsid w:val="00C84DD8"/>
    <w:rsid w:val="00C85C04"/>
    <w:rsid w:val="00C90D6A"/>
    <w:rsid w:val="00C920E4"/>
    <w:rsid w:val="00C964BE"/>
    <w:rsid w:val="00CA07D6"/>
    <w:rsid w:val="00CB14D4"/>
    <w:rsid w:val="00CC39E3"/>
    <w:rsid w:val="00CC417B"/>
    <w:rsid w:val="00CC6A10"/>
    <w:rsid w:val="00CC72B6"/>
    <w:rsid w:val="00CD0694"/>
    <w:rsid w:val="00CD1274"/>
    <w:rsid w:val="00CD5655"/>
    <w:rsid w:val="00CE1E7E"/>
    <w:rsid w:val="00CE359D"/>
    <w:rsid w:val="00CE3E63"/>
    <w:rsid w:val="00CE3F89"/>
    <w:rsid w:val="00CE73BA"/>
    <w:rsid w:val="00CF1A56"/>
    <w:rsid w:val="00CF1D77"/>
    <w:rsid w:val="00CF4F48"/>
    <w:rsid w:val="00CF607A"/>
    <w:rsid w:val="00CF7682"/>
    <w:rsid w:val="00D01989"/>
    <w:rsid w:val="00D0218D"/>
    <w:rsid w:val="00D04868"/>
    <w:rsid w:val="00D12B3C"/>
    <w:rsid w:val="00D13707"/>
    <w:rsid w:val="00D13895"/>
    <w:rsid w:val="00D1496E"/>
    <w:rsid w:val="00D14AE4"/>
    <w:rsid w:val="00D216CD"/>
    <w:rsid w:val="00D218B4"/>
    <w:rsid w:val="00D238CC"/>
    <w:rsid w:val="00D351CC"/>
    <w:rsid w:val="00D4118F"/>
    <w:rsid w:val="00D434C9"/>
    <w:rsid w:val="00D575D4"/>
    <w:rsid w:val="00D639C1"/>
    <w:rsid w:val="00D6557E"/>
    <w:rsid w:val="00D67D8A"/>
    <w:rsid w:val="00D71AD3"/>
    <w:rsid w:val="00D806AA"/>
    <w:rsid w:val="00D8081B"/>
    <w:rsid w:val="00D80A7F"/>
    <w:rsid w:val="00D81C55"/>
    <w:rsid w:val="00D8472B"/>
    <w:rsid w:val="00D8501B"/>
    <w:rsid w:val="00D851AB"/>
    <w:rsid w:val="00D90DAC"/>
    <w:rsid w:val="00D934ED"/>
    <w:rsid w:val="00DA07AA"/>
    <w:rsid w:val="00DA2529"/>
    <w:rsid w:val="00DA455F"/>
    <w:rsid w:val="00DA77F0"/>
    <w:rsid w:val="00DB130A"/>
    <w:rsid w:val="00DB15F5"/>
    <w:rsid w:val="00DB54CA"/>
    <w:rsid w:val="00DB5E3F"/>
    <w:rsid w:val="00DC10A1"/>
    <w:rsid w:val="00DC44DE"/>
    <w:rsid w:val="00DC53B1"/>
    <w:rsid w:val="00DC56AC"/>
    <w:rsid w:val="00DC59BD"/>
    <w:rsid w:val="00DC655F"/>
    <w:rsid w:val="00DD0F22"/>
    <w:rsid w:val="00DD7EBD"/>
    <w:rsid w:val="00DE25AA"/>
    <w:rsid w:val="00DE2F5D"/>
    <w:rsid w:val="00DE3D45"/>
    <w:rsid w:val="00DE4B07"/>
    <w:rsid w:val="00DE65B1"/>
    <w:rsid w:val="00DE7AA3"/>
    <w:rsid w:val="00DF1B24"/>
    <w:rsid w:val="00DF4E87"/>
    <w:rsid w:val="00DF5982"/>
    <w:rsid w:val="00DF62B6"/>
    <w:rsid w:val="00DF6624"/>
    <w:rsid w:val="00DF7F1E"/>
    <w:rsid w:val="00E019CB"/>
    <w:rsid w:val="00E07225"/>
    <w:rsid w:val="00E139A3"/>
    <w:rsid w:val="00E155B7"/>
    <w:rsid w:val="00E15AD6"/>
    <w:rsid w:val="00E15F88"/>
    <w:rsid w:val="00E242BA"/>
    <w:rsid w:val="00E40B8D"/>
    <w:rsid w:val="00E50F11"/>
    <w:rsid w:val="00E5409F"/>
    <w:rsid w:val="00E62E8C"/>
    <w:rsid w:val="00E63E9C"/>
    <w:rsid w:val="00E65904"/>
    <w:rsid w:val="00E70C9B"/>
    <w:rsid w:val="00E72298"/>
    <w:rsid w:val="00E775A7"/>
    <w:rsid w:val="00E82B74"/>
    <w:rsid w:val="00E84245"/>
    <w:rsid w:val="00E84DE2"/>
    <w:rsid w:val="00E8639E"/>
    <w:rsid w:val="00E8714E"/>
    <w:rsid w:val="00E87847"/>
    <w:rsid w:val="00E87EFD"/>
    <w:rsid w:val="00E96B4B"/>
    <w:rsid w:val="00EA71E2"/>
    <w:rsid w:val="00EA73F5"/>
    <w:rsid w:val="00EB2C44"/>
    <w:rsid w:val="00EB4F2F"/>
    <w:rsid w:val="00EC0185"/>
    <w:rsid w:val="00ED05B6"/>
    <w:rsid w:val="00ED1577"/>
    <w:rsid w:val="00ED33DB"/>
    <w:rsid w:val="00ED6F96"/>
    <w:rsid w:val="00EE0028"/>
    <w:rsid w:val="00EE4CB1"/>
    <w:rsid w:val="00EE6ADD"/>
    <w:rsid w:val="00EF0DFE"/>
    <w:rsid w:val="00EF55D6"/>
    <w:rsid w:val="00EF57F8"/>
    <w:rsid w:val="00EF5980"/>
    <w:rsid w:val="00EF5E4D"/>
    <w:rsid w:val="00F021FA"/>
    <w:rsid w:val="00F026B4"/>
    <w:rsid w:val="00F0384E"/>
    <w:rsid w:val="00F03E34"/>
    <w:rsid w:val="00F03EE6"/>
    <w:rsid w:val="00F0746D"/>
    <w:rsid w:val="00F11F96"/>
    <w:rsid w:val="00F14D69"/>
    <w:rsid w:val="00F156C9"/>
    <w:rsid w:val="00F1632C"/>
    <w:rsid w:val="00F27F26"/>
    <w:rsid w:val="00F311FC"/>
    <w:rsid w:val="00F317C8"/>
    <w:rsid w:val="00F3258B"/>
    <w:rsid w:val="00F37BD3"/>
    <w:rsid w:val="00F446CC"/>
    <w:rsid w:val="00F46FB8"/>
    <w:rsid w:val="00F55292"/>
    <w:rsid w:val="00F57ACA"/>
    <w:rsid w:val="00F618C6"/>
    <w:rsid w:val="00F62E97"/>
    <w:rsid w:val="00F64209"/>
    <w:rsid w:val="00F64895"/>
    <w:rsid w:val="00F65711"/>
    <w:rsid w:val="00F668C7"/>
    <w:rsid w:val="00F66D37"/>
    <w:rsid w:val="00F70F00"/>
    <w:rsid w:val="00F72A81"/>
    <w:rsid w:val="00F72B31"/>
    <w:rsid w:val="00F73399"/>
    <w:rsid w:val="00F76E00"/>
    <w:rsid w:val="00F8125C"/>
    <w:rsid w:val="00F8750F"/>
    <w:rsid w:val="00F875C7"/>
    <w:rsid w:val="00F93BF5"/>
    <w:rsid w:val="00F94302"/>
    <w:rsid w:val="00F96181"/>
    <w:rsid w:val="00F96438"/>
    <w:rsid w:val="00F96F63"/>
    <w:rsid w:val="00FA3284"/>
    <w:rsid w:val="00FB04FE"/>
    <w:rsid w:val="00FB380A"/>
    <w:rsid w:val="00FB3EDD"/>
    <w:rsid w:val="00FC0F31"/>
    <w:rsid w:val="00FC392C"/>
    <w:rsid w:val="00FC4106"/>
    <w:rsid w:val="00FC565D"/>
    <w:rsid w:val="00FD32FC"/>
    <w:rsid w:val="00FD403E"/>
    <w:rsid w:val="00FE1AFF"/>
    <w:rsid w:val="00FE43E7"/>
    <w:rsid w:val="00FF1110"/>
    <w:rsid w:val="00FF6C04"/>
    <w:rsid w:val="00FF7A37"/>
    <w:rsid w:val="5BA570E1"/>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EC6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uiPriority w:val="99"/>
    <w:semiHidden/>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unhideWhenUsed/>
    <w:rsid w:val="00642E7B"/>
    <w:rPr>
      <w:sz w:val="20"/>
    </w:rPr>
  </w:style>
  <w:style w:type="character" w:customStyle="1" w:styleId="CommentTextChar">
    <w:name w:val="Comment Text Char"/>
    <w:link w:val="CommentText"/>
    <w:uiPriority w:val="99"/>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A70B53"/>
  </w:style>
  <w:style w:type="character" w:customStyle="1" w:styleId="UnresolvedMention1">
    <w:name w:val="Unresolved Mention1"/>
    <w:uiPriority w:val="99"/>
    <w:rsid w:val="00314CDC"/>
    <w:rPr>
      <w:color w:val="605E5C"/>
      <w:shd w:val="clear" w:color="auto" w:fill="E1DFDD"/>
    </w:rPr>
  </w:style>
  <w:style w:type="character" w:styleId="FollowedHyperlink">
    <w:name w:val="FollowedHyperlink"/>
    <w:uiPriority w:val="99"/>
    <w:semiHidden/>
    <w:unhideWhenUsed/>
    <w:rsid w:val="009C006E"/>
    <w:rPr>
      <w:color w:val="954F72"/>
      <w:u w:val="single"/>
    </w:rPr>
  </w:style>
  <w:style w:type="paragraph" w:customStyle="1" w:styleId="xmsonormal">
    <w:name w:val="x_msonormal"/>
    <w:basedOn w:val="Normal"/>
    <w:rsid w:val="00D13895"/>
    <w:pPr>
      <w:widowControl/>
    </w:pPr>
    <w:rPr>
      <w:rFonts w:ascii="Calibri" w:eastAsia="Calibri" w:hAnsi="Calibri" w:cs="Calibri"/>
      <w:snapToGrid/>
      <w:kern w:val="0"/>
      <w:szCs w:val="22"/>
    </w:rPr>
  </w:style>
  <w:style w:type="character" w:customStyle="1" w:styleId="highlight">
    <w:name w:val="highlight"/>
    <w:rsid w:val="00A6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34&amp;originatingDoc=I2978955ac90b11e6bfb79a463a4b3bc7&amp;refType=LQ&amp;originationContext=document&amp;vr=3.0&amp;rs=cblt1.0&amp;transitionType=DocumentItem&amp;contextData=(sc.Search)" TargetMode="External" /><Relationship Id="rId2" Type="http://schemas.openxmlformats.org/officeDocument/2006/relationships/hyperlink" Target="http://www.westlaw.com/Link/Document/FullText?findType=L&amp;pubNum=1000546&amp;cite=47USCAS39&amp;originatingDoc=I2978955ac90b11e6bfb79a463a4b3bc7&amp;refType=LQ&amp;originationContext=document&amp;vr=3.0&amp;rs=cblt1.0&amp;transitionType=DocumentItem&amp;contextData=(sc.Search)" TargetMode="External" /><Relationship Id="rId3" Type="http://schemas.openxmlformats.org/officeDocument/2006/relationships/hyperlink" Target="http://www.westlaw.com/Link/Document/FullText?findType=Y&amp;serNum=1954047056&amp;pubNum=0001043&amp;originatingDoc=I2978955ac90b11e6bfb79a463a4b3bc7&amp;refType=CA&amp;originationContext=document&amp;vr=3.0&amp;rs=cblt1.0&amp;transitionType=DocumentItem&amp;contextData=(sc.Search)" TargetMode="External" /><Relationship Id="rId4" Type="http://schemas.openxmlformats.org/officeDocument/2006/relationships/hyperlink" Target="http://www.westlaw.com/Link/Document/FullText?findType=L&amp;pubNum=1000546&amp;cite=3USCAS301&amp;originatingDoc=I2978955ac90b11e6bfb79a463a4b3bc7&amp;refType=LQ&amp;originationContext=document&amp;vr=3.0&amp;rs=cblt1.0&amp;transitionType=DocumentItem&amp;contextData=(sc.Search)"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