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0C972BFB" w14:textId="77777777">
      <w:pPr>
        <w:jc w:val="right"/>
        <w:rPr>
          <w:sz w:val="24"/>
        </w:rPr>
      </w:pPr>
    </w:p>
    <w:p w:rsidR="005614FA" w:rsidP="005614FA" w14:paraId="1E7EFE59" w14:textId="6D963125">
      <w:pPr>
        <w:widowControl/>
        <w:suppressAutoHyphens/>
        <w:jc w:val="right"/>
        <w:rPr>
          <w:b/>
          <w:color w:val="000000"/>
        </w:rPr>
      </w:pPr>
      <w:bookmarkStart w:id="0" w:name="_Hlk77325260"/>
      <w:r>
        <w:rPr>
          <w:b/>
          <w:color w:val="000000"/>
        </w:rPr>
        <w:t>DA 2</w:t>
      </w:r>
      <w:r w:rsidR="001D11C0">
        <w:rPr>
          <w:b/>
          <w:color w:val="000000"/>
        </w:rPr>
        <w:t>1-</w:t>
      </w:r>
      <w:r w:rsidR="00915A5D">
        <w:rPr>
          <w:b/>
          <w:color w:val="000000"/>
        </w:rPr>
        <w:t>849</w:t>
      </w:r>
    </w:p>
    <w:p w:rsidR="005614FA" w:rsidP="005614FA" w14:paraId="08F06A39" w14:textId="1D6C2EBE">
      <w:pPr>
        <w:widowControl/>
        <w:suppressAutoHyphens/>
        <w:spacing w:after="240"/>
        <w:jc w:val="right"/>
        <w:rPr>
          <w:b/>
          <w:color w:val="000000"/>
        </w:rPr>
      </w:pPr>
      <w:r>
        <w:rPr>
          <w:b/>
          <w:color w:val="000000"/>
        </w:rPr>
        <w:t xml:space="preserve">Released: </w:t>
      </w:r>
      <w:r w:rsidR="001D11C0">
        <w:rPr>
          <w:b/>
          <w:color w:val="000000"/>
        </w:rPr>
        <w:t xml:space="preserve"> </w:t>
      </w:r>
      <w:r w:rsidR="00EC1D0F">
        <w:rPr>
          <w:b/>
          <w:color w:val="000000"/>
        </w:rPr>
        <w:t>Ju</w:t>
      </w:r>
      <w:r w:rsidR="0098004B">
        <w:rPr>
          <w:b/>
          <w:color w:val="000000"/>
        </w:rPr>
        <w:t>ly 16</w:t>
      </w:r>
      <w:r w:rsidR="001A5851">
        <w:rPr>
          <w:b/>
          <w:color w:val="000000"/>
        </w:rPr>
        <w:t xml:space="preserve">, </w:t>
      </w:r>
      <w:r>
        <w:rPr>
          <w:b/>
          <w:color w:val="000000"/>
        </w:rPr>
        <w:t>202</w:t>
      </w:r>
      <w:r w:rsidR="001D11C0">
        <w:rPr>
          <w:b/>
          <w:color w:val="000000"/>
        </w:rPr>
        <w:t>1</w:t>
      </w:r>
    </w:p>
    <w:p w:rsidR="006E376F" w:rsidP="00E156F9" w14:paraId="27B14601" w14:textId="77777777">
      <w:pPr>
        <w:jc w:val="center"/>
        <w:rPr>
          <w:b/>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w:t>
      </w:r>
    </w:p>
    <w:p w:rsidR="003A7376" w:rsidP="00E156F9" w14:paraId="0F36A593" w14:textId="77777777">
      <w:pPr>
        <w:jc w:val="center"/>
        <w:rPr>
          <w:b/>
          <w:bCs/>
          <w:snapToGrid/>
          <w:kern w:val="0"/>
          <w:szCs w:val="22"/>
        </w:rPr>
      </w:pPr>
      <w:r w:rsidRPr="00307030">
        <w:rPr>
          <w:b/>
          <w:szCs w:val="22"/>
        </w:rPr>
        <w:t xml:space="preserve">THE TRANSFER OF CONTROL OF </w:t>
      </w:r>
      <w:r w:rsidRPr="00E156F9" w:rsidR="00E156F9">
        <w:rPr>
          <w:b/>
          <w:bCs/>
          <w:snapToGrid/>
          <w:kern w:val="0"/>
          <w:szCs w:val="22"/>
        </w:rPr>
        <w:t xml:space="preserve">INTEROUTE US LLC </w:t>
      </w:r>
    </w:p>
    <w:p w:rsidR="00E156F9" w:rsidRPr="00E156F9" w:rsidP="00E156F9" w14:paraId="0A27CC4A" w14:textId="603C9540">
      <w:pPr>
        <w:jc w:val="center"/>
        <w:rPr>
          <w:rFonts w:eastAsia="Calibri"/>
          <w:b/>
          <w:caps/>
          <w:snapToGrid/>
          <w:kern w:val="0"/>
          <w:szCs w:val="22"/>
        </w:rPr>
      </w:pPr>
      <w:r>
        <w:rPr>
          <w:b/>
          <w:bCs/>
          <w:snapToGrid/>
          <w:kern w:val="0"/>
          <w:szCs w:val="22"/>
        </w:rPr>
        <w:t>TO CUBE TELECOM EUROPE (US BIDCO), LLC</w:t>
      </w:r>
    </w:p>
    <w:p w:rsidR="005614FA" w:rsidRPr="00307030" w:rsidP="00BE6279" w14:paraId="33D4D7DC" w14:textId="77777777">
      <w:pPr>
        <w:autoSpaceDE w:val="0"/>
        <w:autoSpaceDN w:val="0"/>
        <w:adjustRightInd w:val="0"/>
        <w:rPr>
          <w:b/>
          <w:szCs w:val="22"/>
        </w:rPr>
      </w:pPr>
    </w:p>
    <w:p w:rsidR="005614FA" w:rsidRPr="00307030" w:rsidP="005614FA" w14:paraId="0769F21F" w14:textId="77777777">
      <w:pPr>
        <w:autoSpaceDE w:val="0"/>
        <w:autoSpaceDN w:val="0"/>
        <w:adjustRightInd w:val="0"/>
        <w:jc w:val="center"/>
        <w:rPr>
          <w:b/>
          <w:szCs w:val="22"/>
        </w:rPr>
      </w:pPr>
      <w:r w:rsidRPr="00307030">
        <w:rPr>
          <w:b/>
          <w:szCs w:val="22"/>
        </w:rPr>
        <w:t xml:space="preserve">WC Docket No. </w:t>
      </w:r>
      <w:r w:rsidR="00BE6279">
        <w:rPr>
          <w:b/>
          <w:szCs w:val="22"/>
        </w:rPr>
        <w:t>20-</w:t>
      </w:r>
      <w:r w:rsidR="00E156F9">
        <w:rPr>
          <w:b/>
          <w:szCs w:val="22"/>
        </w:rPr>
        <w:t>427</w:t>
      </w:r>
    </w:p>
    <w:bookmarkEnd w:id="0"/>
    <w:p w:rsidR="001A3500" w:rsidP="00044F6D" w14:paraId="067A4D45" w14:textId="77777777">
      <w:pPr>
        <w:autoSpaceDE w:val="0"/>
        <w:autoSpaceDN w:val="0"/>
        <w:adjustRightInd w:val="0"/>
        <w:spacing w:after="120"/>
        <w:ind w:firstLine="720"/>
        <w:rPr>
          <w:color w:val="000000"/>
        </w:rPr>
      </w:pPr>
    </w:p>
    <w:p w:rsidR="00023FB3" w:rsidRPr="00023FB3" w:rsidP="00023FB3" w14:paraId="1CF2FC2A" w14:textId="1FC5B570">
      <w:pPr>
        <w:widowControl/>
        <w:autoSpaceDE w:val="0"/>
        <w:autoSpaceDN w:val="0"/>
        <w:adjustRightInd w:val="0"/>
        <w:spacing w:after="120"/>
        <w:ind w:firstLine="720"/>
        <w:rPr>
          <w:snapToGrid/>
          <w:kern w:val="0"/>
          <w:szCs w:val="22"/>
        </w:rPr>
      </w:pPr>
      <w:r w:rsidRPr="00023FB3">
        <w:rPr>
          <w:snapToGrid/>
          <w:kern w:val="0"/>
          <w:szCs w:val="22"/>
        </w:rPr>
        <w:t xml:space="preserve">By this Public Notice, the Wireline Competition Bureau </w:t>
      </w:r>
      <w:r>
        <w:rPr>
          <w:snapToGrid/>
          <w:kern w:val="0"/>
          <w:szCs w:val="22"/>
        </w:rPr>
        <w:t xml:space="preserve">grants, as conditioned, the application </w:t>
      </w:r>
      <w:r w:rsidRPr="00023FB3">
        <w:rPr>
          <w:snapToGrid/>
          <w:kern w:val="0"/>
          <w:szCs w:val="22"/>
        </w:rPr>
        <w:t>filed by GTT Communications, Inc. (GTT), Interoute US LLC (Interoute), and Cube Telecom Europe BidCo Limited (BidCo) (collectively, Applicants), pursuant to section 214 of the Communications Act of 1934, as amended, and sections 63.03-04 of the Commission’s rules, requesting consent to transfer control of Interoute</w:t>
      </w:r>
      <w:r w:rsidR="00FC0015">
        <w:rPr>
          <w:snapToGrid/>
          <w:kern w:val="0"/>
          <w:szCs w:val="22"/>
        </w:rPr>
        <w:t xml:space="preserve"> from GTT and its wholly-owned subsidiary, GTT Americas, LLC, to Cube Telecom Europe (US BidCo)</w:t>
      </w:r>
      <w:r w:rsidR="003A7376">
        <w:rPr>
          <w:snapToGrid/>
          <w:kern w:val="0"/>
          <w:szCs w:val="22"/>
        </w:rPr>
        <w:t>, LLC (US BidCo)</w:t>
      </w:r>
      <w:r w:rsidRPr="00023FB3">
        <w:rPr>
          <w:snapToGrid/>
          <w:kern w:val="0"/>
          <w:szCs w:val="22"/>
        </w:rPr>
        <w:t>.</w:t>
      </w:r>
      <w:r>
        <w:rPr>
          <w:snapToGrid/>
          <w:kern w:val="0"/>
          <w:szCs w:val="22"/>
          <w:vertAlign w:val="superscript"/>
        </w:rPr>
        <w:footnoteReference w:id="3"/>
      </w:r>
      <w:r w:rsidRPr="00023FB3">
        <w:rPr>
          <w:snapToGrid/>
          <w:kern w:val="0"/>
          <w:szCs w:val="22"/>
        </w:rPr>
        <w:t xml:space="preserve">   </w:t>
      </w:r>
    </w:p>
    <w:p w:rsidR="00AB1746" w:rsidP="00C54865" w14:paraId="30C099E8" w14:textId="77777777">
      <w:pPr>
        <w:autoSpaceDE w:val="0"/>
        <w:autoSpaceDN w:val="0"/>
        <w:adjustRightInd w:val="0"/>
        <w:spacing w:after="120"/>
        <w:ind w:firstLine="720"/>
      </w:pPr>
      <w:r>
        <w:rPr>
          <w:color w:val="000000"/>
          <w:szCs w:val="24"/>
        </w:rPr>
        <w:t>On December</w:t>
      </w:r>
      <w:r w:rsidR="00FB7981">
        <w:rPr>
          <w:color w:val="000000"/>
          <w:szCs w:val="24"/>
        </w:rPr>
        <w:t xml:space="preserve"> </w:t>
      </w:r>
      <w:r w:rsidR="00C8607B">
        <w:rPr>
          <w:color w:val="000000"/>
          <w:szCs w:val="24"/>
        </w:rPr>
        <w:t>31</w:t>
      </w:r>
      <w:r>
        <w:rPr>
          <w:color w:val="000000"/>
          <w:szCs w:val="24"/>
        </w:rPr>
        <w:t>, 20</w:t>
      </w:r>
      <w:r w:rsidR="00164EF4">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4"/>
      </w:r>
      <w:r>
        <w:rPr>
          <w:color w:val="000000"/>
          <w:szCs w:val="22"/>
        </w:rPr>
        <w:t xml:space="preserve">  </w:t>
      </w:r>
      <w:r>
        <w:rPr>
          <w:szCs w:val="22"/>
        </w:rPr>
        <w:t>The Bureau did not receive comments or petitions in opposition to the Application.</w:t>
      </w:r>
      <w:r w:rsidRPr="00AB1746">
        <w:t xml:space="preserve"> </w:t>
      </w:r>
    </w:p>
    <w:p w:rsidR="00604030" w:rsidP="00604030" w14:paraId="67DD35C7" w14:textId="77777777">
      <w:pPr>
        <w:widowControl/>
        <w:autoSpaceDE w:val="0"/>
        <w:autoSpaceDN w:val="0"/>
        <w:adjustRightInd w:val="0"/>
        <w:spacing w:after="120"/>
        <w:ind w:firstLine="720"/>
        <w:rPr>
          <w:rFonts w:ascii="TimesNewRomanPSMT" w:hAnsi="TimesNewRomanPSMT" w:cs="TimesNewRomanPSMT"/>
          <w:snapToGrid/>
          <w:kern w:val="0"/>
          <w:szCs w:val="22"/>
        </w:rPr>
      </w:pPr>
      <w:r w:rsidRPr="00604030">
        <w:rPr>
          <w:rFonts w:ascii="TimesNewRomanPSMT" w:hAnsi="TimesNewRomanPSMT" w:cs="TimesNewRomanPSMT"/>
          <w:snapToGrid/>
          <w:kern w:val="0"/>
          <w:szCs w:val="22"/>
        </w:rPr>
        <w:t>GTT, a Delaware corporation and, through its subsidiaries, a global provider of cloud networking services, wholly owns Interoute.</w:t>
      </w:r>
      <w:r>
        <w:rPr>
          <w:rStyle w:val="FootnoteReference"/>
          <w:rFonts w:cs="TimesNewRomanPSMT"/>
          <w:snapToGrid/>
          <w:kern w:val="0"/>
          <w:szCs w:val="22"/>
        </w:rPr>
        <w:footnoteReference w:id="5"/>
      </w:r>
      <w:r w:rsidRPr="00604030">
        <w:rPr>
          <w:rFonts w:ascii="TimesNewRomanPSMT" w:hAnsi="TimesNewRomanPSMT" w:cs="TimesNewRomanPSMT"/>
          <w:snapToGrid/>
          <w:kern w:val="0"/>
          <w:szCs w:val="22"/>
        </w:rPr>
        <w:t xml:space="preserve">  Interoute, a Delaware limited liability company, was formed for the purposes of the proposed transaction.</w:t>
      </w:r>
      <w:r>
        <w:rPr>
          <w:rStyle w:val="FootnoteReference"/>
          <w:rFonts w:cs="TimesNewRomanPSMT"/>
          <w:snapToGrid/>
          <w:kern w:val="0"/>
          <w:szCs w:val="22"/>
        </w:rPr>
        <w:footnoteReference w:id="6"/>
      </w:r>
      <w:r w:rsidRPr="00604030">
        <w:rPr>
          <w:rFonts w:ascii="TimesNewRomanPSMT" w:hAnsi="TimesNewRomanPSMT" w:cs="TimesNewRomanPSMT"/>
          <w:snapToGrid/>
          <w:kern w:val="0"/>
          <w:szCs w:val="22"/>
        </w:rPr>
        <w:t xml:space="preserve">  At and prior to closing, Interoute will offer interstate </w:t>
      </w:r>
      <w:r w:rsidRPr="00604030">
        <w:rPr>
          <w:rFonts w:ascii="TimesNewRomanPSMT" w:hAnsi="TimesNewRomanPSMT" w:cs="TimesNewRomanPSMT"/>
          <w:snapToGrid/>
          <w:kern w:val="0"/>
          <w:szCs w:val="22"/>
        </w:rPr>
        <w:t>telecommunications services and broadband services to wholesale, enterprise, and other customers in various states.</w:t>
      </w:r>
      <w:r>
        <w:rPr>
          <w:rFonts w:ascii="TimesNewRomanPSMT" w:hAnsi="TimesNewRomanPSMT" w:cs="TimesNewRomanPSMT"/>
          <w:snapToGrid/>
          <w:kern w:val="0"/>
          <w:szCs w:val="22"/>
          <w:vertAlign w:val="superscript"/>
        </w:rPr>
        <w:footnoteReference w:id="7"/>
      </w:r>
      <w:r w:rsidRPr="00604030">
        <w:rPr>
          <w:rFonts w:ascii="TimesNewRomanPSMT" w:hAnsi="TimesNewRomanPSMT" w:cs="TimesNewRomanPSMT"/>
          <w:snapToGrid/>
          <w:kern w:val="0"/>
          <w:szCs w:val="22"/>
        </w:rPr>
        <w:t xml:space="preserve">  </w:t>
      </w:r>
    </w:p>
    <w:p w:rsidR="001E4911" w:rsidRPr="003852DA" w:rsidP="003852DA" w14:paraId="2C650958" w14:textId="03EC2086">
      <w:pPr>
        <w:widowControl/>
        <w:autoSpaceDE w:val="0"/>
        <w:autoSpaceDN w:val="0"/>
        <w:adjustRightInd w:val="0"/>
        <w:spacing w:after="120"/>
        <w:ind w:firstLine="720"/>
        <w:rPr>
          <w:rFonts w:ascii="TimesNewRomanPSMT" w:hAnsi="TimesNewRomanPSMT" w:cs="TimesNewRomanPSMT"/>
          <w:snapToGrid/>
          <w:kern w:val="0"/>
          <w:szCs w:val="22"/>
        </w:rPr>
      </w:pPr>
      <w:r>
        <w:rPr>
          <w:rFonts w:ascii="TimesNewRomanPSMT" w:hAnsi="TimesNewRomanPSMT" w:cs="TimesNewRomanPSMT"/>
          <w:snapToGrid/>
          <w:kern w:val="0"/>
          <w:szCs w:val="22"/>
        </w:rPr>
        <w:t>US BidCo, a Delaware limited liability company and wholly</w:t>
      </w:r>
      <w:r w:rsidR="00A535D7">
        <w:rPr>
          <w:rFonts w:ascii="TimesNewRomanPSMT" w:hAnsi="TimesNewRomanPSMT" w:cs="TimesNewRomanPSMT"/>
          <w:snapToGrid/>
          <w:kern w:val="0"/>
          <w:szCs w:val="22"/>
        </w:rPr>
        <w:t>-</w:t>
      </w:r>
      <w:r>
        <w:rPr>
          <w:rFonts w:ascii="TimesNewRomanPSMT" w:hAnsi="TimesNewRomanPSMT" w:cs="TimesNewRomanPSMT"/>
          <w:snapToGrid/>
          <w:kern w:val="0"/>
          <w:szCs w:val="22"/>
        </w:rPr>
        <w:t xml:space="preserve">owned subsidiary of BidCo, an England and Wales limited liability company, will become the direct parent of </w:t>
      </w:r>
      <w:r w:rsidR="003A7376">
        <w:rPr>
          <w:rFonts w:ascii="TimesNewRomanPSMT" w:hAnsi="TimesNewRomanPSMT" w:cs="TimesNewRomanPSMT"/>
          <w:snapToGrid/>
          <w:kern w:val="0"/>
          <w:szCs w:val="22"/>
        </w:rPr>
        <w:t xml:space="preserve">Interoute </w:t>
      </w:r>
      <w:r>
        <w:rPr>
          <w:rFonts w:ascii="TimesNewRomanPSMT" w:hAnsi="TimesNewRomanPSMT" w:cs="TimesNewRomanPSMT"/>
          <w:snapToGrid/>
          <w:kern w:val="0"/>
          <w:szCs w:val="22"/>
        </w:rPr>
        <w:t>at closing</w:t>
      </w:r>
      <w:r w:rsidRPr="001E4911">
        <w:rPr>
          <w:rFonts w:ascii="TimesNewRomanPSMT" w:hAnsi="TimesNewRomanPSMT" w:cs="TimesNewRomanPSMT"/>
          <w:snapToGrid/>
          <w:kern w:val="0"/>
          <w:szCs w:val="22"/>
        </w:rPr>
        <w:t>.</w:t>
      </w:r>
      <w:r w:rsidRPr="000859A4" w:rsidR="000859A4">
        <w:rPr>
          <w:rStyle w:val="FootnoteReference"/>
          <w:rFonts w:cs="TimesNewRomanPSMT"/>
          <w:snapToGrid/>
          <w:kern w:val="0"/>
          <w:szCs w:val="22"/>
        </w:rPr>
        <w:t xml:space="preserve"> </w:t>
      </w:r>
      <w:r>
        <w:rPr>
          <w:rStyle w:val="FootnoteReference"/>
          <w:rFonts w:cs="TimesNewRomanPSMT"/>
          <w:snapToGrid/>
          <w:kern w:val="0"/>
          <w:szCs w:val="22"/>
        </w:rPr>
        <w:footnoteReference w:id="8"/>
      </w:r>
      <w:r w:rsidRPr="001E4911" w:rsidR="000859A4">
        <w:rPr>
          <w:rFonts w:ascii="TimesNewRomanPSMT" w:hAnsi="TimesNewRomanPSMT" w:cs="TimesNewRomanPSMT"/>
          <w:snapToGrid/>
          <w:kern w:val="0"/>
          <w:szCs w:val="22"/>
        </w:rPr>
        <w:t xml:space="preserve"> </w:t>
      </w:r>
      <w:r w:rsidRPr="001E4911">
        <w:rPr>
          <w:rFonts w:ascii="TimesNewRomanPSMT" w:hAnsi="TimesNewRomanPSMT" w:cs="TimesNewRomanPSMT"/>
          <w:snapToGrid/>
          <w:kern w:val="0"/>
          <w:szCs w:val="22"/>
        </w:rPr>
        <w:t xml:space="preserve">  BidCo is affiliated with NextGen MultiMedia Limited (NextGen), a Delaware limited company.</w:t>
      </w:r>
      <w:r>
        <w:rPr>
          <w:rStyle w:val="FootnoteReference"/>
          <w:rFonts w:cs="TimesNewRomanPSMT"/>
          <w:snapToGrid/>
          <w:kern w:val="0"/>
          <w:szCs w:val="22"/>
        </w:rPr>
        <w:footnoteReference w:id="9"/>
      </w:r>
      <w:r w:rsidR="000859A4">
        <w:rPr>
          <w:rFonts w:ascii="TimesNewRomanPSMT" w:hAnsi="TimesNewRomanPSMT" w:cs="TimesNewRomanPSMT"/>
          <w:snapToGrid/>
          <w:kern w:val="0"/>
          <w:szCs w:val="22"/>
        </w:rPr>
        <w:t xml:space="preserve"> </w:t>
      </w:r>
      <w:r w:rsidRPr="001E4911">
        <w:rPr>
          <w:rFonts w:ascii="TimesNewRomanPSMT" w:hAnsi="TimesNewRomanPSMT" w:cs="TimesNewRomanPSMT"/>
          <w:snapToGrid/>
          <w:kern w:val="0"/>
          <w:szCs w:val="22"/>
        </w:rPr>
        <w:t xml:space="preserve"> NextGen provides transit, Ethernet</w:t>
      </w:r>
      <w:r w:rsidR="003A7376">
        <w:rPr>
          <w:rFonts w:ascii="TimesNewRomanPSMT" w:hAnsi="TimesNewRomanPSMT" w:cs="TimesNewRomanPSMT"/>
          <w:snapToGrid/>
          <w:kern w:val="0"/>
          <w:szCs w:val="22"/>
        </w:rPr>
        <w:t>,</w:t>
      </w:r>
      <w:r w:rsidRPr="001E4911">
        <w:rPr>
          <w:rFonts w:ascii="TimesNewRomanPSMT" w:hAnsi="TimesNewRomanPSMT" w:cs="TimesNewRomanPSMT"/>
          <w:snapToGrid/>
          <w:kern w:val="0"/>
          <w:szCs w:val="22"/>
        </w:rPr>
        <w:t xml:space="preserve"> and other services through its points of presence and limited fiber deployment in California and New York.</w:t>
      </w:r>
      <w:r>
        <w:rPr>
          <w:rFonts w:ascii="TimesNewRomanPSMT" w:hAnsi="TimesNewRomanPSMT" w:cs="TimesNewRomanPSMT"/>
          <w:snapToGrid/>
          <w:kern w:val="0"/>
          <w:szCs w:val="22"/>
          <w:vertAlign w:val="superscript"/>
        </w:rPr>
        <w:footnoteReference w:id="10"/>
      </w:r>
      <w:r w:rsidRPr="001E4911">
        <w:rPr>
          <w:rFonts w:ascii="TimesNewRomanPSMT" w:hAnsi="TimesNewRomanPSMT" w:cs="TimesNewRomanPSMT"/>
          <w:snapToGrid/>
          <w:kern w:val="0"/>
          <w:szCs w:val="22"/>
        </w:rPr>
        <w:t xml:space="preserve">  BidCo is owned by Cube Telecom Europe TopCo Limited (TopCo), which is a wholly</w:t>
      </w:r>
      <w:r w:rsidR="003A7376">
        <w:rPr>
          <w:rFonts w:ascii="TimesNewRomanPSMT" w:hAnsi="TimesNewRomanPSMT" w:cs="TimesNewRomanPSMT"/>
          <w:snapToGrid/>
          <w:kern w:val="0"/>
          <w:szCs w:val="22"/>
        </w:rPr>
        <w:t>-</w:t>
      </w:r>
      <w:r w:rsidRPr="001E4911">
        <w:rPr>
          <w:rFonts w:ascii="TimesNewRomanPSMT" w:hAnsi="TimesNewRomanPSMT" w:cs="TimesNewRomanPSMT"/>
          <w:snapToGrid/>
          <w:kern w:val="0"/>
          <w:szCs w:val="22"/>
        </w:rPr>
        <w:t>owned subsidiary of Cube Telecom Europe Holdings Limited (Cube Holdings), all formed under the laws of England and Wales.</w:t>
      </w:r>
      <w:r>
        <w:rPr>
          <w:rFonts w:ascii="TimesNewRomanPSMT" w:hAnsi="TimesNewRomanPSMT" w:cs="TimesNewRomanPSMT"/>
          <w:snapToGrid/>
          <w:kern w:val="0"/>
          <w:szCs w:val="22"/>
          <w:vertAlign w:val="superscript"/>
        </w:rPr>
        <w:footnoteReference w:id="11"/>
      </w:r>
      <w:r w:rsidRPr="001E4911">
        <w:rPr>
          <w:rFonts w:ascii="TimesNewRomanPSMT" w:hAnsi="TimesNewRomanPSMT" w:cs="TimesNewRomanPSMT"/>
          <w:snapToGrid/>
          <w:kern w:val="0"/>
          <w:szCs w:val="22"/>
        </w:rPr>
        <w:t xml:space="preserve">  Cube Holdings is indirectly and ultimately owned by ISQ Holdings, LLC (ISQ Holdings), a Cayman Islands entity.</w:t>
      </w:r>
      <w:r>
        <w:rPr>
          <w:rFonts w:ascii="TimesNewRomanPSMT" w:hAnsi="TimesNewRomanPSMT" w:cs="TimesNewRomanPSMT"/>
          <w:snapToGrid/>
          <w:kern w:val="0"/>
          <w:szCs w:val="22"/>
          <w:vertAlign w:val="superscript"/>
        </w:rPr>
        <w:footnoteReference w:id="12"/>
      </w:r>
      <w:r w:rsidRPr="001E4911">
        <w:rPr>
          <w:rFonts w:ascii="TimesNewRomanPSMT" w:hAnsi="TimesNewRomanPSMT" w:cs="TimesNewRomanPSMT"/>
          <w:snapToGrid/>
          <w:kern w:val="0"/>
          <w:szCs w:val="22"/>
        </w:rPr>
        <w:t xml:space="preserve">  ISQ Holdings is equally owned and controlled by Adil Rahmathulla, a citizen of Canada, Guatam Bhandari, a citizen of the United States, and Sadek M. Wahba, a citizen of the United States</w:t>
      </w:r>
      <w:r w:rsidR="006613AC">
        <w:rPr>
          <w:rFonts w:ascii="TimesNewRomanPSMT" w:hAnsi="TimesNewRomanPSMT" w:cs="TimesNewRomanPSMT"/>
          <w:snapToGrid/>
          <w:kern w:val="0"/>
          <w:szCs w:val="22"/>
        </w:rPr>
        <w:t>,</w:t>
      </w:r>
      <w:r w:rsidRPr="001E4911">
        <w:rPr>
          <w:rFonts w:ascii="TimesNewRomanPSMT" w:hAnsi="TimesNewRomanPSMT" w:cs="TimesNewRomanPSMT"/>
          <w:snapToGrid/>
          <w:kern w:val="0"/>
          <w:szCs w:val="22"/>
        </w:rPr>
        <w:t xml:space="preserve"> the United Kingdom</w:t>
      </w:r>
      <w:r w:rsidR="00061AAC">
        <w:rPr>
          <w:rFonts w:ascii="TimesNewRomanPSMT" w:hAnsi="TimesNewRomanPSMT" w:cs="TimesNewRomanPSMT"/>
          <w:snapToGrid/>
          <w:kern w:val="0"/>
          <w:szCs w:val="22"/>
        </w:rPr>
        <w:t>,</w:t>
      </w:r>
      <w:r w:rsidR="006613AC">
        <w:rPr>
          <w:rFonts w:ascii="TimesNewRomanPSMT" w:hAnsi="TimesNewRomanPSMT" w:cs="TimesNewRomanPSMT"/>
          <w:snapToGrid/>
          <w:kern w:val="0"/>
          <w:szCs w:val="22"/>
        </w:rPr>
        <w:t xml:space="preserve"> and Egypt</w:t>
      </w:r>
      <w:r w:rsidRPr="001E4911">
        <w:rPr>
          <w:rFonts w:ascii="TimesNewRomanPSMT" w:hAnsi="TimesNewRomanPSMT" w:cs="TimesNewRomanPSMT"/>
          <w:snapToGrid/>
          <w:kern w:val="0"/>
          <w:szCs w:val="22"/>
        </w:rPr>
        <w:t>.</w:t>
      </w:r>
      <w:r>
        <w:rPr>
          <w:rStyle w:val="FootnoteReference"/>
          <w:rFonts w:cs="TimesNewRomanPSMT"/>
          <w:snapToGrid/>
          <w:kern w:val="0"/>
          <w:szCs w:val="22"/>
        </w:rPr>
        <w:footnoteReference w:id="13"/>
      </w:r>
      <w:r w:rsidRPr="001E4911">
        <w:rPr>
          <w:rFonts w:ascii="TimesNewRomanPSMT" w:hAnsi="TimesNewRomanPSMT" w:cs="TimesNewRomanPSMT"/>
          <w:snapToGrid/>
          <w:kern w:val="0"/>
          <w:szCs w:val="22"/>
        </w:rPr>
        <w:t xml:space="preserve">  </w:t>
      </w:r>
    </w:p>
    <w:p w:rsidR="00CF28E3" w:rsidRPr="00CF28E3" w:rsidP="00CF28E3" w14:paraId="3B24424C" w14:textId="14A8671C">
      <w:pPr>
        <w:widowControl/>
        <w:autoSpaceDE w:val="0"/>
        <w:autoSpaceDN w:val="0"/>
        <w:adjustRightInd w:val="0"/>
        <w:spacing w:after="120"/>
        <w:ind w:firstLine="720"/>
        <w:rPr>
          <w:color w:val="000000"/>
        </w:rPr>
      </w:pPr>
      <w:r w:rsidRPr="004753F7">
        <w:t xml:space="preserve">Pursuant to Commission practice, the </w:t>
      </w:r>
      <w:r w:rsidRPr="00DD0B78" w:rsidR="00DD0B78">
        <w:rPr>
          <w:szCs w:val="22"/>
        </w:rPr>
        <w:t xml:space="preserve">transfer of domestic section 214 authority and the associated international applications, ITC-T/C-20201215-00209 and SCL-T/C-20201216-00048 (collectively, </w:t>
      </w:r>
      <w:r w:rsidRPr="00DD0B78">
        <w:rPr>
          <w:szCs w:val="22"/>
        </w:rPr>
        <w:t>Applications</w:t>
      </w:r>
      <w:r w:rsidRPr="00DD0B78" w:rsidR="00DD0B78">
        <w:rPr>
          <w:szCs w:val="22"/>
        </w:rPr>
        <w:t>)</w:t>
      </w:r>
      <w:r w:rsidR="00A535D7">
        <w:rPr>
          <w:szCs w:val="22"/>
        </w:rPr>
        <w:t>,</w:t>
      </w:r>
      <w:r w:rsidRPr="004753F7">
        <w:t xml:space="preserve"> were referred to the relevant Executive Branch agencies for their reviews on any national security, law enforcement, foreign policy, or trade policy concerns related to the foreign ownership of the Applicants.</w:t>
      </w:r>
      <w:r>
        <w:rPr>
          <w:rStyle w:val="FootnoteReference"/>
        </w:rPr>
        <w:footnoteReference w:id="14"/>
      </w:r>
      <w:r w:rsidR="0084061A">
        <w:t xml:space="preserve">  </w:t>
      </w:r>
      <w:r w:rsidRPr="00CF28E3">
        <w:rPr>
          <w:color w:val="000000"/>
        </w:rPr>
        <w:t>On</w:t>
      </w:r>
      <w:r w:rsidR="00571590">
        <w:rPr>
          <w:color w:val="000000"/>
        </w:rPr>
        <w:t xml:space="preserve"> </w:t>
      </w:r>
      <w:r w:rsidR="00A91084">
        <w:rPr>
          <w:color w:val="000000"/>
        </w:rPr>
        <w:t>January</w:t>
      </w:r>
      <w:r w:rsidR="00571590">
        <w:rPr>
          <w:color w:val="000000"/>
        </w:rPr>
        <w:t xml:space="preserve"> </w:t>
      </w:r>
      <w:r w:rsidR="00A91084">
        <w:rPr>
          <w:color w:val="000000"/>
        </w:rPr>
        <w:t>4</w:t>
      </w:r>
      <w:r w:rsidRPr="00CF28E3">
        <w:rPr>
          <w:color w:val="000000"/>
        </w:rPr>
        <w:t>, 202</w:t>
      </w:r>
      <w:r w:rsidR="00A91084">
        <w:rPr>
          <w:color w:val="000000"/>
        </w:rPr>
        <w:t>1</w:t>
      </w:r>
      <w:r w:rsidRPr="00CF28E3">
        <w:rPr>
          <w:color w:val="000000"/>
        </w:rPr>
        <w:t>, the Committee for the Assessment of Foreign Participation in the United States Telecommunications Services Sector (Committee) notified the Commission that it was reviewing the Application</w:t>
      </w:r>
      <w:r w:rsidR="00E22CF2">
        <w:rPr>
          <w:color w:val="000000"/>
        </w:rPr>
        <w:t>s</w:t>
      </w:r>
      <w:r w:rsidR="00216B5D">
        <w:rPr>
          <w:color w:val="000000"/>
        </w:rPr>
        <w:t xml:space="preserve"> for any national security and law enforcement concerns that may be raised by foreign participation in the United States telecommunications services sector and requested that the Commission defer action on the </w:t>
      </w:r>
      <w:r w:rsidR="00E25939">
        <w:rPr>
          <w:color w:val="000000"/>
        </w:rPr>
        <w:t>Application</w:t>
      </w:r>
      <w:r w:rsidRPr="00CF28E3">
        <w:rPr>
          <w:color w:val="000000"/>
        </w:rPr>
        <w:t>.</w:t>
      </w:r>
      <w:r>
        <w:rPr>
          <w:color w:val="000000"/>
          <w:vertAlign w:val="superscript"/>
        </w:rPr>
        <w:footnoteReference w:id="15"/>
      </w:r>
      <w:r w:rsidRPr="00CF28E3">
        <w:rPr>
          <w:color w:val="000000"/>
        </w:rPr>
        <w:t xml:space="preserve">  We deferred action </w:t>
      </w:r>
      <w:r w:rsidR="00DD0B78">
        <w:rPr>
          <w:color w:val="000000"/>
        </w:rPr>
        <w:t xml:space="preserve">on the Application </w:t>
      </w:r>
      <w:r w:rsidRPr="00CF28E3">
        <w:rPr>
          <w:color w:val="000000"/>
        </w:rPr>
        <w:t xml:space="preserve">in response to this request from the Committee.  </w:t>
      </w:r>
      <w:r w:rsidR="00274C55">
        <w:rPr>
          <w:color w:val="000000"/>
        </w:rPr>
        <w:t>O</w:t>
      </w:r>
      <w:r w:rsidR="00530C22">
        <w:rPr>
          <w:color w:val="000000"/>
        </w:rPr>
        <w:t>n</w:t>
      </w:r>
      <w:r w:rsidR="00B711AE">
        <w:rPr>
          <w:color w:val="000000"/>
        </w:rPr>
        <w:t xml:space="preserve"> </w:t>
      </w:r>
      <w:r w:rsidR="0073041C">
        <w:rPr>
          <w:color w:val="000000"/>
        </w:rPr>
        <w:t>March</w:t>
      </w:r>
      <w:r w:rsidR="00B711AE">
        <w:rPr>
          <w:color w:val="000000"/>
        </w:rPr>
        <w:t xml:space="preserve"> 2</w:t>
      </w:r>
      <w:r w:rsidR="0073041C">
        <w:rPr>
          <w:color w:val="000000"/>
        </w:rPr>
        <w:t>3</w:t>
      </w:r>
      <w:r w:rsidRPr="00CF28E3">
        <w:rPr>
          <w:color w:val="000000"/>
        </w:rPr>
        <w:t>, 202</w:t>
      </w:r>
      <w:r w:rsidR="00B711AE">
        <w:rPr>
          <w:color w:val="000000"/>
        </w:rPr>
        <w:t>1</w:t>
      </w:r>
      <w:r w:rsidRPr="00CF28E3">
        <w:rPr>
          <w:color w:val="000000"/>
        </w:rPr>
        <w:t>, the Committee notified the Commission that the Applicant</w:t>
      </w:r>
      <w:r w:rsidR="00E22CF2">
        <w:rPr>
          <w:color w:val="000000"/>
        </w:rPr>
        <w:t>s</w:t>
      </w:r>
      <w:r w:rsidRPr="00CF28E3">
        <w:rPr>
          <w:color w:val="000000"/>
        </w:rPr>
        <w:t xml:space="preserve"> had provided complete responses to initial questions posed by the Committee and that the Committee was conducting an initial review to assess whether granting the Application</w:t>
      </w:r>
      <w:r w:rsidR="00DD0B78">
        <w:rPr>
          <w:color w:val="000000"/>
        </w:rPr>
        <w:t>s</w:t>
      </w:r>
      <w:r w:rsidRPr="00CF28E3">
        <w:rPr>
          <w:color w:val="000000"/>
        </w:rPr>
        <w:t xml:space="preserve"> would pose a risk to the national security or law enforcement interests of the United States.</w:t>
      </w:r>
      <w:r>
        <w:rPr>
          <w:color w:val="000000"/>
          <w:vertAlign w:val="superscript"/>
        </w:rPr>
        <w:footnoteReference w:id="16"/>
      </w:r>
    </w:p>
    <w:p w:rsidR="00B00DBA" w:rsidRPr="005A0E75" w:rsidP="00250FD4" w14:paraId="79102277" w14:textId="2BA5C8DD">
      <w:pPr>
        <w:widowControl/>
        <w:autoSpaceDE w:val="0"/>
        <w:autoSpaceDN w:val="0"/>
        <w:adjustRightInd w:val="0"/>
        <w:spacing w:after="120"/>
        <w:ind w:firstLine="720"/>
        <w:rPr>
          <w:color w:val="000000"/>
        </w:rPr>
      </w:pPr>
      <w:r w:rsidRPr="00CF28E3">
        <w:rPr>
          <w:color w:val="000000"/>
        </w:rPr>
        <w:t xml:space="preserve">On </w:t>
      </w:r>
      <w:r w:rsidR="001C5C06">
        <w:rPr>
          <w:color w:val="000000"/>
        </w:rPr>
        <w:t>July 14</w:t>
      </w:r>
      <w:r w:rsidRPr="00CF28E3">
        <w:rPr>
          <w:color w:val="000000"/>
        </w:rPr>
        <w:t>,</w:t>
      </w:r>
      <w:r w:rsidR="001C5C06">
        <w:rPr>
          <w:color w:val="000000"/>
        </w:rPr>
        <w:t xml:space="preserve"> 2021,</w:t>
      </w:r>
      <w:r w:rsidRPr="00CF28E3">
        <w:rPr>
          <w:color w:val="000000"/>
        </w:rPr>
        <w:t xml:space="preserve"> the National Telecommunications and Information Administration </w:t>
      </w:r>
      <w:r w:rsidR="006D6039">
        <w:rPr>
          <w:color w:val="000000"/>
        </w:rPr>
        <w:t xml:space="preserve">(NTIA) </w:t>
      </w:r>
      <w:r w:rsidRPr="006D6039">
        <w:rPr>
          <w:color w:val="000000"/>
        </w:rPr>
        <w:t>submitted a Petition to Adopt Conditions to Authorization</w:t>
      </w:r>
      <w:r w:rsidR="001C5C06">
        <w:rPr>
          <w:color w:val="000000"/>
        </w:rPr>
        <w:t>s</w:t>
      </w:r>
      <w:r w:rsidRPr="006D6039">
        <w:rPr>
          <w:color w:val="000000"/>
        </w:rPr>
        <w:t xml:space="preserve"> and License</w:t>
      </w:r>
      <w:r w:rsidR="001C5C06">
        <w:rPr>
          <w:color w:val="000000"/>
        </w:rPr>
        <w:t>s</w:t>
      </w:r>
      <w:r w:rsidRPr="006D6039">
        <w:rPr>
          <w:color w:val="000000"/>
        </w:rPr>
        <w:t xml:space="preserve"> (Petition) on behalf of the </w:t>
      </w:r>
      <w:r w:rsidRPr="006D6039">
        <w:rPr>
          <w:color w:val="000000"/>
        </w:rPr>
        <w:t>Committee</w:t>
      </w:r>
      <w:r>
        <w:rPr>
          <w:color w:val="000000"/>
        </w:rPr>
        <w:t>.</w:t>
      </w:r>
      <w:r>
        <w:rPr>
          <w:rStyle w:val="FootnoteReference"/>
        </w:rPr>
        <w:footnoteReference w:id="17"/>
      </w:r>
      <w:r w:rsidRPr="004E1B98" w:rsidR="004E1B98">
        <w:rPr>
          <w:color w:val="000000"/>
        </w:rPr>
        <w:t xml:space="preserve"> </w:t>
      </w:r>
      <w:r w:rsidR="004E1B98">
        <w:rPr>
          <w:color w:val="000000"/>
        </w:rPr>
        <w:t xml:space="preserve"> </w:t>
      </w:r>
      <w:r w:rsidRPr="006D6039" w:rsidR="004E1B98">
        <w:rPr>
          <w:color w:val="000000"/>
        </w:rPr>
        <w:t xml:space="preserve">In the Petition, NTIA advises the Commission that it has no objection to the Commission granting the </w:t>
      </w:r>
      <w:r w:rsidR="00E25939">
        <w:rPr>
          <w:color w:val="000000"/>
        </w:rPr>
        <w:t>Application</w:t>
      </w:r>
      <w:r w:rsidR="00E22CF2">
        <w:rPr>
          <w:color w:val="000000"/>
        </w:rPr>
        <w:t>s</w:t>
      </w:r>
      <w:r w:rsidR="004E1B98">
        <w:rPr>
          <w:color w:val="000000"/>
        </w:rPr>
        <w:t xml:space="preserve"> </w:t>
      </w:r>
      <w:r w:rsidR="001C5C06">
        <w:rPr>
          <w:color w:val="000000"/>
        </w:rPr>
        <w:t>“</w:t>
      </w:r>
      <w:r w:rsidRPr="004E1B98" w:rsidR="004E1B98">
        <w:rPr>
          <w:color w:val="000000"/>
        </w:rPr>
        <w:t>provided that the Commission conditions it</w:t>
      </w:r>
      <w:r w:rsidR="00250FD4">
        <w:rPr>
          <w:color w:val="000000"/>
        </w:rPr>
        <w:t>s</w:t>
      </w:r>
      <w:r w:rsidRPr="00250FD4" w:rsidR="00250FD4">
        <w:rPr>
          <w:color w:val="000000"/>
        </w:rPr>
        <w:t xml:space="preserve"> </w:t>
      </w:r>
      <w:r w:rsidR="001C5C06">
        <w:rPr>
          <w:color w:val="000000"/>
        </w:rPr>
        <w:t>approval</w:t>
      </w:r>
      <w:r w:rsidRPr="00250FD4" w:rsidR="00250FD4">
        <w:rPr>
          <w:color w:val="000000"/>
        </w:rPr>
        <w:t xml:space="preserve"> on </w:t>
      </w:r>
      <w:r w:rsidR="001C5C06">
        <w:rPr>
          <w:color w:val="000000"/>
        </w:rPr>
        <w:t>the assurance of Interoute US LLC (Interoute US) and Cube Telecom Europe BidCo Limited (Bidco) to abide by the commitments and undertakings set forth in the July 1, 2021 Letter of Assurance and Letter of Agreement (LOAs)”</w:t>
      </w:r>
      <w:r w:rsidRPr="00250FD4" w:rsidR="00250FD4">
        <w:rPr>
          <w:color w:val="000000"/>
        </w:rPr>
        <w:t xml:space="preserve"> attached to</w:t>
      </w:r>
      <w:r w:rsidR="00250FD4">
        <w:rPr>
          <w:color w:val="000000"/>
        </w:rPr>
        <w:t xml:space="preserve"> </w:t>
      </w:r>
      <w:r w:rsidR="00216B5D">
        <w:rPr>
          <w:color w:val="000000"/>
        </w:rPr>
        <w:t>the Petition.</w:t>
      </w:r>
      <w:r>
        <w:rPr>
          <w:rStyle w:val="FootnoteReference"/>
        </w:rPr>
        <w:footnoteReference w:id="18"/>
      </w:r>
    </w:p>
    <w:p w:rsidR="00CA17EA" w:rsidRPr="00853442" w:rsidP="00853442" w14:paraId="7B072CA8" w14:textId="12DF7A61">
      <w:pPr>
        <w:widowControl/>
        <w:autoSpaceDE w:val="0"/>
        <w:autoSpaceDN w:val="0"/>
        <w:adjustRightInd w:val="0"/>
        <w:spacing w:after="120"/>
        <w:ind w:firstLine="720"/>
        <w:rPr>
          <w:color w:val="000000"/>
        </w:rPr>
      </w:pPr>
      <w:r w:rsidRPr="006D6039">
        <w:rPr>
          <w:color w:val="000000"/>
        </w:rPr>
        <w:t>In accordance with the request of NTIA and in the absence of any objection from the Applicants, we grant the</w:t>
      </w:r>
      <w:r w:rsidR="00880408">
        <w:rPr>
          <w:color w:val="000000"/>
        </w:rPr>
        <w:t xml:space="preserve"> </w:t>
      </w:r>
      <w:r w:rsidRPr="006D6039">
        <w:rPr>
          <w:color w:val="000000"/>
        </w:rPr>
        <w:t xml:space="preserve">Petition, and, accordingly, we condition grant of the </w:t>
      </w:r>
      <w:r w:rsidRPr="00DD0B78" w:rsidR="006150AD">
        <w:rPr>
          <w:szCs w:val="22"/>
        </w:rPr>
        <w:t xml:space="preserve">transfer of domestic section 214 authority </w:t>
      </w:r>
      <w:r w:rsidRPr="006D6039">
        <w:rPr>
          <w:color w:val="000000"/>
        </w:rPr>
        <w:t>on compliance by the Applicants with the commitments and undertakings set out in the </w:t>
      </w:r>
      <w:r w:rsidR="001C5C06">
        <w:rPr>
          <w:color w:val="000000"/>
        </w:rPr>
        <w:t>LOAs t</w:t>
      </w:r>
      <w:r w:rsidRPr="006D6039">
        <w:rPr>
          <w:color w:val="000000"/>
        </w:rPr>
        <w:t xml:space="preserve">hat apply to the </w:t>
      </w:r>
      <w:r w:rsidR="00E25939">
        <w:rPr>
          <w:color w:val="000000"/>
        </w:rPr>
        <w:t>Application</w:t>
      </w:r>
      <w:r w:rsidRPr="006D6039">
        <w:rPr>
          <w:color w:val="000000"/>
        </w:rPr>
        <w:t>.</w:t>
      </w:r>
      <w:r>
        <w:rPr>
          <w:rStyle w:val="FootnoteReference"/>
        </w:rPr>
        <w:footnoteReference w:id="19"/>
      </w:r>
      <w:r w:rsidRPr="006D6039">
        <w:rPr>
          <w:color w:val="000000"/>
        </w:rPr>
        <w:t> </w:t>
      </w:r>
      <w:r w:rsidRPr="005A0E75" w:rsidR="005A0E75">
        <w:rPr>
          <w:color w:val="000000"/>
        </w:rPr>
        <w:t xml:space="preserve"> A failure to comply with and/or remain in compliance with any of the provisions of the </w:t>
      </w:r>
      <w:r w:rsidR="001C5C06">
        <w:rPr>
          <w:color w:val="000000"/>
        </w:rPr>
        <w:t>LOAs</w:t>
      </w:r>
      <w:r w:rsidR="000C621D">
        <w:rPr>
          <w:color w:val="000000"/>
        </w:rPr>
        <w:t xml:space="preserve"> </w:t>
      </w:r>
      <w:r w:rsidRPr="005A0E75" w:rsidR="005A0E75">
        <w:rPr>
          <w:color w:val="000000"/>
        </w:rPr>
        <w:t>shall constitute a failure to meet a condition of th</w:t>
      </w:r>
      <w:r w:rsidR="006150AD">
        <w:rPr>
          <w:color w:val="000000"/>
        </w:rPr>
        <w:t xml:space="preserve">is </w:t>
      </w:r>
      <w:r w:rsidR="002442A7">
        <w:rPr>
          <w:color w:val="000000"/>
        </w:rPr>
        <w:t xml:space="preserve">grant </w:t>
      </w:r>
      <w:r w:rsidRPr="005A0E75" w:rsidR="005A0E75">
        <w:rPr>
          <w:color w:val="000000"/>
        </w:rPr>
        <w:t xml:space="preserve">and the underlying authorizations and thus grounds for declaring the underlying </w:t>
      </w:r>
      <w:r w:rsidR="002442A7">
        <w:rPr>
          <w:color w:val="000000"/>
        </w:rPr>
        <w:t xml:space="preserve">domestic 214 </w:t>
      </w:r>
      <w:r w:rsidRPr="005A0E75" w:rsidR="005A0E75">
        <w:rPr>
          <w:color w:val="000000"/>
        </w:rPr>
        <w:t>authorizations terminated without further action on the part of the Commission.  Failure to meet a condition of th</w:t>
      </w:r>
      <w:r w:rsidR="002442A7">
        <w:rPr>
          <w:color w:val="000000"/>
        </w:rPr>
        <w:t xml:space="preserve">is grant and the </w:t>
      </w:r>
      <w:r w:rsidRPr="005A0E75" w:rsidR="005A0E75">
        <w:rPr>
          <w:color w:val="000000"/>
        </w:rPr>
        <w:t xml:space="preserve">authorizations may also result in monetary sanctions or other enforcement action by the Commission.  </w:t>
      </w:r>
    </w:p>
    <w:p w:rsidR="005614FA" w:rsidRPr="00D12B3C" w:rsidP="008C5D18" w14:paraId="5D492BEE" w14:textId="0BF802B2">
      <w:pPr>
        <w:widowControl/>
        <w:autoSpaceDE w:val="0"/>
        <w:autoSpaceDN w:val="0"/>
        <w:adjustRightInd w:val="0"/>
        <w:spacing w:after="120"/>
        <w:ind w:firstLine="720"/>
        <w:rPr>
          <w:rFonts w:ascii="TimesNewRomanPSMT" w:hAnsi="TimesNewRomanPSMT" w:cs="TimesNewRomanPSMT"/>
          <w:snapToGrid/>
          <w:kern w:val="0"/>
          <w:szCs w:val="22"/>
        </w:rPr>
      </w:pPr>
      <w:r w:rsidRPr="00DB54CA">
        <w:rPr>
          <w:color w:val="000000"/>
        </w:rPr>
        <w:t>We find, upon consideration of the record, that the proposed transfer will serve the public interest, convenience, and necessity</w:t>
      </w:r>
      <w:r w:rsidRPr="00F66D37">
        <w:rPr>
          <w:szCs w:val="22"/>
          <w:shd w:val="clear" w:color="auto" w:fill="FFFFFF"/>
        </w:rPr>
        <w:t>.</w:t>
      </w:r>
      <w:r>
        <w:rPr>
          <w:rStyle w:val="FootnoteReference"/>
          <w:szCs w:val="22"/>
        </w:rPr>
        <w:footnoteReference w:id="20"/>
      </w:r>
      <w:r w:rsidRPr="0083155B">
        <w:rPr>
          <w:color w:val="000000"/>
          <w:szCs w:val="22"/>
        </w:rPr>
        <w:t xml:space="preserve">  </w:t>
      </w:r>
      <w:r>
        <w:rPr>
          <w:color w:val="000000"/>
          <w:szCs w:val="22"/>
        </w:rPr>
        <w:t>This grant of the Applicat</w:t>
      </w:r>
      <w:r w:rsidR="00CA17EA">
        <w:rPr>
          <w:color w:val="000000"/>
          <w:szCs w:val="22"/>
        </w:rPr>
        <w:t>ion</w:t>
      </w:r>
      <w:r w:rsidR="00EF62B4">
        <w:rPr>
          <w:color w:val="000000"/>
          <w:szCs w:val="22"/>
        </w:rPr>
        <w:t xml:space="preserve"> and Petition is conditioned as set out in this Public Notice.</w:t>
      </w:r>
    </w:p>
    <w:p w:rsidR="00CA17EA" w:rsidP="00044F6D" w14:paraId="5B272FE3" w14:textId="77777777">
      <w:pPr>
        <w:widowControl/>
        <w:spacing w:after="120"/>
        <w:rPr>
          <w:szCs w:val="22"/>
        </w:rPr>
      </w:pPr>
      <w:r>
        <w:rPr>
          <w:szCs w:val="22"/>
        </w:rPr>
        <w:tab/>
      </w:r>
      <w:r w:rsidRPr="00CA17EA">
        <w:rPr>
          <w:szCs w:val="22"/>
        </w:rPr>
        <w:t xml:space="preserve">Pursuant to sections 214 of the Act, 47 U.S.C. §§ 214 and sections 0.91, 0.291, 63.03, and 63.04 of the Commission’s rules, 47 CFR §§ 0.91, 0.291, 63.03, and 63.04, we grant the Application and the Petition with the condition described above. </w:t>
      </w:r>
      <w:r w:rsidR="001F667C">
        <w:rPr>
          <w:szCs w:val="22"/>
        </w:rPr>
        <w:t xml:space="preserve"> </w:t>
      </w:r>
      <w:r w:rsidRPr="00CA17EA">
        <w:rPr>
          <w:szCs w:val="22"/>
        </w:rPr>
        <w:t xml:space="preserve">Pursuant to section 1.103 of the Commission’s rules, 47 CFR § 1.103, the consent granted herein is effective upon the release of this Public Notice. </w:t>
      </w:r>
      <w:r w:rsidR="001F667C">
        <w:rPr>
          <w:szCs w:val="22"/>
        </w:rPr>
        <w:t xml:space="preserve"> </w:t>
      </w:r>
      <w:r w:rsidRPr="00CA17EA">
        <w:rPr>
          <w:szCs w:val="22"/>
        </w:rPr>
        <w:t xml:space="preserve">Petitions for reconsideration under section 1.106 or </w:t>
      </w:r>
      <w:r w:rsidR="001F667C">
        <w:rPr>
          <w:szCs w:val="22"/>
        </w:rPr>
        <w:t>a</w:t>
      </w:r>
      <w:r w:rsidR="00E25939">
        <w:rPr>
          <w:szCs w:val="22"/>
        </w:rPr>
        <w:t>pplication</w:t>
      </w:r>
      <w:r w:rsidR="001F667C">
        <w:rPr>
          <w:szCs w:val="22"/>
        </w:rPr>
        <w:t>s</w:t>
      </w:r>
      <w:r w:rsidRPr="00CA17EA">
        <w:rPr>
          <w:szCs w:val="22"/>
        </w:rPr>
        <w:t xml:space="preserve"> for review under section 1.115 of the Commission’s rules, 47 CFR §§ 1.106, 1.115, may be filed within 30 days of the date of this Public Notice. </w:t>
      </w:r>
    </w:p>
    <w:p w:rsidR="005614FA" w:rsidP="00CA17EA" w14:paraId="0964FCEC" w14:textId="77777777">
      <w:pPr>
        <w:widowControl/>
        <w:spacing w:after="120"/>
        <w:ind w:firstLine="720"/>
        <w:rPr>
          <w:szCs w:val="22"/>
        </w:rPr>
      </w:pPr>
      <w:r w:rsidRPr="00CA17EA">
        <w:rPr>
          <w:szCs w:val="22"/>
        </w:rPr>
        <w:t xml:space="preserve">For further information, please contact </w:t>
      </w:r>
      <w:r w:rsidR="00C76D5F">
        <w:rPr>
          <w:szCs w:val="22"/>
        </w:rPr>
        <w:t>Dennis Johnson</w:t>
      </w:r>
      <w:r w:rsidRPr="00CA17EA">
        <w:rPr>
          <w:szCs w:val="22"/>
        </w:rPr>
        <w:t>, Wireline Competition Bureau, (202) 418-</w:t>
      </w:r>
      <w:r w:rsidR="00C76D5F">
        <w:rPr>
          <w:szCs w:val="22"/>
        </w:rPr>
        <w:t>0809</w:t>
      </w:r>
      <w:r w:rsidRPr="00CA17EA">
        <w:rPr>
          <w:szCs w:val="22"/>
        </w:rPr>
        <w:t>.</w:t>
      </w:r>
    </w:p>
    <w:p w:rsidR="00CA17EA" w:rsidP="00CA17EA" w14:paraId="02479AF7" w14:textId="77777777">
      <w:pPr>
        <w:widowControl/>
        <w:spacing w:after="120"/>
        <w:ind w:firstLine="720"/>
        <w:rPr>
          <w:szCs w:val="22"/>
        </w:rPr>
      </w:pPr>
    </w:p>
    <w:p w:rsidR="00CA17EA" w:rsidRPr="00CA17EA" w:rsidP="00CA17EA" w14:paraId="1010B62C" w14:textId="77777777">
      <w:pPr>
        <w:widowControl/>
        <w:spacing w:after="120"/>
        <w:jc w:val="center"/>
        <w:rPr>
          <w:b/>
          <w:bCs/>
          <w:szCs w:val="22"/>
        </w:rPr>
      </w:pPr>
      <w:r w:rsidRPr="00CA17EA">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5D5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3028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41FAFE"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280C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EF6" w14:paraId="1EB8677F" w14:textId="77777777">
      <w:r>
        <w:separator/>
      </w:r>
    </w:p>
  </w:footnote>
  <w:footnote w:type="continuationSeparator" w:id="1">
    <w:p w:rsidR="00EA1EF6" w14:paraId="49A84B08" w14:textId="77777777">
      <w:pPr>
        <w:rPr>
          <w:sz w:val="20"/>
        </w:rPr>
      </w:pPr>
      <w:r>
        <w:rPr>
          <w:sz w:val="20"/>
        </w:rPr>
        <w:t xml:space="preserve">(Continued from previous page)  </w:t>
      </w:r>
      <w:r>
        <w:rPr>
          <w:sz w:val="20"/>
        </w:rPr>
        <w:separator/>
      </w:r>
    </w:p>
  </w:footnote>
  <w:footnote w:type="continuationNotice" w:id="2">
    <w:p w:rsidR="00EA1EF6" w:rsidP="00910F12" w14:paraId="0E8DB010" w14:textId="77777777">
      <w:pPr>
        <w:jc w:val="right"/>
        <w:rPr>
          <w:sz w:val="20"/>
        </w:rPr>
      </w:pPr>
      <w:r>
        <w:rPr>
          <w:sz w:val="20"/>
        </w:rPr>
        <w:t>(continued….)</w:t>
      </w:r>
    </w:p>
  </w:footnote>
  <w:footnote w:id="3">
    <w:p w:rsidR="00023FB3" w:rsidRPr="00095E72" w:rsidP="00023FB3" w14:paraId="3CB83BFB" w14:textId="632843FE">
      <w:pPr>
        <w:spacing w:after="120"/>
        <w:rPr>
          <w:sz w:val="20"/>
        </w:rPr>
      </w:pPr>
      <w:r w:rsidRPr="006521AA">
        <w:rPr>
          <w:rStyle w:val="FootnoteReference"/>
          <w:sz w:val="20"/>
        </w:rPr>
        <w:footnoteRef/>
      </w:r>
      <w:r w:rsidRPr="006521AA">
        <w:rPr>
          <w:sz w:val="20"/>
        </w:rPr>
        <w:t xml:space="preserve"> </w:t>
      </w:r>
      <w:r w:rsidRPr="006521AA">
        <w:rPr>
          <w:i/>
          <w:sz w:val="20"/>
        </w:rPr>
        <w:t>See</w:t>
      </w:r>
      <w:r w:rsidRPr="006521AA">
        <w:rPr>
          <w:sz w:val="20"/>
        </w:rPr>
        <w:t xml:space="preserve"> 47 U.S.C. § 214; 47 CFR §§ 63.03-04.  Application of GTT Communications, Inc., Interoute US LLC, and Cube Telecom Europe BidCo Limited, WC Docket No. 20-427 (filed </w:t>
      </w:r>
      <w:r>
        <w:rPr>
          <w:sz w:val="20"/>
        </w:rPr>
        <w:t>Dec</w:t>
      </w:r>
      <w:r w:rsidRPr="006521AA">
        <w:rPr>
          <w:sz w:val="20"/>
        </w:rPr>
        <w:t xml:space="preserve">. </w:t>
      </w:r>
      <w:r>
        <w:rPr>
          <w:sz w:val="20"/>
        </w:rPr>
        <w:t>15</w:t>
      </w:r>
      <w:r w:rsidRPr="006521AA">
        <w:rPr>
          <w:sz w:val="20"/>
        </w:rPr>
        <w:t>, 2020)</w:t>
      </w:r>
      <w:r>
        <w:rPr>
          <w:sz w:val="20"/>
        </w:rPr>
        <w:t xml:space="preserve"> (Application)</w:t>
      </w:r>
      <w:r w:rsidRPr="006521AA">
        <w:rPr>
          <w:sz w:val="20"/>
        </w:rPr>
        <w:t>.  On December 2</w:t>
      </w:r>
      <w:r>
        <w:rPr>
          <w:sz w:val="20"/>
        </w:rPr>
        <w:t>3</w:t>
      </w:r>
      <w:r w:rsidRPr="006521AA">
        <w:rPr>
          <w:sz w:val="20"/>
        </w:rPr>
        <w:t xml:space="preserve">, 2020, Applicants filed a supplement to their domestic section 214 application.  </w:t>
      </w:r>
      <w:bookmarkStart w:id="1" w:name="_Hlk75447912"/>
      <w:r w:rsidRPr="006521AA">
        <w:rPr>
          <w:sz w:val="20"/>
        </w:rPr>
        <w:t xml:space="preserve">Letter from </w:t>
      </w:r>
      <w:r>
        <w:rPr>
          <w:sz w:val="20"/>
        </w:rPr>
        <w:t>Edward A. Yorkgitis</w:t>
      </w:r>
      <w:r w:rsidRPr="006521AA">
        <w:rPr>
          <w:sz w:val="20"/>
        </w:rPr>
        <w:t>,</w:t>
      </w:r>
      <w:r>
        <w:rPr>
          <w:sz w:val="20"/>
        </w:rPr>
        <w:t xml:space="preserve"> Jr.</w:t>
      </w:r>
      <w:r w:rsidR="009400D2">
        <w:rPr>
          <w:sz w:val="20"/>
        </w:rPr>
        <w:t xml:space="preserve"> and Winafred R. Brantl</w:t>
      </w:r>
      <w:r>
        <w:rPr>
          <w:sz w:val="20"/>
        </w:rPr>
        <w:t>,</w:t>
      </w:r>
      <w:r w:rsidRPr="006521AA">
        <w:rPr>
          <w:sz w:val="20"/>
        </w:rPr>
        <w:t xml:space="preserve"> </w:t>
      </w:r>
      <w:r w:rsidR="009400D2">
        <w:rPr>
          <w:sz w:val="20"/>
        </w:rPr>
        <w:t xml:space="preserve">Counsel for GTT and Interoute, </w:t>
      </w:r>
      <w:r>
        <w:rPr>
          <w:sz w:val="20"/>
        </w:rPr>
        <w:t xml:space="preserve">and Wayne D. Johnsen </w:t>
      </w:r>
      <w:r w:rsidR="009400D2">
        <w:rPr>
          <w:sz w:val="20"/>
        </w:rPr>
        <w:t>and Richard Sofield,</w:t>
      </w:r>
      <w:r>
        <w:rPr>
          <w:sz w:val="20"/>
        </w:rPr>
        <w:t xml:space="preserve"> </w:t>
      </w:r>
      <w:r w:rsidR="009400D2">
        <w:rPr>
          <w:sz w:val="20"/>
        </w:rPr>
        <w:t>Counsel for BidCo,</w:t>
      </w:r>
      <w:r w:rsidRPr="006521AA">
        <w:rPr>
          <w:sz w:val="20"/>
        </w:rPr>
        <w:t xml:space="preserve"> to Marlene H. Dortch, Secretary, FCC (Dec. 2</w:t>
      </w:r>
      <w:r>
        <w:rPr>
          <w:sz w:val="20"/>
        </w:rPr>
        <w:t>3</w:t>
      </w:r>
      <w:r w:rsidRPr="006521AA">
        <w:rPr>
          <w:sz w:val="20"/>
        </w:rPr>
        <w:t>, 2020) (on file in WC Docket No. 20-427)</w:t>
      </w:r>
      <w:r>
        <w:rPr>
          <w:sz w:val="20"/>
        </w:rPr>
        <w:t xml:space="preserve"> (Applicants’ </w:t>
      </w:r>
      <w:bookmarkStart w:id="2" w:name="_Hlk75511724"/>
      <w:r w:rsidR="0037371C">
        <w:rPr>
          <w:sz w:val="20"/>
        </w:rPr>
        <w:t xml:space="preserve">Dec. 23 </w:t>
      </w:r>
      <w:bookmarkEnd w:id="2"/>
      <w:r>
        <w:rPr>
          <w:sz w:val="20"/>
        </w:rPr>
        <w:t>Supplement Letter)</w:t>
      </w:r>
      <w:r w:rsidRPr="006521AA">
        <w:rPr>
          <w:sz w:val="20"/>
        </w:rPr>
        <w:t>.</w:t>
      </w:r>
      <w:r>
        <w:rPr>
          <w:sz w:val="20"/>
        </w:rPr>
        <w:t xml:space="preserve"> </w:t>
      </w:r>
      <w:bookmarkEnd w:id="1"/>
      <w:r w:rsidRPr="006521AA">
        <w:rPr>
          <w:sz w:val="20"/>
        </w:rPr>
        <w:t xml:space="preserve"> </w:t>
      </w:r>
      <w:r w:rsidR="00C5119E">
        <w:rPr>
          <w:sz w:val="20"/>
        </w:rPr>
        <w:t xml:space="preserve">Applicants filed a second supplement regarding a series of pro forma transfers involving GTT.  </w:t>
      </w:r>
      <w:r w:rsidRPr="006521AA" w:rsidR="00B20809">
        <w:rPr>
          <w:sz w:val="20"/>
        </w:rPr>
        <w:t xml:space="preserve">Letter from </w:t>
      </w:r>
      <w:r w:rsidR="009400D2">
        <w:rPr>
          <w:sz w:val="20"/>
        </w:rPr>
        <w:t>Edward A. Yorkgitis, Jr.</w:t>
      </w:r>
      <w:r w:rsidR="00EF62B4">
        <w:rPr>
          <w:sz w:val="20"/>
        </w:rPr>
        <w:t xml:space="preserve"> and Winafred R. Brantl</w:t>
      </w:r>
      <w:r w:rsidR="009400D2">
        <w:rPr>
          <w:sz w:val="20"/>
        </w:rPr>
        <w:t xml:space="preserve">, Counsel for GTT and Interoute, </w:t>
      </w:r>
      <w:r w:rsidRPr="006521AA" w:rsidR="00B20809">
        <w:rPr>
          <w:sz w:val="20"/>
        </w:rPr>
        <w:t>to Marlene H. Dortch, Secretary, FCC (</w:t>
      </w:r>
      <w:r w:rsidR="00B20809">
        <w:rPr>
          <w:sz w:val="20"/>
        </w:rPr>
        <w:t>May</w:t>
      </w:r>
      <w:r w:rsidRPr="006521AA" w:rsidR="00B20809">
        <w:rPr>
          <w:sz w:val="20"/>
        </w:rPr>
        <w:t xml:space="preserve"> 2</w:t>
      </w:r>
      <w:r w:rsidR="001C5C06">
        <w:rPr>
          <w:sz w:val="20"/>
        </w:rPr>
        <w:t>7</w:t>
      </w:r>
      <w:r w:rsidRPr="006521AA" w:rsidR="00B20809">
        <w:rPr>
          <w:sz w:val="20"/>
        </w:rPr>
        <w:t>, 202</w:t>
      </w:r>
      <w:r w:rsidR="001C5C06">
        <w:rPr>
          <w:sz w:val="20"/>
        </w:rPr>
        <w:t>1</w:t>
      </w:r>
      <w:r w:rsidRPr="006521AA" w:rsidR="00B20809">
        <w:rPr>
          <w:sz w:val="20"/>
        </w:rPr>
        <w:t>) (on file in WC Docket No. 20-427)</w:t>
      </w:r>
      <w:r w:rsidR="009400D2">
        <w:rPr>
          <w:sz w:val="20"/>
        </w:rPr>
        <w:t xml:space="preserve">.  </w:t>
      </w:r>
      <w:r w:rsidR="0037371C">
        <w:rPr>
          <w:sz w:val="20"/>
        </w:rPr>
        <w:t>Applicants filed a</w:t>
      </w:r>
      <w:r w:rsidR="00FC0015">
        <w:rPr>
          <w:sz w:val="20"/>
        </w:rPr>
        <w:t>dditional</w:t>
      </w:r>
      <w:r w:rsidR="00C5119E">
        <w:rPr>
          <w:sz w:val="20"/>
        </w:rPr>
        <w:t xml:space="preserve"> </w:t>
      </w:r>
      <w:r w:rsidR="0037371C">
        <w:rPr>
          <w:sz w:val="20"/>
        </w:rPr>
        <w:t>supplement</w:t>
      </w:r>
      <w:r w:rsidR="00FC0015">
        <w:rPr>
          <w:sz w:val="20"/>
        </w:rPr>
        <w:t>s</w:t>
      </w:r>
      <w:r w:rsidR="0037371C">
        <w:rPr>
          <w:sz w:val="20"/>
        </w:rPr>
        <w:t xml:space="preserve"> provid</w:t>
      </w:r>
      <w:r w:rsidR="009400D2">
        <w:rPr>
          <w:sz w:val="20"/>
        </w:rPr>
        <w:t>ing</w:t>
      </w:r>
      <w:r w:rsidR="0037371C">
        <w:rPr>
          <w:sz w:val="20"/>
        </w:rPr>
        <w:t xml:space="preserve"> updated ownership information for the combined company post-consummation.  </w:t>
      </w:r>
      <w:bookmarkStart w:id="3" w:name="_Hlk75515606"/>
      <w:r w:rsidRPr="006521AA" w:rsidR="0037371C">
        <w:rPr>
          <w:sz w:val="20"/>
        </w:rPr>
        <w:t xml:space="preserve">Letter from </w:t>
      </w:r>
      <w:r w:rsidR="0037371C">
        <w:rPr>
          <w:sz w:val="20"/>
        </w:rPr>
        <w:t xml:space="preserve">Wayne D. Johnsen </w:t>
      </w:r>
      <w:r w:rsidR="009400D2">
        <w:rPr>
          <w:sz w:val="20"/>
        </w:rPr>
        <w:t>and Richard Sofield, Counsel</w:t>
      </w:r>
      <w:r w:rsidR="0037371C">
        <w:rPr>
          <w:sz w:val="20"/>
        </w:rPr>
        <w:t xml:space="preserve"> for </w:t>
      </w:r>
      <w:r w:rsidR="009400D2">
        <w:rPr>
          <w:sz w:val="20"/>
        </w:rPr>
        <w:t>BidCo</w:t>
      </w:r>
      <w:r w:rsidR="00061AAC">
        <w:rPr>
          <w:sz w:val="20"/>
        </w:rPr>
        <w:t>,</w:t>
      </w:r>
      <w:r w:rsidRPr="006521AA" w:rsidR="0037371C">
        <w:rPr>
          <w:sz w:val="20"/>
        </w:rPr>
        <w:t xml:space="preserve"> to Marlene H. Dortch, Secretary, FCC (</w:t>
      </w:r>
      <w:r w:rsidR="00061AAC">
        <w:rPr>
          <w:sz w:val="20"/>
        </w:rPr>
        <w:t>May 28</w:t>
      </w:r>
      <w:r w:rsidRPr="006521AA" w:rsidR="0037371C">
        <w:rPr>
          <w:sz w:val="20"/>
        </w:rPr>
        <w:t>, 202</w:t>
      </w:r>
      <w:r w:rsidR="00061AAC">
        <w:rPr>
          <w:sz w:val="20"/>
        </w:rPr>
        <w:t>1</w:t>
      </w:r>
      <w:r w:rsidRPr="006521AA" w:rsidR="0037371C">
        <w:rPr>
          <w:sz w:val="20"/>
        </w:rPr>
        <w:t>) (on file in WC Docket No. 20-427)</w:t>
      </w:r>
      <w:r w:rsidR="0037371C">
        <w:rPr>
          <w:sz w:val="20"/>
        </w:rPr>
        <w:t xml:space="preserve"> (</w:t>
      </w:r>
      <w:bookmarkStart w:id="4" w:name="_Hlk75503235"/>
      <w:r w:rsidR="0037371C">
        <w:rPr>
          <w:sz w:val="20"/>
        </w:rPr>
        <w:t>Applicants’ May 28 Supplement Letter</w:t>
      </w:r>
      <w:bookmarkEnd w:id="4"/>
      <w:r w:rsidR="0037371C">
        <w:rPr>
          <w:sz w:val="20"/>
        </w:rPr>
        <w:t>)</w:t>
      </w:r>
      <w:r w:rsidR="00FC0015">
        <w:rPr>
          <w:sz w:val="20"/>
        </w:rPr>
        <w:t xml:space="preserve">; </w:t>
      </w:r>
      <w:r w:rsidRPr="006521AA" w:rsidR="00FC0015">
        <w:rPr>
          <w:sz w:val="20"/>
        </w:rPr>
        <w:t xml:space="preserve">Letter from </w:t>
      </w:r>
      <w:r w:rsidR="00FC0015">
        <w:rPr>
          <w:sz w:val="20"/>
        </w:rPr>
        <w:t>Wayne D. Johnsen and Richard Sofield, Counsel for BidCo,</w:t>
      </w:r>
      <w:r w:rsidRPr="006521AA" w:rsidR="00FC0015">
        <w:rPr>
          <w:sz w:val="20"/>
        </w:rPr>
        <w:t xml:space="preserve"> to Marlene H. Dortch, Secretary, FCC (</w:t>
      </w:r>
      <w:r w:rsidR="00FC0015">
        <w:rPr>
          <w:sz w:val="20"/>
        </w:rPr>
        <w:t>July 9, 2021</w:t>
      </w:r>
      <w:r w:rsidRPr="006521AA" w:rsidR="00FC0015">
        <w:rPr>
          <w:sz w:val="20"/>
        </w:rPr>
        <w:t>) (on file in WC Docket No. 20-427)</w:t>
      </w:r>
      <w:r w:rsidR="00FC0015">
        <w:rPr>
          <w:sz w:val="20"/>
        </w:rPr>
        <w:t xml:space="preserve"> (Applicants’ July 9 Supplement Letter)</w:t>
      </w:r>
      <w:r w:rsidRPr="006521AA" w:rsidR="0037371C">
        <w:rPr>
          <w:sz w:val="20"/>
        </w:rPr>
        <w:t>.</w:t>
      </w:r>
      <w:bookmarkEnd w:id="3"/>
      <w:r w:rsidR="0037371C">
        <w:rPr>
          <w:sz w:val="20"/>
        </w:rPr>
        <w:t xml:space="preserve">  </w:t>
      </w:r>
      <w:r w:rsidRPr="006521AA">
        <w:rPr>
          <w:sz w:val="20"/>
        </w:rPr>
        <w:t>Applicants also filed applications for the transfer of authorizations associated with international and sub</w:t>
      </w:r>
      <w:r>
        <w:rPr>
          <w:sz w:val="20"/>
        </w:rPr>
        <w:t xml:space="preserve">marine </w:t>
      </w:r>
      <w:r w:rsidRPr="006521AA">
        <w:rPr>
          <w:sz w:val="20"/>
        </w:rPr>
        <w:t xml:space="preserve">cable </w:t>
      </w:r>
      <w:r>
        <w:rPr>
          <w:sz w:val="20"/>
        </w:rPr>
        <w:t xml:space="preserve">landing </w:t>
      </w:r>
      <w:r w:rsidRPr="006521AA">
        <w:rPr>
          <w:sz w:val="20"/>
        </w:rPr>
        <w:t xml:space="preserve">authorizations.  </w:t>
      </w:r>
      <w:r>
        <w:rPr>
          <w:i/>
          <w:iCs/>
          <w:sz w:val="20"/>
        </w:rPr>
        <w:t xml:space="preserve">See </w:t>
      </w:r>
      <w:r>
        <w:rPr>
          <w:sz w:val="20"/>
        </w:rPr>
        <w:t xml:space="preserve">IBFS File Nos. ITC-T/C-20201215-00209 and SCL-T/C-20201216-00048.  </w:t>
      </w:r>
      <w:r w:rsidRPr="006521AA">
        <w:rPr>
          <w:sz w:val="20"/>
        </w:rPr>
        <w:t>Any action on this domestic section 214 application is without prejudice to Commission action on other related, pending applications</w:t>
      </w:r>
      <w:r w:rsidRPr="006521AA">
        <w:rPr>
          <w:rFonts w:eastAsia="Calibri"/>
          <w:sz w:val="20"/>
        </w:rPr>
        <w:t>.</w:t>
      </w:r>
      <w:r w:rsidRPr="00095E72">
        <w:rPr>
          <w:rFonts w:eastAsia="Calibri"/>
          <w:sz w:val="20"/>
        </w:rPr>
        <w:t xml:space="preserve">  </w:t>
      </w:r>
    </w:p>
  </w:footnote>
  <w:footnote w:id="4">
    <w:p w:rsidR="005614FA" w:rsidP="00AB1746" w14:paraId="02E1E55A" w14:textId="43BB566A">
      <w:pPr>
        <w:pStyle w:val="FootnoteText"/>
      </w:pPr>
      <w:r>
        <w:rPr>
          <w:rStyle w:val="FootnoteReference"/>
        </w:rPr>
        <w:footnoteRef/>
      </w:r>
      <w:r w:rsidR="006549B8">
        <w:t xml:space="preserve"> </w:t>
      </w:r>
      <w:r w:rsidRPr="006549B8" w:rsidR="006549B8">
        <w:rPr>
          <w:i/>
          <w:iCs/>
        </w:rPr>
        <w:t>Domestic Section 214 Application Filed for the Transfer of Control of</w:t>
      </w:r>
      <w:r w:rsidRPr="00AB1746" w:rsidR="00AB1746">
        <w:rPr>
          <w:snapToGrid w:val="0"/>
          <w:kern w:val="28"/>
          <w:sz w:val="22"/>
        </w:rPr>
        <w:t xml:space="preserve"> </w:t>
      </w:r>
      <w:r w:rsidR="00C8607B">
        <w:rPr>
          <w:i/>
          <w:iCs/>
        </w:rPr>
        <w:t>Interoute US LLC to Cube Telecom Europe Bidco Limited</w:t>
      </w:r>
      <w:r w:rsidRPr="00AB1746" w:rsidR="00AB1746">
        <w:t>, WC Docket No. 20-</w:t>
      </w:r>
      <w:r w:rsidR="00097944">
        <w:t>427</w:t>
      </w:r>
      <w:r w:rsidR="00AB1746">
        <w:t xml:space="preserve">, Public Notice, </w:t>
      </w:r>
      <w:r w:rsidR="0018105C">
        <w:t>35 FCC Rcd 14994</w:t>
      </w:r>
      <w:r w:rsidR="00AB1746">
        <w:t xml:space="preserve"> (WCB 2020)</w:t>
      </w:r>
      <w:r w:rsidR="0018105C">
        <w:t xml:space="preserve"> (</w:t>
      </w:r>
      <w:r w:rsidRPr="0018105C" w:rsidR="0018105C">
        <w:rPr>
          <w:i/>
          <w:iCs/>
        </w:rPr>
        <w:t>Public Notice</w:t>
      </w:r>
      <w:r w:rsidR="0018105C">
        <w:t>)</w:t>
      </w:r>
      <w:r>
        <w:t xml:space="preserve">.     </w:t>
      </w:r>
    </w:p>
  </w:footnote>
  <w:footnote w:id="5">
    <w:p w:rsidR="00604030" w14:paraId="2F286704" w14:textId="77777777">
      <w:pPr>
        <w:pStyle w:val="FootnoteText"/>
      </w:pPr>
      <w:r>
        <w:rPr>
          <w:rStyle w:val="FootnoteReference"/>
        </w:rPr>
        <w:footnoteRef/>
      </w:r>
      <w:r>
        <w:t xml:space="preserve"> </w:t>
      </w:r>
      <w:r w:rsidR="00C52F75">
        <w:t xml:space="preserve">Application at 3. </w:t>
      </w:r>
    </w:p>
  </w:footnote>
  <w:footnote w:id="6">
    <w:p w:rsidR="00604030" w14:paraId="3C04DC92" w14:textId="77777777">
      <w:pPr>
        <w:pStyle w:val="FootnoteText"/>
      </w:pPr>
      <w:r>
        <w:rPr>
          <w:rStyle w:val="FootnoteReference"/>
        </w:rPr>
        <w:footnoteRef/>
      </w:r>
      <w:r>
        <w:t xml:space="preserve"> </w:t>
      </w:r>
      <w:r w:rsidRPr="00C52F75" w:rsidR="00C52F75">
        <w:rPr>
          <w:i/>
          <w:iCs/>
        </w:rPr>
        <w:t>Id.</w:t>
      </w:r>
    </w:p>
  </w:footnote>
  <w:footnote w:id="7">
    <w:p w:rsidR="00604030" w:rsidRPr="00F70C85" w:rsidP="00604030" w14:paraId="218EAEE6" w14:textId="77777777">
      <w:pPr>
        <w:pStyle w:val="FootnoteText"/>
      </w:pPr>
      <w:r w:rsidRPr="00F70C85">
        <w:rPr>
          <w:rStyle w:val="FootnoteReference"/>
        </w:rPr>
        <w:footnoteRef/>
      </w:r>
      <w:r w:rsidRPr="00F70C85">
        <w:t xml:space="preserve"> Interoute will offer services in </w:t>
      </w:r>
      <w:r>
        <w:t xml:space="preserve">Alabama, Arizona, California, Colorado, Connecticut, the District of Columbia, Delaware, Florida, Georgia, Illinois, Indiana, Iowa, Kentucky, Maine, Massachusetts, Maryland, Michigan, Minnesota, Missouri, Montana, Nebraska, Nevada, New Jersey, New York, North Carolina, Ohio, Oklahoma, Pennsylvania, Tennessee, Texas, Utah, Virginia, Washington, West Virginia, Wisconsin, and Wyoming.  </w:t>
      </w:r>
      <w:r w:rsidRPr="00C52F75" w:rsidR="00C52F75">
        <w:rPr>
          <w:i/>
          <w:iCs/>
        </w:rPr>
        <w:t>Id.</w:t>
      </w:r>
      <w:r w:rsidR="00C52F75">
        <w:t xml:space="preserve"> at 3-4.</w:t>
      </w:r>
    </w:p>
  </w:footnote>
  <w:footnote w:id="8">
    <w:p w:rsidR="000859A4" w:rsidP="000859A4" w14:paraId="73FB333D" w14:textId="0B7C473F">
      <w:pPr>
        <w:pStyle w:val="FootnoteText"/>
      </w:pPr>
      <w:r>
        <w:rPr>
          <w:rStyle w:val="FootnoteReference"/>
        </w:rPr>
        <w:footnoteRef/>
      </w:r>
      <w:r>
        <w:t xml:space="preserve"> Applicants’ May 28 Supplement Letter at 2</w:t>
      </w:r>
      <w:r w:rsidRPr="000859A4">
        <w:t xml:space="preserve"> </w:t>
      </w:r>
      <w:r>
        <w:t>(updating BidCo’s post-transaction ownership information)</w:t>
      </w:r>
      <w:r w:rsidR="003A7376">
        <w:t>; Applicants’ July 9 Supplement Letter at 1-2</w:t>
      </w:r>
      <w:r>
        <w:t>.</w:t>
      </w:r>
    </w:p>
  </w:footnote>
  <w:footnote w:id="9">
    <w:p w:rsidR="000859A4" w14:paraId="3B7A2A60" w14:textId="376D1755">
      <w:pPr>
        <w:pStyle w:val="FootnoteText"/>
      </w:pPr>
      <w:r>
        <w:rPr>
          <w:rStyle w:val="FootnoteReference"/>
        </w:rPr>
        <w:footnoteRef/>
      </w:r>
      <w:r>
        <w:t xml:space="preserve"> Applicants’ Dec. 23 Supplement Letter at 2; Application at Attach 2</w:t>
      </w:r>
      <w:r w:rsidR="00A535D7">
        <w:t xml:space="preserve"> at n.30</w:t>
      </w:r>
      <w:r>
        <w:t>.</w:t>
      </w:r>
    </w:p>
  </w:footnote>
  <w:footnote w:id="10">
    <w:p w:rsidR="001E4911" w:rsidRPr="000155ED" w:rsidP="001E4911" w14:paraId="79D86992" w14:textId="187BE194">
      <w:pPr>
        <w:pStyle w:val="FootnoteText"/>
      </w:pPr>
      <w:r w:rsidRPr="000155ED">
        <w:rPr>
          <w:rStyle w:val="FootnoteReference"/>
        </w:rPr>
        <w:footnoteRef/>
      </w:r>
      <w:r w:rsidRPr="000155ED">
        <w:t xml:space="preserve"> </w:t>
      </w:r>
      <w:r w:rsidR="000859A4">
        <w:rPr>
          <w:i/>
          <w:iCs/>
        </w:rPr>
        <w:t xml:space="preserve"> </w:t>
      </w:r>
      <w:r w:rsidR="00EF62B4">
        <w:t>Applicants’ Dec. 23 Supplement Letter at 2.</w:t>
      </w:r>
    </w:p>
  </w:footnote>
  <w:footnote w:id="11">
    <w:p w:rsidR="001E4911" w:rsidRPr="00154D1F" w:rsidP="001E4911" w14:paraId="7E56F2D5" w14:textId="771D943A">
      <w:pPr>
        <w:pStyle w:val="FootnoteText"/>
      </w:pPr>
      <w:r>
        <w:rPr>
          <w:rStyle w:val="FootnoteReference"/>
        </w:rPr>
        <w:footnoteRef/>
      </w:r>
      <w:r>
        <w:t xml:space="preserve"> </w:t>
      </w:r>
      <w:r w:rsidR="000859A4">
        <w:t xml:space="preserve">Application at </w:t>
      </w:r>
      <w:r w:rsidR="00154D1F">
        <w:t xml:space="preserve">4.  </w:t>
      </w:r>
      <w:r w:rsidRPr="003F4BD4">
        <w:t>Cube Holdings is wholly</w:t>
      </w:r>
      <w:r w:rsidR="00940210">
        <w:t>-</w:t>
      </w:r>
      <w:r w:rsidRPr="003F4BD4">
        <w:t xml:space="preserve">owned by Cube Telecom Europe Aggregator, LLC (Cube Aggregator), a Cayman Islands limited liability company.  The members of Cube Aggregator will be five investment funds ultimately controlled by ISQ Holdings. </w:t>
      </w:r>
      <w:r w:rsidR="00154D1F">
        <w:t xml:space="preserve"> </w:t>
      </w:r>
      <w:r w:rsidR="00154D1F">
        <w:rPr>
          <w:i/>
          <w:iCs/>
        </w:rPr>
        <w:t>Id</w:t>
      </w:r>
      <w:r w:rsidR="00154D1F">
        <w:t>. at 5-6.</w:t>
      </w:r>
    </w:p>
  </w:footnote>
  <w:footnote w:id="12">
    <w:p w:rsidR="001E4911" w:rsidRPr="00262E24" w:rsidP="001E4911" w14:paraId="68AECBB0" w14:textId="711A2E02">
      <w:pPr>
        <w:pStyle w:val="FootnoteText"/>
      </w:pPr>
      <w:r w:rsidRPr="00262E24">
        <w:rPr>
          <w:rStyle w:val="FootnoteReference"/>
        </w:rPr>
        <w:footnoteRef/>
      </w:r>
      <w:r w:rsidRPr="00262E24">
        <w:t xml:space="preserve"> Applicants provided a</w:t>
      </w:r>
      <w:r>
        <w:t xml:space="preserve"> description of BidCo’s full ownership in the Application.  </w:t>
      </w:r>
      <w:r w:rsidRPr="00154D1F" w:rsidR="00154D1F">
        <w:rPr>
          <w:i/>
          <w:iCs/>
        </w:rPr>
        <w:t>Id</w:t>
      </w:r>
      <w:r w:rsidR="00154D1F">
        <w:t>.</w:t>
      </w:r>
      <w:r>
        <w:t xml:space="preserve"> at 4-6.</w:t>
      </w:r>
    </w:p>
  </w:footnote>
  <w:footnote w:id="13">
    <w:p w:rsidR="006613AC" w14:paraId="14C917F3" w14:textId="5C864E22">
      <w:pPr>
        <w:pStyle w:val="FootnoteText"/>
      </w:pPr>
      <w:r>
        <w:rPr>
          <w:rStyle w:val="FootnoteReference"/>
        </w:rPr>
        <w:footnoteRef/>
      </w:r>
      <w:r>
        <w:t xml:space="preserve"> </w:t>
      </w:r>
      <w:bookmarkStart w:id="5" w:name="_Hlk75882027"/>
      <w:r>
        <w:t>Applicants’ May 28 Supplement Letter at 2</w:t>
      </w:r>
      <w:bookmarkEnd w:id="5"/>
      <w:r>
        <w:t xml:space="preserve">. </w:t>
      </w:r>
    </w:p>
  </w:footnote>
  <w:footnote w:id="14">
    <w:p w:rsidR="0084061A" w14:paraId="01A8862B" w14:textId="1B885A04">
      <w:pPr>
        <w:pStyle w:val="FootnoteText"/>
      </w:pPr>
      <w:r>
        <w:rPr>
          <w:rStyle w:val="FootnoteReference"/>
        </w:rPr>
        <w:footnoteRef/>
      </w:r>
      <w:r>
        <w:t xml:space="preserve"> </w:t>
      </w:r>
      <w:r w:rsidRPr="003A213D">
        <w:rPr>
          <w:i/>
          <w:iCs/>
        </w:rPr>
        <w:t>Public Notice</w:t>
      </w:r>
      <w:r w:rsidR="00E22CF2">
        <w:rPr>
          <w:i/>
          <w:iCs/>
        </w:rPr>
        <w:t xml:space="preserve">, </w:t>
      </w:r>
      <w:r w:rsidR="00E22CF2">
        <w:t>35 FCC Rcd at 14995.</w:t>
      </w:r>
    </w:p>
  </w:footnote>
  <w:footnote w:id="15">
    <w:p w:rsidR="00CF28E3" w:rsidRPr="00317D86" w:rsidP="00180117" w14:paraId="392FDEA3" w14:textId="77777777">
      <w:pPr>
        <w:pStyle w:val="FootnoteText"/>
      </w:pPr>
      <w:r w:rsidRPr="00317D86">
        <w:rPr>
          <w:rStyle w:val="FootnoteReference"/>
          <w:color w:val="000000"/>
          <w:sz w:val="20"/>
        </w:rPr>
        <w:footnoteRef/>
      </w:r>
      <w:r w:rsidRPr="00317D86">
        <w:rPr>
          <w:color w:val="000000"/>
        </w:rPr>
        <w:t xml:space="preserve"> </w:t>
      </w:r>
      <w:bookmarkStart w:id="6" w:name="_Hlk54947808"/>
      <w:r w:rsidRPr="00B85CA1" w:rsidR="00F70514">
        <w:t xml:space="preserve">Letter from </w:t>
      </w:r>
      <w:r w:rsidR="00571590">
        <w:t>Lee Licata</w:t>
      </w:r>
      <w:r w:rsidRPr="00B85CA1" w:rsidR="00F70514">
        <w:t>, U.S. Department of Justice, to Marlene H. Dortch, Secretary, FCC, WC Docket No. 20-</w:t>
      </w:r>
      <w:r w:rsidR="00A91084">
        <w:t>427</w:t>
      </w:r>
      <w:r w:rsidRPr="00B85CA1" w:rsidR="00F70514">
        <w:t xml:space="preserve">; </w:t>
      </w:r>
      <w:bookmarkStart w:id="7" w:name="_Hlk75509277"/>
      <w:r w:rsidRPr="00571590" w:rsidR="00571590">
        <w:t>ITC-T/C-2020</w:t>
      </w:r>
      <w:r w:rsidR="00A91084">
        <w:t>1215</w:t>
      </w:r>
      <w:r w:rsidRPr="00571590" w:rsidR="00571590">
        <w:t>-00</w:t>
      </w:r>
      <w:r w:rsidR="00A91084">
        <w:t>209, SCL-T/C-20201226-00048</w:t>
      </w:r>
      <w:r w:rsidR="00CF4487">
        <w:t xml:space="preserve"> </w:t>
      </w:r>
      <w:bookmarkEnd w:id="7"/>
      <w:r w:rsidR="00CF4487">
        <w:t>at</w:t>
      </w:r>
      <w:r w:rsidR="00C9237B">
        <w:t xml:space="preserve"> 1 and Attach. 1 (Notification from Chair)</w:t>
      </w:r>
      <w:r w:rsidRPr="00B85CA1" w:rsidR="00F70514">
        <w:t xml:space="preserve"> (filed </w:t>
      </w:r>
      <w:r w:rsidR="00A91084">
        <w:t>Jan</w:t>
      </w:r>
      <w:r w:rsidRPr="00B85CA1" w:rsidR="00F70514">
        <w:t xml:space="preserve">. </w:t>
      </w:r>
      <w:r w:rsidR="00A91084">
        <w:t>4</w:t>
      </w:r>
      <w:r w:rsidRPr="00B85CA1" w:rsidR="00F70514">
        <w:t>, 202</w:t>
      </w:r>
      <w:r w:rsidR="00A91084">
        <w:t>1</w:t>
      </w:r>
      <w:r w:rsidRPr="00B85CA1" w:rsidR="00F70514">
        <w:t>)</w:t>
      </w:r>
      <w:r w:rsidR="00CF4487">
        <w:t>.</w:t>
      </w:r>
      <w:r w:rsidR="00F70514">
        <w:t xml:space="preserve"> </w:t>
      </w:r>
      <w:bookmarkEnd w:id="6"/>
    </w:p>
  </w:footnote>
  <w:footnote w:id="16">
    <w:p w:rsidR="00CF28E3" w:rsidRPr="00317D86" w:rsidP="00180117" w14:paraId="7C7CE3D6" w14:textId="77777777">
      <w:pPr>
        <w:pStyle w:val="FootnoteText"/>
      </w:pPr>
      <w:r w:rsidRPr="00317D86">
        <w:rPr>
          <w:rStyle w:val="FootnoteReference"/>
          <w:sz w:val="20"/>
        </w:rPr>
        <w:footnoteRef/>
      </w:r>
      <w:r>
        <w:t xml:space="preserve"> </w:t>
      </w:r>
      <w:r w:rsidRPr="00CF1DFA" w:rsidR="00CF1DFA">
        <w:t xml:space="preserve">Letter from </w:t>
      </w:r>
      <w:r w:rsidR="00CF1DFA">
        <w:t>Lee Licata</w:t>
      </w:r>
      <w:r w:rsidRPr="00CF1DFA" w:rsidR="00CF1DFA">
        <w:t>, U.S. Department of Justice, to Marlene H. Dortch, Secretary, FCC,</w:t>
      </w:r>
      <w:r w:rsidRPr="00B711AE" w:rsidR="00B711AE">
        <w:rPr>
          <w:snapToGrid w:val="0"/>
          <w:kern w:val="28"/>
          <w:sz w:val="22"/>
        </w:rPr>
        <w:t xml:space="preserve"> </w:t>
      </w:r>
      <w:bookmarkStart w:id="8" w:name="_Hlk75509448"/>
      <w:r w:rsidRPr="00B711AE" w:rsidR="00B711AE">
        <w:t>WC Docket No. 20-</w:t>
      </w:r>
      <w:r w:rsidR="0073041C">
        <w:t>427</w:t>
      </w:r>
      <w:r w:rsidRPr="00B711AE" w:rsidR="00B711AE">
        <w:t xml:space="preserve">; </w:t>
      </w:r>
      <w:r w:rsidRPr="00571590" w:rsidR="0073041C">
        <w:t>ITC-T/C-2020</w:t>
      </w:r>
      <w:r w:rsidR="0073041C">
        <w:t>1215</w:t>
      </w:r>
      <w:r w:rsidRPr="00571590" w:rsidR="0073041C">
        <w:t>-00</w:t>
      </w:r>
      <w:r w:rsidR="0073041C">
        <w:t xml:space="preserve">209, SCL-T/C-20201226-00048 </w:t>
      </w:r>
      <w:bookmarkEnd w:id="8"/>
      <w:r w:rsidRPr="00CF1DFA" w:rsidR="00CF1DFA">
        <w:t xml:space="preserve">(filed </w:t>
      </w:r>
      <w:r w:rsidR="0073041C">
        <w:t>Mar</w:t>
      </w:r>
      <w:r w:rsidR="00B711AE">
        <w:t>. 2</w:t>
      </w:r>
      <w:r w:rsidR="0073041C">
        <w:t>3</w:t>
      </w:r>
      <w:r w:rsidRPr="00CF1DFA" w:rsidR="00CF1DFA">
        <w:t>, 202</w:t>
      </w:r>
      <w:r w:rsidR="00B711AE">
        <w:t>1</w:t>
      </w:r>
      <w:r w:rsidRPr="00CF1DFA" w:rsidR="00CF1DFA">
        <w:t>) (on file in WC Docket No. 20-</w:t>
      </w:r>
      <w:r w:rsidR="0073041C">
        <w:t>427</w:t>
      </w:r>
      <w:r w:rsidRPr="00CF1DFA" w:rsidR="00CF1DFA">
        <w:t>)</w:t>
      </w:r>
      <w:r w:rsidRPr="00CF28E3">
        <w:t>.</w:t>
      </w:r>
    </w:p>
  </w:footnote>
  <w:footnote w:id="17">
    <w:p w:rsidR="00B00DBA" w:rsidP="00180117" w14:paraId="5E3D7F21" w14:textId="204AFA13">
      <w:pPr>
        <w:pStyle w:val="FootnoteText"/>
      </w:pPr>
      <w:r w:rsidRPr="001C5C06">
        <w:rPr>
          <w:rStyle w:val="FootnoteReference"/>
        </w:rPr>
        <w:footnoteRef/>
      </w:r>
      <w:r w:rsidRPr="001C5C06">
        <w:t xml:space="preserve"> </w:t>
      </w:r>
      <w:r w:rsidRPr="001C5C06" w:rsidR="004E1B98">
        <w:t>Petition to Adopt Conditions to Authorization</w:t>
      </w:r>
      <w:r w:rsidR="001C5C06">
        <w:t>s</w:t>
      </w:r>
      <w:r w:rsidRPr="001C5C06" w:rsidR="004E1B98">
        <w:t xml:space="preserve"> and License</w:t>
      </w:r>
      <w:r w:rsidR="001C5C06">
        <w:t>s</w:t>
      </w:r>
      <w:r w:rsidRPr="001C5C06" w:rsidR="00E9579E">
        <w:t xml:space="preserve">, </w:t>
      </w:r>
      <w:r w:rsidRPr="001C5C06" w:rsidR="00425641">
        <w:t xml:space="preserve">WC Docket No. 20-427; ITC-T/C-20201215-00209, SCL-T/C-20201226-00048 </w:t>
      </w:r>
      <w:r w:rsidRPr="001C5C06" w:rsidR="004E1B98">
        <w:t>(</w:t>
      </w:r>
      <w:r w:rsidRPr="001C5C06" w:rsidR="00216B5D">
        <w:t xml:space="preserve">filed </w:t>
      </w:r>
      <w:r w:rsidRPr="001C5C06" w:rsidR="001C5C06">
        <w:t>July 14, 2021</w:t>
      </w:r>
      <w:r w:rsidRPr="001C5C06" w:rsidR="004E1B98">
        <w:t>)</w:t>
      </w:r>
      <w:r w:rsidRPr="001C5C06" w:rsidR="006C735C">
        <w:t>.</w:t>
      </w:r>
    </w:p>
  </w:footnote>
  <w:footnote w:id="18">
    <w:p w:rsidR="004E1B98" w:rsidRPr="00FF7796" w:rsidP="00180117" w14:paraId="7842EE86" w14:textId="77777777">
      <w:pPr>
        <w:pStyle w:val="FootnoteText"/>
      </w:pPr>
      <w:r>
        <w:rPr>
          <w:rStyle w:val="FootnoteReference"/>
        </w:rPr>
        <w:footnoteRef/>
      </w:r>
      <w:r>
        <w:t xml:space="preserve"> </w:t>
      </w:r>
      <w:r w:rsidR="00FF7796">
        <w:rPr>
          <w:i/>
          <w:iCs/>
        </w:rPr>
        <w:t xml:space="preserve">Id. </w:t>
      </w:r>
      <w:r w:rsidR="00FF7796">
        <w:t xml:space="preserve">at </w:t>
      </w:r>
      <w:r w:rsidR="00EC58F4">
        <w:t>2</w:t>
      </w:r>
      <w:r w:rsidR="00FF7796">
        <w:t>.</w:t>
      </w:r>
    </w:p>
  </w:footnote>
  <w:footnote w:id="19">
    <w:p w:rsidR="00E74CDB" w14:paraId="3AC58D35" w14:textId="77777777">
      <w:pPr>
        <w:pStyle w:val="FootnoteText"/>
      </w:pPr>
      <w:r>
        <w:rPr>
          <w:rStyle w:val="FootnoteReference"/>
        </w:rPr>
        <w:footnoteRef/>
      </w:r>
      <w:r>
        <w:t xml:space="preserve"> </w:t>
      </w:r>
      <w:r w:rsidRPr="005A0E75" w:rsidR="005A0E75">
        <w:rPr>
          <w:i/>
          <w:iCs/>
        </w:rPr>
        <w:t xml:space="preserve">Applications of T-Mobile US, Inc. and Sprint Corporation for Consent to Transfer Control of Licenses and Authorizations, et al., </w:t>
      </w:r>
      <w:r w:rsidRPr="003E302F" w:rsidR="005A0E75">
        <w:t>WT Docket 18-197, Memorandum Opinion and Order, Declaratory Ruling, and Order of Proposed Modification, 34 FCC Rcd 10578, 10732-33, para. 349 (2019)</w:t>
      </w:r>
      <w:r w:rsidRPr="005A0E75" w:rsidR="005A0E75">
        <w:rPr>
          <w:i/>
          <w:iCs/>
        </w:rPr>
        <w:t>; Rules and Policies on Foreign Participation in the U.S. Telecommunications Market; Market Entry and Regulation of Foreign-Affiliated Entities, Report and Order and Order on Reconsideration</w:t>
      </w:r>
      <w:r w:rsidRPr="003E302F" w:rsidR="005A0E75">
        <w:t>,</w:t>
      </w:r>
      <w:r w:rsidRPr="005A0E75" w:rsidR="005A0E75">
        <w:rPr>
          <w:i/>
          <w:iCs/>
        </w:rPr>
        <w:t xml:space="preserve"> </w:t>
      </w:r>
      <w:r w:rsidRPr="003E302F" w:rsidR="005A0E75">
        <w:t>12 FCC Rcd 23891, 23918-21, paras. 59-66 (1997), recon. denied,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Pr="005A0E75" w:rsidR="005A0E75">
        <w:rPr>
          <w:i/>
          <w:iCs/>
        </w:rPr>
        <w:t>.</w:t>
      </w:r>
    </w:p>
  </w:footnote>
  <w:footnote w:id="20">
    <w:p w:rsidR="005614FA" w14:paraId="47C6EDEA" w14:textId="77777777">
      <w:pPr>
        <w:pStyle w:val="FootnoteText"/>
      </w:pPr>
      <w:r>
        <w:rPr>
          <w:rStyle w:val="FootnoteReference"/>
        </w:rPr>
        <w:footnoteRef/>
      </w:r>
      <w:r w:rsidR="001A5851">
        <w:t xml:space="preserve"> </w:t>
      </w:r>
      <w:r w:rsidRPr="0025072B" w:rsidR="00E827CF">
        <w:rPr>
          <w:i/>
        </w:rPr>
        <w:t>See</w:t>
      </w:r>
      <w:r w:rsidR="00E827CF">
        <w:rPr>
          <w:i/>
        </w:rPr>
        <w:t>, e.g</w:t>
      </w:r>
      <w:r w:rsidR="00E827CF">
        <w:t xml:space="preserve">., </w:t>
      </w:r>
      <w:r w:rsidRPr="004F4239" w:rsidR="00E827CF">
        <w:rPr>
          <w:i/>
        </w:rPr>
        <w:t>Applications of Level 3 Communications, Inc. and CenturyLink, Inc. for Consent to Transfer Control of Licenses and Authorizations</w:t>
      </w:r>
      <w:r w:rsidR="00E827CF">
        <w:t>, Memorandum Opinion and Order, 32 FCC Rcd 9581, 9594, 9605, paras. 26 and 52 (2017) (finding no harm to competition outside of CenturyLink’s incumbent LEC territory, where applicants operate as competitive LECs, and further finding that the t</w:t>
      </w:r>
      <w:r w:rsidRPr="00516C98" w:rsidR="00E827CF">
        <w:t xml:space="preserve">ransaction </w:t>
      </w:r>
      <w:r w:rsidR="00E827CF">
        <w:t>“</w:t>
      </w:r>
      <w:r w:rsidRPr="00516C98" w:rsidR="00E827CF">
        <w:t>will expand the on-net reach of the newly combined firm resulting in a more effective</w:t>
      </w:r>
      <w:r w:rsidR="00E827CF">
        <w:t xml:space="preserve"> </w:t>
      </w:r>
      <w:r w:rsidRPr="00516C98" w:rsidR="00E827CF">
        <w:t>and stronger competitor against larger cable and incumbent LEC competitors, among others, particularly outside of Century Link's incumbent LEC region, where it, like </w:t>
      </w:r>
      <w:r w:rsidRPr="004F4239" w:rsidR="00E827CF">
        <w:rPr>
          <w:bCs/>
        </w:rPr>
        <w:t>Level</w:t>
      </w:r>
      <w:r w:rsidRPr="001415BA" w:rsidR="00E827CF">
        <w:t> </w:t>
      </w:r>
      <w:r w:rsidRPr="004F4239" w:rsidR="00E827CF">
        <w:rPr>
          <w:bCs/>
        </w:rPr>
        <w:t>3</w:t>
      </w:r>
      <w:r w:rsidRPr="00516C98" w:rsidR="00E827CF">
        <w:t>, operates as a competitive LEC.</w:t>
      </w:r>
      <w:r w:rsidR="00E827CF">
        <w:t>”).</w:t>
      </w:r>
      <w:r w:rsidRPr="00516C98" w:rsidR="00E827CF">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AB14D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154A63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B5EB34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239A0C15" w14:textId="77777777">
                    <w:pPr>
                      <w:rPr>
                        <w:rFonts w:ascii="Arial" w:hAnsi="Arial"/>
                        <w:b/>
                      </w:rPr>
                    </w:pPr>
                    <w:r w:rsidRPr="000F0CB5">
                      <w:rPr>
                        <w:rFonts w:ascii="Arial" w:hAnsi="Arial"/>
                        <w:b/>
                      </w:rPr>
                      <w:t>Federal Communications Commission</w:t>
                    </w:r>
                  </w:p>
                  <w:p w:rsidR="009838BC" w:rsidRPr="000F0CB5" w:rsidP="009838BC" w14:paraId="67CE540C" w14:textId="77777777">
                    <w:pPr>
                      <w:rPr>
                        <w:rFonts w:ascii="Arial" w:hAnsi="Arial"/>
                        <w:b/>
                      </w:rPr>
                    </w:pPr>
                    <w:r w:rsidRPr="000F0CB5">
                      <w:rPr>
                        <w:rFonts w:ascii="Arial" w:hAnsi="Arial"/>
                        <w:b/>
                      </w:rPr>
                      <w:t>4</w:t>
                    </w:r>
                    <w:r w:rsidR="008C5D18">
                      <w:rPr>
                        <w:rFonts w:ascii="Arial" w:hAnsi="Arial"/>
                        <w:b/>
                      </w:rPr>
                      <w:t>5 L St., N.E.</w:t>
                    </w:r>
                  </w:p>
                  <w:p w:rsidR="009838BC" w:rsidP="009838BC" w14:paraId="717B4911"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B0F6C4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20FC105" w14:textId="77777777">
                    <w:pPr>
                      <w:spacing w:before="40"/>
                      <w:jc w:val="right"/>
                      <w:rPr>
                        <w:rFonts w:ascii="Arial" w:hAnsi="Arial"/>
                        <w:b/>
                        <w:sz w:val="16"/>
                      </w:rPr>
                    </w:pPr>
                    <w:r>
                      <w:rPr>
                        <w:rFonts w:ascii="Arial" w:hAnsi="Arial"/>
                        <w:b/>
                        <w:sz w:val="16"/>
                      </w:rPr>
                      <w:t>News Media Information 202 / 418-0500</w:t>
                    </w:r>
                  </w:p>
                  <w:p w:rsidR="009838BC" w:rsidP="009838BC" w14:paraId="416CB9E1"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0323B725" w14:textId="77777777">
                    <w:pPr>
                      <w:jc w:val="right"/>
                    </w:pPr>
                  </w:p>
                </w:txbxContent>
              </v:textbox>
            </v:shape>
          </w:pict>
        </mc:Fallback>
      </mc:AlternateContent>
    </w:r>
  </w:p>
  <w:p w:rsidR="006F7393" w:rsidRPr="009838BC" w:rsidP="009838BC" w14:paraId="49B8B0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55ED"/>
    <w:rsid w:val="00016146"/>
    <w:rsid w:val="00021445"/>
    <w:rsid w:val="00023FB3"/>
    <w:rsid w:val="00033822"/>
    <w:rsid w:val="00036039"/>
    <w:rsid w:val="00037F90"/>
    <w:rsid w:val="00044F6D"/>
    <w:rsid w:val="00056134"/>
    <w:rsid w:val="00061AAC"/>
    <w:rsid w:val="000737E6"/>
    <w:rsid w:val="000859A4"/>
    <w:rsid w:val="000875BF"/>
    <w:rsid w:val="00095E72"/>
    <w:rsid w:val="00096D8C"/>
    <w:rsid w:val="00097944"/>
    <w:rsid w:val="000A514A"/>
    <w:rsid w:val="000A719C"/>
    <w:rsid w:val="000C0B65"/>
    <w:rsid w:val="000C234E"/>
    <w:rsid w:val="000C621D"/>
    <w:rsid w:val="000D049C"/>
    <w:rsid w:val="000D79D7"/>
    <w:rsid w:val="000E3D42"/>
    <w:rsid w:val="000E5884"/>
    <w:rsid w:val="000E6601"/>
    <w:rsid w:val="000F0CB5"/>
    <w:rsid w:val="000F7AFB"/>
    <w:rsid w:val="00122BD5"/>
    <w:rsid w:val="001415BA"/>
    <w:rsid w:val="001541A8"/>
    <w:rsid w:val="00154D1F"/>
    <w:rsid w:val="00162A3E"/>
    <w:rsid w:val="00164EF4"/>
    <w:rsid w:val="00180117"/>
    <w:rsid w:val="0018105C"/>
    <w:rsid w:val="001979D9"/>
    <w:rsid w:val="001A3500"/>
    <w:rsid w:val="001A5851"/>
    <w:rsid w:val="001C0DFD"/>
    <w:rsid w:val="001C2305"/>
    <w:rsid w:val="001C5C06"/>
    <w:rsid w:val="001D11C0"/>
    <w:rsid w:val="001D5D80"/>
    <w:rsid w:val="001D6BCF"/>
    <w:rsid w:val="001E01CA"/>
    <w:rsid w:val="001E4911"/>
    <w:rsid w:val="001F1CB2"/>
    <w:rsid w:val="001F667C"/>
    <w:rsid w:val="0020070A"/>
    <w:rsid w:val="002056D2"/>
    <w:rsid w:val="002060D9"/>
    <w:rsid w:val="00207477"/>
    <w:rsid w:val="002078DE"/>
    <w:rsid w:val="00216B5D"/>
    <w:rsid w:val="00220631"/>
    <w:rsid w:val="00226822"/>
    <w:rsid w:val="002334CD"/>
    <w:rsid w:val="002442A7"/>
    <w:rsid w:val="0025072B"/>
    <w:rsid w:val="0025082C"/>
    <w:rsid w:val="00250FD4"/>
    <w:rsid w:val="00257B2A"/>
    <w:rsid w:val="00260594"/>
    <w:rsid w:val="00262E24"/>
    <w:rsid w:val="00265350"/>
    <w:rsid w:val="00266A8D"/>
    <w:rsid w:val="00274C55"/>
    <w:rsid w:val="00285017"/>
    <w:rsid w:val="0028684D"/>
    <w:rsid w:val="002A101D"/>
    <w:rsid w:val="002A2D2E"/>
    <w:rsid w:val="002A6D6A"/>
    <w:rsid w:val="002B0207"/>
    <w:rsid w:val="002D62DD"/>
    <w:rsid w:val="002E699E"/>
    <w:rsid w:val="002F2194"/>
    <w:rsid w:val="002F2339"/>
    <w:rsid w:val="00307030"/>
    <w:rsid w:val="0031328E"/>
    <w:rsid w:val="00317D86"/>
    <w:rsid w:val="003275FD"/>
    <w:rsid w:val="00327E00"/>
    <w:rsid w:val="00343749"/>
    <w:rsid w:val="00351BC2"/>
    <w:rsid w:val="00357D50"/>
    <w:rsid w:val="0037371C"/>
    <w:rsid w:val="00381F74"/>
    <w:rsid w:val="003852DA"/>
    <w:rsid w:val="003925DC"/>
    <w:rsid w:val="003955A4"/>
    <w:rsid w:val="00397845"/>
    <w:rsid w:val="003A213D"/>
    <w:rsid w:val="003A7376"/>
    <w:rsid w:val="003B0550"/>
    <w:rsid w:val="003B694F"/>
    <w:rsid w:val="003C4579"/>
    <w:rsid w:val="003E2EFE"/>
    <w:rsid w:val="003E302F"/>
    <w:rsid w:val="003E7B6C"/>
    <w:rsid w:val="003F171C"/>
    <w:rsid w:val="003F4BD4"/>
    <w:rsid w:val="00412959"/>
    <w:rsid w:val="00412FC5"/>
    <w:rsid w:val="00413423"/>
    <w:rsid w:val="0042206A"/>
    <w:rsid w:val="00422276"/>
    <w:rsid w:val="004242F1"/>
    <w:rsid w:val="00425641"/>
    <w:rsid w:val="004352C3"/>
    <w:rsid w:val="0044058F"/>
    <w:rsid w:val="00445A00"/>
    <w:rsid w:val="00451B0F"/>
    <w:rsid w:val="0046125F"/>
    <w:rsid w:val="00466B8E"/>
    <w:rsid w:val="00467D60"/>
    <w:rsid w:val="004753F7"/>
    <w:rsid w:val="00485408"/>
    <w:rsid w:val="00487524"/>
    <w:rsid w:val="004876D1"/>
    <w:rsid w:val="004903BF"/>
    <w:rsid w:val="004943CA"/>
    <w:rsid w:val="004954BE"/>
    <w:rsid w:val="00496106"/>
    <w:rsid w:val="004B091D"/>
    <w:rsid w:val="004C12D0"/>
    <w:rsid w:val="004C2EE3"/>
    <w:rsid w:val="004D22C3"/>
    <w:rsid w:val="004E1B98"/>
    <w:rsid w:val="004E4A22"/>
    <w:rsid w:val="004F4239"/>
    <w:rsid w:val="00511968"/>
    <w:rsid w:val="00516C98"/>
    <w:rsid w:val="00530C22"/>
    <w:rsid w:val="00531267"/>
    <w:rsid w:val="0055614C"/>
    <w:rsid w:val="005614FA"/>
    <w:rsid w:val="00571590"/>
    <w:rsid w:val="00593FE6"/>
    <w:rsid w:val="005A0E75"/>
    <w:rsid w:val="005A768D"/>
    <w:rsid w:val="005B1183"/>
    <w:rsid w:val="005B4290"/>
    <w:rsid w:val="005C680A"/>
    <w:rsid w:val="005D47C0"/>
    <w:rsid w:val="005E15F6"/>
    <w:rsid w:val="005E7217"/>
    <w:rsid w:val="005E74A9"/>
    <w:rsid w:val="00604030"/>
    <w:rsid w:val="00607BA5"/>
    <w:rsid w:val="006150AD"/>
    <w:rsid w:val="00626EB6"/>
    <w:rsid w:val="006275B0"/>
    <w:rsid w:val="00631B71"/>
    <w:rsid w:val="006353A3"/>
    <w:rsid w:val="00642E7B"/>
    <w:rsid w:val="006438AD"/>
    <w:rsid w:val="006521AA"/>
    <w:rsid w:val="006549B8"/>
    <w:rsid w:val="00655D03"/>
    <w:rsid w:val="006613AC"/>
    <w:rsid w:val="00664903"/>
    <w:rsid w:val="00664AB4"/>
    <w:rsid w:val="00683F84"/>
    <w:rsid w:val="006A6A81"/>
    <w:rsid w:val="006B3292"/>
    <w:rsid w:val="006B6F46"/>
    <w:rsid w:val="006B73E0"/>
    <w:rsid w:val="006C735C"/>
    <w:rsid w:val="006D40DD"/>
    <w:rsid w:val="006D6039"/>
    <w:rsid w:val="006E26AF"/>
    <w:rsid w:val="006E376F"/>
    <w:rsid w:val="006F7393"/>
    <w:rsid w:val="0070224F"/>
    <w:rsid w:val="007115F7"/>
    <w:rsid w:val="007134E1"/>
    <w:rsid w:val="00714A85"/>
    <w:rsid w:val="0073041C"/>
    <w:rsid w:val="0074675A"/>
    <w:rsid w:val="00761FF7"/>
    <w:rsid w:val="0076436F"/>
    <w:rsid w:val="00781400"/>
    <w:rsid w:val="00785689"/>
    <w:rsid w:val="0079676F"/>
    <w:rsid w:val="0079754B"/>
    <w:rsid w:val="007A1E6D"/>
    <w:rsid w:val="007A7B3A"/>
    <w:rsid w:val="007B71D5"/>
    <w:rsid w:val="007C0AC0"/>
    <w:rsid w:val="007C2228"/>
    <w:rsid w:val="007C674D"/>
    <w:rsid w:val="007D3761"/>
    <w:rsid w:val="007D3887"/>
    <w:rsid w:val="007E5B80"/>
    <w:rsid w:val="007F2FED"/>
    <w:rsid w:val="00802A18"/>
    <w:rsid w:val="008068FD"/>
    <w:rsid w:val="00822CE0"/>
    <w:rsid w:val="008301C5"/>
    <w:rsid w:val="0083155B"/>
    <w:rsid w:val="0083364B"/>
    <w:rsid w:val="00837C62"/>
    <w:rsid w:val="0084061A"/>
    <w:rsid w:val="00841AB1"/>
    <w:rsid w:val="00845944"/>
    <w:rsid w:val="00851E64"/>
    <w:rsid w:val="00853442"/>
    <w:rsid w:val="008623A2"/>
    <w:rsid w:val="00876862"/>
    <w:rsid w:val="008802A4"/>
    <w:rsid w:val="00880408"/>
    <w:rsid w:val="008A205A"/>
    <w:rsid w:val="008A3AF0"/>
    <w:rsid w:val="008A6586"/>
    <w:rsid w:val="008C22FD"/>
    <w:rsid w:val="008C2513"/>
    <w:rsid w:val="008C5D18"/>
    <w:rsid w:val="008F072E"/>
    <w:rsid w:val="008F1449"/>
    <w:rsid w:val="008F2D9A"/>
    <w:rsid w:val="008F7321"/>
    <w:rsid w:val="00910F12"/>
    <w:rsid w:val="00914C39"/>
    <w:rsid w:val="00915A5D"/>
    <w:rsid w:val="00926503"/>
    <w:rsid w:val="009279E9"/>
    <w:rsid w:val="00930ECF"/>
    <w:rsid w:val="009400D2"/>
    <w:rsid w:val="00940210"/>
    <w:rsid w:val="00943A00"/>
    <w:rsid w:val="00975E59"/>
    <w:rsid w:val="00976129"/>
    <w:rsid w:val="00977D8A"/>
    <w:rsid w:val="0098004B"/>
    <w:rsid w:val="00980335"/>
    <w:rsid w:val="009838BC"/>
    <w:rsid w:val="0098517C"/>
    <w:rsid w:val="00987D28"/>
    <w:rsid w:val="009A6C2E"/>
    <w:rsid w:val="009B3988"/>
    <w:rsid w:val="009B63B0"/>
    <w:rsid w:val="009C7B6C"/>
    <w:rsid w:val="009D28AB"/>
    <w:rsid w:val="009D36AB"/>
    <w:rsid w:val="009E0A80"/>
    <w:rsid w:val="00A07202"/>
    <w:rsid w:val="00A45F4F"/>
    <w:rsid w:val="00A535D7"/>
    <w:rsid w:val="00A600A9"/>
    <w:rsid w:val="00A70EE1"/>
    <w:rsid w:val="00A726A5"/>
    <w:rsid w:val="00A866AC"/>
    <w:rsid w:val="00A91084"/>
    <w:rsid w:val="00A93453"/>
    <w:rsid w:val="00AA1FB9"/>
    <w:rsid w:val="00AA55B7"/>
    <w:rsid w:val="00AA5B9E"/>
    <w:rsid w:val="00AB1746"/>
    <w:rsid w:val="00AB2407"/>
    <w:rsid w:val="00AB53DF"/>
    <w:rsid w:val="00AC0010"/>
    <w:rsid w:val="00AE19F5"/>
    <w:rsid w:val="00AE2DC1"/>
    <w:rsid w:val="00AF77E2"/>
    <w:rsid w:val="00B00DBA"/>
    <w:rsid w:val="00B07E5C"/>
    <w:rsid w:val="00B20809"/>
    <w:rsid w:val="00B326E3"/>
    <w:rsid w:val="00B44339"/>
    <w:rsid w:val="00B52051"/>
    <w:rsid w:val="00B711AE"/>
    <w:rsid w:val="00B7124D"/>
    <w:rsid w:val="00B811F7"/>
    <w:rsid w:val="00B82285"/>
    <w:rsid w:val="00B85CA1"/>
    <w:rsid w:val="00B959E6"/>
    <w:rsid w:val="00BA5DC6"/>
    <w:rsid w:val="00BA6196"/>
    <w:rsid w:val="00BC6D8C"/>
    <w:rsid w:val="00BD1F31"/>
    <w:rsid w:val="00BD34F1"/>
    <w:rsid w:val="00BE6279"/>
    <w:rsid w:val="00BF1AB9"/>
    <w:rsid w:val="00BF6638"/>
    <w:rsid w:val="00C03F95"/>
    <w:rsid w:val="00C16AF2"/>
    <w:rsid w:val="00C17705"/>
    <w:rsid w:val="00C21933"/>
    <w:rsid w:val="00C26B94"/>
    <w:rsid w:val="00C34006"/>
    <w:rsid w:val="00C35272"/>
    <w:rsid w:val="00C367FB"/>
    <w:rsid w:val="00C426B1"/>
    <w:rsid w:val="00C45A39"/>
    <w:rsid w:val="00C502B2"/>
    <w:rsid w:val="00C5119E"/>
    <w:rsid w:val="00C52F75"/>
    <w:rsid w:val="00C54865"/>
    <w:rsid w:val="00C67232"/>
    <w:rsid w:val="00C76D5F"/>
    <w:rsid w:val="00C822C7"/>
    <w:rsid w:val="00C82B6B"/>
    <w:rsid w:val="00C8607B"/>
    <w:rsid w:val="00C90D6A"/>
    <w:rsid w:val="00C9237B"/>
    <w:rsid w:val="00C95AE7"/>
    <w:rsid w:val="00CA17EA"/>
    <w:rsid w:val="00CA3E69"/>
    <w:rsid w:val="00CA60A9"/>
    <w:rsid w:val="00CC6A10"/>
    <w:rsid w:val="00CC72B6"/>
    <w:rsid w:val="00CE1A4A"/>
    <w:rsid w:val="00CF1DFA"/>
    <w:rsid w:val="00CF28E3"/>
    <w:rsid w:val="00CF33D4"/>
    <w:rsid w:val="00CF4487"/>
    <w:rsid w:val="00D0218D"/>
    <w:rsid w:val="00D02B16"/>
    <w:rsid w:val="00D04B72"/>
    <w:rsid w:val="00D12B3C"/>
    <w:rsid w:val="00D216CD"/>
    <w:rsid w:val="00D268B1"/>
    <w:rsid w:val="00D851AB"/>
    <w:rsid w:val="00D97850"/>
    <w:rsid w:val="00DA2529"/>
    <w:rsid w:val="00DA455F"/>
    <w:rsid w:val="00DB0FA2"/>
    <w:rsid w:val="00DB130A"/>
    <w:rsid w:val="00DB54CA"/>
    <w:rsid w:val="00DC062A"/>
    <w:rsid w:val="00DC10A1"/>
    <w:rsid w:val="00DC184E"/>
    <w:rsid w:val="00DC655F"/>
    <w:rsid w:val="00DD0B78"/>
    <w:rsid w:val="00DD0F22"/>
    <w:rsid w:val="00DD7EBD"/>
    <w:rsid w:val="00DF1B24"/>
    <w:rsid w:val="00DF62B6"/>
    <w:rsid w:val="00E014AC"/>
    <w:rsid w:val="00E07225"/>
    <w:rsid w:val="00E155B7"/>
    <w:rsid w:val="00E156F9"/>
    <w:rsid w:val="00E22CF2"/>
    <w:rsid w:val="00E25939"/>
    <w:rsid w:val="00E5409F"/>
    <w:rsid w:val="00E566F5"/>
    <w:rsid w:val="00E72298"/>
    <w:rsid w:val="00E74CDB"/>
    <w:rsid w:val="00E80C5A"/>
    <w:rsid w:val="00E827CF"/>
    <w:rsid w:val="00E871B4"/>
    <w:rsid w:val="00E9579E"/>
    <w:rsid w:val="00E96B4B"/>
    <w:rsid w:val="00E96C1C"/>
    <w:rsid w:val="00EA1EF6"/>
    <w:rsid w:val="00EB0ED4"/>
    <w:rsid w:val="00EB2C44"/>
    <w:rsid w:val="00EB662D"/>
    <w:rsid w:val="00EC0185"/>
    <w:rsid w:val="00EC1D0F"/>
    <w:rsid w:val="00EC58F4"/>
    <w:rsid w:val="00EC7832"/>
    <w:rsid w:val="00EF034C"/>
    <w:rsid w:val="00EF62B4"/>
    <w:rsid w:val="00F01780"/>
    <w:rsid w:val="00F021FA"/>
    <w:rsid w:val="00F14D69"/>
    <w:rsid w:val="00F273CF"/>
    <w:rsid w:val="00F57ACA"/>
    <w:rsid w:val="00F619C5"/>
    <w:rsid w:val="00F62E97"/>
    <w:rsid w:val="00F64209"/>
    <w:rsid w:val="00F66D37"/>
    <w:rsid w:val="00F70514"/>
    <w:rsid w:val="00F70C85"/>
    <w:rsid w:val="00F72B31"/>
    <w:rsid w:val="00F93BF5"/>
    <w:rsid w:val="00F96F63"/>
    <w:rsid w:val="00FA3284"/>
    <w:rsid w:val="00FB7981"/>
    <w:rsid w:val="00FC0015"/>
    <w:rsid w:val="00FE0EE0"/>
    <w:rsid w:val="00FE3B39"/>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F3C7D4"/>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