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25AC" w14:paraId="72A4A746" w14:textId="1E0DA0C3">
      <w:pPr>
        <w:jc w:val="right"/>
        <w:rPr>
          <w:b/>
          <w:sz w:val="24"/>
        </w:rPr>
      </w:pPr>
      <w:r>
        <w:rPr>
          <w:b/>
          <w:sz w:val="24"/>
        </w:rPr>
        <w:t>DA 21-</w:t>
      </w:r>
      <w:r w:rsidR="002A2093">
        <w:rPr>
          <w:b/>
          <w:sz w:val="24"/>
        </w:rPr>
        <w:t>851</w:t>
      </w:r>
      <w:r>
        <w:rPr>
          <w:b/>
          <w:sz w:val="24"/>
        </w:rPr>
        <w:t xml:space="preserve"> </w:t>
      </w:r>
    </w:p>
    <w:p w:rsidR="00DA25AC" w14:paraId="31B22F27" w14:textId="697FFA2C">
      <w:pPr>
        <w:spacing w:before="60"/>
        <w:jc w:val="right"/>
        <w:rPr>
          <w:b/>
          <w:sz w:val="24"/>
        </w:rPr>
      </w:pPr>
      <w:r>
        <w:rPr>
          <w:b/>
          <w:sz w:val="24"/>
        </w:rPr>
        <w:t xml:space="preserve">Released:  </w:t>
      </w:r>
      <w:r w:rsidR="003D26AC">
        <w:rPr>
          <w:b/>
          <w:sz w:val="24"/>
        </w:rPr>
        <w:t>July</w:t>
      </w:r>
      <w:r w:rsidR="00AC4831">
        <w:rPr>
          <w:b/>
          <w:sz w:val="24"/>
        </w:rPr>
        <w:t>16</w:t>
      </w:r>
      <w:r w:rsidR="003D26AC">
        <w:rPr>
          <w:b/>
          <w:sz w:val="24"/>
        </w:rPr>
        <w:t>, 2021</w:t>
      </w:r>
    </w:p>
    <w:p w:rsidR="00DA25AC" w14:paraId="1BC7B56D" w14:textId="77777777">
      <w:pPr>
        <w:jc w:val="right"/>
        <w:rPr>
          <w:sz w:val="24"/>
        </w:rPr>
      </w:pPr>
    </w:p>
    <w:p w:rsidR="00DA25AC" w:rsidP="003D26AC" w14:paraId="5787CA4C" w14:textId="41FA4C56">
      <w:pPr>
        <w:spacing w:after="240"/>
        <w:jc w:val="center"/>
        <w:rPr>
          <w:rFonts w:ascii="Times New Roman Bold" w:hAnsi="Times New Roman Bold"/>
          <w:b/>
          <w:caps/>
          <w:sz w:val="24"/>
        </w:rPr>
      </w:pPr>
      <w:r>
        <w:rPr>
          <w:rFonts w:ascii="Times New Roman Bold" w:hAnsi="Times New Roman Bold"/>
          <w:b/>
          <w:caps/>
          <w:sz w:val="24"/>
        </w:rPr>
        <w:t>Media bureau extends comment and reply comment deadlines to update the record in the 2018 quadrennial review</w:t>
      </w:r>
    </w:p>
    <w:p w:rsidR="00DA25AC" w14:paraId="3DA27A77" w14:textId="202E6643">
      <w:pPr>
        <w:jc w:val="center"/>
        <w:rPr>
          <w:b/>
          <w:sz w:val="24"/>
        </w:rPr>
      </w:pPr>
      <w:r>
        <w:rPr>
          <w:b/>
          <w:sz w:val="24"/>
        </w:rPr>
        <w:t>MB Docket No. 18-349</w:t>
      </w:r>
    </w:p>
    <w:p w:rsidR="00DA25AC" w14:paraId="1D40F695" w14:textId="77777777">
      <w:bookmarkStart w:id="0" w:name="TOChere"/>
    </w:p>
    <w:p w:rsidR="003D26AC" w:rsidRPr="00D74ABB" w:rsidP="003D26AC" w14:paraId="49FA0DDA" w14:textId="63A9FC7B">
      <w:pPr>
        <w:rPr>
          <w:b/>
          <w:szCs w:val="22"/>
        </w:rPr>
      </w:pPr>
      <w:r w:rsidRPr="00D74ABB">
        <w:rPr>
          <w:b/>
          <w:szCs w:val="22"/>
        </w:rPr>
        <w:t xml:space="preserve">Extended Comment Deadline:  </w:t>
      </w:r>
      <w:r w:rsidR="00B20ED2">
        <w:rPr>
          <w:b/>
          <w:szCs w:val="22"/>
        </w:rPr>
        <w:t>September 2</w:t>
      </w:r>
      <w:r w:rsidRPr="00D74ABB">
        <w:rPr>
          <w:b/>
          <w:szCs w:val="22"/>
        </w:rPr>
        <w:t>, 2021</w:t>
      </w:r>
    </w:p>
    <w:p w:rsidR="003D26AC" w:rsidRPr="00D74ABB" w:rsidP="003D26AC" w14:paraId="18F249CD" w14:textId="0A25177B">
      <w:pPr>
        <w:rPr>
          <w:b/>
          <w:szCs w:val="22"/>
        </w:rPr>
      </w:pPr>
      <w:r w:rsidRPr="00D74ABB">
        <w:rPr>
          <w:b/>
          <w:szCs w:val="22"/>
        </w:rPr>
        <w:t xml:space="preserve">Extended Reply Comment Deadline:  </w:t>
      </w:r>
      <w:r w:rsidR="00B20ED2">
        <w:rPr>
          <w:b/>
          <w:szCs w:val="22"/>
        </w:rPr>
        <w:t>October 1</w:t>
      </w:r>
      <w:r w:rsidRPr="00D74ABB">
        <w:rPr>
          <w:b/>
          <w:szCs w:val="22"/>
        </w:rPr>
        <w:t>, 2021</w:t>
      </w:r>
    </w:p>
    <w:p w:rsidR="003D26AC" w:rsidRPr="00D74ABB" w:rsidP="003D26AC" w14:paraId="2205FCA4" w14:textId="77777777">
      <w:pPr>
        <w:rPr>
          <w:b/>
          <w:sz w:val="24"/>
        </w:rPr>
      </w:pPr>
    </w:p>
    <w:p w:rsidR="00946AF1" w:rsidRPr="00946AF1" w:rsidP="003D26AC" w14:paraId="2D111225" w14:textId="77777777">
      <w:pPr>
        <w:pStyle w:val="ParaNum"/>
      </w:pPr>
      <w:r w:rsidRPr="005A4B0E">
        <w:rPr>
          <w:szCs w:val="22"/>
        </w:rPr>
        <w:t>By this Public Notice, the Media Bureau extends the deadlines for filing comments and reply comments in the above-captioned proceeding.  On June 4, 2021, the Media Bureau released a Public Notice</w:t>
      </w:r>
      <w:r w:rsidRPr="005A4B0E" w:rsidR="000B112F">
        <w:rPr>
          <w:szCs w:val="22"/>
        </w:rPr>
        <w:t xml:space="preserve"> seeking to update the record in the 2018 Quadrennial Review proceeding, in which the Commission has sought comment, pursuant to its obligation under Section 202(h) of the Telecommunications Act of 1996, on whether its media ownership rules remain “necessary in the public interest as the result of competition.”</w:t>
      </w:r>
      <w:r>
        <w:rPr>
          <w:rStyle w:val="FootnoteReference"/>
          <w:szCs w:val="22"/>
        </w:rPr>
        <w:footnoteReference w:id="3"/>
      </w:r>
      <w:r w:rsidRPr="005A4B0E">
        <w:rPr>
          <w:szCs w:val="22"/>
        </w:rPr>
        <w:t xml:space="preserve"> </w:t>
      </w:r>
      <w:r w:rsidRPr="005A4B0E" w:rsidR="000B112F">
        <w:rPr>
          <w:szCs w:val="22"/>
        </w:rPr>
        <w:t xml:space="preserve"> </w:t>
      </w:r>
      <w:r w:rsidRPr="005A4B0E" w:rsidR="00DA4663">
        <w:rPr>
          <w:szCs w:val="22"/>
        </w:rPr>
        <w:t>On July 1, 2021, the Media Bureau</w:t>
      </w:r>
      <w:r w:rsidRPr="005A4B0E">
        <w:rPr>
          <w:szCs w:val="22"/>
        </w:rPr>
        <w:t xml:space="preserve"> </w:t>
      </w:r>
      <w:r w:rsidRPr="005A4B0E" w:rsidR="00DA4663">
        <w:rPr>
          <w:szCs w:val="22"/>
        </w:rPr>
        <w:t>announced a comment filing deadline of August 2, 2021, and a reply comment filing deadline of August 30, 2021, for record updates to the above-captioned proceeding.</w:t>
      </w:r>
      <w:r>
        <w:rPr>
          <w:rStyle w:val="FootnoteReference"/>
          <w:szCs w:val="22"/>
        </w:rPr>
        <w:footnoteReference w:id="4"/>
      </w:r>
      <w:r w:rsidRPr="005A4B0E">
        <w:rPr>
          <w:szCs w:val="22"/>
        </w:rPr>
        <w:t xml:space="preserve">  </w:t>
      </w:r>
    </w:p>
    <w:p w:rsidR="003D26AC" w:rsidRPr="00A82902" w:rsidP="001829F7" w14:paraId="5AB9D7C6" w14:textId="618CC2EB">
      <w:pPr>
        <w:pStyle w:val="ParaNum"/>
      </w:pPr>
      <w:r w:rsidRPr="005A4B0E">
        <w:rPr>
          <w:szCs w:val="22"/>
        </w:rPr>
        <w:t xml:space="preserve">On </w:t>
      </w:r>
      <w:r w:rsidRPr="005A4B0E" w:rsidR="00DA4663">
        <w:rPr>
          <w:szCs w:val="22"/>
        </w:rPr>
        <w:t>July</w:t>
      </w:r>
      <w:r w:rsidRPr="005A4B0E">
        <w:rPr>
          <w:szCs w:val="22"/>
        </w:rPr>
        <w:t xml:space="preserve"> 1</w:t>
      </w:r>
      <w:r w:rsidRPr="005A4B0E" w:rsidR="00DA4663">
        <w:rPr>
          <w:szCs w:val="22"/>
        </w:rPr>
        <w:t>2</w:t>
      </w:r>
      <w:r w:rsidRPr="005A4B0E">
        <w:rPr>
          <w:szCs w:val="22"/>
        </w:rPr>
        <w:t xml:space="preserve">, 2021, </w:t>
      </w:r>
      <w:r w:rsidRPr="005A4B0E" w:rsidR="00DA4663">
        <w:rPr>
          <w:szCs w:val="22"/>
        </w:rPr>
        <w:t>Common Cause, Free Press, the Multicultural Media, Telecom and Internet Council (MMTC), the National Association of Black Owned Broadcasters (NABOB), and the National Association of Broadcasters (NAB) (</w:t>
      </w:r>
      <w:r w:rsidRPr="005A4B0E" w:rsidR="00AC47AE">
        <w:rPr>
          <w:szCs w:val="22"/>
        </w:rPr>
        <w:t xml:space="preserve">collectively, </w:t>
      </w:r>
      <w:r w:rsidRPr="00555B4A" w:rsidR="00DA4663">
        <w:rPr>
          <w:szCs w:val="22"/>
        </w:rPr>
        <w:t>Joint Filers)</w:t>
      </w:r>
      <w:r w:rsidRPr="00555B4A">
        <w:rPr>
          <w:szCs w:val="22"/>
        </w:rPr>
        <w:t xml:space="preserve"> requested a</w:t>
      </w:r>
      <w:r w:rsidRPr="00555B4A" w:rsidR="00DA4663">
        <w:rPr>
          <w:szCs w:val="22"/>
        </w:rPr>
        <w:t>n extension</w:t>
      </w:r>
      <w:r w:rsidRPr="00555B4A">
        <w:rPr>
          <w:szCs w:val="22"/>
        </w:rPr>
        <w:t xml:space="preserve"> </w:t>
      </w:r>
      <w:r w:rsidRPr="00555B4A" w:rsidR="00DA4663">
        <w:rPr>
          <w:szCs w:val="22"/>
        </w:rPr>
        <w:t>of the comment and reply comment filing deadlines until September 2 and October 1, 2021, respectively</w:t>
      </w:r>
      <w:r w:rsidRPr="00555B4A">
        <w:rPr>
          <w:szCs w:val="22"/>
        </w:rPr>
        <w:t>.</w:t>
      </w:r>
      <w:r>
        <w:rPr>
          <w:rStyle w:val="FootnoteReference"/>
          <w:szCs w:val="22"/>
        </w:rPr>
        <w:footnoteReference w:id="5"/>
      </w:r>
      <w:r w:rsidRPr="00555B4A">
        <w:rPr>
          <w:szCs w:val="22"/>
        </w:rPr>
        <w:t xml:space="preserve">  The </w:t>
      </w:r>
      <w:r w:rsidRPr="00555B4A" w:rsidR="00DA4663">
        <w:rPr>
          <w:szCs w:val="22"/>
        </w:rPr>
        <w:t>Joint Filers</w:t>
      </w:r>
      <w:r w:rsidRPr="00555B4A">
        <w:rPr>
          <w:szCs w:val="22"/>
        </w:rPr>
        <w:t xml:space="preserve"> explain that</w:t>
      </w:r>
      <w:r w:rsidRPr="00555B4A" w:rsidR="00946AF1">
        <w:rPr>
          <w:szCs w:val="22"/>
        </w:rPr>
        <w:t>,</w:t>
      </w:r>
      <w:r w:rsidRPr="00555B4A">
        <w:rPr>
          <w:szCs w:val="22"/>
        </w:rPr>
        <w:t xml:space="preserve"> </w:t>
      </w:r>
      <w:r w:rsidRPr="00555B4A" w:rsidR="00946AF1">
        <w:rPr>
          <w:szCs w:val="22"/>
        </w:rPr>
        <w:t xml:space="preserve">as more than two years have passed since the original comment cycle in this proceeding was completed, there have been many economic and legal developments in the media </w:t>
      </w:r>
      <w:r w:rsidRPr="00555B4A" w:rsidR="00391D07">
        <w:rPr>
          <w:szCs w:val="22"/>
        </w:rPr>
        <w:t>industry in that time</w:t>
      </w:r>
      <w:r w:rsidRPr="00555B4A" w:rsidR="00946AF1">
        <w:rPr>
          <w:szCs w:val="22"/>
        </w:rPr>
        <w:t>.</w:t>
      </w:r>
      <w:r>
        <w:rPr>
          <w:rStyle w:val="FootnoteReference"/>
          <w:szCs w:val="22"/>
        </w:rPr>
        <w:footnoteReference w:id="6"/>
      </w:r>
      <w:r w:rsidRPr="00555B4A" w:rsidR="00946AF1">
        <w:rPr>
          <w:szCs w:val="22"/>
        </w:rPr>
        <w:t xml:space="preserve">  The Joint Filers state that they</w:t>
      </w:r>
      <w:r w:rsidRPr="00555B4A" w:rsidR="00F12F2A">
        <w:rPr>
          <w:szCs w:val="22"/>
        </w:rPr>
        <w:t xml:space="preserve"> and other interested parties</w:t>
      </w:r>
      <w:r w:rsidRPr="00555B4A" w:rsidR="00946AF1">
        <w:rPr>
          <w:szCs w:val="22"/>
        </w:rPr>
        <w:t xml:space="preserve"> need additional time to address the many complex economic and legal issues through research, updates to previously filed material, and new information.</w:t>
      </w:r>
      <w:r>
        <w:rPr>
          <w:rStyle w:val="FootnoteReference"/>
          <w:szCs w:val="22"/>
        </w:rPr>
        <w:footnoteReference w:id="7"/>
      </w:r>
      <w:r w:rsidRPr="00555B4A">
        <w:rPr>
          <w:szCs w:val="22"/>
        </w:rPr>
        <w:t xml:space="preserve"> </w:t>
      </w:r>
      <w:r w:rsidRPr="00555B4A" w:rsidR="00DA4663">
        <w:rPr>
          <w:szCs w:val="22"/>
        </w:rPr>
        <w:t xml:space="preserve"> </w:t>
      </w:r>
    </w:p>
    <w:p w:rsidR="003D26AC" w:rsidRPr="008D055E" w:rsidP="003D26AC" w14:paraId="2697A99D" w14:textId="79813BB0">
      <w:pPr>
        <w:pStyle w:val="ParaNum"/>
        <w:widowControl/>
        <w:suppressAutoHyphens/>
      </w:pPr>
      <w:r w:rsidRPr="00A82902">
        <w:t xml:space="preserve">As set forth in </w:t>
      </w:r>
      <w:r w:rsidR="002967A0">
        <w:t>s</w:t>
      </w:r>
      <w:r w:rsidRPr="00A82902">
        <w:t>ection 1.46(a) of the Commission’s rules,</w:t>
      </w:r>
      <w:r>
        <w:rPr>
          <w:rStyle w:val="FootnoteReference"/>
        </w:rPr>
        <w:footnoteReference w:id="8"/>
      </w:r>
      <w:r w:rsidRPr="00A82902">
        <w:t xml:space="preserve"> the Commission’s policy is that extensions of time shall not be routinely granted.  </w:t>
      </w:r>
      <w:r>
        <w:t xml:space="preserve">We find, however, that the </w:t>
      </w:r>
      <w:r w:rsidR="00DA4663">
        <w:t>Joint Filers</w:t>
      </w:r>
      <w:r>
        <w:t xml:space="preserve"> ha</w:t>
      </w:r>
      <w:r w:rsidR="00DA4663">
        <w:t>ve</w:t>
      </w:r>
      <w:r>
        <w:t xml:space="preserve"> set </w:t>
      </w:r>
      <w:r>
        <w:t>forth a sufficient justification to warrant grant of their requested extension.</w:t>
      </w:r>
      <w:r w:rsidRPr="008D055E">
        <w:t xml:space="preserve">  </w:t>
      </w:r>
      <w:r w:rsidRPr="00555B4A" w:rsidR="001829F7">
        <w:rPr>
          <w:szCs w:val="22"/>
        </w:rPr>
        <w:t xml:space="preserve">As </w:t>
      </w:r>
      <w:r w:rsidR="001829F7">
        <w:rPr>
          <w:szCs w:val="22"/>
        </w:rPr>
        <w:t>an</w:t>
      </w:r>
      <w:r w:rsidRPr="00555B4A" w:rsidR="001829F7">
        <w:rPr>
          <w:szCs w:val="22"/>
        </w:rPr>
        <w:t xml:space="preserve"> extension </w:t>
      </w:r>
      <w:r w:rsidR="001829F7">
        <w:rPr>
          <w:szCs w:val="22"/>
        </w:rPr>
        <w:t>should</w:t>
      </w:r>
      <w:r w:rsidRPr="00555B4A" w:rsidR="001829F7">
        <w:rPr>
          <w:szCs w:val="22"/>
        </w:rPr>
        <w:t xml:space="preserve"> enable interested parties to present more complete and thoughtful comments to the Commission, </w:t>
      </w:r>
      <w:r w:rsidR="001829F7">
        <w:rPr>
          <w:szCs w:val="22"/>
        </w:rPr>
        <w:t xml:space="preserve">we agree with </w:t>
      </w:r>
      <w:r w:rsidRPr="00555B4A" w:rsidR="001829F7">
        <w:rPr>
          <w:szCs w:val="22"/>
        </w:rPr>
        <w:t xml:space="preserve">the Joint Filers that both the parties commenting in the proceeding and the Commission </w:t>
      </w:r>
      <w:r w:rsidR="001829F7">
        <w:rPr>
          <w:szCs w:val="22"/>
        </w:rPr>
        <w:t>should</w:t>
      </w:r>
      <w:r w:rsidRPr="00555B4A" w:rsidR="001829F7">
        <w:rPr>
          <w:szCs w:val="22"/>
        </w:rPr>
        <w:t xml:space="preserve"> benefit and that the extension </w:t>
      </w:r>
      <w:r w:rsidR="001829F7">
        <w:rPr>
          <w:szCs w:val="22"/>
        </w:rPr>
        <w:t>should</w:t>
      </w:r>
      <w:r w:rsidRPr="00555B4A" w:rsidR="001829F7">
        <w:rPr>
          <w:szCs w:val="22"/>
        </w:rPr>
        <w:t xml:space="preserve"> not disadvantage any party.</w:t>
      </w:r>
      <w:r>
        <w:rPr>
          <w:rStyle w:val="FootnoteReference"/>
          <w:szCs w:val="22"/>
        </w:rPr>
        <w:footnoteReference w:id="9"/>
      </w:r>
      <w:r w:rsidRPr="00555B4A" w:rsidR="001829F7">
        <w:rPr>
          <w:szCs w:val="22"/>
        </w:rPr>
        <w:t xml:space="preserve">  </w:t>
      </w:r>
      <w:r w:rsidR="001829F7">
        <w:t>Accordingly</w:t>
      </w:r>
      <w:r w:rsidRPr="008D055E">
        <w:t xml:space="preserve">, we </w:t>
      </w:r>
      <w:r w:rsidR="001829F7">
        <w:t xml:space="preserve">grant the Joint Filers’ request and </w:t>
      </w:r>
      <w:r w:rsidRPr="008D055E">
        <w:t xml:space="preserve">extend the comment and reply comment deadlines by </w:t>
      </w:r>
      <w:r w:rsidR="0015660C">
        <w:t>approximately a month</w:t>
      </w:r>
      <w:r w:rsidRPr="008D055E">
        <w:t xml:space="preserve">, until </w:t>
      </w:r>
      <w:r w:rsidR="0015660C">
        <w:t>September</w:t>
      </w:r>
      <w:r w:rsidRPr="008D055E">
        <w:t xml:space="preserve"> </w:t>
      </w:r>
      <w:r w:rsidR="0015660C">
        <w:t>2</w:t>
      </w:r>
      <w:r w:rsidRPr="008D055E">
        <w:t>, 2021</w:t>
      </w:r>
      <w:r w:rsidR="0015660C">
        <w:t>,</w:t>
      </w:r>
      <w:r w:rsidRPr="008D055E">
        <w:t xml:space="preserve"> and </w:t>
      </w:r>
      <w:r w:rsidR="0015660C">
        <w:t>October</w:t>
      </w:r>
      <w:r w:rsidRPr="008D055E">
        <w:t xml:space="preserve"> </w:t>
      </w:r>
      <w:r w:rsidR="0015660C">
        <w:t>1</w:t>
      </w:r>
      <w:r w:rsidRPr="008D055E">
        <w:t>, 2021, respectively.</w:t>
      </w:r>
    </w:p>
    <w:p w:rsidR="003D26AC" w:rsidRPr="008D055E" w:rsidP="003D26AC" w14:paraId="2352A7FB" w14:textId="00331188">
      <w:pPr>
        <w:pStyle w:val="ParaNum"/>
        <w:widowControl/>
        <w:suppressAutoHyphens/>
      </w:pPr>
      <w:r w:rsidRPr="008D055E">
        <w:t xml:space="preserve">For additional information on this proceeding, </w:t>
      </w:r>
      <w:r w:rsidR="00096442">
        <w:t>contact Ty Bream, Ty.Bream@fcc.gov, of the Media Bureau, Industry Analysis Division.  Press inquiries should be directed to Janice Wise, Janice.Wise@fcc.gov, (202) 418-8165.</w:t>
      </w:r>
    </w:p>
    <w:p w:rsidR="003D26AC" w:rsidP="003D26AC" w14:paraId="350307A6" w14:textId="77777777">
      <w:pPr>
        <w:pStyle w:val="ParaNum"/>
        <w:numPr>
          <w:ilvl w:val="0"/>
          <w:numId w:val="0"/>
        </w:numPr>
        <w:rPr>
          <w:szCs w:val="22"/>
        </w:rPr>
      </w:pPr>
    </w:p>
    <w:p w:rsidR="003D26AC" w:rsidRPr="008D055E" w:rsidP="003D26AC" w14:paraId="50493F60" w14:textId="77777777">
      <w:pPr>
        <w:spacing w:before="120"/>
        <w:jc w:val="center"/>
      </w:pPr>
      <w:r>
        <w:rPr>
          <w:szCs w:val="22"/>
        </w:rPr>
        <w:t>- FCC -</w:t>
      </w:r>
    </w:p>
    <w:p w:rsidR="00DA25AC" w14:paraId="60407351" w14:textId="77777777"/>
    <w:p w:rsidR="00DA25AC" w14:paraId="2394C551" w14:textId="77777777"/>
    <w:bookmarkEnd w:id="0"/>
    <w:p w:rsidR="003D26AC" w14:paraId="1D627491"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12000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25AC" w14:paraId="2696F6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69FA50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49076A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B76" w14:paraId="3C0F5CC3" w14:textId="77777777">
      <w:r>
        <w:separator/>
      </w:r>
    </w:p>
  </w:footnote>
  <w:footnote w:type="continuationSeparator" w:id="1">
    <w:p w:rsidR="007E1B76" w14:paraId="58BDE5E9" w14:textId="77777777">
      <w:pPr>
        <w:rPr>
          <w:sz w:val="20"/>
        </w:rPr>
      </w:pPr>
      <w:r>
        <w:rPr>
          <w:sz w:val="20"/>
        </w:rPr>
        <w:t xml:space="preserve">(Continued from previous page)  </w:t>
      </w:r>
      <w:r>
        <w:rPr>
          <w:sz w:val="20"/>
        </w:rPr>
        <w:separator/>
      </w:r>
    </w:p>
  </w:footnote>
  <w:footnote w:type="continuationNotice" w:id="2">
    <w:p w:rsidR="007E1B76" w14:paraId="4F422A9F" w14:textId="77777777">
      <w:pPr>
        <w:jc w:val="right"/>
        <w:rPr>
          <w:sz w:val="20"/>
        </w:rPr>
      </w:pPr>
      <w:r>
        <w:rPr>
          <w:sz w:val="20"/>
        </w:rPr>
        <w:t>(continued….)</w:t>
      </w:r>
    </w:p>
  </w:footnote>
  <w:footnote w:id="3">
    <w:p w:rsidR="00DA4663" w14:paraId="43779B7D" w14:textId="10540F95">
      <w:pPr>
        <w:pStyle w:val="FootnoteText"/>
      </w:pPr>
      <w:r>
        <w:rPr>
          <w:rStyle w:val="FootnoteReference"/>
        </w:rPr>
        <w:footnoteRef/>
      </w:r>
      <w:r>
        <w:t xml:space="preserve"> </w:t>
      </w:r>
      <w:r w:rsidRPr="00DA4663">
        <w:rPr>
          <w:i/>
          <w:iCs/>
        </w:rPr>
        <w:t>Media Bureau Seeks to Update the Record in the 2018 Quadrennial Regulatory Review</w:t>
      </w:r>
      <w:r>
        <w:t>, MB Docket No. 18-349, Public Notice, DA 21-657 (MB June 4, 2021).</w:t>
      </w:r>
    </w:p>
  </w:footnote>
  <w:footnote w:id="4">
    <w:p w:rsidR="000B112F" w:rsidP="000B112F" w14:paraId="2558D622" w14:textId="471B6F3A">
      <w:pPr>
        <w:pStyle w:val="FootnoteText"/>
      </w:pPr>
      <w:r>
        <w:rPr>
          <w:rStyle w:val="FootnoteReference"/>
        </w:rPr>
        <w:footnoteRef/>
      </w:r>
      <w:r>
        <w:t xml:space="preserve"> </w:t>
      </w:r>
      <w:r w:rsidRPr="008B6D82">
        <w:rPr>
          <w:i/>
          <w:iCs/>
        </w:rPr>
        <w:t>Media Bureau Announces June 30, 2021 Effective Date of Reinstated Media Ownership Rules and Comment and Reply Comment Deadlines to Update the Record in the 2018 Quadrennial Review</w:t>
      </w:r>
      <w:r>
        <w:t>, MB Docket No. 18-349, Public Notice, DA 21-783 (MB July 1, 2021).</w:t>
      </w:r>
    </w:p>
  </w:footnote>
  <w:footnote w:id="5">
    <w:p w:rsidR="003D26AC" w:rsidP="003D26AC" w14:paraId="1BD54E59" w14:textId="656E5B41">
      <w:pPr>
        <w:pStyle w:val="FootnoteText"/>
      </w:pPr>
      <w:r>
        <w:rPr>
          <w:rStyle w:val="FootnoteReference"/>
        </w:rPr>
        <w:footnoteRef/>
      </w:r>
      <w:r>
        <w:t xml:space="preserve"> Motion for Extension of Time of </w:t>
      </w:r>
      <w:r w:rsidRPr="00DA4663" w:rsidR="00AC47AE">
        <w:t>Common Cause</w:t>
      </w:r>
      <w:r w:rsidR="00AC47AE">
        <w:t>;</w:t>
      </w:r>
      <w:r w:rsidRPr="00DA4663" w:rsidR="00AC47AE">
        <w:t xml:space="preserve"> Free Press</w:t>
      </w:r>
      <w:r w:rsidR="00AC47AE">
        <w:t>;</w:t>
      </w:r>
      <w:r w:rsidRPr="00DA4663" w:rsidR="00AC47AE">
        <w:t xml:space="preserve"> the Multicultural Media, Telecom and Internet Council (MMTC)</w:t>
      </w:r>
      <w:r w:rsidR="00AC47AE">
        <w:t>;</w:t>
      </w:r>
      <w:r w:rsidRPr="00DA4663" w:rsidR="00AC47AE">
        <w:t xml:space="preserve"> the National Association of Black Owned Broadcasters (NABOB)</w:t>
      </w:r>
      <w:r w:rsidR="00AC47AE">
        <w:t>;</w:t>
      </w:r>
      <w:r w:rsidRPr="00DA4663" w:rsidR="00AC47AE">
        <w:t xml:space="preserve"> and the National Association of Broadcasters (NAB)</w:t>
      </w:r>
      <w:r>
        <w:t xml:space="preserve">, </w:t>
      </w:r>
      <w:r w:rsidR="00AC47AE">
        <w:t>MB</w:t>
      </w:r>
      <w:r>
        <w:t xml:space="preserve"> Docket No. 21-</w:t>
      </w:r>
      <w:r w:rsidR="00AC47AE">
        <w:t>349</w:t>
      </w:r>
      <w:r>
        <w:t xml:space="preserve"> (filed </w:t>
      </w:r>
      <w:r w:rsidR="00AC47AE">
        <w:t>July</w:t>
      </w:r>
      <w:r>
        <w:t xml:space="preserve"> 1</w:t>
      </w:r>
      <w:r w:rsidR="00AC47AE">
        <w:t>2</w:t>
      </w:r>
      <w:r>
        <w:t>, 2021)</w:t>
      </w:r>
      <w:r w:rsidR="00A37C84">
        <w:t xml:space="preserve"> (Joint Filers Motion)</w:t>
      </w:r>
      <w:r>
        <w:t>.</w:t>
      </w:r>
    </w:p>
  </w:footnote>
  <w:footnote w:id="6">
    <w:p w:rsidR="00946AF1" w14:paraId="6F97941E" w14:textId="1E393A79">
      <w:pPr>
        <w:pStyle w:val="FootnoteText"/>
      </w:pPr>
      <w:r>
        <w:rPr>
          <w:rStyle w:val="FootnoteReference"/>
        </w:rPr>
        <w:footnoteRef/>
      </w:r>
      <w:r>
        <w:t xml:space="preserve"> </w:t>
      </w:r>
      <w:r w:rsidRPr="00D24467" w:rsidR="00F12F2A">
        <w:rPr>
          <w:i/>
          <w:iCs/>
        </w:rPr>
        <w:t>Id.</w:t>
      </w:r>
      <w:r w:rsidR="00F12F2A">
        <w:t xml:space="preserve"> at 2-3.</w:t>
      </w:r>
    </w:p>
  </w:footnote>
  <w:footnote w:id="7">
    <w:p w:rsidR="000B112F" w14:paraId="15D0022A" w14:textId="77B1911C">
      <w:pPr>
        <w:pStyle w:val="FootnoteText"/>
      </w:pPr>
      <w:r>
        <w:rPr>
          <w:rStyle w:val="FootnoteReference"/>
        </w:rPr>
        <w:footnoteRef/>
      </w:r>
      <w:r>
        <w:t xml:space="preserve"> </w:t>
      </w:r>
      <w:r w:rsidRPr="00D24467" w:rsidR="006538B1">
        <w:rPr>
          <w:i/>
          <w:iCs/>
        </w:rPr>
        <w:t>Id.</w:t>
      </w:r>
      <w:r w:rsidR="006538B1">
        <w:t xml:space="preserve"> at </w:t>
      </w:r>
      <w:r w:rsidR="00F12F2A">
        <w:t>3</w:t>
      </w:r>
      <w:r w:rsidR="006538B1">
        <w:t>.</w:t>
      </w:r>
    </w:p>
  </w:footnote>
  <w:footnote w:id="8">
    <w:p w:rsidR="003D26AC" w:rsidP="003D26AC" w14:paraId="57B6DD7E" w14:textId="77777777">
      <w:pPr>
        <w:pStyle w:val="FootnoteText"/>
      </w:pPr>
      <w:r>
        <w:rPr>
          <w:rStyle w:val="FootnoteReference"/>
        </w:rPr>
        <w:footnoteRef/>
      </w:r>
      <w:r>
        <w:t xml:space="preserve"> 47 CFR § 1.46(a).</w:t>
      </w:r>
    </w:p>
  </w:footnote>
  <w:footnote w:id="9">
    <w:p w:rsidR="001829F7" w:rsidP="001829F7" w14:paraId="13B90A9F" w14:textId="42924669">
      <w:pPr>
        <w:pStyle w:val="FootnoteText"/>
      </w:pPr>
      <w:r>
        <w:rPr>
          <w:rStyle w:val="FootnoteReference"/>
        </w:rPr>
        <w:footnoteRef/>
      </w:r>
      <w:r>
        <w:t xml:space="preserve"> </w:t>
      </w:r>
      <w:r w:rsidRPr="002A729C" w:rsidR="002A729C">
        <w:rPr>
          <w:i/>
          <w:iCs/>
        </w:rPr>
        <w:t>See</w:t>
      </w:r>
      <w:r w:rsidR="002A729C">
        <w:t xml:space="preserve"> </w:t>
      </w:r>
      <w:r w:rsidRPr="00A37C84" w:rsidR="00A37C84">
        <w:t>Joint Filers Motion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04BCE145" w14:textId="2E219776">
    <w:pPr>
      <w:tabs>
        <w:tab w:val="center" w:pos="4680"/>
        <w:tab w:val="right" w:pos="9360"/>
      </w:tabs>
    </w:pPr>
    <w:r>
      <w:rPr>
        <w:b/>
      </w:rPr>
      <w:tab/>
      <w:t>Federal Communications Commission</w:t>
    </w:r>
    <w:r>
      <w:rPr>
        <w:b/>
      </w:rPr>
      <w:tab/>
    </w:r>
    <w:r w:rsidR="004B1ABC">
      <w:rPr>
        <w:b/>
      </w:rPr>
      <w:t>DA 21-</w:t>
    </w:r>
    <w:r w:rsidR="00670C59">
      <w:rPr>
        <w:b/>
      </w:rPr>
      <w:t>851</w:t>
    </w:r>
  </w:p>
  <w:p w:rsidR="00DA25AC" w14:paraId="5D1AB62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A25AC" w14:paraId="64CB0F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346249B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AC"/>
    <w:rsid w:val="000635E6"/>
    <w:rsid w:val="00096442"/>
    <w:rsid w:val="000B112F"/>
    <w:rsid w:val="0015660C"/>
    <w:rsid w:val="001664C3"/>
    <w:rsid w:val="001829F7"/>
    <w:rsid w:val="001A6A93"/>
    <w:rsid w:val="002967A0"/>
    <w:rsid w:val="002A2093"/>
    <w:rsid w:val="002A729C"/>
    <w:rsid w:val="00391D07"/>
    <w:rsid w:val="003D26AC"/>
    <w:rsid w:val="0043286C"/>
    <w:rsid w:val="004B1ABC"/>
    <w:rsid w:val="00542FC2"/>
    <w:rsid w:val="00555B4A"/>
    <w:rsid w:val="005A4B0E"/>
    <w:rsid w:val="005D5A68"/>
    <w:rsid w:val="005D5C38"/>
    <w:rsid w:val="00641234"/>
    <w:rsid w:val="00650EBB"/>
    <w:rsid w:val="006538B1"/>
    <w:rsid w:val="00670C59"/>
    <w:rsid w:val="006B6679"/>
    <w:rsid w:val="007E1B76"/>
    <w:rsid w:val="008B6D82"/>
    <w:rsid w:val="008D055E"/>
    <w:rsid w:val="00946AF1"/>
    <w:rsid w:val="00A37C84"/>
    <w:rsid w:val="00A82902"/>
    <w:rsid w:val="00AC47AE"/>
    <w:rsid w:val="00AC4831"/>
    <w:rsid w:val="00B20ED2"/>
    <w:rsid w:val="00D24467"/>
    <w:rsid w:val="00D74ABB"/>
    <w:rsid w:val="00DA25AC"/>
    <w:rsid w:val="00DA4663"/>
    <w:rsid w:val="00F12F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5C262A"/>
  <w15:chartTrackingRefBased/>
  <w15:docId w15:val="{5E5ACC22-BACB-4AD4-A1FD-F2CE832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3D26AC"/>
  </w:style>
  <w:style w:type="character" w:customStyle="1" w:styleId="ParaNumChar">
    <w:name w:val="ParaNum Char"/>
    <w:link w:val="ParaNum"/>
    <w:rsid w:val="003D26AC"/>
    <w:rPr>
      <w:snapToGrid w:val="0"/>
      <w:kern w:val="28"/>
      <w:sz w:val="22"/>
    </w:rPr>
  </w:style>
  <w:style w:type="paragraph" w:styleId="BalloonText">
    <w:name w:val="Balloon Text"/>
    <w:basedOn w:val="Normal"/>
    <w:link w:val="BalloonTextChar"/>
    <w:uiPriority w:val="99"/>
    <w:semiHidden/>
    <w:unhideWhenUsed/>
    <w:rsid w:val="001829F7"/>
    <w:rPr>
      <w:rFonts w:ascii="Segoe UI" w:hAnsi="Segoe UI" w:cs="Segoe UI"/>
      <w:sz w:val="18"/>
      <w:szCs w:val="18"/>
    </w:rPr>
  </w:style>
  <w:style w:type="character" w:customStyle="1" w:styleId="BalloonTextChar">
    <w:name w:val="Balloon Text Char"/>
    <w:link w:val="BalloonText"/>
    <w:uiPriority w:val="99"/>
    <w:semiHidden/>
    <w:rsid w:val="001829F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