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06DB1" w:rsidRPr="00726328" w:rsidP="00306DB1" w14:paraId="1FDD8356" w14:textId="609BBDDD">
      <w:pPr>
        <w:jc w:val="right"/>
        <w:rPr>
          <w:szCs w:val="22"/>
        </w:rPr>
      </w:pPr>
    </w:p>
    <w:p w:rsidR="00FB182C" w:rsidRPr="00726328" w:rsidP="00306DB1" w14:paraId="51CFB6DA" w14:textId="77777777">
      <w:pPr>
        <w:jc w:val="right"/>
        <w:rPr>
          <w:szCs w:val="22"/>
        </w:rPr>
      </w:pPr>
    </w:p>
    <w:p w:rsidR="00306DB1" w:rsidRPr="00726328" w:rsidP="00306DB1" w14:paraId="10042ED8" w14:textId="3A1CED03">
      <w:pPr>
        <w:jc w:val="right"/>
        <w:rPr>
          <w:b/>
          <w:szCs w:val="18"/>
        </w:rPr>
      </w:pPr>
      <w:r w:rsidRPr="00726328">
        <w:rPr>
          <w:b/>
          <w:szCs w:val="18"/>
        </w:rPr>
        <w:t>DA 21-</w:t>
      </w:r>
      <w:r w:rsidR="004F5335">
        <w:rPr>
          <w:b/>
          <w:szCs w:val="18"/>
        </w:rPr>
        <w:t>857</w:t>
      </w:r>
    </w:p>
    <w:p w:rsidR="00306DB1" w:rsidRPr="00726328" w:rsidP="00306DB1" w14:paraId="0B85DB94" w14:textId="6D3916CC">
      <w:pPr>
        <w:spacing w:before="60"/>
        <w:jc w:val="right"/>
        <w:rPr>
          <w:b/>
          <w:szCs w:val="18"/>
        </w:rPr>
      </w:pPr>
      <w:r w:rsidRPr="00726328">
        <w:rPr>
          <w:b/>
          <w:szCs w:val="18"/>
        </w:rPr>
        <w:t xml:space="preserve">Enforcement </w:t>
      </w:r>
      <w:r w:rsidRPr="004C2F3C">
        <w:rPr>
          <w:b/>
          <w:szCs w:val="18"/>
        </w:rPr>
        <w:t>Advisory No. 2021-07</w:t>
      </w:r>
    </w:p>
    <w:p w:rsidR="00306DB1" w:rsidRPr="00726328" w:rsidP="00306DB1" w14:paraId="29457EB4" w14:textId="3EBDB1BB">
      <w:pPr>
        <w:spacing w:before="60"/>
        <w:jc w:val="right"/>
        <w:rPr>
          <w:b/>
          <w:szCs w:val="18"/>
        </w:rPr>
      </w:pPr>
      <w:r w:rsidRPr="00726328">
        <w:rPr>
          <w:b/>
          <w:szCs w:val="18"/>
        </w:rPr>
        <w:t xml:space="preserve">Released:  </w:t>
      </w:r>
      <w:r w:rsidR="004C2F3C">
        <w:rPr>
          <w:b/>
          <w:szCs w:val="18"/>
        </w:rPr>
        <w:t xml:space="preserve">July </w:t>
      </w:r>
      <w:r w:rsidR="00633D63">
        <w:rPr>
          <w:b/>
          <w:szCs w:val="18"/>
        </w:rPr>
        <w:t>21</w:t>
      </w:r>
      <w:r w:rsidRPr="00726328">
        <w:rPr>
          <w:b/>
          <w:szCs w:val="18"/>
        </w:rPr>
        <w:t>, 2021</w:t>
      </w:r>
    </w:p>
    <w:p w:rsidR="00306DB1" w:rsidRPr="00726328" w:rsidP="00306DB1" w14:paraId="6A1A933C" w14:textId="77777777">
      <w:pPr>
        <w:jc w:val="right"/>
        <w:rPr>
          <w:szCs w:val="18"/>
        </w:rPr>
      </w:pPr>
    </w:p>
    <w:p w:rsidR="00306DB1" w:rsidP="00306DB1" w14:paraId="188F4874" w14:textId="25C4B118">
      <w:pPr>
        <w:spacing w:after="240"/>
        <w:jc w:val="center"/>
        <w:rPr>
          <w:rFonts w:ascii="Times New Roman Bold" w:hAnsi="Times New Roman Bold"/>
          <w:b/>
          <w:caps/>
          <w:sz w:val="24"/>
        </w:rPr>
      </w:pPr>
      <w:r>
        <w:rPr>
          <w:noProof/>
        </w:rPr>
        <mc:AlternateContent>
          <mc:Choice Requires="wps">
            <w:drawing>
              <wp:inline distT="0" distB="0" distL="0" distR="0">
                <wp:extent cx="5270500" cy="504825"/>
                <wp:effectExtent l="19050" t="19050" r="25400" b="47625"/>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70500" cy="504825"/>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306DB1" w:rsidP="00306DB1"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306DB1" w:rsidP="00306DB1" w14:textId="77777777">
                            <w:pPr>
                              <w:rPr>
                                <w:sz w:val="20"/>
                                <w:lang w:bidi="x-none"/>
                              </w:rPr>
                            </w:pPr>
                          </w:p>
                        </w:txbxContent>
                      </wps:txbx>
                      <wps:bodyPr rot="0" vert="horz" wrap="square" lIns="38100" tIns="38100" rIns="38100" bIns="38100" anchor="t" anchorCtr="0" upright="1"/>
                    </wps:wsp>
                  </a:graphicData>
                </a:graphic>
              </wp:inline>
            </w:drawing>
          </mc:Choice>
          <mc:Fallback>
            <w:pict>
              <v:rect id="Rectangle 2" o:spid="_x0000_i1025" style="width:415pt;height:39.75pt;mso-left-percent:-10001;mso-position-horizontal-relative:char;mso-position-vertical-relative:line;mso-top-percent:-10001;mso-wrap-style:square;visibility:visible;v-text-anchor:top" fillcolor="#17365d" strokecolor="red" strokeweight="3pt">
                <v:stroke joinstyle="round"/>
                <v:shadow on="t" color="#622423" opacity="0.5" offset="1pt"/>
                <v:textbox inset="3pt,3pt,3pt,3pt">
                  <w:txbxContent>
                    <w:p w:rsidR="00306DB1" w:rsidP="00306DB1" w14:paraId="3F63B046"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306DB1" w:rsidP="00306DB1" w14:paraId="6E6E49D0" w14:textId="77777777">
                      <w:pPr>
                        <w:rPr>
                          <w:sz w:val="20"/>
                          <w:lang w:bidi="x-none"/>
                        </w:rPr>
                      </w:pPr>
                    </w:p>
                  </w:txbxContent>
                </v:textbox>
                <w10:wrap type="none"/>
                <w10:anchorlock/>
              </v:rect>
            </w:pict>
          </mc:Fallback>
        </mc:AlternateContent>
      </w:r>
    </w:p>
    <w:p w:rsidR="00A25501" w:rsidRPr="00726328" w14:paraId="3BDFDECD" w14:textId="7FD6EB8E">
      <w:pPr>
        <w:spacing w:after="240"/>
        <w:jc w:val="center"/>
        <w:rPr>
          <w:b/>
          <w:caps/>
          <w:szCs w:val="22"/>
        </w:rPr>
      </w:pPr>
      <w:r w:rsidRPr="00726328">
        <w:rPr>
          <w:b/>
          <w:caps/>
          <w:szCs w:val="22"/>
        </w:rPr>
        <w:t>Enforcement Bureau Reminds EAS Participants of the Obligation to Ensure that Emergency Alerts are Accessible to Persons with Disabilities</w:t>
      </w:r>
    </w:p>
    <w:p w:rsidR="00306DB1" w:rsidRPr="00306DB1" w:rsidP="00306DB1" w14:paraId="76896285" w14:textId="6E083914">
      <w:pPr>
        <w:spacing w:after="120"/>
        <w:rPr>
          <w:szCs w:val="22"/>
        </w:rPr>
      </w:pPr>
      <w:bookmarkStart w:id="0" w:name="TOChere"/>
      <w:r w:rsidRPr="00306DB1">
        <w:rPr>
          <w:szCs w:val="22"/>
        </w:rPr>
        <w:t>The Enforcement Bureau of the Federal Communications Commission (FCC or Commission) issues this Advisory to remind Emergency Alert System (EAS) Participants of the requirements to ensure that EAS alerts are visually and aurally accessible.</w:t>
      </w:r>
      <w:r w:rsidRPr="00306DB1">
        <w:rPr>
          <w:rStyle w:val="FootnoteReference"/>
          <w:szCs w:val="22"/>
        </w:rPr>
        <w:t xml:space="preserve"> </w:t>
      </w:r>
      <w:r>
        <w:rPr>
          <w:rStyle w:val="FootnoteReference"/>
          <w:szCs w:val="22"/>
        </w:rPr>
        <w:footnoteReference w:id="3"/>
      </w:r>
      <w:r w:rsidRPr="00306DB1">
        <w:rPr>
          <w:szCs w:val="22"/>
        </w:rPr>
        <w:t xml:space="preserve">  </w:t>
      </w:r>
    </w:p>
    <w:p w:rsidR="00306DB1" w:rsidRPr="00306DB1" w:rsidP="00306DB1" w14:paraId="0F956C93" w14:textId="77777777">
      <w:pPr>
        <w:spacing w:after="120"/>
        <w:rPr>
          <w:szCs w:val="22"/>
        </w:rPr>
      </w:pPr>
    </w:p>
    <w:p w:rsidR="00306DB1" w:rsidRPr="003C47FD" w:rsidP="003C47FD" w14:paraId="7272F860" w14:textId="77777777">
      <w:pPr>
        <w:spacing w:after="120"/>
        <w:rPr>
          <w:b/>
          <w:bCs/>
          <w:szCs w:val="22"/>
        </w:rPr>
      </w:pPr>
      <w:r w:rsidRPr="003C47FD">
        <w:rPr>
          <w:b/>
          <w:bCs/>
          <w:szCs w:val="22"/>
        </w:rPr>
        <w:t>The EAS</w:t>
      </w:r>
    </w:p>
    <w:p w:rsidR="00306DB1" w:rsidRPr="00306DB1" w:rsidP="003C47FD" w14:paraId="3FAF64D3" w14:textId="6232F507">
      <w:pPr>
        <w:keepNext/>
        <w:spacing w:after="120"/>
        <w:rPr>
          <w:szCs w:val="22"/>
        </w:rPr>
      </w:pPr>
      <w:bookmarkStart w:id="1" w:name="_Hlk531963633"/>
      <w:bookmarkStart w:id="2" w:name="_Hlk531954797"/>
      <w:r w:rsidRPr="003C47FD">
        <w:rPr>
          <w:szCs w:val="22"/>
        </w:rPr>
        <w:t>The Emergency Alert System is a national public warning system through which broadcasters, cable television operators, wireless cable operators, wireline video service providers, satellite digital audio radio service providers, and direct broadcast satellite</w:t>
      </w:r>
      <w:r w:rsidR="00B720D4">
        <w:rPr>
          <w:szCs w:val="22"/>
        </w:rPr>
        <w:t xml:space="preserve"> (DBS)</w:t>
      </w:r>
      <w:r w:rsidRPr="003C47FD">
        <w:rPr>
          <w:szCs w:val="22"/>
        </w:rPr>
        <w:t xml:space="preserve"> providers (</w:t>
      </w:r>
      <w:r w:rsidR="00B720D4">
        <w:rPr>
          <w:szCs w:val="22"/>
        </w:rPr>
        <w:t xml:space="preserve">collectively </w:t>
      </w:r>
      <w:r w:rsidRPr="003C47FD">
        <w:rPr>
          <w:szCs w:val="22"/>
        </w:rPr>
        <w:t>EAS Participants) supply communications capability to the President to address the American public during a national emergency.</w:t>
      </w:r>
      <w:r>
        <w:rPr>
          <w:rStyle w:val="FootnoteReference"/>
          <w:szCs w:val="22"/>
        </w:rPr>
        <w:footnoteReference w:id="4"/>
      </w:r>
      <w:r w:rsidRPr="00306DB1">
        <w:rPr>
          <w:szCs w:val="22"/>
        </w:rPr>
        <w:t xml:space="preserve">  In addition, state and local authorities commonly deliver important emergency information, such as weather and AMBER alerts, to affected communities using the EAS.</w:t>
      </w:r>
      <w:r>
        <w:rPr>
          <w:rStyle w:val="FootnoteReference"/>
          <w:szCs w:val="22"/>
        </w:rPr>
        <w:footnoteReference w:id="5"/>
      </w:r>
      <w:r w:rsidRPr="00306DB1">
        <w:rPr>
          <w:szCs w:val="22"/>
        </w:rPr>
        <w:t xml:space="preserve">  EAS Participants are required to deliver national test alerts and conduct weekly and monthly tests of the system.</w:t>
      </w:r>
      <w:r>
        <w:rPr>
          <w:rStyle w:val="FootnoteReference"/>
          <w:szCs w:val="22"/>
        </w:rPr>
        <w:footnoteReference w:id="6"/>
      </w:r>
      <w:r w:rsidRPr="00306DB1">
        <w:rPr>
          <w:szCs w:val="22"/>
        </w:rPr>
        <w:t xml:space="preserve"> </w:t>
      </w:r>
    </w:p>
    <w:p w:rsidR="00306DB1" w:rsidRPr="003C47FD" w:rsidP="003C47FD" w14:paraId="46BBC67F" w14:textId="77777777">
      <w:pPr>
        <w:keepNext/>
        <w:spacing w:after="120"/>
        <w:rPr>
          <w:szCs w:val="22"/>
        </w:rPr>
      </w:pPr>
    </w:p>
    <w:p w:rsidR="00306DB1" w:rsidRPr="003C47FD" w:rsidP="00726328" w14:paraId="2CBAD9CB" w14:textId="77777777">
      <w:pPr>
        <w:spacing w:after="120"/>
        <w:rPr>
          <w:b/>
          <w:bCs/>
          <w:szCs w:val="22"/>
        </w:rPr>
      </w:pPr>
      <w:r w:rsidRPr="003C47FD">
        <w:rPr>
          <w:b/>
          <w:bCs/>
          <w:szCs w:val="22"/>
        </w:rPr>
        <w:t>What rules govern the accessibility requirements for EAS messages?</w:t>
      </w:r>
    </w:p>
    <w:p w:rsidR="00306DB1" w:rsidRPr="00306DB1" w:rsidP="00306DB1" w14:paraId="5B9B99D7" w14:textId="4C82B6A4">
      <w:pPr>
        <w:spacing w:after="120"/>
        <w:rPr>
          <w:szCs w:val="22"/>
        </w:rPr>
      </w:pPr>
      <w:r w:rsidRPr="003C47FD">
        <w:rPr>
          <w:szCs w:val="22"/>
        </w:rPr>
        <w:t>The accessibility requirements for EAS messages are contained in Section 11.51 of the Commission’s rules.</w:t>
      </w:r>
      <w:r>
        <w:rPr>
          <w:rStyle w:val="FootnoteReference"/>
          <w:szCs w:val="22"/>
        </w:rPr>
        <w:footnoteReference w:id="7"/>
      </w:r>
      <w:r w:rsidRPr="00306DB1">
        <w:rPr>
          <w:szCs w:val="22"/>
        </w:rPr>
        <w:t xml:space="preserve">  The rules require the following:</w:t>
      </w:r>
    </w:p>
    <w:p w:rsidR="00306DB1" w:rsidRPr="00177219" w:rsidP="00306DB1" w14:paraId="7B69A60B" w14:textId="64C32F19">
      <w:pPr>
        <w:spacing w:after="120"/>
        <w:ind w:left="720"/>
        <w:rPr>
          <w:szCs w:val="22"/>
        </w:rPr>
      </w:pPr>
      <w:r w:rsidRPr="00306DB1">
        <w:rPr>
          <w:szCs w:val="22"/>
        </w:rPr>
        <w:t xml:space="preserve">(1) </w:t>
      </w:r>
      <w:r w:rsidRPr="00177219">
        <w:rPr>
          <w:szCs w:val="22"/>
        </w:rPr>
        <w:t xml:space="preserve">The visual message portion of </w:t>
      </w:r>
      <w:r w:rsidRPr="00177219" w:rsidR="00726328">
        <w:rPr>
          <w:szCs w:val="22"/>
        </w:rPr>
        <w:t>an</w:t>
      </w:r>
      <w:r w:rsidRPr="00177219">
        <w:rPr>
          <w:szCs w:val="22"/>
        </w:rPr>
        <w:t xml:space="preserve"> EAS alert, whether video crawl or block text, must be</w:t>
      </w:r>
      <w:r w:rsidRPr="00306DB1">
        <w:rPr>
          <w:szCs w:val="22"/>
        </w:rPr>
        <w:t xml:space="preserve"> </w:t>
      </w:r>
      <w:r w:rsidRPr="00177219">
        <w:rPr>
          <w:szCs w:val="22"/>
        </w:rPr>
        <w:t>displayed:</w:t>
      </w:r>
    </w:p>
    <w:p w:rsidR="00306DB1" w:rsidRPr="003C47FD" w:rsidP="00726328" w14:paraId="1F13E524" w14:textId="77777777">
      <w:pPr>
        <w:spacing w:after="120"/>
        <w:ind w:left="1080"/>
        <w:rPr>
          <w:szCs w:val="22"/>
        </w:rPr>
      </w:pPr>
      <w:r w:rsidRPr="00177219">
        <w:rPr>
          <w:szCs w:val="22"/>
        </w:rPr>
        <w:t>(i) At the top of the television screen or where it will not interfere with other visual messages;</w:t>
      </w:r>
    </w:p>
    <w:p w:rsidR="00306DB1" w:rsidRPr="003C47FD" w:rsidP="00726328" w14:paraId="594A5458" w14:textId="77777777">
      <w:pPr>
        <w:spacing w:after="120"/>
        <w:ind w:left="1080"/>
        <w:rPr>
          <w:szCs w:val="22"/>
        </w:rPr>
      </w:pPr>
      <w:r w:rsidRPr="003C47FD">
        <w:rPr>
          <w:szCs w:val="22"/>
        </w:rPr>
        <w:t>(ii) In a manner (i.e., font size, color, contrast, location, and speed) that is readily readable and understandable;</w:t>
      </w:r>
    </w:p>
    <w:p w:rsidR="00306DB1" w:rsidRPr="003C47FD" w:rsidP="00726328" w14:paraId="13928BA3" w14:textId="0B9BC50E">
      <w:pPr>
        <w:spacing w:after="120"/>
        <w:ind w:left="1080"/>
        <w:rPr>
          <w:szCs w:val="22"/>
        </w:rPr>
      </w:pPr>
      <w:r w:rsidRPr="003C47FD">
        <w:rPr>
          <w:szCs w:val="22"/>
        </w:rPr>
        <w:t>(iii) That does not contain overlapping lines of EAS text or extend beyond the viewable display (except for video crawls that intentionally scroll on and off the screen); and</w:t>
      </w:r>
    </w:p>
    <w:p w:rsidR="00306DB1" w:rsidRPr="003C47FD" w:rsidP="00726328" w14:paraId="7803B39E" w14:textId="77777777">
      <w:pPr>
        <w:spacing w:after="120"/>
        <w:ind w:left="1080"/>
        <w:rPr>
          <w:szCs w:val="22"/>
        </w:rPr>
      </w:pPr>
      <w:r w:rsidRPr="003C47FD">
        <w:rPr>
          <w:szCs w:val="22"/>
        </w:rPr>
        <w:t>(iv) In full at least once during any EAS message.</w:t>
      </w:r>
    </w:p>
    <w:p w:rsidR="00306DB1" w:rsidRPr="00306DB1" w:rsidP="00306DB1" w14:paraId="6CCBA2C3" w14:textId="71BBBB3E">
      <w:pPr>
        <w:spacing w:after="120"/>
        <w:ind w:left="720"/>
        <w:rPr>
          <w:szCs w:val="22"/>
        </w:rPr>
      </w:pPr>
      <w:r w:rsidRPr="003C47FD">
        <w:rPr>
          <w:szCs w:val="22"/>
        </w:rPr>
        <w:t>(2) The audio portion of an EAS message must play in full at least once during any EAS message</w:t>
      </w:r>
      <w:r w:rsidR="005F1936">
        <w:rPr>
          <w:szCs w:val="22"/>
        </w:rPr>
        <w:t xml:space="preserve"> to ensure it is accessible to viewers who are blind or have low vision</w:t>
      </w:r>
      <w:r w:rsidRPr="003C47FD">
        <w:rPr>
          <w:szCs w:val="22"/>
        </w:rPr>
        <w:t>.</w:t>
      </w:r>
      <w:r>
        <w:rPr>
          <w:rStyle w:val="FootnoteReference"/>
          <w:szCs w:val="22"/>
        </w:rPr>
        <w:footnoteReference w:id="8"/>
      </w:r>
    </w:p>
    <w:p w:rsidR="00306DB1" w:rsidRPr="00306DB1" w:rsidP="00306DB1" w14:paraId="5B2FF7FE" w14:textId="77777777">
      <w:pPr>
        <w:spacing w:after="120"/>
        <w:rPr>
          <w:szCs w:val="22"/>
        </w:rPr>
      </w:pPr>
    </w:p>
    <w:p w:rsidR="00306DB1" w:rsidRPr="00306DB1" w:rsidP="00306DB1" w14:paraId="5A49AD81" w14:textId="77777777">
      <w:pPr>
        <w:spacing w:after="120"/>
        <w:rPr>
          <w:b/>
          <w:bCs/>
          <w:szCs w:val="22"/>
        </w:rPr>
      </w:pPr>
      <w:r w:rsidRPr="00306DB1">
        <w:rPr>
          <w:b/>
          <w:bCs/>
          <w:szCs w:val="22"/>
        </w:rPr>
        <w:t>Who is covered by these rules?</w:t>
      </w:r>
    </w:p>
    <w:p w:rsidR="00306DB1" w:rsidRPr="00306DB1" w:rsidP="003C47FD" w14:paraId="57920CB9" w14:textId="77777777">
      <w:pPr>
        <w:spacing w:after="120"/>
        <w:rPr>
          <w:szCs w:val="22"/>
        </w:rPr>
      </w:pPr>
      <w:r w:rsidRPr="003C47FD">
        <w:rPr>
          <w:szCs w:val="22"/>
        </w:rPr>
        <w:t>Analog and digital television broadcast stations, analog and digital cable systems, wireless cable systems, wireline video systems, and DBS providers must transmit EAS alerts in a manner that allows individuals with and without disabilities to access the full content.</w:t>
      </w:r>
      <w:r>
        <w:rPr>
          <w:rStyle w:val="FootnoteReference"/>
          <w:szCs w:val="22"/>
        </w:rPr>
        <w:footnoteReference w:id="9"/>
      </w:r>
      <w:r w:rsidRPr="00306DB1">
        <w:rPr>
          <w:szCs w:val="22"/>
        </w:rPr>
        <w:t xml:space="preserve"> </w:t>
      </w:r>
    </w:p>
    <w:p w:rsidR="00306DB1" w:rsidRPr="00306DB1" w:rsidP="003C47FD" w14:paraId="18FEED66" w14:textId="77777777">
      <w:pPr>
        <w:spacing w:after="120"/>
        <w:rPr>
          <w:szCs w:val="22"/>
        </w:rPr>
      </w:pPr>
    </w:p>
    <w:p w:rsidR="00306DB1" w:rsidRPr="00306DB1" w:rsidP="003C47FD" w14:paraId="06E633E1" w14:textId="07F76670">
      <w:pPr>
        <w:spacing w:after="120"/>
        <w:rPr>
          <w:b/>
          <w:bCs/>
          <w:szCs w:val="22"/>
        </w:rPr>
      </w:pPr>
      <w:r w:rsidRPr="003C47FD">
        <w:rPr>
          <w:b/>
          <w:bCs/>
          <w:szCs w:val="22"/>
        </w:rPr>
        <w:t>What steps should</w:t>
      </w:r>
      <w:r w:rsidRPr="00306DB1">
        <w:rPr>
          <w:b/>
          <w:bCs/>
          <w:szCs w:val="22"/>
        </w:rPr>
        <w:t xml:space="preserve"> EAS Participants take to ensure their compliance with the visual and audio requirements? </w:t>
      </w:r>
    </w:p>
    <w:p w:rsidR="00306DB1" w:rsidRPr="00306DB1" w:rsidP="003C47FD" w14:paraId="4860FFB3" w14:textId="77777777">
      <w:pPr>
        <w:spacing w:after="120"/>
        <w:rPr>
          <w:szCs w:val="22"/>
        </w:rPr>
      </w:pPr>
      <w:r w:rsidRPr="00306DB1">
        <w:rPr>
          <w:szCs w:val="22"/>
        </w:rPr>
        <w:t xml:space="preserve">EAS Participants should take necessary steps, in compliance with Section 11.51 of the Commission’s rules, to ensure that individuals who are deaf or hard of hearing and individuals who are blind or visually impaired have full access to EAS messages.  For example: </w:t>
      </w:r>
    </w:p>
    <w:p w:rsidR="003972FC" w:rsidP="00726328" w14:paraId="47F33C16" w14:textId="3AA9CF57">
      <w:pPr>
        <w:pStyle w:val="ListParagraph"/>
        <w:numPr>
          <w:ilvl w:val="0"/>
          <w:numId w:val="7"/>
        </w:numPr>
        <w:spacing w:after="120"/>
        <w:contextualSpacing w:val="0"/>
        <w:rPr>
          <w:szCs w:val="22"/>
        </w:rPr>
      </w:pPr>
      <w:r w:rsidRPr="00306DB1">
        <w:rPr>
          <w:b/>
          <w:bCs/>
          <w:szCs w:val="22"/>
        </w:rPr>
        <w:t xml:space="preserve">Visual messages </w:t>
      </w:r>
      <w:r w:rsidR="00726328">
        <w:rPr>
          <w:b/>
          <w:bCs/>
          <w:szCs w:val="22"/>
        </w:rPr>
        <w:t xml:space="preserve">must be readily readable.  </w:t>
      </w:r>
      <w:r w:rsidRPr="00726328" w:rsidR="00726328">
        <w:rPr>
          <w:szCs w:val="22"/>
        </w:rPr>
        <w:t>Text</w:t>
      </w:r>
      <w:r w:rsidR="00726328">
        <w:rPr>
          <w:b/>
          <w:bCs/>
          <w:szCs w:val="22"/>
        </w:rPr>
        <w:t xml:space="preserve"> </w:t>
      </w:r>
      <w:r w:rsidRPr="00726328">
        <w:rPr>
          <w:szCs w:val="22"/>
        </w:rPr>
        <w:t xml:space="preserve">should scroll at a speed that allows the viewer to read and understand the message. </w:t>
      </w:r>
      <w:r w:rsidRPr="00306DB1">
        <w:rPr>
          <w:szCs w:val="22"/>
        </w:rPr>
        <w:t xml:space="preserve"> </w:t>
      </w:r>
      <w:r>
        <w:rPr>
          <w:szCs w:val="22"/>
        </w:rPr>
        <w:t xml:space="preserve">For example, to the extent possible, the crawl speed should allow viewers to read </w:t>
      </w:r>
      <w:r w:rsidR="004318EF">
        <w:rPr>
          <w:szCs w:val="22"/>
        </w:rPr>
        <w:t>the crawl</w:t>
      </w:r>
      <w:r>
        <w:rPr>
          <w:szCs w:val="22"/>
        </w:rPr>
        <w:t xml:space="preserve"> as if they were going to read it aloud.  </w:t>
      </w:r>
    </w:p>
    <w:p w:rsidR="00306DB1" w:rsidP="00726328" w14:paraId="4C3E6260" w14:textId="2FE48D29">
      <w:pPr>
        <w:pStyle w:val="ListParagraph"/>
        <w:numPr>
          <w:ilvl w:val="0"/>
          <w:numId w:val="7"/>
        </w:numPr>
        <w:spacing w:after="120"/>
        <w:contextualSpacing w:val="0"/>
        <w:rPr>
          <w:szCs w:val="22"/>
        </w:rPr>
      </w:pPr>
      <w:r w:rsidRPr="00306DB1">
        <w:rPr>
          <w:szCs w:val="22"/>
        </w:rPr>
        <w:t xml:space="preserve">The background and text colors should sufficiently contrast to allow for readability.  For example, a bright green background with white text may not provide sufficient contrast.  </w:t>
      </w:r>
      <w:r w:rsidR="00D71C0C">
        <w:rPr>
          <w:szCs w:val="22"/>
        </w:rPr>
        <w:t xml:space="preserve">Green and red should also be avoided as viewers who are color blind have difficulty seeing these colors.  </w:t>
      </w:r>
    </w:p>
    <w:p w:rsidR="00306DB1" w:rsidRPr="00306DB1" w:rsidP="00726328" w14:paraId="1050C961" w14:textId="77777777">
      <w:pPr>
        <w:pStyle w:val="ListParagraph"/>
        <w:numPr>
          <w:ilvl w:val="0"/>
          <w:numId w:val="7"/>
        </w:numPr>
        <w:spacing w:after="120"/>
        <w:contextualSpacing w:val="0"/>
        <w:rPr>
          <w:szCs w:val="22"/>
        </w:rPr>
      </w:pPr>
      <w:r w:rsidRPr="00306DB1">
        <w:rPr>
          <w:b/>
          <w:bCs/>
          <w:szCs w:val="22"/>
        </w:rPr>
        <w:t>Audio messages should be spoken at a pace that allows for a listener to understand the content.</w:t>
      </w:r>
      <w:r w:rsidRPr="00306DB1">
        <w:rPr>
          <w:szCs w:val="22"/>
        </w:rPr>
        <w:t xml:space="preserve">  </w:t>
      </w:r>
    </w:p>
    <w:p w:rsidR="001F51D0" w:rsidP="00306DB1" w14:paraId="3B0DFBAC" w14:textId="77777777">
      <w:pPr>
        <w:spacing w:after="120"/>
        <w:rPr>
          <w:b/>
          <w:bCs/>
          <w:szCs w:val="22"/>
        </w:rPr>
      </w:pPr>
    </w:p>
    <w:p w:rsidR="00306DB1" w:rsidRPr="00306DB1" w:rsidP="00306DB1" w14:paraId="6C659D04" w14:textId="71CC05F8">
      <w:pPr>
        <w:spacing w:after="120"/>
        <w:rPr>
          <w:b/>
          <w:bCs/>
          <w:szCs w:val="22"/>
        </w:rPr>
      </w:pPr>
      <w:r w:rsidRPr="00306DB1">
        <w:rPr>
          <w:b/>
          <w:bCs/>
          <w:szCs w:val="22"/>
        </w:rPr>
        <w:t xml:space="preserve">What is the consequence for violating the Commission’s requirements? </w:t>
      </w:r>
    </w:p>
    <w:p w:rsidR="00306DB1" w:rsidRPr="00306DB1" w:rsidP="003C47FD" w14:paraId="1145A116" w14:textId="48FD3068">
      <w:pPr>
        <w:spacing w:after="120"/>
        <w:rPr>
          <w:szCs w:val="22"/>
        </w:rPr>
      </w:pPr>
      <w:r w:rsidRPr="00306DB1">
        <w:rPr>
          <w:szCs w:val="22"/>
        </w:rPr>
        <w:t>Failure to comply with the EAS</w:t>
      </w:r>
      <w:r w:rsidR="007C5EA5">
        <w:rPr>
          <w:szCs w:val="22"/>
        </w:rPr>
        <w:t xml:space="preserve"> accessibility</w:t>
      </w:r>
      <w:r w:rsidRPr="00306DB1">
        <w:rPr>
          <w:szCs w:val="22"/>
        </w:rPr>
        <w:t xml:space="preserve"> rules may subject a violator to sanctions including, but not limited to, substantial monetary forfeitures.  The Enforcement Bureau may, at its discretion, </w:t>
      </w:r>
      <w:r w:rsidRPr="00425D2F">
        <w:rPr>
          <w:color w:val="010101"/>
          <w:szCs w:val="22"/>
        </w:rPr>
        <w:t xml:space="preserve">treat each failure to transmit accessible EAS messages as a separate violation </w:t>
      </w:r>
      <w:r w:rsidRPr="00306DB1">
        <w:rPr>
          <w:szCs w:val="22"/>
        </w:rPr>
        <w:t>for purposes of calculating the proposed forfeiture amount.  The Bureau will continue to monitor and enforce compliance with the EAS accessibility rules due to their importance in promoting and protecting public safety.</w:t>
      </w:r>
    </w:p>
    <w:p w:rsidR="00306DB1" w:rsidRPr="00306DB1" w:rsidP="003C47FD" w14:paraId="37417B92" w14:textId="77777777">
      <w:pPr>
        <w:spacing w:after="120"/>
        <w:rPr>
          <w:b/>
          <w:bCs/>
          <w:szCs w:val="22"/>
        </w:rPr>
      </w:pPr>
    </w:p>
    <w:p w:rsidR="003972FC" w14:paraId="6163ED89" w14:textId="77777777">
      <w:pPr>
        <w:widowControl/>
        <w:rPr>
          <w:b/>
          <w:bCs/>
          <w:szCs w:val="22"/>
        </w:rPr>
      </w:pPr>
      <w:r>
        <w:rPr>
          <w:b/>
          <w:bCs/>
          <w:szCs w:val="22"/>
        </w:rPr>
        <w:br w:type="page"/>
      </w:r>
    </w:p>
    <w:p w:rsidR="00306DB1" w:rsidRPr="00306DB1" w:rsidP="00726328" w14:paraId="662E5AD1" w14:textId="7F6F06C7">
      <w:pPr>
        <w:widowControl/>
        <w:spacing w:after="120"/>
        <w:rPr>
          <w:b/>
          <w:bCs/>
          <w:szCs w:val="22"/>
        </w:rPr>
      </w:pPr>
      <w:r w:rsidRPr="00306DB1">
        <w:rPr>
          <w:b/>
          <w:bCs/>
          <w:szCs w:val="22"/>
        </w:rPr>
        <w:t>The Enforcement Bureau encourages EAS Participants to enhance the accessibility of the emergency information contained in EAS alerts.</w:t>
      </w:r>
    </w:p>
    <w:p w:rsidR="00306DB1" w:rsidRPr="00306DB1" w:rsidP="00726328" w14:paraId="1B5EE868" w14:textId="39219ADF">
      <w:pPr>
        <w:pStyle w:val="ListParagraph"/>
        <w:numPr>
          <w:ilvl w:val="0"/>
          <w:numId w:val="8"/>
        </w:numPr>
        <w:spacing w:after="120"/>
        <w:contextualSpacing w:val="0"/>
        <w:rPr>
          <w:szCs w:val="22"/>
        </w:rPr>
      </w:pPr>
      <w:r w:rsidRPr="00306DB1">
        <w:rPr>
          <w:b/>
          <w:bCs/>
          <w:szCs w:val="22"/>
        </w:rPr>
        <w:t xml:space="preserve">Include a scroll in weekly tests.  </w:t>
      </w:r>
      <w:r w:rsidRPr="00306DB1">
        <w:rPr>
          <w:szCs w:val="22"/>
        </w:rPr>
        <w:t xml:space="preserve">The rules do not require that EAS Participants include a scroll or other visual component in weekly tests.  However, including a scroll in weekly tests informs all viewers, including persons with disabilities, that the station is conducting a test and reminds viewers of the EAS system.  </w:t>
      </w:r>
    </w:p>
    <w:p w:rsidR="00306DB1" w:rsidRPr="00AA3217" w:rsidP="00AA3217" w14:paraId="2306A783" w14:textId="52721C68">
      <w:pPr>
        <w:pStyle w:val="ListParagraph"/>
        <w:numPr>
          <w:ilvl w:val="0"/>
          <w:numId w:val="8"/>
        </w:numPr>
        <w:spacing w:after="120"/>
        <w:contextualSpacing w:val="0"/>
        <w:rPr>
          <w:szCs w:val="22"/>
        </w:rPr>
      </w:pPr>
      <w:r w:rsidRPr="00425D2F">
        <w:rPr>
          <w:b/>
          <w:szCs w:val="22"/>
        </w:rPr>
        <w:t>Ensure that all components of EAS tests and alerts are accessible and complete.</w:t>
      </w:r>
      <w:r w:rsidRPr="00425D2F">
        <w:rPr>
          <w:szCs w:val="22"/>
        </w:rPr>
        <w:t xml:space="preserve">  Partner with accessibility groups that can serve in a</w:t>
      </w:r>
      <w:r w:rsidRPr="00726328">
        <w:rPr>
          <w:szCs w:val="22"/>
        </w:rPr>
        <w:t>n advisory capacity regarding accessibility.  Review tests and alerts to ensure accuracy.  For example, an EAS Participant voluntarily inserted a static notice during weekly tests.  However, the notice failed to indicate that a “test” was occurring, as opposed to an actual emergency.</w:t>
      </w:r>
      <w:r w:rsidR="006E67FA">
        <w:rPr>
          <w:szCs w:val="22"/>
        </w:rPr>
        <w:t xml:space="preserve"> </w:t>
      </w:r>
      <w:r w:rsidRPr="004D5A8D" w:rsidR="006E67FA">
        <w:rPr>
          <w:szCs w:val="22"/>
        </w:rPr>
        <w:t xml:space="preserve">The EAS text message </w:t>
      </w:r>
      <w:r w:rsidR="006E67FA">
        <w:rPr>
          <w:szCs w:val="22"/>
        </w:rPr>
        <w:t xml:space="preserve">should not interfere with </w:t>
      </w:r>
      <w:r w:rsidRPr="004D5A8D" w:rsidR="006E67FA">
        <w:rPr>
          <w:szCs w:val="22"/>
        </w:rPr>
        <w:t xml:space="preserve">closed captions, </w:t>
      </w:r>
      <w:r w:rsidR="006E67FA">
        <w:rPr>
          <w:szCs w:val="22"/>
        </w:rPr>
        <w:t>u</w:t>
      </w:r>
      <w:r w:rsidRPr="004D5A8D" w:rsidR="006E67FA">
        <w:rPr>
          <w:szCs w:val="22"/>
        </w:rPr>
        <w:t>nless the text crawl is on the top of the screen.</w:t>
      </w:r>
      <w:r>
        <w:rPr>
          <w:szCs w:val="22"/>
          <w:vertAlign w:val="superscript"/>
        </w:rPr>
        <w:footnoteReference w:id="10"/>
      </w:r>
      <w:r w:rsidRPr="00726328">
        <w:rPr>
          <w:szCs w:val="22"/>
        </w:rPr>
        <w:t xml:space="preserve">  </w:t>
      </w:r>
    </w:p>
    <w:p w:rsidR="00306DB1" w:rsidRPr="00306DB1" w:rsidP="00726328" w14:paraId="51551C3D" w14:textId="77777777">
      <w:pPr>
        <w:pStyle w:val="ListParagraph"/>
        <w:numPr>
          <w:ilvl w:val="0"/>
          <w:numId w:val="8"/>
        </w:numPr>
        <w:spacing w:after="120"/>
        <w:contextualSpacing w:val="0"/>
        <w:rPr>
          <w:b/>
          <w:bCs/>
          <w:szCs w:val="22"/>
        </w:rPr>
      </w:pPr>
      <w:r w:rsidRPr="00306DB1">
        <w:rPr>
          <w:b/>
          <w:bCs/>
          <w:szCs w:val="22"/>
        </w:rPr>
        <w:t>Monitor your state plan and follow specific guidance.</w:t>
      </w:r>
      <w:r w:rsidRPr="00306DB1">
        <w:rPr>
          <w:szCs w:val="22"/>
        </w:rPr>
        <w:t xml:space="preserve">  State plans often have additional guidance that can further enhance EAS tests and alerts.  </w:t>
      </w:r>
    </w:p>
    <w:p w:rsidR="00306DB1" w:rsidRPr="00306DB1" w:rsidP="00306DB1" w14:paraId="49292D39" w14:textId="77777777">
      <w:pPr>
        <w:spacing w:after="120"/>
        <w:rPr>
          <w:b/>
          <w:bCs/>
          <w:szCs w:val="22"/>
        </w:rPr>
      </w:pPr>
    </w:p>
    <w:p w:rsidR="00306DB1" w:rsidRPr="00306DB1" w:rsidP="00306DB1" w14:paraId="4BB8AE1C" w14:textId="77777777">
      <w:pPr>
        <w:spacing w:after="120"/>
        <w:rPr>
          <w:b/>
          <w:bCs/>
          <w:szCs w:val="22"/>
        </w:rPr>
      </w:pPr>
      <w:r w:rsidRPr="00306DB1">
        <w:rPr>
          <w:b/>
          <w:bCs/>
          <w:szCs w:val="22"/>
        </w:rPr>
        <w:t>What should consumers do if they observe an inaccessible EAS message?</w:t>
      </w:r>
    </w:p>
    <w:p w:rsidR="00306DB1" w:rsidRPr="003C47FD" w:rsidP="003C47FD" w14:paraId="06FC502D" w14:textId="72E02CAE">
      <w:pPr>
        <w:spacing w:after="120"/>
        <w:rPr>
          <w:b/>
          <w:bCs/>
          <w:szCs w:val="22"/>
        </w:rPr>
      </w:pPr>
      <w:r w:rsidRPr="00306DB1">
        <w:rPr>
          <w:szCs w:val="22"/>
        </w:rPr>
        <w:t xml:space="preserve">Consumers who believe they have observed an inaccessible EAS message may </w:t>
      </w:r>
      <w:r w:rsidR="006C7D65">
        <w:rPr>
          <w:szCs w:val="22"/>
        </w:rPr>
        <w:t xml:space="preserve">file an online complaint at </w:t>
      </w:r>
      <w:hyperlink r:id="rId5" w:history="1">
        <w:r w:rsidRPr="003553E0" w:rsidR="006C7D65">
          <w:rPr>
            <w:rStyle w:val="Hyperlink"/>
            <w:szCs w:val="22"/>
          </w:rPr>
          <w:t>www.fcc.gov/accessibilitycomplaintsform</w:t>
        </w:r>
      </w:hyperlink>
      <w:r w:rsidR="006C7D65">
        <w:rPr>
          <w:szCs w:val="22"/>
        </w:rPr>
        <w:t xml:space="preserve">, or contact the FCC </w:t>
      </w:r>
      <w:r w:rsidRPr="00306DB1">
        <w:rPr>
          <w:szCs w:val="22"/>
        </w:rPr>
        <w:t>by telephone at (</w:t>
      </w:r>
      <w:r w:rsidR="006C7D65">
        <w:rPr>
          <w:szCs w:val="22"/>
        </w:rPr>
        <w:t>202) 418-2517</w:t>
      </w:r>
      <w:r w:rsidR="00EC35EC">
        <w:rPr>
          <w:szCs w:val="22"/>
        </w:rPr>
        <w:t xml:space="preserve"> or</w:t>
      </w:r>
      <w:r w:rsidR="0064229A">
        <w:rPr>
          <w:szCs w:val="22"/>
        </w:rPr>
        <w:t xml:space="preserve"> by email at </w:t>
      </w:r>
      <w:hyperlink r:id="rId6" w:history="1">
        <w:r w:rsidRPr="003553E0" w:rsidR="006C7D65">
          <w:rPr>
            <w:rStyle w:val="Hyperlink"/>
            <w:szCs w:val="22"/>
          </w:rPr>
          <w:t>dro@fcc.gov</w:t>
        </w:r>
      </w:hyperlink>
      <w:r w:rsidRPr="00306DB1">
        <w:rPr>
          <w:szCs w:val="22"/>
        </w:rPr>
        <w:t xml:space="preserve">.  </w:t>
      </w:r>
      <w:r w:rsidRPr="00306DB1" w:rsidR="00FE4592">
        <w:rPr>
          <w:szCs w:val="22"/>
        </w:rPr>
        <w:t>Persons who are deaf or hard of hearing can also use the ASL Consumer Support Line by calling 844-4</w:t>
      </w:r>
      <w:r w:rsidRPr="003C47FD" w:rsidR="00FE4592">
        <w:rPr>
          <w:szCs w:val="22"/>
        </w:rPr>
        <w:t xml:space="preserve">-FCC-ASL </w:t>
      </w:r>
      <w:r w:rsidR="00FE4592">
        <w:rPr>
          <w:szCs w:val="22"/>
        </w:rPr>
        <w:t>(</w:t>
      </w:r>
      <w:r w:rsidRPr="003C47FD" w:rsidR="00FE4592">
        <w:rPr>
          <w:szCs w:val="22"/>
        </w:rPr>
        <w:t>(844</w:t>
      </w:r>
      <w:r w:rsidR="00FE4592">
        <w:rPr>
          <w:szCs w:val="22"/>
        </w:rPr>
        <w:t xml:space="preserve">) </w:t>
      </w:r>
      <w:r w:rsidRPr="003C47FD" w:rsidR="00FE4592">
        <w:rPr>
          <w:szCs w:val="22"/>
        </w:rPr>
        <w:t>432-2275</w:t>
      </w:r>
      <w:r w:rsidR="00FE4592">
        <w:rPr>
          <w:szCs w:val="22"/>
        </w:rPr>
        <w:t>).</w:t>
      </w:r>
    </w:p>
    <w:p w:rsidR="00306DB1" w:rsidRPr="003C47FD" w:rsidP="003C47FD" w14:paraId="189C8652" w14:textId="77777777">
      <w:pPr>
        <w:spacing w:after="120"/>
        <w:rPr>
          <w:szCs w:val="22"/>
        </w:rPr>
      </w:pPr>
    </w:p>
    <w:bookmarkEnd w:id="1"/>
    <w:bookmarkEnd w:id="2"/>
    <w:p w:rsidR="00306DB1" w:rsidRPr="003C47FD" w:rsidP="003C47FD" w14:paraId="47D9C591" w14:textId="77777777">
      <w:pPr>
        <w:spacing w:after="120"/>
        <w:rPr>
          <w:szCs w:val="22"/>
        </w:rPr>
      </w:pPr>
      <w:r w:rsidRPr="003C47FD">
        <w:rPr>
          <w:b/>
          <w:szCs w:val="22"/>
        </w:rPr>
        <w:t>For Further Information</w:t>
      </w:r>
    </w:p>
    <w:p w:rsidR="00306DB1" w:rsidRPr="003C47FD" w:rsidP="003C47FD" w14:paraId="087D13FC" w14:textId="67B7B9BC">
      <w:pPr>
        <w:widowControl/>
        <w:spacing w:after="120"/>
        <w:rPr>
          <w:rFonts w:cs="Arial"/>
          <w:szCs w:val="22"/>
        </w:rPr>
      </w:pPr>
      <w:r w:rsidRPr="003C47FD">
        <w:rPr>
          <w:szCs w:val="22"/>
        </w:rPr>
        <w:t xml:space="preserve">For additional information, please visit the FCC website at </w:t>
      </w:r>
      <w:hyperlink r:id="rId7" w:history="1">
        <w:r w:rsidRPr="00306DB1">
          <w:rPr>
            <w:rStyle w:val="Hyperlink"/>
            <w:szCs w:val="22"/>
          </w:rPr>
          <w:t>https://www.fcc.gov/eas-faq-accessibility</w:t>
        </w:r>
      </w:hyperlink>
      <w:r w:rsidRPr="00306DB1">
        <w:rPr>
          <w:szCs w:val="22"/>
        </w:rPr>
        <w:t xml:space="preserve"> and  </w:t>
      </w:r>
      <w:hyperlink r:id="rId8" w:anchor="block-menu-block-4" w:history="1">
        <w:r w:rsidRPr="00411390">
          <w:rPr>
            <w:rStyle w:val="Hyperlink"/>
            <w:szCs w:val="22"/>
          </w:rPr>
          <w:t>https://www.fcc.gov/emergency-alert-system#block-menu-block-4</w:t>
        </w:r>
      </w:hyperlink>
      <w:r w:rsidRPr="007C2BFA">
        <w:t xml:space="preserve">.  </w:t>
      </w:r>
      <w:r w:rsidRPr="007C2BFA">
        <w:rPr>
          <w:szCs w:val="22"/>
        </w:rPr>
        <w:t>Media inquiries should be directed to Will Wiquist at (202) 418-0509 or will.wiquist@fcc.gov.</w:t>
      </w:r>
      <w:r w:rsidRPr="00306DB1">
        <w:rPr>
          <w:szCs w:val="22"/>
        </w:rPr>
        <w:t xml:space="preserve">  </w:t>
      </w:r>
      <w:r w:rsidRPr="00E726A2">
        <w:rPr>
          <w:szCs w:val="22"/>
        </w:rPr>
        <w:t xml:space="preserve">Questions about EAS accessibility should be directed to </w:t>
      </w:r>
      <w:r w:rsidRPr="00E726A2" w:rsidR="0064229A">
        <w:rPr>
          <w:rFonts w:eastAsia="Calibri"/>
          <w:szCs w:val="22"/>
        </w:rPr>
        <w:t>Bill Wallace</w:t>
      </w:r>
      <w:r w:rsidRPr="00E726A2">
        <w:rPr>
          <w:rFonts w:eastAsia="Calibri"/>
          <w:szCs w:val="22"/>
        </w:rPr>
        <w:t xml:space="preserve"> of </w:t>
      </w:r>
      <w:r w:rsidR="00E726A2">
        <w:rPr>
          <w:rFonts w:eastAsia="Calibri"/>
          <w:szCs w:val="22"/>
        </w:rPr>
        <w:t xml:space="preserve">the Disability Rights Office of </w:t>
      </w:r>
      <w:r w:rsidRPr="00E726A2">
        <w:rPr>
          <w:rFonts w:eastAsia="Calibri"/>
          <w:szCs w:val="22"/>
        </w:rPr>
        <w:t xml:space="preserve">the Consumer and Governmental Affairs Bureau at: (202) </w:t>
      </w:r>
      <w:r w:rsidRPr="00E726A2" w:rsidR="0064229A">
        <w:rPr>
          <w:rFonts w:eastAsia="Calibri"/>
          <w:szCs w:val="22"/>
        </w:rPr>
        <w:t>418</w:t>
      </w:r>
      <w:r w:rsidRPr="00E726A2">
        <w:rPr>
          <w:rFonts w:eastAsia="Calibri"/>
          <w:szCs w:val="22"/>
        </w:rPr>
        <w:t>-</w:t>
      </w:r>
      <w:r w:rsidRPr="00E726A2" w:rsidR="0064229A">
        <w:rPr>
          <w:rFonts w:eastAsia="Calibri"/>
          <w:szCs w:val="22"/>
        </w:rPr>
        <w:t>2716</w:t>
      </w:r>
      <w:r w:rsidRPr="00E726A2">
        <w:rPr>
          <w:rFonts w:eastAsia="Calibri"/>
          <w:szCs w:val="22"/>
        </w:rPr>
        <w:t>, or by e-mail, at: </w:t>
      </w:r>
      <w:hyperlink r:id="rId9" w:history="1">
        <w:r w:rsidRPr="00E726A2" w:rsidR="0064229A">
          <w:rPr>
            <w:rStyle w:val="Hyperlink"/>
            <w:rFonts w:eastAsia="Calibri"/>
            <w:szCs w:val="22"/>
          </w:rPr>
          <w:t>William.Wallace@fcc.gov</w:t>
        </w:r>
      </w:hyperlink>
      <w:r w:rsidRPr="00E726A2">
        <w:rPr>
          <w:rFonts w:eastAsia="Calibri"/>
          <w:szCs w:val="22"/>
        </w:rPr>
        <w:t>.</w:t>
      </w:r>
      <w:r w:rsidRPr="00306DB1">
        <w:rPr>
          <w:rFonts w:eastAsia="Calibri"/>
          <w:szCs w:val="22"/>
        </w:rPr>
        <w:t> </w:t>
      </w:r>
      <w:r w:rsidRPr="00306DB1">
        <w:rPr>
          <w:szCs w:val="22"/>
        </w:rPr>
        <w:t xml:space="preserve"> Questions about EAS enforcement matters should be directed to Phillip Priesman of the Enforcement Bureau at: (202) 418-1582, or by e-mail, at: </w:t>
      </w:r>
      <w:hyperlink r:id="rId10" w:history="1">
        <w:r w:rsidRPr="00306DB1">
          <w:rPr>
            <w:rStyle w:val="Hyperlink"/>
            <w:szCs w:val="22"/>
          </w:rPr>
          <w:t>Phillip.Priesman@fcc.gov</w:t>
        </w:r>
      </w:hyperlink>
      <w:r w:rsidRPr="00306DB1">
        <w:rPr>
          <w:szCs w:val="22"/>
        </w:rPr>
        <w:t xml:space="preserve">. To request materials in accessible formats for people with disabilities (Braille, large print, electronic files, audio format), send an e-mail to: </w:t>
      </w:r>
      <w:hyperlink r:id="rId11" w:history="1">
        <w:r w:rsidRPr="00306DB1">
          <w:rPr>
            <w:rStyle w:val="Hyperlink"/>
            <w:szCs w:val="22"/>
          </w:rPr>
          <w:t>FCC504@fcc.gov</w:t>
        </w:r>
      </w:hyperlink>
      <w:r w:rsidRPr="00306DB1">
        <w:rPr>
          <w:szCs w:val="22"/>
        </w:rPr>
        <w:t xml:space="preserve"> or call the Consumer </w:t>
      </w:r>
      <w:r w:rsidR="003850AE">
        <w:rPr>
          <w:szCs w:val="22"/>
        </w:rPr>
        <w:t>and</w:t>
      </w:r>
      <w:r w:rsidR="00774E74">
        <w:rPr>
          <w:szCs w:val="22"/>
        </w:rPr>
        <w:t xml:space="preserve"> </w:t>
      </w:r>
      <w:r w:rsidRPr="00306DB1">
        <w:rPr>
          <w:szCs w:val="22"/>
        </w:rPr>
        <w:t>Governmental Affairs Bureau at (</w:t>
      </w:r>
      <w:r w:rsidRPr="00306DB1">
        <w:rPr>
          <w:rFonts w:cs="Arial"/>
          <w:szCs w:val="22"/>
        </w:rPr>
        <w:t>202) 418-0530 (voice)</w:t>
      </w:r>
      <w:r w:rsidRPr="003C47FD">
        <w:rPr>
          <w:rFonts w:cs="Arial"/>
          <w:szCs w:val="22"/>
        </w:rPr>
        <w:t>.</w:t>
      </w:r>
    </w:p>
    <w:p w:rsidR="00306DB1" w:rsidRPr="003C47FD" w:rsidP="00726328" w14:paraId="417468E3" w14:textId="77777777">
      <w:pPr>
        <w:spacing w:after="120"/>
        <w:rPr>
          <w:szCs w:val="22"/>
        </w:rPr>
      </w:pPr>
    </w:p>
    <w:p w:rsidR="00306DB1" w:rsidRPr="003C47FD" w:rsidP="00726328" w14:paraId="29E8AB1A" w14:textId="77777777">
      <w:pPr>
        <w:spacing w:after="120"/>
        <w:jc w:val="right"/>
        <w:rPr>
          <w:szCs w:val="22"/>
        </w:rPr>
      </w:pPr>
      <w:r w:rsidRPr="003C47FD">
        <w:rPr>
          <w:szCs w:val="22"/>
        </w:rPr>
        <w:t>Issued by:  Chief, Enforcement Bureau</w:t>
      </w:r>
    </w:p>
    <w:bookmarkEnd w:id="0"/>
    <w:p w:rsidR="00A81818" w:rsidRPr="003C47FD" w:rsidP="00726328" w14:paraId="28B8A66B" w14:textId="77777777">
      <w:pPr>
        <w:spacing w:after="120"/>
        <w:rPr>
          <w:szCs w:val="22"/>
        </w:rPr>
      </w:pP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3CE309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A25501" w14:paraId="6CF19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F4B3C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13535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22C2" w14:paraId="29BB2073" w14:textId="77777777">
      <w:r>
        <w:separator/>
      </w:r>
    </w:p>
  </w:footnote>
  <w:footnote w:type="continuationSeparator" w:id="1">
    <w:p w:rsidR="003B22C2" w14:paraId="36888266" w14:textId="77777777">
      <w:pPr>
        <w:rPr>
          <w:sz w:val="20"/>
        </w:rPr>
      </w:pPr>
      <w:r>
        <w:rPr>
          <w:sz w:val="20"/>
        </w:rPr>
        <w:t xml:space="preserve">(Continued from previous page)  </w:t>
      </w:r>
      <w:r>
        <w:rPr>
          <w:sz w:val="20"/>
        </w:rPr>
        <w:separator/>
      </w:r>
    </w:p>
  </w:footnote>
  <w:footnote w:type="continuationNotice" w:id="2">
    <w:p w:rsidR="003B22C2" w14:paraId="38289409" w14:textId="77777777">
      <w:pPr>
        <w:jc w:val="right"/>
        <w:rPr>
          <w:sz w:val="20"/>
        </w:rPr>
      </w:pPr>
      <w:r>
        <w:rPr>
          <w:sz w:val="20"/>
        </w:rPr>
        <w:t>(continued….)</w:t>
      </w:r>
    </w:p>
  </w:footnote>
  <w:footnote w:id="3">
    <w:p w:rsidR="00306DB1" w:rsidRPr="00B4180B" w:rsidP="00306DB1" w14:paraId="77037819" w14:textId="77777777">
      <w:pPr>
        <w:pStyle w:val="FootnoteText"/>
      </w:pPr>
      <w:r>
        <w:rPr>
          <w:rStyle w:val="FootnoteReference"/>
        </w:rPr>
        <w:footnoteRef/>
      </w:r>
      <w:r>
        <w:t xml:space="preserve"> 47 CFR § </w:t>
      </w:r>
      <w:r w:rsidRPr="008B7816">
        <w:t>11.2(b)</w:t>
      </w:r>
      <w:r>
        <w:t xml:space="preserve"> </w:t>
      </w:r>
      <w:r w:rsidRPr="00080F71">
        <w:rPr>
          <w:i/>
          <w:iCs/>
        </w:rPr>
        <w:t>EAS Participants</w:t>
      </w:r>
      <w:r>
        <w:t>. Entities required under the Commission's rules to comply with EAS rules, e.g., analog radio and television stations, and wired and wireless cable television systems, DBS, DTV, SDARS, digital cable and DAB, and wireline video systems.</w:t>
      </w:r>
    </w:p>
  </w:footnote>
  <w:footnote w:id="4">
    <w:p w:rsidR="00306DB1" w:rsidP="00306DB1" w14:paraId="5B234DFE" w14:textId="00F6ED37">
      <w:pPr>
        <w:pStyle w:val="FootnoteText"/>
      </w:pPr>
      <w:r>
        <w:rPr>
          <w:rStyle w:val="FootnoteReference"/>
        </w:rPr>
        <w:footnoteRef/>
      </w:r>
      <w:r>
        <w:t xml:space="preserve"> </w:t>
      </w:r>
      <w:bookmarkStart w:id="3" w:name="_Hlk67393248"/>
      <w:r>
        <w:t xml:space="preserve">47 CFR § </w:t>
      </w:r>
      <w:bookmarkEnd w:id="3"/>
      <w:r>
        <w:t>11.1</w:t>
      </w:r>
      <w:r w:rsidR="003C47FD">
        <w:t>.</w:t>
      </w:r>
    </w:p>
  </w:footnote>
  <w:footnote w:id="5">
    <w:p w:rsidR="00306DB1" w:rsidP="00306DB1" w14:paraId="7473ED4D" w14:textId="77777777">
      <w:pPr>
        <w:pStyle w:val="FootnoteText"/>
      </w:pPr>
      <w:r>
        <w:rPr>
          <w:rStyle w:val="FootnoteReference"/>
        </w:rPr>
        <w:footnoteRef/>
      </w:r>
      <w:r>
        <w:t xml:space="preserve"> EAS participants deliver local alerts on a voluntary basis.</w:t>
      </w:r>
    </w:p>
  </w:footnote>
  <w:footnote w:id="6">
    <w:p w:rsidR="00B720D4" w14:paraId="33C7A346" w14:textId="5DB03FC3">
      <w:pPr>
        <w:pStyle w:val="FootnoteText"/>
      </w:pPr>
      <w:r>
        <w:rPr>
          <w:rStyle w:val="FootnoteReference"/>
        </w:rPr>
        <w:footnoteRef/>
      </w:r>
      <w:r>
        <w:t xml:space="preserve"> 47 CFR § 11.61.</w:t>
      </w:r>
    </w:p>
  </w:footnote>
  <w:footnote w:id="7">
    <w:p w:rsidR="00306DB1" w:rsidP="00306DB1" w14:paraId="1E638F9F" w14:textId="0E5D53A4">
      <w:pPr>
        <w:pStyle w:val="FootnoteText"/>
      </w:pPr>
      <w:r>
        <w:rPr>
          <w:rStyle w:val="FootnoteReference"/>
        </w:rPr>
        <w:footnoteRef/>
      </w:r>
      <w:r>
        <w:t xml:space="preserve"> </w:t>
      </w:r>
      <w:r w:rsidRPr="00951746">
        <w:rPr>
          <w:szCs w:val="24"/>
        </w:rPr>
        <w:t>47 CFR §</w:t>
      </w:r>
      <w:r>
        <w:rPr>
          <w:szCs w:val="24"/>
        </w:rPr>
        <w:t xml:space="preserve"> </w:t>
      </w:r>
      <w:r w:rsidRPr="00951746">
        <w:rPr>
          <w:szCs w:val="24"/>
        </w:rPr>
        <w:t>11.51</w:t>
      </w:r>
      <w:r w:rsidR="00B720D4">
        <w:rPr>
          <w:szCs w:val="24"/>
        </w:rPr>
        <w:t xml:space="preserve"> </w:t>
      </w:r>
      <w:r w:rsidR="00B720D4">
        <w:rPr>
          <w:i/>
          <w:iCs/>
          <w:szCs w:val="24"/>
        </w:rPr>
        <w:t>passim</w:t>
      </w:r>
      <w:r>
        <w:rPr>
          <w:szCs w:val="24"/>
        </w:rPr>
        <w:t>.</w:t>
      </w:r>
    </w:p>
  </w:footnote>
  <w:footnote w:id="8">
    <w:p w:rsidR="00306DB1" w:rsidP="00306DB1" w14:paraId="6C8988EC" w14:textId="4F6B5B81">
      <w:pPr>
        <w:pStyle w:val="FootnoteText"/>
      </w:pPr>
      <w:r>
        <w:rPr>
          <w:rStyle w:val="FootnoteReference"/>
        </w:rPr>
        <w:footnoteRef/>
      </w:r>
      <w:r>
        <w:t xml:space="preserve"> </w:t>
      </w:r>
      <w:r w:rsidRPr="00951746">
        <w:rPr>
          <w:szCs w:val="24"/>
        </w:rPr>
        <w:t>47 CFR §</w:t>
      </w:r>
      <w:r>
        <w:rPr>
          <w:szCs w:val="24"/>
        </w:rPr>
        <w:t xml:space="preserve"> </w:t>
      </w:r>
      <w:r w:rsidRPr="00951746">
        <w:rPr>
          <w:szCs w:val="24"/>
        </w:rPr>
        <w:t>11.51</w:t>
      </w:r>
      <w:r w:rsidR="007C5EA5">
        <w:rPr>
          <w:szCs w:val="24"/>
        </w:rPr>
        <w:t xml:space="preserve"> </w:t>
      </w:r>
      <w:r w:rsidR="007C5EA5">
        <w:rPr>
          <w:i/>
          <w:iCs/>
          <w:szCs w:val="24"/>
        </w:rPr>
        <w:t>passim</w:t>
      </w:r>
      <w:r>
        <w:rPr>
          <w:szCs w:val="24"/>
        </w:rPr>
        <w:t xml:space="preserve">; </w:t>
      </w:r>
      <w:r w:rsidRPr="00D5301A">
        <w:rPr>
          <w:i/>
          <w:szCs w:val="24"/>
        </w:rPr>
        <w:t>see also</w:t>
      </w:r>
      <w:r>
        <w:rPr>
          <w:szCs w:val="24"/>
        </w:rPr>
        <w:t xml:space="preserve"> </w:t>
      </w:r>
      <w:r w:rsidRPr="00D5301A">
        <w:rPr>
          <w:i/>
          <w:szCs w:val="24"/>
        </w:rPr>
        <w:t>Review of the Emergency Alert System</w:t>
      </w:r>
      <w:r>
        <w:rPr>
          <w:szCs w:val="24"/>
        </w:rPr>
        <w:t xml:space="preserve">, </w:t>
      </w:r>
      <w:r w:rsidR="003C47FD">
        <w:t xml:space="preserve">EB Docket 04-296, </w:t>
      </w:r>
      <w:r>
        <w:t>Report and Order, 30 FCC Rcd 6520</w:t>
      </w:r>
      <w:r w:rsidR="003C47FD">
        <w:t>,</w:t>
      </w:r>
      <w:r>
        <w:t>6536-43, paras. 34-42 (2015)</w:t>
      </w:r>
      <w:r w:rsidR="00F21B8C">
        <w:t xml:space="preserve"> (</w:t>
      </w:r>
      <w:r w:rsidR="00F21B8C">
        <w:rPr>
          <w:i/>
          <w:iCs/>
        </w:rPr>
        <w:t>2015 EAS Order)</w:t>
      </w:r>
      <w:r>
        <w:t>.  T</w:t>
      </w:r>
      <w:r w:rsidRPr="007B282B">
        <w:t xml:space="preserve">he Commission expects </w:t>
      </w:r>
      <w:r>
        <w:t xml:space="preserve">the audio portion of the EAS alert </w:t>
      </w:r>
      <w:r w:rsidRPr="007B282B">
        <w:t>to be delivered in a manner and cadence that is sufficient for the consumer who does not have a hearing loss to readily comprehend it</w:t>
      </w:r>
      <w:r>
        <w:t xml:space="preserve">.  </w:t>
      </w:r>
      <w:r w:rsidRPr="00726328" w:rsidR="003C47FD">
        <w:rPr>
          <w:i/>
          <w:iCs/>
        </w:rPr>
        <w:t>Id.</w:t>
      </w:r>
      <w:r w:rsidRPr="007B282B">
        <w:t xml:space="preserve"> </w:t>
      </w:r>
      <w:r w:rsidR="003C47FD">
        <w:t>at</w:t>
      </w:r>
      <w:r w:rsidRPr="007B282B">
        <w:t xml:space="preserve"> 6542, para. 48</w:t>
      </w:r>
      <w:r>
        <w:t>.</w:t>
      </w:r>
    </w:p>
  </w:footnote>
  <w:footnote w:id="9">
    <w:p w:rsidR="00306DB1" w:rsidP="00306DB1" w14:paraId="7356AE7B"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11.51 </w:t>
      </w:r>
      <w:r>
        <w:rPr>
          <w:rFonts w:ascii="TimesNewRomanPS-ItalicMT" w:hAnsi="TimesNewRomanPS-ItalicMT" w:cs="TimesNewRomanPS-ItalicMT"/>
          <w:i/>
          <w:iCs/>
        </w:rPr>
        <w:t>passim</w:t>
      </w:r>
      <w:r>
        <w:rPr>
          <w:rFonts w:ascii="TimesNewRomanPSMT" w:hAnsi="TimesNewRomanPSMT" w:cs="TimesNewRomanPSMT"/>
        </w:rPr>
        <w:t xml:space="preserve">.  </w:t>
      </w:r>
    </w:p>
  </w:footnote>
  <w:footnote w:id="10">
    <w:p w:rsidR="006E67FA" w:rsidP="006E67FA" w14:paraId="7EB8965F" w14:textId="77777777">
      <w:pPr>
        <w:pStyle w:val="FootnoteText"/>
      </w:pPr>
      <w:r>
        <w:rPr>
          <w:rStyle w:val="FootnoteReference"/>
        </w:rPr>
        <w:footnoteRef/>
      </w:r>
      <w:r>
        <w:t xml:space="preserve"> 47 CFR § 11.51(d)(1)(i).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9E611C4" w14:textId="6CA99C12">
    <w:pPr>
      <w:tabs>
        <w:tab w:val="center" w:pos="4680"/>
        <w:tab w:val="right" w:pos="9360"/>
      </w:tabs>
    </w:pPr>
    <w:r>
      <w:rPr>
        <w:b/>
      </w:rPr>
      <w:tab/>
      <w:t>Federal Communications Commission</w:t>
    </w:r>
    <w:r>
      <w:rPr>
        <w:b/>
      </w:rPr>
      <w:tab/>
    </w:r>
    <w:r w:rsidR="004F5335">
      <w:rPr>
        <w:b/>
      </w:rPr>
      <w:t>DA 21-857</w:t>
    </w:r>
  </w:p>
  <w:p w:rsidR="00A25501" w:rsidP="00726328" w14:paraId="0599C6EB" w14:textId="5E68522F">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25757CAD" w14:textId="13C8B58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313CE"/>
    <w:rsid w:val="00032F14"/>
    <w:rsid w:val="00036CD6"/>
    <w:rsid w:val="00045E6E"/>
    <w:rsid w:val="00080F71"/>
    <w:rsid w:val="000A755A"/>
    <w:rsid w:val="000B4253"/>
    <w:rsid w:val="000B7DB6"/>
    <w:rsid w:val="000E747B"/>
    <w:rsid w:val="000F259D"/>
    <w:rsid w:val="00112B0B"/>
    <w:rsid w:val="001342BC"/>
    <w:rsid w:val="00137418"/>
    <w:rsid w:val="001705D8"/>
    <w:rsid w:val="00177219"/>
    <w:rsid w:val="001809B3"/>
    <w:rsid w:val="00190801"/>
    <w:rsid w:val="001928C3"/>
    <w:rsid w:val="001A0BAD"/>
    <w:rsid w:val="001D0516"/>
    <w:rsid w:val="001D2DFC"/>
    <w:rsid w:val="001F456D"/>
    <w:rsid w:val="001F51D0"/>
    <w:rsid w:val="002049D8"/>
    <w:rsid w:val="0020670A"/>
    <w:rsid w:val="002400BB"/>
    <w:rsid w:val="002450A7"/>
    <w:rsid w:val="002A1A94"/>
    <w:rsid w:val="002E6457"/>
    <w:rsid w:val="002E68A5"/>
    <w:rsid w:val="00306DB1"/>
    <w:rsid w:val="00320A1E"/>
    <w:rsid w:val="003553E0"/>
    <w:rsid w:val="00375DDB"/>
    <w:rsid w:val="003850AE"/>
    <w:rsid w:val="003858F8"/>
    <w:rsid w:val="003972FC"/>
    <w:rsid w:val="003B22C2"/>
    <w:rsid w:val="003C47FD"/>
    <w:rsid w:val="003E5154"/>
    <w:rsid w:val="003F130B"/>
    <w:rsid w:val="003F6B20"/>
    <w:rsid w:val="00411390"/>
    <w:rsid w:val="00425D2F"/>
    <w:rsid w:val="004318EF"/>
    <w:rsid w:val="00432678"/>
    <w:rsid w:val="00442430"/>
    <w:rsid w:val="00452B30"/>
    <w:rsid w:val="004A7A29"/>
    <w:rsid w:val="004B69D9"/>
    <w:rsid w:val="004B6D0F"/>
    <w:rsid w:val="004C2F3C"/>
    <w:rsid w:val="004C50DE"/>
    <w:rsid w:val="004C707B"/>
    <w:rsid w:val="004D5A8D"/>
    <w:rsid w:val="004F5335"/>
    <w:rsid w:val="005032F2"/>
    <w:rsid w:val="005114BD"/>
    <w:rsid w:val="00513AE4"/>
    <w:rsid w:val="005175F4"/>
    <w:rsid w:val="00527DCF"/>
    <w:rsid w:val="00566DA6"/>
    <w:rsid w:val="005F1936"/>
    <w:rsid w:val="005F35A2"/>
    <w:rsid w:val="005F3F15"/>
    <w:rsid w:val="006052BB"/>
    <w:rsid w:val="006209FB"/>
    <w:rsid w:val="00633D63"/>
    <w:rsid w:val="0064229A"/>
    <w:rsid w:val="00651243"/>
    <w:rsid w:val="006C7D65"/>
    <w:rsid w:val="006E1950"/>
    <w:rsid w:val="006E67FA"/>
    <w:rsid w:val="00706E8B"/>
    <w:rsid w:val="00726328"/>
    <w:rsid w:val="00774E74"/>
    <w:rsid w:val="007777AB"/>
    <w:rsid w:val="007978C6"/>
    <w:rsid w:val="007A63D8"/>
    <w:rsid w:val="007B282B"/>
    <w:rsid w:val="007B6B73"/>
    <w:rsid w:val="007C2BFA"/>
    <w:rsid w:val="007C5EA5"/>
    <w:rsid w:val="007D0E62"/>
    <w:rsid w:val="00813175"/>
    <w:rsid w:val="00814532"/>
    <w:rsid w:val="008732A2"/>
    <w:rsid w:val="00874E65"/>
    <w:rsid w:val="008B7816"/>
    <w:rsid w:val="008D5F5C"/>
    <w:rsid w:val="008F4A05"/>
    <w:rsid w:val="009419A9"/>
    <w:rsid w:val="00951746"/>
    <w:rsid w:val="00992514"/>
    <w:rsid w:val="009A763B"/>
    <w:rsid w:val="009C1DFC"/>
    <w:rsid w:val="00A137E6"/>
    <w:rsid w:val="00A20D9C"/>
    <w:rsid w:val="00A23952"/>
    <w:rsid w:val="00A23E62"/>
    <w:rsid w:val="00A25501"/>
    <w:rsid w:val="00A36703"/>
    <w:rsid w:val="00A478EF"/>
    <w:rsid w:val="00A630A0"/>
    <w:rsid w:val="00A63FE2"/>
    <w:rsid w:val="00A81818"/>
    <w:rsid w:val="00A82981"/>
    <w:rsid w:val="00AA3217"/>
    <w:rsid w:val="00AA47B9"/>
    <w:rsid w:val="00AB0D03"/>
    <w:rsid w:val="00AC0277"/>
    <w:rsid w:val="00AC76F9"/>
    <w:rsid w:val="00AE6B86"/>
    <w:rsid w:val="00B4180B"/>
    <w:rsid w:val="00B720D4"/>
    <w:rsid w:val="00B919C1"/>
    <w:rsid w:val="00C44677"/>
    <w:rsid w:val="00C67B07"/>
    <w:rsid w:val="00C913D5"/>
    <w:rsid w:val="00CE616B"/>
    <w:rsid w:val="00CF7896"/>
    <w:rsid w:val="00D26EA2"/>
    <w:rsid w:val="00D5301A"/>
    <w:rsid w:val="00D65933"/>
    <w:rsid w:val="00D71C0C"/>
    <w:rsid w:val="00D73CE8"/>
    <w:rsid w:val="00D84457"/>
    <w:rsid w:val="00D866A7"/>
    <w:rsid w:val="00D9336B"/>
    <w:rsid w:val="00DB284E"/>
    <w:rsid w:val="00DE070F"/>
    <w:rsid w:val="00E27BA2"/>
    <w:rsid w:val="00E40D15"/>
    <w:rsid w:val="00E726A2"/>
    <w:rsid w:val="00E73326"/>
    <w:rsid w:val="00E8234A"/>
    <w:rsid w:val="00EA0CEA"/>
    <w:rsid w:val="00EA1F3B"/>
    <w:rsid w:val="00EA47E1"/>
    <w:rsid w:val="00EC35EC"/>
    <w:rsid w:val="00EC69E6"/>
    <w:rsid w:val="00ED0500"/>
    <w:rsid w:val="00ED0F7C"/>
    <w:rsid w:val="00F21B8C"/>
    <w:rsid w:val="00F572E5"/>
    <w:rsid w:val="00F7092B"/>
    <w:rsid w:val="00F84355"/>
    <w:rsid w:val="00F8757C"/>
    <w:rsid w:val="00F96051"/>
    <w:rsid w:val="00FA1CC0"/>
    <w:rsid w:val="00FA76F5"/>
    <w:rsid w:val="00FB182C"/>
    <w:rsid w:val="00FC5F13"/>
    <w:rsid w:val="00FD1E82"/>
    <w:rsid w:val="00FD6DA6"/>
    <w:rsid w:val="00FE415D"/>
    <w:rsid w:val="00FE4592"/>
    <w:rsid w:val="00FF5B92"/>
    <w:rsid w:val="6C3804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6E87C5"/>
  <w15:chartTrackingRefBased/>
  <w15:docId w15:val="{C330AC78-4824-4183-9A3E-B1FA0A57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hillip.Priesman@fcc.gov"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ccessibilitycomplaintsform" TargetMode="External" /><Relationship Id="rId6" Type="http://schemas.openxmlformats.org/officeDocument/2006/relationships/hyperlink" Target="mailto:dro@fcc.gov" TargetMode="External" /><Relationship Id="rId7" Type="http://schemas.openxmlformats.org/officeDocument/2006/relationships/hyperlink" Target="https://www.fcc.gov/eas-faq-accessibility" TargetMode="External" /><Relationship Id="rId8" Type="http://schemas.openxmlformats.org/officeDocument/2006/relationships/hyperlink" Target="https://www.fcc.gov/emergency-alert-system" TargetMode="External" /><Relationship Id="rId9" Type="http://schemas.openxmlformats.org/officeDocument/2006/relationships/hyperlink" Target="mailto:Debra.Patki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