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E6F4B" w:rsidP="009E6F4B" w14:paraId="60D54178" w14:textId="2D3F3072">
      <w:pPr>
        <w:suppressAutoHyphens/>
        <w:jc w:val="right"/>
        <w:rPr>
          <w:b/>
          <w:szCs w:val="22"/>
        </w:rPr>
      </w:pPr>
    </w:p>
    <w:p w:rsidR="006076B9" w:rsidP="009E6F4B" w14:paraId="6E8489B1" w14:textId="53BEFBF8">
      <w:pPr>
        <w:suppressAutoHyphens/>
        <w:jc w:val="right"/>
        <w:rPr>
          <w:b/>
          <w:szCs w:val="22"/>
        </w:rPr>
      </w:pPr>
      <w:r>
        <w:rPr>
          <w:b/>
          <w:szCs w:val="22"/>
        </w:rPr>
        <w:t xml:space="preserve">DA </w:t>
      </w:r>
      <w:r w:rsidR="005D4506">
        <w:rPr>
          <w:b/>
          <w:szCs w:val="22"/>
        </w:rPr>
        <w:t>2</w:t>
      </w:r>
      <w:r w:rsidR="009D2C06">
        <w:rPr>
          <w:b/>
          <w:szCs w:val="22"/>
        </w:rPr>
        <w:t>1</w:t>
      </w:r>
      <w:r w:rsidR="00E34EA0">
        <w:rPr>
          <w:b/>
          <w:szCs w:val="22"/>
        </w:rPr>
        <w:t>-</w:t>
      </w:r>
      <w:r w:rsidR="00613A8D">
        <w:rPr>
          <w:b/>
          <w:szCs w:val="22"/>
        </w:rPr>
        <w:t>868</w:t>
      </w:r>
    </w:p>
    <w:p w:rsidR="006076B9" w:rsidP="009E6F4B" w14:paraId="6DA34BF3" w14:textId="6584FC8C">
      <w:pPr>
        <w:jc w:val="right"/>
        <w:rPr>
          <w:b/>
          <w:szCs w:val="22"/>
        </w:rPr>
      </w:pPr>
      <w:r>
        <w:rPr>
          <w:b/>
          <w:szCs w:val="22"/>
        </w:rPr>
        <w:t xml:space="preserve">Released: </w:t>
      </w:r>
      <w:r w:rsidR="005B4410">
        <w:rPr>
          <w:b/>
          <w:szCs w:val="22"/>
        </w:rPr>
        <w:t>Ju</w:t>
      </w:r>
      <w:r w:rsidR="00081F65">
        <w:rPr>
          <w:b/>
          <w:szCs w:val="22"/>
        </w:rPr>
        <w:t>ly</w:t>
      </w:r>
      <w:r w:rsidR="005B4410">
        <w:rPr>
          <w:b/>
          <w:szCs w:val="22"/>
        </w:rPr>
        <w:t xml:space="preserve"> </w:t>
      </w:r>
      <w:r w:rsidR="00964427">
        <w:rPr>
          <w:b/>
          <w:szCs w:val="22"/>
        </w:rPr>
        <w:t>20</w:t>
      </w:r>
      <w:r w:rsidR="009D2C06">
        <w:rPr>
          <w:b/>
          <w:szCs w:val="22"/>
        </w:rPr>
        <w:t>, 2021</w:t>
      </w:r>
    </w:p>
    <w:p w:rsidR="006076B9" w:rsidP="009E6F4B" w14:paraId="2CA5A4D6" w14:textId="77777777">
      <w:pPr>
        <w:suppressAutoHyphens/>
        <w:rPr>
          <w:b/>
          <w:spacing w:val="-3"/>
          <w:szCs w:val="22"/>
        </w:rPr>
      </w:pPr>
    </w:p>
    <w:p w:rsidR="006076B9" w:rsidP="009E6F4B" w14:paraId="69B16D72" w14:textId="40AB0035">
      <w:pPr>
        <w:pStyle w:val="BlockText"/>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114A2">
        <w:rPr>
          <w:b/>
          <w:kern w:val="0"/>
          <w:szCs w:val="22"/>
        </w:rPr>
        <w:t>AND/OR INTERCONNECTED VOIP SERVICES</w:t>
      </w:r>
    </w:p>
    <w:p w:rsidR="005D4506" w:rsidP="009E6F4B" w14:paraId="56C0A819" w14:textId="77777777">
      <w:pPr>
        <w:pStyle w:val="BlockText"/>
        <w:suppressAutoHyphens/>
        <w:spacing w:after="0"/>
        <w:ind w:left="0" w:right="0"/>
        <w:jc w:val="center"/>
        <w:rPr>
          <w:b/>
          <w:kern w:val="0"/>
          <w:szCs w:val="22"/>
        </w:rPr>
      </w:pPr>
    </w:p>
    <w:p w:rsidR="00FF7999" w:rsidP="009E6F4B" w14:paraId="17FC5072" w14:textId="78F3B9AD">
      <w:pPr>
        <w:pStyle w:val="BlockText"/>
        <w:suppressAutoHyphens/>
        <w:spacing w:after="0"/>
        <w:ind w:left="0" w:right="0"/>
        <w:jc w:val="center"/>
        <w:rPr>
          <w:b/>
          <w:kern w:val="0"/>
          <w:szCs w:val="22"/>
        </w:rPr>
      </w:pPr>
      <w:r>
        <w:rPr>
          <w:b/>
          <w:kern w:val="0"/>
          <w:szCs w:val="22"/>
        </w:rPr>
        <w:t xml:space="preserve">WC Docket No. </w:t>
      </w:r>
      <w:r w:rsidR="000364C6">
        <w:rPr>
          <w:b/>
          <w:kern w:val="0"/>
          <w:szCs w:val="22"/>
        </w:rPr>
        <w:t>2</w:t>
      </w:r>
      <w:r w:rsidR="00526824">
        <w:rPr>
          <w:b/>
          <w:kern w:val="0"/>
          <w:szCs w:val="22"/>
        </w:rPr>
        <w:t>1</w:t>
      </w:r>
      <w:r w:rsidR="000364C6">
        <w:rPr>
          <w:b/>
          <w:kern w:val="0"/>
          <w:szCs w:val="22"/>
        </w:rPr>
        <w:t>-</w:t>
      </w:r>
      <w:r w:rsidR="005E7D26">
        <w:rPr>
          <w:b/>
          <w:kern w:val="0"/>
          <w:szCs w:val="22"/>
        </w:rPr>
        <w:t>2</w:t>
      </w:r>
      <w:r w:rsidR="00605839">
        <w:rPr>
          <w:b/>
          <w:kern w:val="0"/>
          <w:szCs w:val="22"/>
        </w:rPr>
        <w:t>5</w:t>
      </w:r>
      <w:r w:rsidR="00964427">
        <w:rPr>
          <w:b/>
          <w:kern w:val="0"/>
          <w:szCs w:val="22"/>
        </w:rPr>
        <w:t>7</w:t>
      </w:r>
      <w:r w:rsidR="00605839">
        <w:rPr>
          <w:b/>
          <w:kern w:val="0"/>
          <w:szCs w:val="22"/>
        </w:rPr>
        <w:t xml:space="preserve"> </w:t>
      </w:r>
    </w:p>
    <w:p w:rsidR="00F44EEA" w:rsidP="009E6F4B" w14:paraId="12F24634" w14:textId="77777777">
      <w:pPr>
        <w:pStyle w:val="BlockText"/>
        <w:suppressAutoHyphens/>
        <w:spacing w:after="0"/>
        <w:ind w:left="0" w:right="0"/>
        <w:jc w:val="center"/>
        <w:rPr>
          <w:b/>
          <w:kern w:val="0"/>
          <w:szCs w:val="22"/>
        </w:rPr>
      </w:pPr>
    </w:p>
    <w:p w:rsidR="006076B9" w:rsidP="009E6F4B" w14:paraId="45A6D30C" w14:textId="110D4221">
      <w:pPr>
        <w:pStyle w:val="BlockText"/>
        <w:suppressAutoHyphens/>
        <w:spacing w:after="0"/>
        <w:ind w:left="0" w:right="0"/>
        <w:rPr>
          <w:b/>
          <w:kern w:val="0"/>
          <w:szCs w:val="22"/>
        </w:rPr>
      </w:pPr>
      <w:r>
        <w:rPr>
          <w:b/>
          <w:kern w:val="0"/>
          <w:szCs w:val="22"/>
        </w:rPr>
        <w:t xml:space="preserve">Comments Due: </w:t>
      </w:r>
      <w:r w:rsidR="00964427">
        <w:rPr>
          <w:b/>
          <w:kern w:val="0"/>
          <w:szCs w:val="22"/>
        </w:rPr>
        <w:t>August 4</w:t>
      </w:r>
      <w:r w:rsidR="009D2C06">
        <w:rPr>
          <w:b/>
          <w:kern w:val="0"/>
          <w:szCs w:val="22"/>
        </w:rPr>
        <w:t>, 2021</w:t>
      </w:r>
    </w:p>
    <w:p w:rsidR="006076B9" w:rsidP="009E6F4B" w14:paraId="2BFB3E97" w14:textId="77777777">
      <w:pPr>
        <w:suppressAutoHyphens/>
        <w:rPr>
          <w:b/>
          <w:szCs w:val="22"/>
        </w:rPr>
      </w:pPr>
    </w:p>
    <w:p w:rsidR="00047E2E" w:rsidRPr="00047E2E" w:rsidP="009E6F4B" w14:paraId="609CE86B" w14:textId="2DFB4624">
      <w:pPr>
        <w:widowControl w:val="0"/>
        <w:spacing w:after="120"/>
        <w:ind w:firstLine="720"/>
        <w:rPr>
          <w:spacing w:val="-3"/>
          <w:szCs w:val="22"/>
        </w:rPr>
      </w:pP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047E2E" w:rsidRPr="000B013D" w:rsidP="009E6F4B" w14:paraId="084D7E0F" w14:textId="1BBEADD2">
      <w:pPr>
        <w:widowControl w:val="0"/>
        <w:autoSpaceDE w:val="0"/>
        <w:autoSpaceDN w:val="0"/>
        <w:adjustRightInd w:val="0"/>
        <w:spacing w:after="120"/>
        <w:ind w:firstLine="720"/>
        <w:rPr>
          <w:rFonts w:eastAsia="MS Mincho"/>
          <w:szCs w:val="22"/>
        </w:rPr>
      </w:pPr>
      <w:r w:rsidRPr="000B013D">
        <w:rPr>
          <w:spacing w:val="-3"/>
          <w:szCs w:val="22"/>
        </w:rPr>
        <w:t xml:space="preserve">The </w:t>
      </w:r>
      <w:r w:rsidRPr="000B013D" w:rsidR="002F7DF0">
        <w:rPr>
          <w:spacing w:val="-3"/>
          <w:szCs w:val="22"/>
        </w:rPr>
        <w:t xml:space="preserve">Wireline </w:t>
      </w:r>
      <w:r w:rsidR="00B06652">
        <w:rPr>
          <w:spacing w:val="-3"/>
          <w:szCs w:val="22"/>
        </w:rPr>
        <w:t>Competition Bureau</w:t>
      </w:r>
      <w:r w:rsidRPr="000B013D" w:rsidR="002F7DF0">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sidR="002F7DF0">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sidR="002F7DF0">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sidR="002F7DF0">
        <w:rPr>
          <w:spacing w:val="-3"/>
          <w:szCs w:val="22"/>
        </w:rPr>
        <w:t xml:space="preserve"> The application</w:t>
      </w:r>
      <w:r w:rsidR="00FA6B79">
        <w:rPr>
          <w:spacing w:val="-3"/>
          <w:szCs w:val="22"/>
        </w:rPr>
        <w:t>(</w:t>
      </w:r>
      <w:r w:rsidRPr="000B013D" w:rsidR="002F7DF0">
        <w:rPr>
          <w:spacing w:val="-3"/>
          <w:szCs w:val="22"/>
        </w:rPr>
        <w:t>s</w:t>
      </w:r>
      <w:r w:rsidR="00FA6B79">
        <w:rPr>
          <w:spacing w:val="-3"/>
          <w:szCs w:val="22"/>
        </w:rPr>
        <w:t>)</w:t>
      </w:r>
      <w:r w:rsidRPr="000B013D" w:rsidR="002F7DF0">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sidR="002F7DF0">
        <w:rPr>
          <w:rFonts w:eastAsia="MS Mincho"/>
          <w:szCs w:val="22"/>
        </w:rPr>
        <w:t>under section 214 of the</w:t>
      </w:r>
      <w:r w:rsidRPr="000B013D" w:rsidR="000B013D">
        <w:rPr>
          <w:rFonts w:eastAsia="MS Mincho"/>
          <w:szCs w:val="22"/>
        </w:rPr>
        <w:t xml:space="preserve"> </w:t>
      </w:r>
      <w:r w:rsidRPr="000B013D" w:rsidR="002F7DF0">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sidR="002F7DF0">
        <w:rPr>
          <w:rFonts w:eastAsia="MS Mincho"/>
          <w:szCs w:val="22"/>
        </w:rPr>
        <w:t>63.71 of the Commission’s</w:t>
      </w:r>
      <w:r w:rsidRPr="000B013D" w:rsidR="000B013D">
        <w:rPr>
          <w:rFonts w:eastAsia="MS Mincho"/>
          <w:szCs w:val="22"/>
        </w:rPr>
        <w:t xml:space="preserve"> </w:t>
      </w:r>
      <w:r w:rsidRPr="000B013D" w:rsidR="002F7DF0">
        <w:rPr>
          <w:rFonts w:eastAsia="MS Mincho"/>
          <w:szCs w:val="22"/>
        </w:rPr>
        <w:t>rules,</w:t>
      </w:r>
      <w:r>
        <w:rPr>
          <w:rStyle w:val="FootnoteReference"/>
          <w:rFonts w:eastAsia="MS Mincho"/>
          <w:szCs w:val="22"/>
        </w:rPr>
        <w:footnoteReference w:id="4"/>
      </w:r>
      <w:r w:rsidRPr="000B013D" w:rsidR="002F7DF0">
        <w:rPr>
          <w:rFonts w:eastAsia="MS Mincho"/>
          <w:szCs w:val="22"/>
        </w:rPr>
        <w:t xml:space="preserve"> to discontinue</w:t>
      </w:r>
      <w:r w:rsidR="001B2C99">
        <w:rPr>
          <w:rFonts w:eastAsia="MS Mincho"/>
          <w:szCs w:val="22"/>
        </w:rPr>
        <w:t>, reduce, or impair</w:t>
      </w:r>
      <w:r w:rsidRPr="000B013D" w:rsidR="002F7DF0">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0B013D" w:rsidP="009E6F4B" w14:paraId="677BCA55" w14:textId="424FD4B3">
      <w:pPr>
        <w:spacing w:after="120"/>
        <w:ind w:firstLine="720"/>
        <w:rPr>
          <w:spacing w:val="-3"/>
          <w:szCs w:val="22"/>
        </w:rPr>
      </w:pP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82C6D">
        <w:rPr>
          <w:rFonts w:eastAsia="MS Mincho"/>
          <w:b/>
          <w:szCs w:val="22"/>
        </w:rPr>
        <w:t>August</w:t>
      </w:r>
      <w:r w:rsidR="00810C31">
        <w:rPr>
          <w:rFonts w:eastAsia="MS Mincho"/>
          <w:b/>
          <w:szCs w:val="22"/>
        </w:rPr>
        <w:t xml:space="preserve"> </w:t>
      </w:r>
      <w:r w:rsidR="00964427">
        <w:rPr>
          <w:rFonts w:eastAsia="MS Mincho"/>
          <w:b/>
          <w:szCs w:val="22"/>
        </w:rPr>
        <w:t>20</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Should no petitions for reconsideration, applications for review, or petitions for judicial </w:t>
      </w:r>
      <w:r w:rsidRPr="00792917" w:rsidR="00792917">
        <w:rPr>
          <w:rFonts w:eastAsia="MS Mincho"/>
          <w:szCs w:val="22"/>
        </w:rPr>
        <w:t>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490A6C" w:rsidRPr="0030569F" w:rsidP="009E6F4B" w14:paraId="1D3BD7CA" w14:textId="5A6BAE89">
      <w:pPr>
        <w:widowControl w:val="0"/>
        <w:spacing w:after="120"/>
        <w:ind w:firstLine="720"/>
        <w:rPr>
          <w:b/>
          <w:szCs w:val="22"/>
        </w:rPr>
      </w:pPr>
      <w:r>
        <w:rPr>
          <w:szCs w:val="22"/>
        </w:rPr>
        <w:t xml:space="preserve">Comments objecting to </w:t>
      </w:r>
      <w:r w:rsidR="001A2E27">
        <w:rPr>
          <w:szCs w:val="22"/>
        </w:rPr>
        <w:t xml:space="preserve">any </w:t>
      </w:r>
      <w:r>
        <w:rPr>
          <w:szCs w:val="22"/>
        </w:rPr>
        <w:t>of the</w:t>
      </w:r>
      <w:r w:rsidRPr="00D332AC" w:rsidR="00D332AC">
        <w:rPr>
          <w:rFonts w:eastAsia="MS Mincho"/>
          <w:szCs w:val="22"/>
        </w:rPr>
        <w:t xml:space="preserve"> </w:t>
      </w:r>
      <w:r w:rsidR="001A2E27">
        <w:rPr>
          <w:rFonts w:eastAsia="MS Mincho"/>
          <w:szCs w:val="22"/>
        </w:rPr>
        <w:t>applications listed</w:t>
      </w:r>
      <w:r>
        <w:rPr>
          <w:szCs w:val="22"/>
        </w:rPr>
        <w:t xml:space="preserve"> in </w:t>
      </w:r>
      <w:r w:rsidR="001352D9">
        <w:rPr>
          <w:szCs w:val="22"/>
        </w:rPr>
        <w:t xml:space="preserve">the </w:t>
      </w:r>
      <w:r>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August 4</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Pr>
          <w:szCs w:val="22"/>
        </w:rPr>
        <w:t>C</w:t>
      </w:r>
      <w:r>
        <w:rPr>
          <w:szCs w:val="22"/>
        </w:rPr>
        <w:t xml:space="preserve">omments should refer to </w:t>
      </w:r>
      <w:r>
        <w:rPr>
          <w:szCs w:val="22"/>
        </w:rPr>
        <w:t xml:space="preserve">the </w:t>
      </w:r>
      <w:r w:rsidR="00F1113B">
        <w:rPr>
          <w:szCs w:val="22"/>
        </w:rPr>
        <w:t xml:space="preserve">specific </w:t>
      </w:r>
      <w:r w:rsidR="009C538B">
        <w:rPr>
          <w:szCs w:val="22"/>
        </w:rPr>
        <w:t xml:space="preserve">WC Docket No. and Comp. Pol. File No. </w:t>
      </w:r>
      <w:r>
        <w:rPr>
          <w:szCs w:val="22"/>
        </w:rPr>
        <w:t xml:space="preserve">listed in </w:t>
      </w:r>
      <w:r w:rsidR="001352D9">
        <w:rPr>
          <w:szCs w:val="22"/>
        </w:rPr>
        <w:t xml:space="preserve">the </w:t>
      </w:r>
      <w:r>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E62124" w:rsidP="009E6F4B" w14:paraId="7660E7C8" w14:textId="27E35DFD">
      <w:pPr>
        <w:widowControl w:val="0"/>
        <w:spacing w:after="120"/>
        <w:ind w:firstLine="720"/>
        <w:rPr>
          <w:szCs w:val="22"/>
        </w:rPr>
      </w:pPr>
      <w:r w:rsidRP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Pr>
          <w:szCs w:val="22"/>
        </w:rPr>
        <w:t xml:space="preserve">.  </w:t>
      </w:r>
      <w:bookmarkEnd w:id="1"/>
      <w:r w:rsidRPr="009A1270">
        <w:rPr>
          <w:szCs w:val="22"/>
        </w:rPr>
        <w:t>Filings can be sent by commercial overnight courier or by first-class or overnight U.S. Postal Service mail.</w:t>
      </w:r>
      <w:r>
        <w:rPr>
          <w:rStyle w:val="FootnoteReference"/>
          <w:szCs w:val="22"/>
        </w:rPr>
        <w:footnoteReference w:id="7"/>
      </w:r>
      <w:r>
        <w:rPr>
          <w:szCs w:val="22"/>
        </w:rPr>
        <w:t xml:space="preserve">  </w:t>
      </w:r>
      <w:r w:rsidRP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9E6F4B" w14:paraId="5A7490C7" w14:textId="58998DCC">
      <w:pPr>
        <w:widowControl w:val="0"/>
        <w:spacing w:after="120"/>
        <w:ind w:firstLine="720"/>
        <w:rPr>
          <w:szCs w:val="22"/>
        </w:rPr>
      </w:pPr>
      <w:r w:rsidRP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FC60B3" w:rsidP="009E6F4B" w14:paraId="533A32A9" w14:textId="15E1B19D">
      <w:pPr>
        <w:widowControl w:val="0"/>
        <w:spacing w:after="120"/>
        <w:ind w:firstLine="720"/>
      </w:pPr>
      <w:r>
        <w:rPr>
          <w:szCs w:val="22"/>
        </w:rPr>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65F81" w:rsidRPr="00665F81" w:rsidP="009E6F4B" w14:paraId="415CDD89" w14:textId="6F4E5533">
      <w:pPr>
        <w:widowControl w:val="0"/>
        <w:spacing w:after="120"/>
        <w:ind w:firstLine="720"/>
        <w:rPr>
          <w:szCs w:val="22"/>
        </w:rPr>
      </w:pPr>
      <w:r>
        <w:rPr>
          <w:szCs w:val="22"/>
        </w:rPr>
        <w:t xml:space="preserve">People with Disabilities:  </w:t>
      </w:r>
      <w:r w:rsidRPr="00131C28" w:rsidR="00131C28">
        <w:rPr>
          <w:szCs w:val="22"/>
        </w:rPr>
        <w:t xml:space="preserve">We ask that requests for accommodations be made as soon as possible </w:t>
      </w:r>
      <w:r w:rsidRPr="00131C28" w:rsidR="00131C28">
        <w:rPr>
          <w:szCs w:val="22"/>
        </w:rPr>
        <w:t>in order to</w:t>
      </w:r>
      <w:r w:rsidRPr="00131C28" w:rsidR="00131C28">
        <w:rPr>
          <w:szCs w:val="22"/>
        </w:rPr>
        <w:t xml:space="preserve">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665F81" w:rsidRPr="00665F81" w:rsidP="009E6F4B" w14:paraId="302CE3CB" w14:textId="05EC31AF">
      <w:pPr>
        <w:widowControl w:val="0"/>
        <w:spacing w:after="120"/>
        <w:ind w:firstLine="720"/>
        <w:rPr>
          <w:szCs w:val="22"/>
        </w:rPr>
      </w:pPr>
      <w:r w:rsidRPr="00665F81">
        <w:rPr>
          <w:szCs w:val="22"/>
        </w:rPr>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B96EC6" w:rsidP="009E6F4B" w14:paraId="358D8A9A" w14:textId="77777777">
      <w:pPr>
        <w:suppressAutoHyphens/>
        <w:rPr>
          <w:szCs w:val="22"/>
        </w:rPr>
      </w:pPr>
    </w:p>
    <w:p w:rsidR="00AC52E0" w:rsidP="009E6F4B" w14:paraId="120B0B4B" w14:textId="77777777">
      <w:pPr>
        <w:suppressAutoHyphens/>
        <w:jc w:val="center"/>
        <w:rPr>
          <w:szCs w:val="22"/>
        </w:rPr>
      </w:pPr>
      <w:r w:rsidRPr="00665F81">
        <w:rPr>
          <w:szCs w:val="22"/>
        </w:rPr>
        <w:t xml:space="preserve">– </w:t>
      </w:r>
      <w:r w:rsidRPr="009E6F4B">
        <w:rPr>
          <w:b/>
          <w:bCs/>
          <w:szCs w:val="22"/>
        </w:rPr>
        <w:t>FCC</w:t>
      </w:r>
      <w:r w:rsidRPr="00665F81">
        <w:rPr>
          <w:szCs w:val="22"/>
        </w:rPr>
        <w:t xml:space="preserve"> –</w:t>
      </w:r>
    </w:p>
    <w:p w:rsidR="009E6F4B" w:rsidP="009E6F4B" w14:paraId="26E1B5E9" w14:textId="77777777">
      <w:pPr>
        <w:rPr>
          <w:szCs w:val="22"/>
        </w:rPr>
      </w:pPr>
    </w:p>
    <w:p w:rsidR="009E6F4B" w:rsidP="009E6F4B" w14:paraId="41659EFA" w14:textId="093A9138">
      <w:pPr>
        <w:rPr>
          <w:szCs w:val="22"/>
        </w:rPr>
        <w:sectPr w:rsidSect="009E6F4B">
          <w:headerReference w:type="default" r:id="rId8"/>
          <w:footerReference w:type="default" r:id="rId9"/>
          <w:headerReference w:type="first" r:id="rId10"/>
          <w:pgSz w:w="12240" w:h="15840" w:code="1"/>
          <w:pgMar w:top="1440" w:right="1440" w:bottom="720" w:left="1440" w:header="720" w:footer="720" w:gutter="0"/>
          <w:cols w:space="720"/>
          <w:titlePg/>
        </w:sectPr>
      </w:pPr>
    </w:p>
    <w:p w:rsidR="00353412" w:rsidRPr="003C46D7" w:rsidP="009E6F4B" w14:paraId="4A73350E" w14:textId="0F2E7D7A">
      <w:pPr>
        <w:suppressAutoHyphens/>
        <w:jc w:val="center"/>
        <w:rPr>
          <w:b/>
          <w:szCs w:val="22"/>
        </w:rPr>
      </w:pPr>
      <w:r w:rsidRPr="00AC52E0">
        <w:rPr>
          <w:b/>
          <w:szCs w:val="22"/>
        </w:rPr>
        <w:t>Appendix</w:t>
      </w:r>
      <w:bookmarkStart w:id="2" w:name="_Hlk4422879"/>
    </w:p>
    <w:p w:rsidR="00C72AC7" w:rsidRPr="00C72AC7" w:rsidP="009E6F4B" w14:paraId="41E6E565" w14:textId="77777777">
      <w:pPr>
        <w:suppressAutoHyphens/>
        <w:rPr>
          <w:b/>
          <w:szCs w:val="22"/>
        </w:rPr>
      </w:pPr>
    </w:p>
    <w:p w:rsidR="00081F65" w:rsidRPr="00081F65" w:rsidP="009E6F4B" w14:paraId="14F6FC64" w14:textId="041C1187">
      <w:pPr>
        <w:pStyle w:val="ListParagraph"/>
        <w:numPr>
          <w:ilvl w:val="0"/>
          <w:numId w:val="6"/>
        </w:numPr>
        <w:suppressAutoHyphens/>
        <w:rPr>
          <w:b/>
          <w:szCs w:val="22"/>
        </w:rPr>
      </w:pPr>
      <w:r w:rsidRPr="00081F65">
        <w:rPr>
          <w:b/>
          <w:szCs w:val="22"/>
        </w:rPr>
        <w:t xml:space="preserve">Applicant(s): </w:t>
      </w:r>
      <w:r w:rsidRPr="00E912C5" w:rsidR="00E912C5">
        <w:rPr>
          <w:b/>
          <w:szCs w:val="22"/>
        </w:rPr>
        <w:t>DeltaCom</w:t>
      </w:r>
      <w:r w:rsidRPr="00E912C5" w:rsidR="00E912C5">
        <w:rPr>
          <w:b/>
          <w:szCs w:val="22"/>
        </w:rPr>
        <w:t xml:space="preserve">, LLC and Windstream </w:t>
      </w:r>
      <w:r w:rsidRPr="00E912C5" w:rsidR="00E912C5">
        <w:rPr>
          <w:b/>
          <w:szCs w:val="22"/>
        </w:rPr>
        <w:t>NuVox</w:t>
      </w:r>
      <w:r w:rsidRPr="00E912C5" w:rsidR="00E912C5">
        <w:rPr>
          <w:b/>
          <w:szCs w:val="22"/>
        </w:rPr>
        <w:t>, LLC</w:t>
      </w:r>
      <w:r w:rsidR="00011CC4">
        <w:rPr>
          <w:b/>
          <w:szCs w:val="22"/>
        </w:rPr>
        <w:t>,</w:t>
      </w:r>
      <w:r w:rsidRPr="00E912C5" w:rsidR="00E912C5">
        <w:rPr>
          <w:b/>
          <w:szCs w:val="22"/>
        </w:rPr>
        <w:t xml:space="preserve"> subsidiaries of Windstream Services, LLC  </w:t>
      </w:r>
    </w:p>
    <w:p w:rsidR="00081F65" w:rsidRPr="00081F65" w:rsidP="009E6F4B" w14:paraId="623D3FEC" w14:textId="4840EC87">
      <w:pPr>
        <w:pStyle w:val="ListParagraph"/>
        <w:suppressAutoHyphens/>
        <w:rPr>
          <w:b/>
          <w:szCs w:val="22"/>
        </w:rPr>
      </w:pPr>
      <w:r w:rsidRPr="00081F65">
        <w:rPr>
          <w:b/>
          <w:szCs w:val="22"/>
        </w:rPr>
        <w:t>WC Docket No. 21-25</w:t>
      </w:r>
      <w:r w:rsidR="00E912C5">
        <w:rPr>
          <w:b/>
          <w:szCs w:val="22"/>
        </w:rPr>
        <w:t>7</w:t>
      </w:r>
      <w:r w:rsidRPr="00081F65">
        <w:rPr>
          <w:b/>
          <w:szCs w:val="22"/>
        </w:rPr>
        <w:t>, Comp. Pol. File No. 169</w:t>
      </w:r>
      <w:r w:rsidR="00E912C5">
        <w:rPr>
          <w:b/>
          <w:szCs w:val="22"/>
        </w:rPr>
        <w:t>7</w:t>
      </w:r>
    </w:p>
    <w:p w:rsidR="00081F65" w:rsidRPr="00081F65" w:rsidP="009E6F4B" w14:paraId="62CA3865" w14:textId="108780AD">
      <w:pPr>
        <w:pStyle w:val="ListParagraph"/>
        <w:suppressAutoHyphens/>
        <w:rPr>
          <w:b/>
          <w:szCs w:val="22"/>
        </w:rPr>
      </w:pPr>
      <w:r w:rsidRPr="00081F65">
        <w:rPr>
          <w:b/>
          <w:szCs w:val="22"/>
        </w:rPr>
        <w:t>Link –</w:t>
      </w:r>
      <w:r w:rsidR="005573FA">
        <w:rPr>
          <w:b/>
          <w:szCs w:val="22"/>
        </w:rPr>
        <w:t xml:space="preserve"> </w:t>
      </w:r>
      <w:hyperlink r:id="rId11" w:history="1">
        <w:r w:rsidRPr="005573FA" w:rsidR="005573FA">
          <w:rPr>
            <w:rStyle w:val="Hyperlink"/>
            <w:bCs/>
            <w:szCs w:val="22"/>
          </w:rPr>
          <w:t>https://www.fcc.gov/ecfs/search/filings?proceedings_name=21-257&amp;sort=date_disseminated,DESC</w:t>
        </w:r>
      </w:hyperlink>
    </w:p>
    <w:p w:rsidR="00E912C5" w:rsidP="009E6F4B" w14:paraId="590E6822" w14:textId="4EB533F8">
      <w:pPr>
        <w:pStyle w:val="ListParagraph"/>
        <w:suppressAutoHyphens/>
        <w:rPr>
          <w:bCs/>
          <w:szCs w:val="22"/>
        </w:rPr>
      </w:pPr>
      <w:r w:rsidRPr="00081F65">
        <w:rPr>
          <w:b/>
          <w:szCs w:val="22"/>
        </w:rPr>
        <w:t xml:space="preserve">Affected Service(s) – </w:t>
      </w:r>
      <w:r w:rsidRPr="00E912C5">
        <w:rPr>
          <w:bCs/>
          <w:szCs w:val="22"/>
        </w:rPr>
        <w:t>TDM</w:t>
      </w:r>
      <w:r>
        <w:rPr>
          <w:bCs/>
          <w:szCs w:val="22"/>
        </w:rPr>
        <w:t>-</w:t>
      </w:r>
      <w:r w:rsidRPr="00E912C5">
        <w:rPr>
          <w:bCs/>
          <w:szCs w:val="22"/>
        </w:rPr>
        <w:t>based DS0/POTS, DS0/DSL, DS1/1.5Mb T-1 Voice,</w:t>
      </w:r>
      <w:r w:rsidR="0056510B">
        <w:rPr>
          <w:bCs/>
          <w:szCs w:val="22"/>
        </w:rPr>
        <w:t xml:space="preserve"> </w:t>
      </w:r>
      <w:r w:rsidRPr="00E912C5">
        <w:rPr>
          <w:bCs/>
          <w:szCs w:val="22"/>
        </w:rPr>
        <w:t>Data</w:t>
      </w:r>
      <w:r w:rsidRPr="00E912C5">
        <w:rPr>
          <w:bCs/>
          <w:szCs w:val="22"/>
        </w:rPr>
        <w:t xml:space="preserve"> and Integrated services </w:t>
      </w:r>
    </w:p>
    <w:p w:rsidR="00081F65" w:rsidRPr="00081F65" w:rsidP="009E6F4B" w14:paraId="404791C7" w14:textId="74EB3CB0">
      <w:pPr>
        <w:pStyle w:val="ListParagraph"/>
        <w:suppressAutoHyphens/>
        <w:rPr>
          <w:b/>
          <w:szCs w:val="22"/>
        </w:rPr>
      </w:pPr>
      <w:r w:rsidRPr="00081F65">
        <w:rPr>
          <w:b/>
          <w:szCs w:val="22"/>
        </w:rPr>
        <w:t xml:space="preserve">Service Area(s) – </w:t>
      </w:r>
      <w:r w:rsidRPr="00E912C5" w:rsidR="00E912C5">
        <w:rPr>
          <w:bCs/>
          <w:szCs w:val="22"/>
        </w:rPr>
        <w:t>Newton, Parsons and Wichita, K</w:t>
      </w:r>
      <w:r w:rsidR="00E912C5">
        <w:rPr>
          <w:bCs/>
          <w:szCs w:val="22"/>
        </w:rPr>
        <w:t>ansas</w:t>
      </w:r>
      <w:r w:rsidRPr="00E912C5" w:rsidR="00E912C5">
        <w:rPr>
          <w:bCs/>
          <w:szCs w:val="22"/>
        </w:rPr>
        <w:t>; Columbia, M</w:t>
      </w:r>
      <w:r w:rsidR="00E912C5">
        <w:rPr>
          <w:bCs/>
          <w:szCs w:val="22"/>
        </w:rPr>
        <w:t>issouri</w:t>
      </w:r>
      <w:r w:rsidRPr="00E912C5" w:rsidR="00E912C5">
        <w:rPr>
          <w:bCs/>
          <w:szCs w:val="22"/>
        </w:rPr>
        <w:t>; Reno, N</w:t>
      </w:r>
      <w:r w:rsidR="00E912C5">
        <w:rPr>
          <w:bCs/>
          <w:szCs w:val="22"/>
        </w:rPr>
        <w:t>evada</w:t>
      </w:r>
      <w:r w:rsidRPr="00E912C5" w:rsidR="00E912C5">
        <w:rPr>
          <w:bCs/>
          <w:szCs w:val="22"/>
        </w:rPr>
        <w:t>; and Cheyenne,</w:t>
      </w:r>
      <w:r w:rsidR="00011CC4">
        <w:rPr>
          <w:bCs/>
          <w:szCs w:val="22"/>
        </w:rPr>
        <w:t xml:space="preserve"> </w:t>
      </w:r>
      <w:r w:rsidRPr="00E912C5" w:rsidR="00E912C5">
        <w:rPr>
          <w:bCs/>
          <w:szCs w:val="22"/>
        </w:rPr>
        <w:t>W</w:t>
      </w:r>
      <w:r w:rsidR="00E912C5">
        <w:rPr>
          <w:bCs/>
          <w:szCs w:val="22"/>
        </w:rPr>
        <w:t>yoming</w:t>
      </w:r>
    </w:p>
    <w:p w:rsidR="00081F65" w:rsidRPr="00081F65" w:rsidP="00081F65" w14:paraId="14B0492D" w14:textId="3707B7B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August </w:t>
      </w:r>
      <w:r w:rsidR="001D127C">
        <w:rPr>
          <w:bCs/>
          <w:szCs w:val="22"/>
        </w:rPr>
        <w:t>20</w:t>
      </w:r>
      <w:r w:rsidRPr="00F013EE">
        <w:rPr>
          <w:bCs/>
          <w:szCs w:val="22"/>
        </w:rPr>
        <w:t>, 2021</w:t>
      </w:r>
    </w:p>
    <w:p w:rsidR="00081F65" w:rsidP="00081F65" w14:paraId="3DA3EB0F" w14:textId="45DF56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E6F4B">
      <w:headerReference w:type="first" r:id="rId12"/>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862D880">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rsidRPr="009E6F4B" w:rsidP="009E6F4B" w14:paraId="2B584F24" w14:textId="4AAF8095">
    <w:pPr>
      <w:pStyle w:val="Header"/>
      <w:tabs>
        <w:tab w:val="clear" w:pos="4320"/>
        <w:tab w:val="center" w:pos="4680"/>
        <w:tab w:val="clear" w:pos="8640"/>
        <w:tab w:val="right" w:pos="9360"/>
      </w:tabs>
    </w:pPr>
    <w:r w:rsidRPr="009E6F4B">
      <w:rPr>
        <w:b/>
        <w:bCs/>
        <w:u w:val="single"/>
      </w:rPr>
      <w:tab/>
      <w:t>Federal Communications Commission</w:t>
    </w:r>
    <w:r w:rsidRPr="009E6F4B">
      <w:rPr>
        <w:b/>
        <w:bCs/>
        <w:u w:val="single"/>
      </w:rPr>
      <w:tab/>
      <w:t>DA 21-868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9E6F4B" w14:paraId="4E631323" w14:textId="62956F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1.9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4.5pt;margin-left:-46.55pt;mso-wrap-edited:f;position:absolute;visibility:visible;z-index:251658240" o:oleicon="f" o:allowincell="f">
          <v:imagedata r:id="rId1" o:title=""/>
        </v:shape>
        <o:OLEObject Type="Embed" ProgID="Word.Picture.8" ShapeID="_x0000_s2050" DrawAspect="Content" ObjectID="_1688298924" r:id="rId2"/>
      </w:pict>
    </w:r>
    <w:r>
      <w:rPr>
        <w:rFonts w:ascii="News Gothic MT" w:hAnsi="News Gothic MT"/>
        <w:b/>
        <w:kern w:val="28"/>
        <w:sz w:val="96"/>
      </w:rPr>
      <w:t>PUBLIC NOTICE</w:t>
    </w:r>
  </w:p>
  <w:p w:rsidR="00D33FBA" w:rsidP="009E6F4B" w14:paraId="49E21489" w14:textId="77777777">
    <w:pPr>
      <w:pStyle w:val="Header"/>
      <w:tabs>
        <w:tab w:val="clear" w:pos="4320"/>
        <w:tab w:val="clear" w:pos="8640"/>
      </w:tabs>
      <w:spacing w:line="1120" w:lineRule="exact"/>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1A3E0BA8">
                          <w:pPr>
                            <w:jc w:val="right"/>
                            <w:rPr>
                              <w:rFonts w:ascii="Arial" w:hAnsi="Arial"/>
                              <w:b/>
                              <w:sz w:val="16"/>
                            </w:rPr>
                          </w:pPr>
                          <w:r w:rsidRPr="00D56232">
                            <w:rPr>
                              <w:rFonts w:ascii="Arial" w:hAnsi="Arial"/>
                              <w:b/>
                              <w:sz w:val="16"/>
                            </w:rPr>
                            <w:tab/>
                            <w:t>Internet:  http://www.fcc.gov</w:t>
                          </w:r>
                        </w:p>
                        <w:p w:rsidR="00F44B48" w:rsidRPr="00D56232" w:rsidP="009E6F4B" w14:textId="55C615C4">
                          <w:pPr>
                            <w:jc w:val="right"/>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1A3E0BA8">
                    <w:pPr>
                      <w:jc w:val="right"/>
                      <w:rPr>
                        <w:rFonts w:ascii="Arial" w:hAnsi="Arial"/>
                        <w:b/>
                        <w:sz w:val="16"/>
                      </w:rPr>
                    </w:pPr>
                    <w:r w:rsidRPr="00D56232">
                      <w:rPr>
                        <w:rFonts w:ascii="Arial" w:hAnsi="Arial"/>
                        <w:b/>
                        <w:sz w:val="16"/>
                      </w:rPr>
                      <w:tab/>
                      <w:t>Internet:  http://www.fcc.gov</w:t>
                    </w:r>
                  </w:p>
                  <w:p w:rsidR="00F44B48" w:rsidRPr="00D56232" w:rsidP="009E6F4B" w14:paraId="6D7C050A" w14:textId="55C615C4">
                    <w:pPr>
                      <w:jc w:val="right"/>
                      <w:rPr>
                        <w:rFonts w:ascii="Arial" w:hAnsi="Arial"/>
                        <w:b/>
                        <w:sz w:val="16"/>
                      </w:rPr>
                    </w:pPr>
                    <w:r w:rsidRPr="00D56232">
                      <w:rPr>
                        <w:rFonts w:ascii="Arial" w:hAnsi="Arial"/>
                        <w:b/>
                        <w:sz w:val="16"/>
                      </w:rPr>
                      <w:tab/>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F4B" w:rsidRPr="009E6F4B" w:rsidP="009E6F4B" w14:paraId="1FD17429" w14:textId="34C4F870">
    <w:pPr>
      <w:pStyle w:val="Header"/>
      <w:tabs>
        <w:tab w:val="clear" w:pos="4320"/>
        <w:tab w:val="center" w:pos="4680"/>
        <w:tab w:val="clear" w:pos="8640"/>
        <w:tab w:val="right" w:pos="9360"/>
      </w:tabs>
      <w:rPr>
        <w:b/>
        <w:bCs/>
        <w:u w:val="single"/>
      </w:rPr>
    </w:pPr>
    <w:bookmarkStart w:id="3" w:name="_Hlk77685944"/>
    <w:r w:rsidRPr="009E6F4B">
      <w:rPr>
        <w:b/>
        <w:bCs/>
        <w:u w:val="single"/>
      </w:rPr>
      <w:tab/>
      <w:t>Federal Communications Commission</w:t>
    </w:r>
    <w:r w:rsidRPr="009E6F4B">
      <w:rPr>
        <w:b/>
        <w:bCs/>
        <w:u w:val="single"/>
      </w:rPr>
      <w:tab/>
      <w:t>DA 21-868</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9E6F4B"/>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2AC"/>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character" w:customStyle="1" w:styleId="FooterChar">
    <w:name w:val="Footer Char"/>
    <w:basedOn w:val="DefaultParagraphFont"/>
    <w:link w:val="Footer"/>
    <w:uiPriority w:val="99"/>
    <w:rsid w:val="009E6F4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s://www.fcc.gov/ecfs/search/filings?proceedings_name=21-257&amp;sort=date_disseminated,DESC" TargetMode="Externa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