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15AF5" w:rsidRPr="00E912DF" w:rsidP="00CB0321" w14:paraId="0CEA1A89" w14:textId="77777777">
      <w:pPr>
        <w:widowControl/>
        <w:jc w:val="center"/>
        <w:rPr>
          <w:b/>
        </w:rPr>
      </w:pPr>
    </w:p>
    <w:p w:rsidR="004C2EE3" w:rsidRPr="006D12C5" w:rsidP="00CB0321" w14:paraId="4E71A645" w14:textId="64CFA497">
      <w:pPr>
        <w:widowControl/>
        <w:jc w:val="center"/>
        <w:rPr>
          <w:b/>
        </w:rPr>
      </w:pPr>
      <w:r w:rsidRPr="006D12C5">
        <w:rPr>
          <w:b/>
        </w:rPr>
        <w:t>Before the</w:t>
      </w:r>
    </w:p>
    <w:p w:rsidR="00921803" w:rsidRPr="006D12C5" w:rsidP="00CB0321" w14:paraId="7904845F" w14:textId="77777777">
      <w:pPr>
        <w:pStyle w:val="StyleBoldCentered"/>
        <w:widowControl/>
        <w:rPr>
          <w:rFonts w:ascii="Times New Roman" w:hAnsi="Times New Roman"/>
        </w:rPr>
      </w:pPr>
      <w:r w:rsidRPr="006D12C5">
        <w:rPr>
          <w:rFonts w:ascii="Times New Roman" w:hAnsi="Times New Roman"/>
        </w:rPr>
        <w:t>F</w:t>
      </w:r>
      <w:r w:rsidRPr="006D12C5">
        <w:rPr>
          <w:rFonts w:ascii="Times New Roman" w:hAnsi="Times New Roman"/>
          <w:caps w:val="0"/>
        </w:rPr>
        <w:t>ederal Communications Commission</w:t>
      </w:r>
    </w:p>
    <w:p w:rsidR="004C2EE3" w:rsidRPr="006D12C5" w:rsidP="00CB0321" w14:paraId="3D573283" w14:textId="77777777">
      <w:pPr>
        <w:pStyle w:val="StyleBoldCentered"/>
        <w:widowControl/>
        <w:spacing w:after="240"/>
        <w:rPr>
          <w:rFonts w:ascii="Times New Roman" w:hAnsi="Times New Roman"/>
        </w:rPr>
      </w:pPr>
      <w:r w:rsidRPr="006D12C5">
        <w:rPr>
          <w:rFonts w:ascii="Times New Roman" w:hAnsi="Times New Roman"/>
          <w:caps w:val="0"/>
        </w:rPr>
        <w:t>Washington, D.C. 20554</w:t>
      </w:r>
    </w:p>
    <w:tbl>
      <w:tblPr>
        <w:tblW w:w="9576" w:type="dxa"/>
        <w:tblLayout w:type="fixed"/>
        <w:tblLook w:val="0000"/>
      </w:tblPr>
      <w:tblGrid>
        <w:gridCol w:w="4698"/>
        <w:gridCol w:w="630"/>
        <w:gridCol w:w="4248"/>
      </w:tblGrid>
      <w:tr w14:paraId="5B1BAFEE" w14:textId="77777777" w:rsidTr="0064469F">
        <w:tblPrEx>
          <w:tblW w:w="9576" w:type="dxa"/>
          <w:tblLayout w:type="fixed"/>
          <w:tblLook w:val="0000"/>
        </w:tblPrEx>
        <w:tc>
          <w:tcPr>
            <w:tcW w:w="4698" w:type="dxa"/>
          </w:tcPr>
          <w:p w:rsidR="004C2EE3" w:rsidRPr="006D12C5" w:rsidP="00CB0321" w14:paraId="5539AB1F" w14:textId="77777777">
            <w:pPr>
              <w:widowControl/>
              <w:tabs>
                <w:tab w:val="center" w:pos="4680"/>
              </w:tabs>
              <w:suppressAutoHyphens/>
              <w:rPr>
                <w:spacing w:val="-2"/>
                <w:szCs w:val="22"/>
              </w:rPr>
            </w:pPr>
            <w:r w:rsidRPr="006D12C5">
              <w:rPr>
                <w:spacing w:val="-2"/>
                <w:szCs w:val="22"/>
              </w:rPr>
              <w:t>In the Matter of</w:t>
            </w:r>
          </w:p>
          <w:p w:rsidR="004C2EE3" w:rsidRPr="006D12C5" w:rsidP="00CB0321" w14:paraId="2066B4CE" w14:textId="77777777">
            <w:pPr>
              <w:widowControl/>
              <w:tabs>
                <w:tab w:val="center" w:pos="4680"/>
              </w:tabs>
              <w:suppressAutoHyphens/>
              <w:rPr>
                <w:spacing w:val="-2"/>
                <w:szCs w:val="22"/>
              </w:rPr>
            </w:pPr>
          </w:p>
          <w:p w:rsidR="004C2EE3" w:rsidRPr="006D12C5" w:rsidP="00CB0321" w14:paraId="1F3315EF" w14:textId="43FF96F5">
            <w:pPr>
              <w:widowControl/>
              <w:tabs>
                <w:tab w:val="center" w:pos="4680"/>
              </w:tabs>
              <w:suppressAutoHyphens/>
              <w:rPr>
                <w:spacing w:val="-2"/>
                <w:szCs w:val="22"/>
              </w:rPr>
            </w:pPr>
            <w:r w:rsidRPr="006D12C5">
              <w:rPr>
                <w:szCs w:val="22"/>
              </w:rPr>
              <w:t xml:space="preserve">Peace Communications, </w:t>
            </w:r>
            <w:r w:rsidRPr="006D12C5" w:rsidR="002D657D">
              <w:rPr>
                <w:szCs w:val="22"/>
              </w:rPr>
              <w:t>LLC</w:t>
            </w:r>
          </w:p>
          <w:p w:rsidR="00D41CA6" w:rsidRPr="006D12C5" w:rsidP="00CB0321" w14:paraId="05DD362A" w14:textId="77777777">
            <w:pPr>
              <w:widowControl/>
              <w:tabs>
                <w:tab w:val="center" w:pos="4680"/>
              </w:tabs>
              <w:suppressAutoHyphens/>
              <w:rPr>
                <w:spacing w:val="-2"/>
                <w:szCs w:val="22"/>
              </w:rPr>
            </w:pPr>
          </w:p>
          <w:p w:rsidR="00966DDB" w:rsidRPr="006D12C5" w:rsidP="00CB0321" w14:paraId="12738F8D" w14:textId="77777777">
            <w:pPr>
              <w:widowControl/>
              <w:tabs>
                <w:tab w:val="center" w:pos="4680"/>
              </w:tabs>
              <w:suppressAutoHyphens/>
              <w:rPr>
                <w:spacing w:val="-2"/>
                <w:szCs w:val="22"/>
              </w:rPr>
            </w:pPr>
          </w:p>
        </w:tc>
        <w:tc>
          <w:tcPr>
            <w:tcW w:w="630" w:type="dxa"/>
          </w:tcPr>
          <w:p w:rsidR="004C2EE3" w:rsidRPr="006D12C5" w:rsidP="00CB0321" w14:paraId="7656C0BA" w14:textId="77777777">
            <w:pPr>
              <w:widowControl/>
              <w:tabs>
                <w:tab w:val="center" w:pos="4680"/>
              </w:tabs>
              <w:suppressAutoHyphens/>
              <w:rPr>
                <w:b/>
                <w:spacing w:val="-2"/>
                <w:szCs w:val="22"/>
              </w:rPr>
            </w:pPr>
            <w:r w:rsidRPr="006D12C5">
              <w:rPr>
                <w:b/>
                <w:spacing w:val="-2"/>
                <w:szCs w:val="22"/>
              </w:rPr>
              <w:t>)</w:t>
            </w:r>
          </w:p>
          <w:p w:rsidR="004C2EE3" w:rsidRPr="006D12C5" w:rsidP="00CB0321" w14:paraId="792C9BB9" w14:textId="77777777">
            <w:pPr>
              <w:widowControl/>
              <w:tabs>
                <w:tab w:val="center" w:pos="4680"/>
              </w:tabs>
              <w:suppressAutoHyphens/>
              <w:rPr>
                <w:b/>
                <w:spacing w:val="-2"/>
                <w:szCs w:val="22"/>
              </w:rPr>
            </w:pPr>
            <w:r w:rsidRPr="006D12C5">
              <w:rPr>
                <w:b/>
                <w:spacing w:val="-2"/>
                <w:szCs w:val="22"/>
              </w:rPr>
              <w:t>)</w:t>
            </w:r>
          </w:p>
          <w:p w:rsidR="004C2EE3" w:rsidRPr="006D12C5" w:rsidP="00CB0321" w14:paraId="3F5F07A9" w14:textId="77777777">
            <w:pPr>
              <w:widowControl/>
              <w:tabs>
                <w:tab w:val="center" w:pos="4680"/>
              </w:tabs>
              <w:suppressAutoHyphens/>
              <w:rPr>
                <w:b/>
                <w:spacing w:val="-2"/>
                <w:szCs w:val="22"/>
              </w:rPr>
            </w:pPr>
            <w:r w:rsidRPr="006D12C5">
              <w:rPr>
                <w:b/>
                <w:spacing w:val="-2"/>
                <w:szCs w:val="22"/>
              </w:rPr>
              <w:t>)</w:t>
            </w:r>
          </w:p>
          <w:p w:rsidR="004C2EE3" w:rsidRPr="006D12C5" w:rsidP="00CB0321" w14:paraId="3BB5B72F" w14:textId="77777777">
            <w:pPr>
              <w:widowControl/>
              <w:tabs>
                <w:tab w:val="center" w:pos="4680"/>
              </w:tabs>
              <w:suppressAutoHyphens/>
              <w:rPr>
                <w:b/>
                <w:spacing w:val="-2"/>
                <w:szCs w:val="22"/>
              </w:rPr>
            </w:pPr>
            <w:r w:rsidRPr="006D12C5">
              <w:rPr>
                <w:b/>
                <w:spacing w:val="-2"/>
                <w:szCs w:val="22"/>
              </w:rPr>
              <w:t>)</w:t>
            </w:r>
          </w:p>
          <w:p w:rsidR="004C2EE3" w:rsidRPr="006D12C5" w:rsidP="00CB0321" w14:paraId="45416947" w14:textId="77777777">
            <w:pPr>
              <w:widowControl/>
              <w:tabs>
                <w:tab w:val="center" w:pos="4680"/>
              </w:tabs>
              <w:suppressAutoHyphens/>
              <w:rPr>
                <w:b/>
                <w:spacing w:val="-2"/>
                <w:szCs w:val="22"/>
              </w:rPr>
            </w:pPr>
            <w:r w:rsidRPr="006D12C5">
              <w:rPr>
                <w:b/>
                <w:spacing w:val="-2"/>
                <w:szCs w:val="22"/>
              </w:rPr>
              <w:t>)</w:t>
            </w:r>
          </w:p>
          <w:p w:rsidR="004C2EE3" w:rsidRPr="006D12C5" w:rsidP="00CB0321" w14:paraId="7970B583" w14:textId="77777777">
            <w:pPr>
              <w:widowControl/>
              <w:tabs>
                <w:tab w:val="center" w:pos="4680"/>
              </w:tabs>
              <w:suppressAutoHyphens/>
              <w:spacing w:after="240"/>
              <w:rPr>
                <w:b/>
                <w:spacing w:val="-2"/>
                <w:szCs w:val="22"/>
              </w:rPr>
            </w:pPr>
          </w:p>
        </w:tc>
        <w:tc>
          <w:tcPr>
            <w:tcW w:w="4248" w:type="dxa"/>
          </w:tcPr>
          <w:p w:rsidR="004C2EE3" w:rsidRPr="006D12C5" w:rsidP="00CB0321" w14:paraId="73F051EE" w14:textId="77777777">
            <w:pPr>
              <w:widowControl/>
              <w:tabs>
                <w:tab w:val="center" w:pos="4680"/>
              </w:tabs>
              <w:suppressAutoHyphens/>
              <w:rPr>
                <w:spacing w:val="-2"/>
                <w:szCs w:val="22"/>
              </w:rPr>
            </w:pPr>
          </w:p>
          <w:p w:rsidR="004C2EE3" w:rsidRPr="006D12C5" w:rsidP="00CB0321" w14:paraId="658414AA" w14:textId="77777777">
            <w:pPr>
              <w:pStyle w:val="TOAHeading"/>
              <w:widowControl/>
              <w:tabs>
                <w:tab w:val="center" w:pos="4680"/>
                <w:tab w:val="clear" w:pos="9360"/>
              </w:tabs>
              <w:rPr>
                <w:spacing w:val="-2"/>
                <w:szCs w:val="22"/>
              </w:rPr>
            </w:pPr>
          </w:p>
          <w:p w:rsidR="004C2EE3" w:rsidRPr="006D12C5" w:rsidP="00CB0321" w14:paraId="1719ABAE" w14:textId="5818B935">
            <w:pPr>
              <w:widowControl/>
              <w:tabs>
                <w:tab w:val="center" w:pos="4680"/>
              </w:tabs>
              <w:suppressAutoHyphens/>
              <w:rPr>
                <w:spacing w:val="-2"/>
                <w:szCs w:val="22"/>
              </w:rPr>
            </w:pPr>
            <w:r w:rsidRPr="006D12C5">
              <w:rPr>
                <w:spacing w:val="-2"/>
                <w:szCs w:val="22"/>
              </w:rPr>
              <w:t>File No.:</w:t>
            </w:r>
            <w:r w:rsidRPr="006D12C5" w:rsidR="002B475B">
              <w:rPr>
                <w:spacing w:val="-2"/>
                <w:szCs w:val="22"/>
              </w:rPr>
              <w:t xml:space="preserve">  EB-IHD-20-000</w:t>
            </w:r>
            <w:r w:rsidRPr="006D12C5" w:rsidR="004B32E0">
              <w:rPr>
                <w:bCs/>
                <w:szCs w:val="22"/>
              </w:rPr>
              <w:t>3</w:t>
            </w:r>
            <w:r w:rsidRPr="006D12C5" w:rsidR="00EE527E">
              <w:rPr>
                <w:bCs/>
                <w:szCs w:val="22"/>
              </w:rPr>
              <w:t>1</w:t>
            </w:r>
            <w:r w:rsidRPr="006D12C5" w:rsidR="004B32E0">
              <w:rPr>
                <w:bCs/>
                <w:szCs w:val="22"/>
              </w:rPr>
              <w:t>6</w:t>
            </w:r>
            <w:r w:rsidRPr="006D12C5" w:rsidR="00EE527E">
              <w:rPr>
                <w:bCs/>
                <w:szCs w:val="22"/>
              </w:rPr>
              <w:t>97</w:t>
            </w:r>
          </w:p>
          <w:p w:rsidR="003A29BB" w:rsidRPr="006D12C5" w:rsidP="00CB0321" w14:paraId="1FFD4467" w14:textId="20038136">
            <w:pPr>
              <w:widowControl/>
              <w:tabs>
                <w:tab w:val="center" w:pos="4680"/>
              </w:tabs>
              <w:suppressAutoHyphens/>
              <w:rPr>
                <w:spacing w:val="-2"/>
                <w:szCs w:val="22"/>
              </w:rPr>
            </w:pPr>
            <w:r w:rsidRPr="006D12C5">
              <w:rPr>
                <w:spacing w:val="-2"/>
                <w:szCs w:val="22"/>
              </w:rPr>
              <w:t>NAL/Account No.:</w:t>
            </w:r>
            <w:r w:rsidRPr="006D12C5" w:rsidR="002B475B">
              <w:rPr>
                <w:spacing w:val="-2"/>
                <w:szCs w:val="22"/>
              </w:rPr>
              <w:t xml:space="preserve">  </w:t>
            </w:r>
            <w:r w:rsidRPr="006D12C5">
              <w:rPr>
                <w:color w:val="222222"/>
                <w:szCs w:val="22"/>
              </w:rPr>
              <w:t>202132080030</w:t>
            </w:r>
          </w:p>
          <w:p w:rsidR="00ED07C7" w:rsidRPr="006D12C5" w:rsidP="00CB0321" w14:paraId="67B663B3" w14:textId="47860989">
            <w:pPr>
              <w:widowControl/>
              <w:tabs>
                <w:tab w:val="center" w:pos="4680"/>
              </w:tabs>
              <w:suppressAutoHyphens/>
              <w:rPr>
                <w:spacing w:val="-2"/>
                <w:szCs w:val="22"/>
              </w:rPr>
            </w:pPr>
            <w:r w:rsidRPr="006D12C5">
              <w:rPr>
                <w:spacing w:val="-2"/>
                <w:szCs w:val="22"/>
              </w:rPr>
              <w:t>F</w:t>
            </w:r>
            <w:r w:rsidRPr="006D12C5">
              <w:rPr>
                <w:spacing w:val="-2"/>
                <w:szCs w:val="22"/>
              </w:rPr>
              <w:t>RN:</w:t>
            </w:r>
            <w:r w:rsidRPr="006D12C5">
              <w:rPr>
                <w:spacing w:val="-2"/>
                <w:szCs w:val="22"/>
              </w:rPr>
              <w:t xml:space="preserve">  </w:t>
            </w:r>
            <w:r w:rsidRPr="006D12C5" w:rsidR="00EE527E">
              <w:rPr>
                <w:spacing w:val="-2"/>
                <w:szCs w:val="22"/>
              </w:rPr>
              <w:t>0019189331</w:t>
            </w:r>
          </w:p>
        </w:tc>
      </w:tr>
    </w:tbl>
    <w:p w:rsidR="00841AB1" w:rsidRPr="006D12C5" w:rsidP="00CB0321" w14:paraId="50391880" w14:textId="77777777">
      <w:pPr>
        <w:pStyle w:val="StyleBoldCentered"/>
        <w:widowControl/>
        <w:spacing w:after="480"/>
        <w:rPr>
          <w:rFonts w:ascii="Times New Roman" w:hAnsi="Times New Roman"/>
        </w:rPr>
      </w:pPr>
      <w:r w:rsidRPr="006D12C5">
        <w:rPr>
          <w:rFonts w:ascii="Times New Roman" w:hAnsi="Times New Roman"/>
        </w:rPr>
        <w:t>NOTICE OF APPARENT LIABILITY FOR FORFEITURE</w:t>
      </w:r>
    </w:p>
    <w:p w:rsidR="004C2EE3" w:rsidRPr="006D12C5" w:rsidP="00CB0321" w14:paraId="396DB493" w14:textId="0C59DF94">
      <w:pPr>
        <w:widowControl/>
        <w:tabs>
          <w:tab w:val="left" w:pos="720"/>
          <w:tab w:val="right" w:pos="9360"/>
        </w:tabs>
        <w:suppressAutoHyphens/>
        <w:spacing w:after="240" w:line="227" w:lineRule="auto"/>
        <w:rPr>
          <w:spacing w:val="-2"/>
        </w:rPr>
      </w:pPr>
      <w:r w:rsidRPr="006D12C5">
        <w:rPr>
          <w:b/>
          <w:spacing w:val="-2"/>
        </w:rPr>
        <w:t xml:space="preserve">Adopted:  </w:t>
      </w:r>
      <w:r w:rsidRPr="006D12C5" w:rsidR="00CB0321">
        <w:rPr>
          <w:b/>
          <w:spacing w:val="-2"/>
        </w:rPr>
        <w:t>July 29, 2021</w:t>
      </w:r>
      <w:r w:rsidRPr="006D12C5" w:rsidR="00CB0321">
        <w:rPr>
          <w:b/>
          <w:spacing w:val="-2"/>
        </w:rPr>
        <w:tab/>
        <w:t>Released:  July 29, 2021</w:t>
      </w:r>
    </w:p>
    <w:p w:rsidR="00822CE0" w:rsidRPr="006D12C5" w:rsidP="00CB0321" w14:paraId="40B54F95" w14:textId="21FDC9B5">
      <w:pPr>
        <w:widowControl/>
        <w:spacing w:after="240"/>
        <w:rPr>
          <w:spacing w:val="-2"/>
        </w:rPr>
      </w:pPr>
      <w:r w:rsidRPr="006D12C5">
        <w:t xml:space="preserve">By </w:t>
      </w:r>
      <w:r w:rsidRPr="006D12C5" w:rsidR="004E4A22">
        <w:t>the</w:t>
      </w:r>
      <w:r w:rsidRPr="006D12C5" w:rsidR="002A2D2E">
        <w:t xml:space="preserve"> </w:t>
      </w:r>
      <w:r w:rsidRPr="006D12C5" w:rsidR="00B617D7">
        <w:rPr>
          <w:spacing w:val="-2"/>
        </w:rPr>
        <w:t>Enforcement Bureau</w:t>
      </w:r>
      <w:r w:rsidRPr="006D12C5" w:rsidR="00D142FC">
        <w:rPr>
          <w:spacing w:val="-2"/>
        </w:rPr>
        <w:t>:</w:t>
      </w:r>
    </w:p>
    <w:p w:rsidR="00412FC5" w:rsidRPr="006D12C5" w:rsidP="00CB0321" w14:paraId="06BADB5A" w14:textId="77777777">
      <w:pPr>
        <w:pStyle w:val="Heading1"/>
        <w:widowControl/>
        <w:rPr>
          <w:rFonts w:ascii="Times New Roman" w:hAnsi="Times New Roman"/>
        </w:rPr>
      </w:pPr>
      <w:r w:rsidRPr="006D12C5">
        <w:rPr>
          <w:rFonts w:ascii="Times New Roman" w:hAnsi="Times New Roman"/>
        </w:rPr>
        <w:t>INTRODUCTION</w:t>
      </w:r>
    </w:p>
    <w:p w:rsidR="00017D98" w:rsidRPr="006D12C5" w:rsidP="00CB0321" w14:paraId="7D05E28B" w14:textId="06BF7D50">
      <w:pPr>
        <w:pStyle w:val="ParaNum"/>
        <w:widowControl/>
      </w:pPr>
      <w:r w:rsidRPr="006D12C5">
        <w:t xml:space="preserve">Under the </w:t>
      </w:r>
      <w:r w:rsidRPr="006D12C5" w:rsidR="00B03FEA">
        <w:t xml:space="preserve">Federal Communications </w:t>
      </w:r>
      <w:r w:rsidRPr="006D12C5">
        <w:t xml:space="preserve">Commission’s </w:t>
      </w:r>
      <w:r w:rsidRPr="006D12C5" w:rsidR="00B03FEA">
        <w:t xml:space="preserve">(FCC or Commission) </w:t>
      </w:r>
      <w:r w:rsidRPr="006D12C5">
        <w:t>rules</w:t>
      </w:r>
      <w:r w:rsidRPr="006D12C5" w:rsidR="00381ED1">
        <w:t xml:space="preserve"> </w:t>
      </w:r>
      <w:r w:rsidRPr="006D12C5">
        <w:t xml:space="preserve">and orders, telecommunications service providers and certain telecommunications providers (collectively, service providers) are required to periodically file </w:t>
      </w:r>
      <w:r w:rsidRPr="006D12C5" w:rsidR="006A4C2C">
        <w:rPr>
          <w:shd w:val="clear" w:color="auto" w:fill="FFFFFF"/>
        </w:rPr>
        <w:t>Telecommunications Reporting Worksheets (Worksheets)</w:t>
      </w:r>
      <w:r w:rsidRPr="006D12C5" w:rsidR="004B7669">
        <w:rPr>
          <w:shd w:val="clear" w:color="auto" w:fill="FFFFFF"/>
        </w:rPr>
        <w:t xml:space="preserve"> with </w:t>
      </w:r>
      <w:r w:rsidRPr="006D12C5" w:rsidR="00B03FEA">
        <w:t>Universal Service Administrative Company (USAC)</w:t>
      </w:r>
      <w:r w:rsidRPr="006D12C5" w:rsidR="007D0DF7">
        <w:t xml:space="preserve"> in furtherance of the Commission’s universal service programs</w:t>
      </w:r>
      <w:r w:rsidRPr="006D12C5" w:rsidR="00B03FEA">
        <w:t xml:space="preserve">.  </w:t>
      </w:r>
      <w:r w:rsidRPr="006D12C5">
        <w:t>USAC</w:t>
      </w:r>
      <w:r w:rsidRPr="006D12C5" w:rsidR="009303C3">
        <w:t xml:space="preserve"> and</w:t>
      </w:r>
      <w:r w:rsidRPr="006D12C5">
        <w:t xml:space="preserve"> </w:t>
      </w:r>
      <w:r w:rsidRPr="006D12C5" w:rsidR="00756355">
        <w:t>the administrators of Telecommunications Relay Service, Local Number Portability, and the North American Numbering Plan</w:t>
      </w:r>
      <w:r w:rsidRPr="006D12C5" w:rsidR="009303C3">
        <w:t xml:space="preserve"> </w:t>
      </w:r>
      <w:r w:rsidRPr="006D12C5" w:rsidR="00756355">
        <w:t>rely</w:t>
      </w:r>
      <w:r w:rsidRPr="006D12C5">
        <w:t xml:space="preserve"> on information filed in the Worksheets to fairly and accurately determine</w:t>
      </w:r>
      <w:r w:rsidRPr="006D12C5" w:rsidR="00F363AB">
        <w:t>, on behalf of the Commission,</w:t>
      </w:r>
      <w:r w:rsidRPr="006D12C5">
        <w:t xml:space="preserve"> </w:t>
      </w:r>
      <w:r w:rsidRPr="006D12C5" w:rsidR="009303C3">
        <w:t xml:space="preserve">each </w:t>
      </w:r>
      <w:r w:rsidRPr="006D12C5">
        <w:t>service provider</w:t>
      </w:r>
      <w:r w:rsidRPr="006D12C5" w:rsidR="003909A1">
        <w:t>’</w:t>
      </w:r>
      <w:r w:rsidRPr="006D12C5">
        <w:t xml:space="preserve">s </w:t>
      </w:r>
      <w:r w:rsidRPr="006D12C5" w:rsidR="00891402">
        <w:t xml:space="preserve">contributions </w:t>
      </w:r>
      <w:r w:rsidRPr="006D12C5">
        <w:t>responsibilities</w:t>
      </w:r>
      <w:r w:rsidRPr="006D12C5" w:rsidR="00756355">
        <w:t xml:space="preserve"> </w:t>
      </w:r>
      <w:r w:rsidRPr="006D12C5" w:rsidR="009303C3">
        <w:t xml:space="preserve">for </w:t>
      </w:r>
      <w:r w:rsidRPr="006D12C5" w:rsidR="00F363AB">
        <w:t xml:space="preserve">the USF and these federal </w:t>
      </w:r>
      <w:r w:rsidRPr="006D12C5" w:rsidR="009303C3">
        <w:t xml:space="preserve">funding </w:t>
      </w:r>
      <w:r w:rsidRPr="006D12C5" w:rsidR="00F363AB">
        <w:t>mechanisms</w:t>
      </w:r>
      <w:r w:rsidRPr="006D12C5" w:rsidR="009303C3">
        <w:t>.  Likewise, the Commission relies on the information filed in Worksheets to assess fair and accurate</w:t>
      </w:r>
      <w:r w:rsidRPr="006D12C5" w:rsidR="00756355">
        <w:t xml:space="preserve"> federal regulatory fees</w:t>
      </w:r>
      <w:r w:rsidRPr="006D12C5" w:rsidR="009303C3">
        <w:t xml:space="preserve"> owed by each service provider</w:t>
      </w:r>
      <w:r w:rsidRPr="006D12C5">
        <w:t xml:space="preserve">.  </w:t>
      </w:r>
    </w:p>
    <w:p w:rsidR="00AB164C" w:rsidRPr="006D12C5" w:rsidP="00CB0321" w14:paraId="497DC577" w14:textId="63E0316C">
      <w:pPr>
        <w:pStyle w:val="ParaNum"/>
        <w:widowControl/>
      </w:pPr>
      <w:r w:rsidRPr="006D12C5">
        <w:t xml:space="preserve">Failure to </w:t>
      </w:r>
      <w:r w:rsidRPr="006D12C5" w:rsidR="006A4C2C">
        <w:t>timely file complete and accurate Worksheets</w:t>
      </w:r>
      <w:r w:rsidRPr="006D12C5">
        <w:t xml:space="preserve"> </w:t>
      </w:r>
      <w:r w:rsidRPr="006D12C5" w:rsidR="00680E05">
        <w:t xml:space="preserve">therefore </w:t>
      </w:r>
      <w:r w:rsidRPr="006D12C5">
        <w:t xml:space="preserve">undermines the Commission’s efforts </w:t>
      </w:r>
      <w:r w:rsidRPr="006D12C5" w:rsidR="00300E92">
        <w:t xml:space="preserve">to </w:t>
      </w:r>
      <w:r w:rsidRPr="006D12C5">
        <w:t>effectively maintain the USF</w:t>
      </w:r>
      <w:r w:rsidRPr="006D12C5" w:rsidR="009303C3">
        <w:t xml:space="preserve"> and these other federal programs arising under the Communications Act of 1934, as amended (Act)</w:t>
      </w:r>
      <w:r w:rsidRPr="006D12C5">
        <w:t>.</w:t>
      </w:r>
      <w:r w:rsidRPr="006D12C5" w:rsidR="00722628">
        <w:t xml:space="preserve">  </w:t>
      </w:r>
      <w:r w:rsidRPr="006D12C5" w:rsidR="00680E05">
        <w:t>T</w:t>
      </w:r>
      <w:r w:rsidRPr="006D12C5" w:rsidR="00AB1704">
        <w:t xml:space="preserve">he </w:t>
      </w:r>
      <w:r w:rsidRPr="006D12C5" w:rsidR="001C4602">
        <w:t xml:space="preserve">equitable </w:t>
      </w:r>
      <w:r w:rsidRPr="006D12C5" w:rsidR="00722628">
        <w:t xml:space="preserve">administration of each of these </w:t>
      </w:r>
      <w:r w:rsidRPr="006D12C5" w:rsidR="00AB1704">
        <w:t>federal payment requirements</w:t>
      </w:r>
      <w:r w:rsidRPr="006D12C5" w:rsidR="00722628">
        <w:t xml:space="preserve"> </w:t>
      </w:r>
      <w:r w:rsidRPr="006D12C5" w:rsidR="00AB1704">
        <w:t>depends on the timely filing of Worksheets.</w:t>
      </w:r>
      <w:r w:rsidRPr="006D12C5" w:rsidR="00722628">
        <w:t xml:space="preserve">  </w:t>
      </w:r>
      <w:r w:rsidRPr="006D12C5">
        <w:t xml:space="preserve">In this case, </w:t>
      </w:r>
      <w:r w:rsidRPr="006D12C5" w:rsidR="00EE527E">
        <w:t xml:space="preserve">Peace Communications, </w:t>
      </w:r>
      <w:r w:rsidRPr="006D12C5" w:rsidR="002D657D">
        <w:t>LLC</w:t>
      </w:r>
      <w:r w:rsidRPr="006D12C5">
        <w:rPr>
          <w:spacing w:val="-2"/>
        </w:rPr>
        <w:t xml:space="preserve"> </w:t>
      </w:r>
      <w:r w:rsidRPr="006D12C5">
        <w:t>(</w:t>
      </w:r>
      <w:r w:rsidRPr="006D12C5" w:rsidR="00EE527E">
        <w:t>Peace Communications</w:t>
      </w:r>
      <w:r w:rsidRPr="006D12C5">
        <w:rPr>
          <w:spacing w:val="-2"/>
        </w:rPr>
        <w:t xml:space="preserve"> </w:t>
      </w:r>
      <w:r w:rsidRPr="006D12C5">
        <w:t>or Company)</w:t>
      </w:r>
      <w:r w:rsidRPr="006D12C5" w:rsidR="00AD2B6A">
        <w:t xml:space="preserve"> </w:t>
      </w:r>
      <w:r w:rsidRPr="006D12C5">
        <w:t xml:space="preserve">apparently failed </w:t>
      </w:r>
      <w:r w:rsidRPr="006D12C5" w:rsidR="00FC5398">
        <w:t xml:space="preserve">repeatedly </w:t>
      </w:r>
      <w:r w:rsidRPr="006D12C5">
        <w:t>to</w:t>
      </w:r>
      <w:r w:rsidRPr="006D12C5" w:rsidR="004B32E0">
        <w:t xml:space="preserve"> file</w:t>
      </w:r>
      <w:r w:rsidRPr="006D12C5" w:rsidR="006A4C2C">
        <w:t xml:space="preserve"> </w:t>
      </w:r>
      <w:r w:rsidRPr="006D12C5" w:rsidR="00302173">
        <w:t xml:space="preserve">a total of </w:t>
      </w:r>
      <w:r w:rsidRPr="006D12C5" w:rsidR="0099406E">
        <w:t>1</w:t>
      </w:r>
      <w:r w:rsidRPr="006D12C5" w:rsidR="00302173">
        <w:t>4</w:t>
      </w:r>
      <w:r w:rsidRPr="006D12C5" w:rsidR="008C11BD">
        <w:t xml:space="preserve"> </w:t>
      </w:r>
      <w:r w:rsidRPr="006D12C5" w:rsidR="006A4C2C">
        <w:t>Worksheets</w:t>
      </w:r>
      <w:r w:rsidRPr="006D12C5" w:rsidR="00302173">
        <w:t xml:space="preserve"> between </w:t>
      </w:r>
      <w:r w:rsidRPr="006D12C5" w:rsidR="0099406E">
        <w:t>February</w:t>
      </w:r>
      <w:r w:rsidRPr="006D12C5" w:rsidR="00302173">
        <w:t xml:space="preserve"> </w:t>
      </w:r>
      <w:r w:rsidRPr="006D12C5" w:rsidR="004B7669">
        <w:t xml:space="preserve">1, </w:t>
      </w:r>
      <w:r w:rsidRPr="006D12C5" w:rsidR="00302173">
        <w:t>201</w:t>
      </w:r>
      <w:r w:rsidRPr="006D12C5" w:rsidR="0099406E">
        <w:t>8</w:t>
      </w:r>
      <w:r w:rsidRPr="006D12C5" w:rsidR="00302173">
        <w:t xml:space="preserve"> and </w:t>
      </w:r>
      <w:r w:rsidRPr="006D12C5" w:rsidR="0099406E">
        <w:t>August</w:t>
      </w:r>
      <w:r w:rsidRPr="006D12C5" w:rsidR="001E5610">
        <w:t xml:space="preserve"> </w:t>
      </w:r>
      <w:r w:rsidRPr="006D12C5" w:rsidR="004B7669">
        <w:t xml:space="preserve">1, </w:t>
      </w:r>
      <w:r w:rsidRPr="006D12C5" w:rsidR="001E5610">
        <w:t>2020</w:t>
      </w:r>
      <w:r w:rsidRPr="006D12C5" w:rsidR="00302173">
        <w:t>.</w:t>
      </w:r>
      <w:r w:rsidRPr="006D12C5" w:rsidR="00C93201">
        <w:t xml:space="preserve">  </w:t>
      </w:r>
      <w:r w:rsidRPr="006D12C5">
        <w:t xml:space="preserve">We </w:t>
      </w:r>
      <w:r w:rsidRPr="006D12C5">
        <w:t xml:space="preserve">propose </w:t>
      </w:r>
      <w:r w:rsidRPr="006D12C5" w:rsidR="008F1B15">
        <w:t xml:space="preserve">in this Notice of Apparent Liability for Forfeiture (NAL) </w:t>
      </w:r>
      <w:r w:rsidRPr="006D12C5">
        <w:t>a penalty of $</w:t>
      </w:r>
      <w:r w:rsidRPr="006D12C5" w:rsidR="00B61B1F">
        <w:t>50,000</w:t>
      </w:r>
      <w:r w:rsidRPr="006D12C5">
        <w:t xml:space="preserve"> against </w:t>
      </w:r>
      <w:r w:rsidRPr="006D12C5" w:rsidR="00EE527E">
        <w:t>Peace Communications</w:t>
      </w:r>
      <w:r w:rsidRPr="006D12C5" w:rsidR="005A46CE">
        <w:t xml:space="preserve"> </w:t>
      </w:r>
      <w:r w:rsidRPr="006D12C5">
        <w:t>for its apparent</w:t>
      </w:r>
      <w:r w:rsidRPr="006D12C5" w:rsidR="004B7669">
        <w:t>, willful,</w:t>
      </w:r>
      <w:r w:rsidRPr="006D12C5">
        <w:t xml:space="preserve"> </w:t>
      </w:r>
      <w:r w:rsidRPr="006D12C5" w:rsidR="0070521D">
        <w:t xml:space="preserve">and repeated </w:t>
      </w:r>
      <w:r w:rsidRPr="006D12C5">
        <w:t xml:space="preserve">failure to </w:t>
      </w:r>
      <w:r w:rsidRPr="006D12C5" w:rsidR="004F4214">
        <w:t xml:space="preserve">comply with </w:t>
      </w:r>
      <w:r w:rsidRPr="006D12C5" w:rsidR="000C2B22">
        <w:t>its</w:t>
      </w:r>
      <w:r w:rsidRPr="006D12C5" w:rsidR="004F4214">
        <w:t xml:space="preserve"> obligation to </w:t>
      </w:r>
      <w:r w:rsidRPr="006D12C5" w:rsidR="001C4602">
        <w:t xml:space="preserve">timely </w:t>
      </w:r>
      <w:r w:rsidRPr="006D12C5" w:rsidR="004F4214">
        <w:t>file</w:t>
      </w:r>
      <w:r w:rsidRPr="006D12C5" w:rsidR="00E855B3">
        <w:t xml:space="preserve"> its Quarterly Worksheet due on August 1, 2020</w:t>
      </w:r>
      <w:r w:rsidRPr="006D12C5" w:rsidR="006A4C2C">
        <w:t>.</w:t>
      </w:r>
      <w:r>
        <w:rPr>
          <w:rStyle w:val="FootnoteReference"/>
        </w:rPr>
        <w:footnoteReference w:id="3"/>
      </w:r>
      <w:r w:rsidRPr="006D12C5" w:rsidR="00E466BD">
        <w:t xml:space="preserve">  </w:t>
      </w:r>
      <w:r w:rsidRPr="006D12C5" w:rsidR="00DA696F">
        <w:t xml:space="preserve">  </w:t>
      </w:r>
      <w:r w:rsidRPr="006D12C5">
        <w:t xml:space="preserve">  </w:t>
      </w:r>
    </w:p>
    <w:p w:rsidR="006B2CA1" w:rsidRPr="006D12C5" w:rsidP="00CB0321" w14:paraId="790D41CA" w14:textId="77777777">
      <w:pPr>
        <w:pStyle w:val="Heading1"/>
        <w:widowControl/>
        <w:rPr>
          <w:rFonts w:ascii="Times New Roman" w:hAnsi="Times New Roman"/>
        </w:rPr>
      </w:pPr>
      <w:r w:rsidRPr="006D12C5">
        <w:rPr>
          <w:rFonts w:ascii="Times New Roman" w:hAnsi="Times New Roman"/>
        </w:rPr>
        <w:t>BACKGROUND</w:t>
      </w:r>
    </w:p>
    <w:p w:rsidR="00426B60" w:rsidRPr="006D12C5" w:rsidP="00CB0321" w14:paraId="0CA1E13D" w14:textId="7743E855">
      <w:pPr>
        <w:pStyle w:val="Heading2"/>
        <w:widowControl/>
      </w:pPr>
      <w:r w:rsidRPr="006D12C5">
        <w:t xml:space="preserve">Legal </w:t>
      </w:r>
      <w:r w:rsidRPr="006D12C5" w:rsidR="00794627">
        <w:t>Framework</w:t>
      </w:r>
      <w:r w:rsidRPr="006D12C5">
        <w:t xml:space="preserve">  </w:t>
      </w:r>
    </w:p>
    <w:p w:rsidR="00462FA3" w:rsidRPr="006D12C5" w:rsidP="00CB0321" w14:paraId="4A35CC07" w14:textId="23613274">
      <w:pPr>
        <w:pStyle w:val="ParaNum"/>
        <w:widowControl/>
      </w:pPr>
      <w:r w:rsidRPr="006D12C5">
        <w:t>The Act codifie</w:t>
      </w:r>
      <w:r w:rsidRPr="006D12C5" w:rsidR="00C93201">
        <w:t>s</w:t>
      </w:r>
      <w:r w:rsidRPr="006D12C5">
        <w:t xml:space="preserve"> Congress’s historical commitment to promote universal service to ensure that consumers in all regions of the nation have access to affordable, quality telecommunications services.  In particular, section 254(d) of the Act requires, among other things, that “[e]very telecommunications carrier [providing] interstate telecommunications services . . . contribute, on an equitable and nondiscriminatory basis, to the specific, predictable, and sufficient mechanisms established </w:t>
      </w:r>
      <w:r w:rsidRPr="006D12C5">
        <w:t>by the Commission to preserve and advance universal service.”</w:t>
      </w:r>
      <w:r>
        <w:rPr>
          <w:rStyle w:val="FootnoteReference"/>
          <w:sz w:val="22"/>
        </w:rPr>
        <w:footnoteReference w:id="4"/>
      </w:r>
      <w:r w:rsidRPr="006D12C5">
        <w:t xml:space="preserve">  In implementing this Congressional mandate, the Commission directed all telecommunications carriers providing interstate telecommunications services to contribute to the USF based upon their interstate and international end-user telecommunications revenues.</w:t>
      </w:r>
      <w:r>
        <w:rPr>
          <w:rStyle w:val="FootnoteReference"/>
          <w:sz w:val="22"/>
        </w:rPr>
        <w:footnoteReference w:id="5"/>
      </w:r>
      <w:r w:rsidRPr="006D12C5">
        <w:t xml:space="preserve">  The Commission also requires certain providers of interstate telecommunications, including interconnected Voice over Internet Protocol (VoIP) providers, to contribute to the USF.</w:t>
      </w:r>
      <w:r>
        <w:rPr>
          <w:rStyle w:val="FootnoteReference"/>
          <w:sz w:val="22"/>
        </w:rPr>
        <w:footnoteReference w:id="6"/>
      </w:r>
      <w:r w:rsidRPr="006D12C5">
        <w:t xml:space="preserve">  When </w:t>
      </w:r>
      <w:r w:rsidRPr="006D12C5" w:rsidR="00586850">
        <w:t>service</w:t>
      </w:r>
      <w:r w:rsidRPr="006D12C5">
        <w:t xml:space="preserve"> providers fail to pay their share of obligations to the USF, they undermine </w:t>
      </w:r>
      <w:r w:rsidRPr="006D12C5" w:rsidR="00D37A88">
        <w:t xml:space="preserve">the Congressional mandates embodied in </w:t>
      </w:r>
      <w:r w:rsidRPr="006D12C5" w:rsidR="0068169C">
        <w:t>s</w:t>
      </w:r>
      <w:r w:rsidRPr="006D12C5" w:rsidR="00D37A88">
        <w:t>ection 254(d) of the Act</w:t>
      </w:r>
      <w:r w:rsidRPr="006D12C5">
        <w:t>.</w:t>
      </w:r>
      <w:r>
        <w:rPr>
          <w:rStyle w:val="FootnoteReference"/>
        </w:rPr>
        <w:footnoteReference w:id="7"/>
      </w:r>
      <w:r w:rsidRPr="006D12C5">
        <w:t xml:space="preserve">  Delinquent contributors</w:t>
      </w:r>
      <w:r w:rsidRPr="006D12C5" w:rsidR="0092720A">
        <w:t xml:space="preserve"> </w:t>
      </w:r>
      <w:r w:rsidRPr="006D12C5" w:rsidR="009831F9">
        <w:t xml:space="preserve">also </w:t>
      </w:r>
      <w:r w:rsidRPr="006D12C5">
        <w:t xml:space="preserve">obtain an unfair competitive advantage over companies that comply with the </w:t>
      </w:r>
      <w:r w:rsidRPr="006D12C5" w:rsidR="00612A6C">
        <w:t xml:space="preserve">universal service provisions of the </w:t>
      </w:r>
      <w:r w:rsidRPr="006D12C5">
        <w:t xml:space="preserve">Act and the </w:t>
      </w:r>
      <w:r w:rsidRPr="006D12C5" w:rsidR="00DA246D">
        <w:t>Commission’s r</w:t>
      </w:r>
      <w:r w:rsidRPr="006D12C5">
        <w:t>ules.</w:t>
      </w:r>
      <w:r>
        <w:rPr>
          <w:rStyle w:val="FootnoteReference"/>
        </w:rPr>
        <w:footnoteReference w:id="8"/>
      </w:r>
      <w:r w:rsidRPr="006D12C5">
        <w:t xml:space="preserve">  </w:t>
      </w:r>
    </w:p>
    <w:p w:rsidR="00106856" w:rsidRPr="006D12C5" w:rsidP="00CB0321" w14:paraId="0031A07D" w14:textId="1B94C60B">
      <w:pPr>
        <w:pStyle w:val="ParaNum"/>
        <w:widowControl/>
      </w:pPr>
      <w:r w:rsidRPr="006D12C5">
        <w:t xml:space="preserve">The Commission has established specific procedures to administer the </w:t>
      </w:r>
      <w:r w:rsidRPr="006D12C5" w:rsidR="008E648C">
        <w:t>USF</w:t>
      </w:r>
      <w:r w:rsidRPr="006D12C5">
        <w:t xml:space="preserve">.  Each </w:t>
      </w:r>
      <w:r w:rsidRPr="006D12C5" w:rsidR="00D142FC">
        <w:t xml:space="preserve">service </w:t>
      </w:r>
      <w:r w:rsidRPr="006D12C5">
        <w:t xml:space="preserve">provider </w:t>
      </w:r>
      <w:r w:rsidRPr="006D12C5" w:rsidR="0043750E">
        <w:t xml:space="preserve">required to contribute to the </w:t>
      </w:r>
      <w:r w:rsidRPr="006D12C5" w:rsidR="009E0B8A">
        <w:t>USF</w:t>
      </w:r>
      <w:r w:rsidRPr="006D12C5" w:rsidR="0043750E">
        <w:t xml:space="preserve"> </w:t>
      </w:r>
      <w:r w:rsidRPr="006D12C5">
        <w:t xml:space="preserve">is required to file </w:t>
      </w:r>
      <w:r w:rsidRPr="006D12C5" w:rsidR="00BA7E7A">
        <w:t xml:space="preserve">annually </w:t>
      </w:r>
      <w:r w:rsidRPr="006D12C5">
        <w:t>an FCC Form 499-A, also known as the Annual Telecommunications Reporting Worksheet (Annual Worksheet),</w:t>
      </w:r>
      <w:r>
        <w:rPr>
          <w:rStyle w:val="FootnoteReference"/>
          <w:sz w:val="22"/>
        </w:rPr>
        <w:footnoteReference w:id="9"/>
      </w:r>
      <w:r w:rsidRPr="006D12C5">
        <w:t xml:space="preserve"> and, with certain exceptions, to file</w:t>
      </w:r>
      <w:r w:rsidRPr="006D12C5" w:rsidR="00BA7E7A">
        <w:t xml:space="preserve"> quarterly</w:t>
      </w:r>
      <w:r w:rsidRPr="006D12C5">
        <w:t xml:space="preserve"> </w:t>
      </w:r>
      <w:r w:rsidRPr="006D12C5" w:rsidR="008B59B0">
        <w:t xml:space="preserve">an </w:t>
      </w:r>
      <w:r w:rsidRPr="006D12C5">
        <w:t>FCC Form 499-</w:t>
      </w:r>
      <w:r w:rsidRPr="006D12C5" w:rsidR="00BA7E7A">
        <w:t>Q</w:t>
      </w:r>
      <w:r w:rsidRPr="006D12C5" w:rsidR="0092720A">
        <w:t>, also known as the Quarterly Telecommunications Reporting Worksheet</w:t>
      </w:r>
      <w:r w:rsidRPr="006D12C5" w:rsidR="00BA7E7A">
        <w:t xml:space="preserve"> </w:t>
      </w:r>
      <w:r w:rsidRPr="006D12C5">
        <w:t>(</w:t>
      </w:r>
      <w:r w:rsidRPr="006D12C5" w:rsidR="00BA7E7A">
        <w:t>Q</w:t>
      </w:r>
      <w:r w:rsidRPr="006D12C5">
        <w:t>uarterly Worksheet).</w:t>
      </w:r>
      <w:r>
        <w:rPr>
          <w:rStyle w:val="FootnoteReference"/>
          <w:sz w:val="22"/>
        </w:rPr>
        <w:footnoteReference w:id="10"/>
      </w:r>
      <w:r w:rsidRPr="006D12C5">
        <w:t xml:space="preserve">  USAC uses the revenue projections submitted </w:t>
      </w:r>
      <w:r w:rsidRPr="006D12C5" w:rsidR="004B7669">
        <w:t>i</w:t>
      </w:r>
      <w:r w:rsidRPr="006D12C5">
        <w:t xml:space="preserve">n the </w:t>
      </w:r>
      <w:r w:rsidRPr="006D12C5" w:rsidR="00BA7E7A">
        <w:t>Q</w:t>
      </w:r>
      <w:r w:rsidRPr="006D12C5">
        <w:t xml:space="preserve">uarterly Worksheets to determine each </w:t>
      </w:r>
      <w:r w:rsidRPr="006D12C5" w:rsidR="00FE300B">
        <w:t xml:space="preserve">service </w:t>
      </w:r>
      <w:r w:rsidRPr="006D12C5" w:rsidR="00C56176">
        <w:t>provider</w:t>
      </w:r>
      <w:r w:rsidRPr="006D12C5">
        <w:t xml:space="preserve">’s monthly universal service contribution </w:t>
      </w:r>
      <w:r w:rsidRPr="006D12C5" w:rsidR="003909A1">
        <w:t>obligation</w:t>
      </w:r>
      <w:r w:rsidRPr="006D12C5">
        <w:t>.</w:t>
      </w:r>
      <w:r>
        <w:rPr>
          <w:rStyle w:val="FootnoteReference"/>
          <w:sz w:val="22"/>
        </w:rPr>
        <w:footnoteReference w:id="11"/>
      </w:r>
      <w:r w:rsidRPr="006D12C5">
        <w:t xml:space="preserve">  </w:t>
      </w:r>
      <w:r w:rsidRPr="006D12C5" w:rsidR="001B6E53">
        <w:t xml:space="preserve">A service provider must timely file Quarterly Worksheets by </w:t>
      </w:r>
      <w:bookmarkStart w:id="7" w:name="_Hlk69395070"/>
      <w:r w:rsidRPr="006D12C5" w:rsidR="001B6E53">
        <w:t xml:space="preserve">February 1, May 1, August 1 and November 1 </w:t>
      </w:r>
      <w:bookmarkEnd w:id="7"/>
      <w:r w:rsidRPr="006D12C5" w:rsidR="001B6E53">
        <w:t>of each year, and Annual Worksheets by April 1 of each year.</w:t>
      </w:r>
      <w:r>
        <w:rPr>
          <w:rStyle w:val="FootnoteReference"/>
        </w:rPr>
        <w:footnoteReference w:id="12"/>
      </w:r>
      <w:r w:rsidRPr="006D12C5" w:rsidR="001B6E53">
        <w:t xml:space="preserve">  </w:t>
      </w:r>
      <w:r w:rsidRPr="006D12C5">
        <w:t xml:space="preserve">The </w:t>
      </w:r>
      <w:r w:rsidRPr="006D12C5" w:rsidR="00381ED1">
        <w:t xml:space="preserve">Commission’s rules </w:t>
      </w:r>
      <w:r w:rsidRPr="006D12C5">
        <w:t xml:space="preserve">explicitly warn </w:t>
      </w:r>
      <w:r w:rsidRPr="006D12C5" w:rsidR="00FE300B">
        <w:t xml:space="preserve">service providers </w:t>
      </w:r>
      <w:r w:rsidRPr="006D12C5">
        <w:t xml:space="preserve">that failure to </w:t>
      </w:r>
      <w:r w:rsidRPr="006D12C5" w:rsidR="00C56176">
        <w:t xml:space="preserve">timely </w:t>
      </w:r>
      <w:r w:rsidRPr="006D12C5">
        <w:t xml:space="preserve">file forms or submit </w:t>
      </w:r>
      <w:r w:rsidRPr="006D12C5" w:rsidR="00C56176">
        <w:t xml:space="preserve">timely USF </w:t>
      </w:r>
      <w:r w:rsidRPr="006D12C5">
        <w:t>payments potentially subjects them to enforcement action.</w:t>
      </w:r>
      <w:r>
        <w:rPr>
          <w:rStyle w:val="FootnoteReference"/>
          <w:sz w:val="22"/>
        </w:rPr>
        <w:footnoteReference w:id="13"/>
      </w:r>
      <w:r w:rsidRPr="006D12C5">
        <w:t xml:space="preserve">  </w:t>
      </w:r>
      <w:r w:rsidRPr="006D12C5" w:rsidR="005000FE">
        <w:t xml:space="preserve">The </w:t>
      </w:r>
      <w:r w:rsidRPr="006D12C5" w:rsidR="00381ED1">
        <w:t>Commission’s r</w:t>
      </w:r>
      <w:r w:rsidRPr="006D12C5" w:rsidR="005000FE">
        <w:t xml:space="preserve">ules also require that the </w:t>
      </w:r>
      <w:r w:rsidRPr="006D12C5" w:rsidR="006F6B22">
        <w:t xml:space="preserve">information contained in the forms must be truthful and </w:t>
      </w:r>
      <w:r w:rsidRPr="006D12C5" w:rsidR="005000FE">
        <w:t xml:space="preserve">that </w:t>
      </w:r>
      <w:r w:rsidRPr="006D12C5" w:rsidR="006F6B22">
        <w:t xml:space="preserve">the USF payments </w:t>
      </w:r>
      <w:r w:rsidRPr="006D12C5" w:rsidR="00FF4A10">
        <w:t xml:space="preserve">must be </w:t>
      </w:r>
      <w:r w:rsidRPr="006D12C5" w:rsidR="006F6B22">
        <w:t>accurate.</w:t>
      </w:r>
      <w:r>
        <w:rPr>
          <w:rStyle w:val="FootnoteReference"/>
        </w:rPr>
        <w:footnoteReference w:id="14"/>
      </w:r>
      <w:r w:rsidRPr="006D12C5" w:rsidR="00A35185">
        <w:t xml:space="preserve">  </w:t>
      </w:r>
      <w:r w:rsidRPr="006D12C5" w:rsidR="007E1E8B">
        <w:t>T</w:t>
      </w:r>
      <w:r w:rsidRPr="006D12C5" w:rsidR="00013937">
        <w:t xml:space="preserve">he </w:t>
      </w:r>
      <w:r w:rsidRPr="006D12C5" w:rsidR="00013937">
        <w:t xml:space="preserve">Commission’s </w:t>
      </w:r>
      <w:r w:rsidRPr="006D12C5" w:rsidR="00586850">
        <w:t>equitable contribution scheme relies on the timely, complete</w:t>
      </w:r>
      <w:r w:rsidRPr="006D12C5" w:rsidR="004B06A6">
        <w:t>,</w:t>
      </w:r>
      <w:r w:rsidRPr="006D12C5" w:rsidR="00586850">
        <w:t xml:space="preserve"> and accurate filing of </w:t>
      </w:r>
      <w:r w:rsidRPr="006D12C5" w:rsidR="00CB7EF3">
        <w:rPr>
          <w:shd w:val="clear" w:color="auto" w:fill="FFFFFF"/>
        </w:rPr>
        <w:t xml:space="preserve">Annual and Quarterly </w:t>
      </w:r>
      <w:r w:rsidRPr="006D12C5" w:rsidR="00586850">
        <w:t>Worksheets by all contributors.</w:t>
      </w:r>
      <w:r>
        <w:rPr>
          <w:rStyle w:val="FootnoteReference"/>
          <w:shd w:val="clear" w:color="auto" w:fill="FFFFFF"/>
        </w:rPr>
        <w:footnoteReference w:id="15"/>
      </w:r>
      <w:r w:rsidRPr="006D12C5" w:rsidR="00586850">
        <w:rPr>
          <w:shd w:val="clear" w:color="auto" w:fill="FFFFFF"/>
        </w:rPr>
        <w:t xml:space="preserve">  </w:t>
      </w:r>
      <w:r w:rsidRPr="006D12C5" w:rsidR="005B39E7">
        <w:rPr>
          <w:shd w:val="clear" w:color="auto" w:fill="FFFFFF"/>
        </w:rPr>
        <w:t>A service provider must provide USAC</w:t>
      </w:r>
      <w:r w:rsidRPr="006D12C5" w:rsidR="00586850">
        <w:rPr>
          <w:shd w:val="clear" w:color="auto" w:fill="FFFFFF"/>
        </w:rPr>
        <w:t xml:space="preserve"> </w:t>
      </w:r>
      <w:r w:rsidRPr="006D12C5" w:rsidR="00CB7EF3">
        <w:rPr>
          <w:shd w:val="clear" w:color="auto" w:fill="FFFFFF"/>
        </w:rPr>
        <w:t>the Worksheet</w:t>
      </w:r>
      <w:r w:rsidRPr="006D12C5" w:rsidR="0070521D">
        <w:rPr>
          <w:shd w:val="clear" w:color="auto" w:fill="FFFFFF"/>
        </w:rPr>
        <w:t>s</w:t>
      </w:r>
      <w:r w:rsidRPr="006D12C5" w:rsidR="00586850">
        <w:rPr>
          <w:shd w:val="clear" w:color="auto" w:fill="FFFFFF"/>
        </w:rPr>
        <w:t xml:space="preserve"> </w:t>
      </w:r>
      <w:r w:rsidRPr="006D12C5" w:rsidR="0070521D">
        <w:rPr>
          <w:shd w:val="clear" w:color="auto" w:fill="FFFFFF"/>
        </w:rPr>
        <w:t xml:space="preserve">by each filing deadline </w:t>
      </w:r>
      <w:r w:rsidRPr="006D12C5" w:rsidR="005B39E7">
        <w:rPr>
          <w:shd w:val="clear" w:color="auto" w:fill="FFFFFF"/>
        </w:rPr>
        <w:t>so that USAC can</w:t>
      </w:r>
      <w:r w:rsidRPr="006D12C5" w:rsidR="00586850">
        <w:rPr>
          <w:shd w:val="clear" w:color="auto" w:fill="FFFFFF"/>
        </w:rPr>
        <w:t xml:space="preserve"> </w:t>
      </w:r>
      <w:r w:rsidRPr="006D12C5" w:rsidR="00CB7EF3">
        <w:rPr>
          <w:shd w:val="clear" w:color="auto" w:fill="FFFFFF"/>
        </w:rPr>
        <w:t xml:space="preserve">issue monthly invoices </w:t>
      </w:r>
      <w:r w:rsidRPr="006D12C5" w:rsidR="00586850">
        <w:rPr>
          <w:shd w:val="clear" w:color="auto" w:fill="FFFFFF"/>
        </w:rPr>
        <w:t>assess</w:t>
      </w:r>
      <w:r w:rsidRPr="006D12C5" w:rsidR="00CB7EF3">
        <w:rPr>
          <w:shd w:val="clear" w:color="auto" w:fill="FFFFFF"/>
        </w:rPr>
        <w:t>ing correct USF contribution amounts</w:t>
      </w:r>
      <w:r w:rsidRPr="006D12C5" w:rsidR="000C2B22">
        <w:rPr>
          <w:shd w:val="clear" w:color="auto" w:fill="FFFFFF"/>
        </w:rPr>
        <w:t xml:space="preserve"> pursuant to the Commission’s rules and orders</w:t>
      </w:r>
      <w:r w:rsidRPr="006D12C5" w:rsidR="00CB7EF3">
        <w:rPr>
          <w:shd w:val="clear" w:color="auto" w:fill="FFFFFF"/>
        </w:rPr>
        <w:t>.</w:t>
      </w:r>
      <w:r>
        <w:rPr>
          <w:rStyle w:val="FootnoteReference"/>
          <w:shd w:val="clear" w:color="auto" w:fill="FFFFFF"/>
        </w:rPr>
        <w:footnoteReference w:id="16"/>
      </w:r>
      <w:r w:rsidRPr="006D12C5" w:rsidR="00586850">
        <w:rPr>
          <w:shd w:val="clear" w:color="auto" w:fill="FFFFFF"/>
        </w:rPr>
        <w:t xml:space="preserve"> </w:t>
      </w:r>
      <w:r w:rsidRPr="006D12C5" w:rsidR="00CB7EF3">
        <w:rPr>
          <w:shd w:val="clear" w:color="auto" w:fill="FFFFFF"/>
        </w:rPr>
        <w:t xml:space="preserve"> </w:t>
      </w:r>
      <w:r w:rsidRPr="006D12C5" w:rsidR="00586850">
        <w:rPr>
          <w:shd w:val="clear" w:color="auto" w:fill="FFFFFF"/>
        </w:rPr>
        <w:t xml:space="preserve">A service provider </w:t>
      </w:r>
      <w:r w:rsidRPr="006D12C5" w:rsidR="00B97D8D">
        <w:rPr>
          <w:shd w:val="clear" w:color="auto" w:fill="FFFFFF"/>
        </w:rPr>
        <w:t>shirk</w:t>
      </w:r>
      <w:r w:rsidRPr="006D12C5" w:rsidR="00586850">
        <w:rPr>
          <w:shd w:val="clear" w:color="auto" w:fill="FFFFFF"/>
        </w:rPr>
        <w:t xml:space="preserve">ing its </w:t>
      </w:r>
      <w:r w:rsidRPr="006D12C5" w:rsidR="00B97D8D">
        <w:rPr>
          <w:shd w:val="clear" w:color="auto" w:fill="FFFFFF"/>
        </w:rPr>
        <w:t xml:space="preserve">Worksheet </w:t>
      </w:r>
      <w:r w:rsidRPr="006D12C5" w:rsidR="00586850">
        <w:rPr>
          <w:shd w:val="clear" w:color="auto" w:fill="FFFFFF"/>
        </w:rPr>
        <w:t>filing obligations</w:t>
      </w:r>
      <w:r w:rsidRPr="006D12C5" w:rsidR="00586850">
        <w:t xml:space="preserve"> </w:t>
      </w:r>
      <w:r w:rsidRPr="006D12C5" w:rsidR="00CB7EF3">
        <w:t xml:space="preserve">therefore </w:t>
      </w:r>
      <w:r w:rsidRPr="006D12C5" w:rsidR="00586850">
        <w:t>frustrates Congress’s policy objective to ensure the equitable and non-discriminatory distribution of universal service costs among all service providers.</w:t>
      </w:r>
      <w:r>
        <w:rPr>
          <w:rStyle w:val="FootnoteReference"/>
          <w:sz w:val="22"/>
        </w:rPr>
        <w:footnoteReference w:id="17"/>
      </w:r>
      <w:r w:rsidRPr="006D12C5" w:rsidR="00586850">
        <w:t xml:space="preserve">  </w:t>
      </w:r>
      <w:r w:rsidRPr="006D12C5" w:rsidR="00413205">
        <w:t xml:space="preserve">  </w:t>
      </w:r>
      <w:r w:rsidRPr="006D12C5" w:rsidR="00CC66F2">
        <w:rPr>
          <w:shd w:val="clear" w:color="auto" w:fill="FFFFFF"/>
        </w:rPr>
        <w:t> </w:t>
      </w:r>
    </w:p>
    <w:p w:rsidR="000729AD" w:rsidRPr="006D12C5" w:rsidP="00CB0321" w14:paraId="0AE69EC6" w14:textId="52CC7EC3">
      <w:pPr>
        <w:pStyle w:val="ParaNum"/>
        <w:widowControl/>
      </w:pPr>
      <w:r w:rsidRPr="006D12C5">
        <w:t>USAC</w:t>
      </w:r>
      <w:r w:rsidRPr="006D12C5" w:rsidR="00F33DA9">
        <w:t>;</w:t>
      </w:r>
      <w:r w:rsidRPr="006D12C5" w:rsidR="00065672">
        <w:t xml:space="preserve"> </w:t>
      </w:r>
      <w:r w:rsidRPr="006D12C5" w:rsidR="00F33DA9">
        <w:t xml:space="preserve">the </w:t>
      </w:r>
      <w:r w:rsidRPr="006D12C5" w:rsidR="00E30254">
        <w:t xml:space="preserve">administrators of </w:t>
      </w:r>
      <w:r w:rsidRPr="006D12C5" w:rsidR="00F33DA9">
        <w:t>Telecommunications Relay Service, Local Number Portability, and the North American Numbering Plan;</w:t>
      </w:r>
      <w:r w:rsidRPr="006D12C5" w:rsidR="00065672">
        <w:t xml:space="preserve"> and the Commission</w:t>
      </w:r>
      <w:r w:rsidRPr="006D12C5">
        <w:t xml:space="preserve"> rely on the Worksheets service providers file to determine liability for, and subsequent billing and collection of, payments for </w:t>
      </w:r>
      <w:r w:rsidRPr="006D12C5" w:rsidR="00F83979">
        <w:t xml:space="preserve">important </w:t>
      </w:r>
      <w:r w:rsidRPr="006D12C5">
        <w:t xml:space="preserve">federal regulatory </w:t>
      </w:r>
      <w:r w:rsidRPr="006D12C5" w:rsidR="003403C5">
        <w:t>mechanisms</w:t>
      </w:r>
      <w:r w:rsidRPr="006D12C5" w:rsidR="00F33DA9">
        <w:t xml:space="preserve"> implemented under the Act</w:t>
      </w:r>
      <w:r w:rsidRPr="006D12C5">
        <w:t>.</w:t>
      </w:r>
      <w:r>
        <w:rPr>
          <w:rStyle w:val="FootnoteReference"/>
        </w:rPr>
        <w:footnoteReference w:id="18"/>
      </w:r>
      <w:r w:rsidRPr="006D12C5">
        <w:t xml:space="preserve">  The failure of a </w:t>
      </w:r>
      <w:r w:rsidRPr="006D12C5" w:rsidR="002D7F49">
        <w:t xml:space="preserve">service </w:t>
      </w:r>
      <w:r w:rsidRPr="006D12C5">
        <w:t xml:space="preserve">provider to </w:t>
      </w:r>
      <w:r w:rsidRPr="006D12C5" w:rsidR="00A35185">
        <w:t>timely file every Quarterly and Annual Worksheet by each filing deadline</w:t>
      </w:r>
      <w:r w:rsidRPr="006D12C5">
        <w:t xml:space="preserve"> could </w:t>
      </w:r>
      <w:r w:rsidRPr="006D12C5" w:rsidR="004B1404">
        <w:t xml:space="preserve">result </w:t>
      </w:r>
      <w:r w:rsidRPr="006D12C5" w:rsidR="00A35185">
        <w:t xml:space="preserve">in USAC relying on </w:t>
      </w:r>
      <w:r w:rsidRPr="006D12C5" w:rsidR="004B1404">
        <w:t>a smaller base</w:t>
      </w:r>
      <w:r w:rsidRPr="006D12C5">
        <w:t xml:space="preserve"> of USF contributions revenues tha</w:t>
      </w:r>
      <w:r w:rsidRPr="006D12C5" w:rsidR="004B1404">
        <w:t xml:space="preserve">n would </w:t>
      </w:r>
      <w:r w:rsidRPr="006D12C5">
        <w:t xml:space="preserve">otherwise have been </w:t>
      </w:r>
      <w:r w:rsidRPr="006D12C5" w:rsidR="00FF4A10">
        <w:t>reported</w:t>
      </w:r>
      <w:r w:rsidRPr="006D12C5">
        <w:t xml:space="preserve">.  </w:t>
      </w:r>
      <w:r w:rsidRPr="006D12C5" w:rsidR="00A35185">
        <w:t>The Worksheet filing obligations are</w:t>
      </w:r>
      <w:r w:rsidRPr="006D12C5">
        <w:t xml:space="preserve"> </w:t>
      </w:r>
      <w:r w:rsidRPr="006D12C5" w:rsidR="00F337CB">
        <w:t xml:space="preserve">therefore </w:t>
      </w:r>
      <w:r w:rsidRPr="006D12C5" w:rsidR="002D71B8">
        <w:t xml:space="preserve">necessary to ensure the integrity of </w:t>
      </w:r>
      <w:r w:rsidRPr="006D12C5" w:rsidR="00976190">
        <w:t>the USF</w:t>
      </w:r>
      <w:r w:rsidRPr="006D12C5" w:rsidR="00755A4A">
        <w:t xml:space="preserve">.  Furthermore, </w:t>
      </w:r>
      <w:r w:rsidRPr="006D12C5">
        <w:t xml:space="preserve">a </w:t>
      </w:r>
      <w:r w:rsidRPr="006D12C5" w:rsidR="00F83979">
        <w:t>contributor</w:t>
      </w:r>
      <w:r w:rsidRPr="006D12C5">
        <w:t xml:space="preserve">’s failure to </w:t>
      </w:r>
      <w:r w:rsidRPr="006D12C5" w:rsidR="00F83979">
        <w:t xml:space="preserve">comply with these </w:t>
      </w:r>
      <w:r w:rsidRPr="006D12C5" w:rsidR="00A35185">
        <w:t>filing requirements</w:t>
      </w:r>
      <w:r w:rsidRPr="006D12C5">
        <w:t xml:space="preserve"> </w:t>
      </w:r>
      <w:r w:rsidRPr="006D12C5" w:rsidR="00F83979">
        <w:t>can</w:t>
      </w:r>
      <w:r w:rsidRPr="006D12C5">
        <w:t xml:space="preserve"> impede the very purpose for which Congress enacted section 254(d) – to ensure that </w:t>
      </w:r>
      <w:r w:rsidRPr="006D12C5" w:rsidR="00EB61AC">
        <w:t>service providers contribute to USF on an equitable and nondiscriminatory basis</w:t>
      </w:r>
      <w:r w:rsidRPr="006D12C5" w:rsidR="00CA44F1">
        <w:t>.</w:t>
      </w:r>
      <w:r w:rsidRPr="006D12C5" w:rsidR="00E912DF">
        <w:t xml:space="preserve"> </w:t>
      </w:r>
      <w:r w:rsidRPr="006D12C5">
        <w:t xml:space="preserve"> The effect on </w:t>
      </w:r>
      <w:r w:rsidRPr="006D12C5" w:rsidR="00D41CA6">
        <w:t xml:space="preserve">other programs </w:t>
      </w:r>
      <w:r w:rsidRPr="006D12C5" w:rsidR="00F33DA9">
        <w:t>arising</w:t>
      </w:r>
      <w:r w:rsidRPr="006D12C5" w:rsidR="00D41CA6">
        <w:t xml:space="preserve"> under the Act </w:t>
      </w:r>
      <w:r w:rsidRPr="006D12C5">
        <w:t>that rely on assessment</w:t>
      </w:r>
      <w:r w:rsidRPr="006D12C5" w:rsidR="00F83979">
        <w:t>s</w:t>
      </w:r>
      <w:r w:rsidRPr="006D12C5">
        <w:t xml:space="preserve"> of the Worksheets is similar.  Indeed, a </w:t>
      </w:r>
      <w:r w:rsidRPr="006D12C5" w:rsidR="002D7F49">
        <w:t xml:space="preserve">service </w:t>
      </w:r>
      <w:r w:rsidRPr="006D12C5">
        <w:t xml:space="preserve">provider that </w:t>
      </w:r>
      <w:r w:rsidRPr="006D12C5" w:rsidR="00A35185">
        <w:t>neglects to submit accurate and the most current</w:t>
      </w:r>
      <w:r w:rsidRPr="006D12C5">
        <w:t xml:space="preserve"> revenue information in its Worksheets can evade its federal obligations to fully contribute toward the vital programs linked to </w:t>
      </w:r>
      <w:r w:rsidRPr="006D12C5" w:rsidR="003D202A">
        <w:t xml:space="preserve">the </w:t>
      </w:r>
      <w:r w:rsidRPr="006D12C5">
        <w:t>reporting obligations.</w:t>
      </w:r>
      <w:r>
        <w:rPr>
          <w:rStyle w:val="FootnoteReference"/>
        </w:rPr>
        <w:footnoteReference w:id="19"/>
      </w:r>
      <w:r w:rsidRPr="006D12C5" w:rsidR="005000FE">
        <w:t xml:space="preserve">  As a consequence of this </w:t>
      </w:r>
      <w:r w:rsidRPr="006D12C5" w:rsidR="00A35185">
        <w:t>failure</w:t>
      </w:r>
      <w:r w:rsidRPr="006D12C5" w:rsidR="005000FE">
        <w:t xml:space="preserve">, other </w:t>
      </w:r>
      <w:r w:rsidRPr="006D12C5" w:rsidR="002D7F49">
        <w:t xml:space="preserve">service </w:t>
      </w:r>
      <w:r w:rsidRPr="006D12C5" w:rsidR="005000FE">
        <w:t xml:space="preserve">providers </w:t>
      </w:r>
      <w:r w:rsidRPr="006D12C5" w:rsidR="00A35185">
        <w:t xml:space="preserve">might </w:t>
      </w:r>
      <w:r w:rsidRPr="006D12C5" w:rsidR="005000FE">
        <w:t>shoulder an unfair burden of the USF</w:t>
      </w:r>
      <w:r w:rsidRPr="006D12C5" w:rsidR="00606625">
        <w:t xml:space="preserve"> and other federal regulatory programs</w:t>
      </w:r>
      <w:r w:rsidRPr="006D12C5" w:rsidR="00A879E6">
        <w:t xml:space="preserve"> </w:t>
      </w:r>
      <w:r w:rsidRPr="006D12C5" w:rsidR="00F33DA9">
        <w:t>implemented</w:t>
      </w:r>
      <w:r w:rsidRPr="006D12C5" w:rsidR="00A879E6">
        <w:t xml:space="preserve"> under the Act</w:t>
      </w:r>
      <w:r w:rsidRPr="006D12C5" w:rsidR="005000FE">
        <w:t>.</w:t>
      </w:r>
      <w:r>
        <w:rPr>
          <w:rStyle w:val="FootnoteReference"/>
        </w:rPr>
        <w:footnoteReference w:id="20"/>
      </w:r>
      <w:r w:rsidRPr="006D12C5">
        <w:t xml:space="preserve"> </w:t>
      </w:r>
      <w:bookmarkStart w:id="12" w:name="co_tablefootnote_82_1"/>
      <w:bookmarkStart w:id="13" w:name="co_tablefootnote_83_1"/>
      <w:bookmarkStart w:id="14" w:name="co_pp_sp_4493_11541_1"/>
      <w:bookmarkStart w:id="15" w:name="co_tablefootnote_84_1"/>
      <w:bookmarkEnd w:id="12"/>
      <w:bookmarkEnd w:id="13"/>
      <w:bookmarkEnd w:id="14"/>
      <w:bookmarkEnd w:id="15"/>
    </w:p>
    <w:p w:rsidR="00426B60" w:rsidRPr="006D12C5" w:rsidP="00CB0321" w14:paraId="52C2542D" w14:textId="60C9EACA">
      <w:pPr>
        <w:pStyle w:val="Heading2"/>
        <w:widowControl/>
      </w:pPr>
      <w:r w:rsidRPr="006D12C5">
        <w:t>Factual Background</w:t>
      </w:r>
    </w:p>
    <w:p w:rsidR="005B39E7" w:rsidRPr="006D12C5" w:rsidP="00CB0321" w14:paraId="04242F13" w14:textId="66365340">
      <w:pPr>
        <w:pStyle w:val="ParaNum"/>
        <w:widowControl/>
      </w:pPr>
      <w:bookmarkStart w:id="16" w:name="_Hlk74568188"/>
      <w:bookmarkStart w:id="17" w:name="_Hlk74841177"/>
      <w:r w:rsidRPr="006D12C5">
        <w:t>Peace Communications</w:t>
      </w:r>
      <w:r w:rsidRPr="006D12C5" w:rsidR="00B417FD">
        <w:t xml:space="preserve"> is </w:t>
      </w:r>
      <w:r w:rsidRPr="006D12C5" w:rsidR="00EC1AA8">
        <w:t>a</w:t>
      </w:r>
      <w:r w:rsidRPr="006D12C5" w:rsidR="000F3DE2">
        <w:t xml:space="preserve"> </w:t>
      </w:r>
      <w:bookmarkStart w:id="18" w:name="_Hlk71801110"/>
      <w:r w:rsidRPr="006D12C5" w:rsidR="000F3DE2">
        <w:t>competitive local exchange carrier</w:t>
      </w:r>
      <w:bookmarkEnd w:id="18"/>
      <w:r w:rsidRPr="006D12C5" w:rsidR="00A6067A">
        <w:t xml:space="preserve"> (CLEC)</w:t>
      </w:r>
      <w:r w:rsidRPr="006D12C5" w:rsidR="007131D5">
        <w:t xml:space="preserve"> </w:t>
      </w:r>
      <w:r w:rsidRPr="006D12C5" w:rsidR="00B417FD">
        <w:t xml:space="preserve">based in </w:t>
      </w:r>
      <w:r w:rsidRPr="006D12C5" w:rsidR="00C579CF">
        <w:t>Chattanooga, Tennessee</w:t>
      </w:r>
      <w:r w:rsidRPr="006D12C5" w:rsidR="00B417FD">
        <w:t>.</w:t>
      </w:r>
      <w:r>
        <w:rPr>
          <w:rStyle w:val="FootnoteReference"/>
        </w:rPr>
        <w:footnoteReference w:id="21"/>
      </w:r>
      <w:r w:rsidRPr="006D12C5" w:rsidR="0077477A">
        <w:t xml:space="preserve"> </w:t>
      </w:r>
      <w:r w:rsidRPr="006D12C5" w:rsidR="00B417FD">
        <w:t xml:space="preserve"> </w:t>
      </w:r>
      <w:r w:rsidRPr="006D12C5" w:rsidR="001E777B">
        <w:t xml:space="preserve">Peace Communications </w:t>
      </w:r>
      <w:r w:rsidRPr="006D12C5" w:rsidR="00AD13B2">
        <w:t xml:space="preserve">provides </w:t>
      </w:r>
      <w:bookmarkStart w:id="20" w:name="_Hlk74567891"/>
      <w:r w:rsidRPr="006D12C5" w:rsidR="001E777B">
        <w:t>“</w:t>
      </w:r>
      <w:r w:rsidRPr="006D12C5" w:rsidR="00AD13B2">
        <w:t xml:space="preserve">voice, </w:t>
      </w:r>
      <w:r w:rsidRPr="006D12C5" w:rsidR="00B930E0">
        <w:t>data, and colocation services to business market customers</w:t>
      </w:r>
      <w:r w:rsidRPr="006D12C5" w:rsidR="001E777B">
        <w:t xml:space="preserve"> in </w:t>
      </w:r>
      <w:r w:rsidRPr="006D12C5" w:rsidR="001E777B">
        <w:rPr>
          <w:shd w:val="clear" w:color="auto" w:fill="FFFFFF"/>
        </w:rPr>
        <w:t>Chattanooga and Nashville</w:t>
      </w:r>
      <w:r w:rsidRPr="006D12C5" w:rsidR="00D760A0">
        <w:rPr>
          <w:shd w:val="clear" w:color="auto" w:fill="FFFFFF"/>
        </w:rPr>
        <w:t>,</w:t>
      </w:r>
      <w:r w:rsidRPr="006D12C5" w:rsidR="00D760A0">
        <w:t xml:space="preserve"> </w:t>
      </w:r>
      <w:r w:rsidRPr="006D12C5" w:rsidR="00D760A0">
        <w:rPr>
          <w:shd w:val="clear" w:color="auto" w:fill="FFFFFF"/>
        </w:rPr>
        <w:t>with secondary out of state markets served as a result of primary customer relationships in our two main markets</w:t>
      </w:r>
      <w:r w:rsidRPr="006D12C5" w:rsidR="001E777B">
        <w:rPr>
          <w:shd w:val="clear" w:color="auto" w:fill="FFFFFF"/>
        </w:rPr>
        <w:t>.”</w:t>
      </w:r>
      <w:bookmarkEnd w:id="20"/>
      <w:r>
        <w:rPr>
          <w:rStyle w:val="FootnoteReference"/>
        </w:rPr>
        <w:footnoteReference w:id="22"/>
      </w:r>
      <w:r w:rsidRPr="006D12C5" w:rsidR="006D194B">
        <w:t xml:space="preserve">  </w:t>
      </w:r>
      <w:bookmarkEnd w:id="16"/>
    </w:p>
    <w:p w:rsidR="00AF60C7" w:rsidRPr="006D12C5" w:rsidP="00CB0321" w14:paraId="37E2F4EF" w14:textId="73B76F58">
      <w:pPr>
        <w:pStyle w:val="ParaNum"/>
        <w:widowControl/>
      </w:pPr>
      <w:r w:rsidRPr="006D12C5">
        <w:t>Peace Communications</w:t>
      </w:r>
      <w:r w:rsidRPr="006D12C5" w:rsidR="00F759A4">
        <w:t xml:space="preserve"> filed its</w:t>
      </w:r>
      <w:r w:rsidRPr="006D12C5" w:rsidR="004E79B0">
        <w:t xml:space="preserve"> first Annual Worksheet </w:t>
      </w:r>
      <w:r w:rsidRPr="006D12C5" w:rsidR="00866828">
        <w:t>o</w:t>
      </w:r>
      <w:r w:rsidRPr="006D12C5" w:rsidR="00695F77">
        <w:t xml:space="preserve">n </w:t>
      </w:r>
      <w:r w:rsidRPr="006D12C5" w:rsidR="00866828">
        <w:t xml:space="preserve">October 26, </w:t>
      </w:r>
      <w:r w:rsidRPr="006D12C5" w:rsidR="00695F77">
        <w:t>200</w:t>
      </w:r>
      <w:r w:rsidRPr="006D12C5" w:rsidR="00AC1A2F">
        <w:t>9</w:t>
      </w:r>
      <w:r w:rsidRPr="006D12C5" w:rsidR="004E79B0">
        <w:t>.</w:t>
      </w:r>
      <w:r>
        <w:rPr>
          <w:rStyle w:val="FootnoteReference"/>
        </w:rPr>
        <w:footnoteReference w:id="23"/>
      </w:r>
      <w:r w:rsidRPr="006D12C5" w:rsidR="004E79B0">
        <w:t xml:space="preserve">  </w:t>
      </w:r>
      <w:r w:rsidRPr="006D12C5" w:rsidR="001D4401">
        <w:t>For each year between 2009 and 2017, Peace Communications timely filed its Annual Worksheets</w:t>
      </w:r>
      <w:r w:rsidRPr="006D12C5" w:rsidR="00627F15">
        <w:t>.</w:t>
      </w:r>
      <w:r>
        <w:rPr>
          <w:rStyle w:val="FootnoteReference"/>
        </w:rPr>
        <w:footnoteReference w:id="24"/>
      </w:r>
      <w:r w:rsidRPr="006D12C5" w:rsidR="00F45534">
        <w:t xml:space="preserve">  </w:t>
      </w:r>
      <w:r w:rsidRPr="006D12C5" w:rsidR="00D67B2D">
        <w:t xml:space="preserve">Between </w:t>
      </w:r>
      <w:r w:rsidRPr="006D12C5" w:rsidR="00F029BA">
        <w:t>February 1, 2018 and August 1, 2020</w:t>
      </w:r>
      <w:r w:rsidRPr="006D12C5" w:rsidR="00D67B2D">
        <w:t xml:space="preserve">, </w:t>
      </w:r>
      <w:r w:rsidRPr="006D12C5" w:rsidR="001D4401">
        <w:t>Peace Communications failed to file a</w:t>
      </w:r>
      <w:r w:rsidRPr="006D12C5" w:rsidR="00F31549">
        <w:t>ny of the 14</w:t>
      </w:r>
      <w:r w:rsidRPr="006D12C5" w:rsidR="001D4401">
        <w:t xml:space="preserve"> total Worksheets</w:t>
      </w:r>
      <w:r w:rsidRPr="006D12C5" w:rsidR="007E1E8B">
        <w:t xml:space="preserve"> required by the Commission’s rules</w:t>
      </w:r>
      <w:r w:rsidRPr="006D12C5" w:rsidR="009F461D">
        <w:t>.</w:t>
      </w:r>
      <w:r>
        <w:rPr>
          <w:rStyle w:val="FootnoteReference"/>
        </w:rPr>
        <w:footnoteReference w:id="25"/>
      </w:r>
      <w:r w:rsidRPr="006D12C5" w:rsidR="009F461D">
        <w:t xml:space="preserve">  Specifically, </w:t>
      </w:r>
      <w:r w:rsidRPr="006D12C5">
        <w:t>Peace Communications</w:t>
      </w:r>
      <w:r w:rsidRPr="006D12C5" w:rsidR="009F461D">
        <w:t xml:space="preserve"> </w:t>
      </w:r>
      <w:r w:rsidRPr="006D12C5" w:rsidR="00A817A5">
        <w:t xml:space="preserve">did not file </w:t>
      </w:r>
      <w:r w:rsidRPr="006D12C5" w:rsidR="008646E4">
        <w:t xml:space="preserve">(a) </w:t>
      </w:r>
      <w:r w:rsidRPr="006D12C5" w:rsidR="0000096D">
        <w:t xml:space="preserve">the eight </w:t>
      </w:r>
      <w:r w:rsidRPr="006D12C5" w:rsidR="00F029BA">
        <w:t xml:space="preserve">Quarterly or </w:t>
      </w:r>
      <w:r w:rsidRPr="006D12C5" w:rsidR="0000096D">
        <w:t xml:space="preserve">two </w:t>
      </w:r>
      <w:r w:rsidRPr="006D12C5" w:rsidR="00F029BA">
        <w:t>Annual Worksheets due in</w:t>
      </w:r>
      <w:r w:rsidRPr="006D12C5" w:rsidR="00A50477">
        <w:t xml:space="preserve"> 2018 </w:t>
      </w:r>
      <w:r w:rsidRPr="006D12C5" w:rsidR="006F4F74">
        <w:t xml:space="preserve">and </w:t>
      </w:r>
      <w:r w:rsidRPr="006D12C5" w:rsidR="00A50477">
        <w:t>2019</w:t>
      </w:r>
      <w:r w:rsidRPr="006D12C5" w:rsidR="00A817A5">
        <w:t xml:space="preserve">; </w:t>
      </w:r>
      <w:r w:rsidRPr="006D12C5" w:rsidR="008646E4">
        <w:t xml:space="preserve">(b) </w:t>
      </w:r>
      <w:r w:rsidRPr="006D12C5" w:rsidR="00D66ADB">
        <w:t xml:space="preserve">three </w:t>
      </w:r>
      <w:r w:rsidRPr="006D12C5" w:rsidR="00A817A5">
        <w:t>Quarterly Worksheets</w:t>
      </w:r>
      <w:r w:rsidRPr="006D12C5" w:rsidR="009F461D">
        <w:t xml:space="preserve"> due on February 1, May 1, </w:t>
      </w:r>
      <w:r w:rsidRPr="006D12C5" w:rsidR="00D66ADB">
        <w:t xml:space="preserve">and </w:t>
      </w:r>
      <w:r w:rsidRPr="006D12C5" w:rsidR="009F461D">
        <w:t>August 1</w:t>
      </w:r>
      <w:r w:rsidRPr="006D12C5" w:rsidR="00D66ADB">
        <w:t>, 2020</w:t>
      </w:r>
      <w:r w:rsidRPr="006D12C5" w:rsidR="006F4F74">
        <w:t>;</w:t>
      </w:r>
      <w:r w:rsidRPr="006D12C5" w:rsidR="00D66ADB">
        <w:t xml:space="preserve"> and</w:t>
      </w:r>
      <w:r w:rsidRPr="006D12C5" w:rsidR="006F4F74">
        <w:t xml:space="preserve"> (</w:t>
      </w:r>
      <w:r w:rsidRPr="006D12C5" w:rsidR="00F029BA">
        <w:t>c</w:t>
      </w:r>
      <w:r w:rsidRPr="006D12C5" w:rsidR="006F4F74">
        <w:t>)</w:t>
      </w:r>
      <w:r w:rsidRPr="006D12C5" w:rsidR="00D66ADB">
        <w:t xml:space="preserve"> </w:t>
      </w:r>
      <w:r w:rsidRPr="006D12C5" w:rsidR="000E2290">
        <w:t xml:space="preserve">the </w:t>
      </w:r>
      <w:r w:rsidRPr="006D12C5" w:rsidR="00D66ADB">
        <w:t>Annual Worksheet due on April 1, 2020.</w:t>
      </w:r>
      <w:r>
        <w:rPr>
          <w:rStyle w:val="FootnoteReference"/>
        </w:rPr>
        <w:footnoteReference w:id="26"/>
      </w:r>
      <w:r w:rsidRPr="006D12C5" w:rsidR="007C0B0A">
        <w:t xml:space="preserve">  </w:t>
      </w:r>
      <w:r w:rsidRPr="006D12C5" w:rsidR="0075225F">
        <w:t xml:space="preserve">On February </w:t>
      </w:r>
      <w:r w:rsidRPr="006D12C5" w:rsidR="008D5D24">
        <w:t>4</w:t>
      </w:r>
      <w:r w:rsidRPr="006D12C5" w:rsidR="0075225F">
        <w:t xml:space="preserve">, 2021, the Company filed its </w:t>
      </w:r>
      <w:r w:rsidRPr="006D12C5" w:rsidR="007B3498">
        <w:t xml:space="preserve">Annual Worksheets </w:t>
      </w:r>
      <w:r w:rsidRPr="006D12C5" w:rsidR="0075225F">
        <w:t>that were due</w:t>
      </w:r>
      <w:r w:rsidRPr="006D12C5" w:rsidR="007B3498">
        <w:t xml:space="preserve"> on April 1 of 2019 and 2020</w:t>
      </w:r>
      <w:r w:rsidRPr="006D12C5" w:rsidR="00F91CDA">
        <w:t>, and o</w:t>
      </w:r>
      <w:r w:rsidRPr="006D12C5" w:rsidR="002263C0">
        <w:t xml:space="preserve">n March 3, 2021, </w:t>
      </w:r>
      <w:r w:rsidRPr="006D12C5" w:rsidR="00F91CDA">
        <w:t>it</w:t>
      </w:r>
      <w:r w:rsidRPr="006D12C5" w:rsidR="002263C0">
        <w:t xml:space="preserve"> filed its Annual Worksheet that was due on April 1, 2018</w:t>
      </w:r>
      <w:r w:rsidRPr="006D12C5" w:rsidR="00940F87">
        <w:t>.</w:t>
      </w:r>
      <w:r w:rsidRPr="006D12C5" w:rsidR="003C2B3B">
        <w:t xml:space="preserve">  </w:t>
      </w:r>
    </w:p>
    <w:p w:rsidR="004510F7" w:rsidRPr="006D12C5" w:rsidP="00CB0321" w14:paraId="5B963BB5" w14:textId="61D87D92">
      <w:pPr>
        <w:pStyle w:val="ParaNum"/>
        <w:widowControl/>
      </w:pPr>
      <w:r w:rsidRPr="006D12C5">
        <w:t xml:space="preserve">Although </w:t>
      </w:r>
      <w:r w:rsidRPr="006D12C5" w:rsidR="004E79B0">
        <w:t xml:space="preserve">USAC </w:t>
      </w:r>
      <w:r w:rsidRPr="006D12C5" w:rsidR="00B53475">
        <w:t xml:space="preserve">repeatedly </w:t>
      </w:r>
      <w:r w:rsidRPr="006D12C5" w:rsidR="004E79B0">
        <w:t xml:space="preserve">contacted </w:t>
      </w:r>
      <w:r w:rsidRPr="006D12C5" w:rsidR="00EE527E">
        <w:t>Peace Communications</w:t>
      </w:r>
      <w:r w:rsidRPr="006D12C5" w:rsidR="004E79B0">
        <w:t xml:space="preserve"> concerning </w:t>
      </w:r>
      <w:r w:rsidRPr="006D12C5" w:rsidR="00950D76">
        <w:t>the Company</w:t>
      </w:r>
      <w:r w:rsidRPr="006D12C5" w:rsidR="004E79B0">
        <w:t>’s missing Worksheets</w:t>
      </w:r>
      <w:r w:rsidRPr="006D12C5">
        <w:t xml:space="preserve">, the Company nonetheless failed to </w:t>
      </w:r>
      <w:r w:rsidRPr="006D12C5" w:rsidR="00E22CEB">
        <w:t xml:space="preserve">comply with </w:t>
      </w:r>
      <w:r w:rsidRPr="006D12C5" w:rsidR="004A0305">
        <w:t>these</w:t>
      </w:r>
      <w:r w:rsidRPr="006D12C5" w:rsidR="00E22CEB">
        <w:t xml:space="preserve"> important filing requirements</w:t>
      </w:r>
      <w:r w:rsidRPr="006D12C5" w:rsidR="004E79B0">
        <w:t>.</w:t>
      </w:r>
      <w:r>
        <w:rPr>
          <w:rStyle w:val="FootnoteReference"/>
        </w:rPr>
        <w:footnoteReference w:id="27"/>
      </w:r>
      <w:r w:rsidRPr="006D12C5" w:rsidR="00950D76">
        <w:t xml:space="preserve">  </w:t>
      </w:r>
      <w:r w:rsidRPr="006D12C5" w:rsidR="004E79B0">
        <w:t xml:space="preserve">Thus, on </w:t>
      </w:r>
      <w:r w:rsidRPr="006D12C5" w:rsidR="00B93E6F">
        <w:t>October 28, 202</w:t>
      </w:r>
      <w:r w:rsidRPr="006D12C5" w:rsidR="00330834">
        <w:t>0</w:t>
      </w:r>
      <w:r w:rsidRPr="006D12C5" w:rsidR="004600E1">
        <w:t>,</w:t>
      </w:r>
      <w:r w:rsidRPr="006D12C5" w:rsidR="00AF60C7">
        <w:t xml:space="preserve"> </w:t>
      </w:r>
      <w:r w:rsidRPr="006D12C5" w:rsidR="007F5C97">
        <w:t xml:space="preserve">USAC </w:t>
      </w:r>
      <w:r w:rsidRPr="006D12C5" w:rsidR="00160FE5">
        <w:t>referred</w:t>
      </w:r>
      <w:r w:rsidRPr="006D12C5" w:rsidR="004252AA">
        <w:t xml:space="preserve"> </w:t>
      </w:r>
      <w:r w:rsidRPr="006D12C5" w:rsidR="00EE527E">
        <w:t>Peace Communications</w:t>
      </w:r>
      <w:r w:rsidRPr="006D12C5" w:rsidR="00160FE5">
        <w:t xml:space="preserve"> </w:t>
      </w:r>
      <w:r w:rsidRPr="006D12C5" w:rsidR="004252AA">
        <w:t>to</w:t>
      </w:r>
      <w:r w:rsidRPr="006D12C5" w:rsidR="007F5C97">
        <w:t xml:space="preserve"> the </w:t>
      </w:r>
      <w:r w:rsidRPr="006D12C5" w:rsidR="0031306D">
        <w:t xml:space="preserve">Enforcement </w:t>
      </w:r>
      <w:r w:rsidRPr="006D12C5" w:rsidR="007F5C97">
        <w:t>Bureau</w:t>
      </w:r>
      <w:r w:rsidRPr="006D12C5" w:rsidR="0031306D">
        <w:t xml:space="preserve"> (Bureau)</w:t>
      </w:r>
      <w:r w:rsidRPr="006D12C5" w:rsidR="007F5C97">
        <w:t xml:space="preserve"> </w:t>
      </w:r>
      <w:r w:rsidRPr="006D12C5" w:rsidR="00160FE5">
        <w:t>for investigation</w:t>
      </w:r>
      <w:r w:rsidRPr="006D12C5" w:rsidR="007F5C97">
        <w:t xml:space="preserve"> </w:t>
      </w:r>
      <w:r w:rsidRPr="006D12C5" w:rsidR="00160FE5">
        <w:t>into</w:t>
      </w:r>
      <w:r w:rsidRPr="006D12C5" w:rsidR="007F5C97">
        <w:t xml:space="preserve"> </w:t>
      </w:r>
      <w:r w:rsidRPr="006D12C5" w:rsidR="00411A5F">
        <w:t>the Company’s</w:t>
      </w:r>
      <w:r w:rsidRPr="006D12C5" w:rsidR="004B06A6">
        <w:t xml:space="preserve"> </w:t>
      </w:r>
      <w:r w:rsidRPr="006D12C5" w:rsidR="005A7B4F">
        <w:t>apparent</w:t>
      </w:r>
      <w:r w:rsidRPr="006D12C5" w:rsidR="00583573">
        <w:t xml:space="preserve"> </w:t>
      </w:r>
      <w:r w:rsidRPr="006D12C5" w:rsidR="00411A5F">
        <w:t xml:space="preserve">and repeated </w:t>
      </w:r>
      <w:r w:rsidRPr="006D12C5">
        <w:t>failures to comply</w:t>
      </w:r>
      <w:r w:rsidRPr="006D12C5" w:rsidR="007F5C97">
        <w:t xml:space="preserve"> with section 54.711 of the </w:t>
      </w:r>
      <w:r w:rsidRPr="006D12C5" w:rsidR="004A0305">
        <w:t>Commission’s r</w:t>
      </w:r>
      <w:r w:rsidRPr="006D12C5" w:rsidR="007F5C97">
        <w:t>ules</w:t>
      </w:r>
      <w:r w:rsidRPr="006D12C5" w:rsidR="00EF4133">
        <w:t xml:space="preserve">, </w:t>
      </w:r>
      <w:r w:rsidRPr="006D12C5" w:rsidR="00583573">
        <w:t>which require</w:t>
      </w:r>
      <w:r w:rsidRPr="006D12C5" w:rsidR="004600E1">
        <w:t>s</w:t>
      </w:r>
      <w:r w:rsidRPr="006D12C5" w:rsidR="00160FE5">
        <w:t xml:space="preserve"> </w:t>
      </w:r>
      <w:r w:rsidRPr="006D12C5" w:rsidR="00EF4133">
        <w:t>service providers to timely file Quarterly and Annual</w:t>
      </w:r>
      <w:r w:rsidRPr="006D12C5" w:rsidR="00006873">
        <w:t xml:space="preserve"> Worksheets</w:t>
      </w:r>
      <w:r w:rsidRPr="006D12C5" w:rsidR="007F5C97">
        <w:t>.</w:t>
      </w:r>
      <w:r>
        <w:rPr>
          <w:rStyle w:val="FootnoteReference"/>
          <w:sz w:val="22"/>
        </w:rPr>
        <w:footnoteReference w:id="28"/>
      </w:r>
      <w:r w:rsidRPr="006D12C5" w:rsidR="00EB0505">
        <w:t xml:space="preserve">  </w:t>
      </w:r>
      <w:bookmarkStart w:id="24" w:name="co_tablefootnote_86_1"/>
      <w:bookmarkEnd w:id="24"/>
    </w:p>
    <w:p w:rsidR="00926775" w:rsidRPr="006D12C5" w:rsidP="00CB0321" w14:paraId="367CBB11" w14:textId="5330F407">
      <w:pPr>
        <w:pStyle w:val="ParaNum"/>
        <w:widowControl/>
      </w:pPr>
      <w:r w:rsidRPr="006D12C5">
        <w:t>Following</w:t>
      </w:r>
      <w:r w:rsidRPr="006D12C5" w:rsidR="00B2285A">
        <w:t xml:space="preserve"> USAC</w:t>
      </w:r>
      <w:r w:rsidRPr="006D12C5">
        <w:t>’s referral</w:t>
      </w:r>
      <w:r w:rsidRPr="006D12C5" w:rsidR="00B2285A">
        <w:t xml:space="preserve">, </w:t>
      </w:r>
      <w:r w:rsidRPr="006D12C5" w:rsidR="00097CA0">
        <w:t>o</w:t>
      </w:r>
      <w:r w:rsidRPr="006D12C5" w:rsidR="004225A4">
        <w:t xml:space="preserve">n </w:t>
      </w:r>
      <w:r w:rsidRPr="006D12C5" w:rsidR="004600E1">
        <w:t>February 9</w:t>
      </w:r>
      <w:r w:rsidRPr="006D12C5" w:rsidR="00330834">
        <w:t>, 202</w:t>
      </w:r>
      <w:r w:rsidRPr="006D12C5" w:rsidR="004600E1">
        <w:t>1</w:t>
      </w:r>
      <w:r w:rsidRPr="006D12C5" w:rsidR="00330834">
        <w:t>,</w:t>
      </w:r>
      <w:r w:rsidRPr="006D12C5" w:rsidR="004225A4">
        <w:t xml:space="preserve"> the Bureau issued a Letter of Inquiry (LOI) to </w:t>
      </w:r>
      <w:r w:rsidRPr="006D12C5" w:rsidR="00EE527E">
        <w:t>Peace Communications</w:t>
      </w:r>
      <w:r w:rsidRPr="006D12C5" w:rsidR="004225A4">
        <w:t xml:space="preserve"> concerning </w:t>
      </w:r>
      <w:r w:rsidRPr="006D12C5" w:rsidR="00E74B1F">
        <w:t>the Company</w:t>
      </w:r>
      <w:r w:rsidRPr="006D12C5" w:rsidR="004225A4">
        <w:t xml:space="preserve">’s compliance with </w:t>
      </w:r>
      <w:r w:rsidRPr="006D12C5" w:rsidR="00007BA1">
        <w:t xml:space="preserve">filing and contribution </w:t>
      </w:r>
      <w:r w:rsidRPr="006D12C5" w:rsidR="002A78ED">
        <w:t xml:space="preserve">requirements arising </w:t>
      </w:r>
      <w:r w:rsidRPr="006D12C5" w:rsidR="004225A4">
        <w:t xml:space="preserve">under the Act and the </w:t>
      </w:r>
      <w:r w:rsidRPr="006D12C5" w:rsidR="004A0305">
        <w:t>Commission’s r</w:t>
      </w:r>
      <w:r w:rsidRPr="006D12C5" w:rsidR="004225A4">
        <w:t>ules.</w:t>
      </w:r>
      <w:r>
        <w:rPr>
          <w:rStyle w:val="FootnoteReference"/>
          <w:sz w:val="22"/>
        </w:rPr>
        <w:footnoteReference w:id="29"/>
      </w:r>
      <w:r w:rsidRPr="006D12C5" w:rsidR="00D25712">
        <w:t xml:space="preserve">  </w:t>
      </w:r>
      <w:r w:rsidRPr="006D12C5" w:rsidR="00EE527E">
        <w:t>Peace Communications</w:t>
      </w:r>
      <w:r w:rsidRPr="006D12C5" w:rsidR="000C6429">
        <w:t xml:space="preserve"> submitted responses to the LOI on </w:t>
      </w:r>
      <w:r w:rsidRPr="006D12C5" w:rsidR="00FA7DD1">
        <w:t>March 17 and 24, 202</w:t>
      </w:r>
      <w:r w:rsidRPr="006D12C5" w:rsidR="004E2E55">
        <w:t>1</w:t>
      </w:r>
      <w:r w:rsidRPr="006D12C5" w:rsidR="0077217B">
        <w:t>.</w:t>
      </w:r>
      <w:r>
        <w:rPr>
          <w:rStyle w:val="FootnoteReference"/>
          <w:sz w:val="22"/>
        </w:rPr>
        <w:footnoteReference w:id="30"/>
      </w:r>
      <w:r w:rsidRPr="006D12C5" w:rsidR="00805B25">
        <w:t xml:space="preserve"> </w:t>
      </w:r>
      <w:r w:rsidRPr="006D12C5" w:rsidR="00C723F9">
        <w:t xml:space="preserve">   </w:t>
      </w:r>
    </w:p>
    <w:p w:rsidR="00BD41EF" w:rsidRPr="006D12C5" w:rsidP="00CB0321" w14:paraId="7AEA400E" w14:textId="77777777">
      <w:pPr>
        <w:pStyle w:val="Heading1"/>
        <w:widowControl/>
        <w:rPr>
          <w:rFonts w:ascii="Times New Roman" w:hAnsi="Times New Roman"/>
        </w:rPr>
      </w:pPr>
      <w:r w:rsidRPr="006D12C5">
        <w:rPr>
          <w:rFonts w:ascii="Times New Roman" w:hAnsi="Times New Roman"/>
        </w:rPr>
        <w:t>DISCUSSION</w:t>
      </w:r>
    </w:p>
    <w:p w:rsidR="00D93EBB" w:rsidRPr="006D12C5" w:rsidP="00CB0321" w14:paraId="611176A5" w14:textId="62D95831">
      <w:pPr>
        <w:pStyle w:val="ParaNum"/>
        <w:widowControl/>
      </w:pPr>
      <w:r w:rsidRPr="006D12C5">
        <w:t>Based on evidence developed through the Bureau’s investigation</w:t>
      </w:r>
      <w:r w:rsidRPr="006D12C5" w:rsidR="00953EE0">
        <w:t xml:space="preserve">, we find that </w:t>
      </w:r>
      <w:r w:rsidRPr="006D12C5">
        <w:t xml:space="preserve">the Company </w:t>
      </w:r>
      <w:r w:rsidRPr="006D12C5" w:rsidR="00E05D23">
        <w:t xml:space="preserve">apparently, </w:t>
      </w:r>
      <w:r w:rsidRPr="006D12C5">
        <w:t>willfully and repeatedly violated section</w:t>
      </w:r>
      <w:r w:rsidRPr="006D12C5" w:rsidR="009859D5">
        <w:t>s</w:t>
      </w:r>
      <w:r w:rsidRPr="006D12C5" w:rsidR="00CB0F06">
        <w:t xml:space="preserve"> </w:t>
      </w:r>
      <w:r w:rsidRPr="006D12C5" w:rsidR="0087094B">
        <w:t xml:space="preserve">52.17(b), 52.32(b), </w:t>
      </w:r>
      <w:r w:rsidRPr="006D12C5" w:rsidR="00994D88">
        <w:t>54.7</w:t>
      </w:r>
      <w:r w:rsidRPr="006D12C5" w:rsidR="00FD21BE">
        <w:t>11</w:t>
      </w:r>
      <w:r w:rsidRPr="006D12C5" w:rsidR="00994D88">
        <w:t xml:space="preserve"> </w:t>
      </w:r>
      <w:r w:rsidRPr="006D12C5" w:rsidR="0087094B">
        <w:t xml:space="preserve">and 64.604(c)(5)(iii)(B) </w:t>
      </w:r>
      <w:r w:rsidRPr="006D12C5" w:rsidR="00994D88">
        <w:t xml:space="preserve">of the </w:t>
      </w:r>
      <w:r w:rsidRPr="006D12C5" w:rsidR="00E604A2">
        <w:t>Commission’s r</w:t>
      </w:r>
      <w:r w:rsidRPr="006D12C5" w:rsidR="00994D88">
        <w:t>ules by failing to timely</w:t>
      </w:r>
      <w:r w:rsidRPr="006D12C5" w:rsidR="00AC761B">
        <w:t xml:space="preserve"> </w:t>
      </w:r>
      <w:r w:rsidRPr="006D12C5" w:rsidR="00BA0B02">
        <w:t>file</w:t>
      </w:r>
      <w:r w:rsidRPr="006D12C5" w:rsidR="00994D88">
        <w:t xml:space="preserve"> the Company’s </w:t>
      </w:r>
      <w:r w:rsidRPr="006D12C5" w:rsidR="00BA0B02">
        <w:t xml:space="preserve">Quarterly and Annual </w:t>
      </w:r>
      <w:r w:rsidRPr="006D12C5" w:rsidR="00994D88">
        <w:t>Worksheets.</w:t>
      </w:r>
      <w:r>
        <w:rPr>
          <w:vertAlign w:val="superscript"/>
        </w:rPr>
        <w:footnoteReference w:id="31"/>
      </w:r>
      <w:r w:rsidRPr="006D12C5" w:rsidR="00994D88">
        <w:t xml:space="preserve"> </w:t>
      </w:r>
      <w:r w:rsidRPr="006D12C5" w:rsidR="00764738">
        <w:t xml:space="preserve"> </w:t>
      </w:r>
      <w:r w:rsidRPr="006D12C5" w:rsidR="00170FFD">
        <w:t>Specifically,</w:t>
      </w:r>
      <w:r w:rsidRPr="006D12C5" w:rsidR="00764738">
        <w:t xml:space="preserve"> </w:t>
      </w:r>
      <w:r w:rsidRPr="006D12C5" w:rsidR="00EE527E">
        <w:t>Peace Communications</w:t>
      </w:r>
      <w:r w:rsidRPr="006D12C5" w:rsidR="00764738">
        <w:t xml:space="preserve"> </w:t>
      </w:r>
      <w:r w:rsidRPr="006D12C5" w:rsidR="00404D91">
        <w:t xml:space="preserve">apparently </w:t>
      </w:r>
      <w:r w:rsidRPr="006D12C5" w:rsidR="00764738">
        <w:t>failed to</w:t>
      </w:r>
      <w:r w:rsidRPr="006D12C5" w:rsidR="00BA0B02">
        <w:t xml:space="preserve"> file </w:t>
      </w:r>
      <w:r w:rsidRPr="006D12C5" w:rsidR="00524655">
        <w:t>all</w:t>
      </w:r>
      <w:r w:rsidRPr="006D12C5" w:rsidR="00BA0B02">
        <w:t xml:space="preserve"> </w:t>
      </w:r>
      <w:bookmarkStart w:id="27" w:name="_Hlk42684545"/>
      <w:r w:rsidRPr="006D12C5" w:rsidR="00170F67">
        <w:t>1</w:t>
      </w:r>
      <w:r w:rsidRPr="006D12C5" w:rsidR="00BA0B02">
        <w:t xml:space="preserve">4 Worksheets </w:t>
      </w:r>
      <w:r w:rsidRPr="006D12C5" w:rsidR="00524655">
        <w:t xml:space="preserve">due </w:t>
      </w:r>
      <w:r w:rsidRPr="006D12C5" w:rsidR="00BA0B02">
        <w:t xml:space="preserve">between </w:t>
      </w:r>
      <w:r w:rsidRPr="006D12C5" w:rsidR="00A94623">
        <w:t>February</w:t>
      </w:r>
      <w:r w:rsidRPr="006D12C5" w:rsidR="00BA0B02">
        <w:t xml:space="preserve"> </w:t>
      </w:r>
      <w:r w:rsidRPr="006D12C5" w:rsidR="00E07B61">
        <w:t xml:space="preserve">1, </w:t>
      </w:r>
      <w:r w:rsidRPr="006D12C5" w:rsidR="00BA0B02">
        <w:t>201</w:t>
      </w:r>
      <w:r w:rsidRPr="006D12C5" w:rsidR="00A94623">
        <w:t>8</w:t>
      </w:r>
      <w:r w:rsidRPr="006D12C5" w:rsidR="00BA0B02">
        <w:t xml:space="preserve"> and </w:t>
      </w:r>
      <w:bookmarkEnd w:id="27"/>
      <w:r w:rsidRPr="006D12C5" w:rsidR="00A94623">
        <w:t>August</w:t>
      </w:r>
      <w:r w:rsidRPr="006D12C5" w:rsidR="001E5610">
        <w:t xml:space="preserve"> </w:t>
      </w:r>
      <w:r w:rsidRPr="006D12C5" w:rsidR="00E07B61">
        <w:t xml:space="preserve">1, </w:t>
      </w:r>
      <w:r w:rsidRPr="006D12C5" w:rsidR="001E5610">
        <w:t>2020</w:t>
      </w:r>
      <w:r w:rsidRPr="006D12C5" w:rsidR="00764738">
        <w:t>.</w:t>
      </w:r>
      <w:r>
        <w:rPr>
          <w:rStyle w:val="FootnoteReference"/>
          <w:sz w:val="22"/>
        </w:rPr>
        <w:footnoteReference w:id="32"/>
      </w:r>
      <w:r w:rsidRPr="006D12C5" w:rsidR="00805335">
        <w:t xml:space="preserve">  </w:t>
      </w:r>
      <w:r w:rsidRPr="006D12C5" w:rsidR="00A421CE">
        <w:t>W</w:t>
      </w:r>
      <w:r w:rsidRPr="006D12C5" w:rsidR="00E07B61">
        <w:t>e</w:t>
      </w:r>
      <w:r w:rsidRPr="006D12C5" w:rsidR="00805335">
        <w:t xml:space="preserve"> propose a forfeiture of </w:t>
      </w:r>
      <w:r w:rsidRPr="006D12C5" w:rsidR="00E07B61">
        <w:t>$</w:t>
      </w:r>
      <w:r w:rsidRPr="006D12C5" w:rsidR="00067F60">
        <w:t>50,000</w:t>
      </w:r>
      <w:r w:rsidRPr="006D12C5" w:rsidR="0053073C">
        <w:t xml:space="preserve"> </w:t>
      </w:r>
      <w:r w:rsidRPr="006D12C5" w:rsidR="00805335">
        <w:t xml:space="preserve">for </w:t>
      </w:r>
      <w:r w:rsidRPr="006D12C5" w:rsidR="00EE527E">
        <w:t>Peace Communications</w:t>
      </w:r>
      <w:r w:rsidRPr="006D12C5" w:rsidR="00805335">
        <w:t xml:space="preserve">’ </w:t>
      </w:r>
      <w:r w:rsidRPr="006D12C5" w:rsidR="00BF151C">
        <w:t>failure to file its Quarterly Worksheet due on August 1, 2020.</w:t>
      </w:r>
    </w:p>
    <w:p w:rsidR="00B80C4A" w:rsidRPr="006D12C5" w:rsidP="00CB0321" w14:paraId="32961EE3" w14:textId="0AA601D0">
      <w:pPr>
        <w:pStyle w:val="ParaNum"/>
        <w:widowControl/>
      </w:pPr>
      <w:r w:rsidRPr="006D12C5">
        <w:t xml:space="preserve">As noted above, service </w:t>
      </w:r>
      <w:r w:rsidRPr="006D12C5" w:rsidR="000655F2">
        <w:t xml:space="preserve">providers </w:t>
      </w:r>
      <w:r w:rsidRPr="006D12C5">
        <w:t xml:space="preserve">like </w:t>
      </w:r>
      <w:r w:rsidRPr="006D12C5" w:rsidR="00EE527E">
        <w:t>Peace Communications</w:t>
      </w:r>
      <w:r w:rsidRPr="006D12C5">
        <w:t xml:space="preserve"> </w:t>
      </w:r>
      <w:r w:rsidRPr="006D12C5" w:rsidR="000655F2">
        <w:t>must timely file Quarterly Worksheets by February 1, May 1, August 1 and November 1 of each year, and Annual Worksheets by April 1 of each year.</w:t>
      </w:r>
      <w:r>
        <w:rPr>
          <w:rStyle w:val="FootnoteReference"/>
          <w:sz w:val="22"/>
        </w:rPr>
        <w:footnoteReference w:id="33"/>
      </w:r>
      <w:r w:rsidRPr="006D12C5" w:rsidR="000655F2">
        <w:t xml:space="preserve">  </w:t>
      </w:r>
      <w:r w:rsidRPr="006D12C5" w:rsidR="001D0153">
        <w:t xml:space="preserve">Between </w:t>
      </w:r>
      <w:r w:rsidRPr="006D12C5" w:rsidR="00A94623">
        <w:t>February</w:t>
      </w:r>
      <w:r w:rsidRPr="006D12C5" w:rsidR="000655F2">
        <w:t xml:space="preserve"> 1,</w:t>
      </w:r>
      <w:r w:rsidRPr="006D12C5" w:rsidR="001D0153">
        <w:t xml:space="preserve"> 201</w:t>
      </w:r>
      <w:r w:rsidRPr="006D12C5" w:rsidR="00067F60">
        <w:t>8</w:t>
      </w:r>
      <w:r w:rsidRPr="006D12C5" w:rsidR="001D0153">
        <w:t xml:space="preserve"> and </w:t>
      </w:r>
      <w:r w:rsidRPr="006D12C5" w:rsidR="00A94623">
        <w:t>August</w:t>
      </w:r>
      <w:r w:rsidRPr="006D12C5" w:rsidR="000655F2">
        <w:t xml:space="preserve"> 1,</w:t>
      </w:r>
      <w:r w:rsidRPr="006D12C5" w:rsidR="001E5610">
        <w:t xml:space="preserve"> 2020</w:t>
      </w:r>
      <w:r w:rsidRPr="006D12C5" w:rsidR="001D0153">
        <w:t xml:space="preserve">, </w:t>
      </w:r>
      <w:r w:rsidRPr="006D12C5" w:rsidR="00EE527E">
        <w:t>Peace Communications</w:t>
      </w:r>
      <w:r w:rsidRPr="006D12C5" w:rsidR="001D0153">
        <w:t xml:space="preserve"> apparently </w:t>
      </w:r>
      <w:r w:rsidRPr="006D12C5" w:rsidR="004C3982">
        <w:t xml:space="preserve">did </w:t>
      </w:r>
      <w:r w:rsidRPr="006D12C5" w:rsidR="001D0153">
        <w:t xml:space="preserve">not file any </w:t>
      </w:r>
      <w:r w:rsidRPr="006D12C5" w:rsidR="00090327">
        <w:t xml:space="preserve">of </w:t>
      </w:r>
      <w:r w:rsidRPr="006D12C5" w:rsidR="00401500">
        <w:t xml:space="preserve">14 </w:t>
      </w:r>
      <w:r w:rsidRPr="006D12C5" w:rsidR="003944FD">
        <w:t xml:space="preserve">required </w:t>
      </w:r>
      <w:r w:rsidRPr="006D12C5" w:rsidR="001D0153">
        <w:t>Worksheets.</w:t>
      </w:r>
      <w:r w:rsidRPr="006D12C5" w:rsidR="0094069E">
        <w:t xml:space="preserve">  </w:t>
      </w:r>
      <w:r w:rsidRPr="006D12C5" w:rsidR="000655F2">
        <w:t>We consider each individual failure to timely file a Quarterly or Annual Worksheet a separate violation of section 54.711</w:t>
      </w:r>
      <w:r w:rsidRPr="006D12C5" w:rsidR="00EB04DE">
        <w:t xml:space="preserve"> </w:t>
      </w:r>
      <w:r w:rsidRPr="006D12C5" w:rsidR="000655F2">
        <w:t>of the Commission’s rules.</w:t>
      </w:r>
      <w:r>
        <w:rPr>
          <w:rStyle w:val="FootnoteReference"/>
        </w:rPr>
        <w:footnoteReference w:id="34"/>
      </w:r>
      <w:r w:rsidRPr="006D12C5" w:rsidR="000655F2">
        <w:t xml:space="preserve">  </w:t>
      </w:r>
      <w:r w:rsidRPr="006D12C5" w:rsidR="000227C5">
        <w:t xml:space="preserve">We thus find that the Company </w:t>
      </w:r>
      <w:r w:rsidRPr="006D12C5" w:rsidR="00E05D23">
        <w:t xml:space="preserve">apparently, </w:t>
      </w:r>
      <w:r w:rsidRPr="006D12C5" w:rsidR="000227C5">
        <w:t>willfully</w:t>
      </w:r>
      <w:r w:rsidRPr="006D12C5" w:rsidR="001A7C3E">
        <w:t>,</w:t>
      </w:r>
      <w:r w:rsidRPr="006D12C5" w:rsidR="000227C5">
        <w:t xml:space="preserve"> and repeatedly violated section 54.711 of the </w:t>
      </w:r>
      <w:r w:rsidRPr="006D12C5" w:rsidR="00F72520">
        <w:t>Commission’s r</w:t>
      </w:r>
      <w:r w:rsidRPr="006D12C5" w:rsidR="000227C5">
        <w:t xml:space="preserve">ules by failing to </w:t>
      </w:r>
      <w:r w:rsidRPr="006D12C5" w:rsidR="00B9358A">
        <w:t xml:space="preserve">timely file its Quarterly </w:t>
      </w:r>
      <w:r w:rsidRPr="006D12C5" w:rsidR="00A94623">
        <w:t xml:space="preserve">and Annual </w:t>
      </w:r>
      <w:r w:rsidRPr="006D12C5" w:rsidR="00B9358A">
        <w:t>Worksheets</w:t>
      </w:r>
      <w:r w:rsidRPr="006D12C5" w:rsidR="00A94623">
        <w:t xml:space="preserve"> for 2018-19</w:t>
      </w:r>
      <w:r w:rsidRPr="006D12C5" w:rsidR="00755835">
        <w:t>, its February</w:t>
      </w:r>
      <w:r w:rsidRPr="006D12C5" w:rsidR="00A94623">
        <w:t>,</w:t>
      </w:r>
      <w:r w:rsidRPr="006D12C5" w:rsidR="00755835">
        <w:t xml:space="preserve"> May </w:t>
      </w:r>
      <w:r w:rsidRPr="006D12C5" w:rsidR="00A94623">
        <w:t xml:space="preserve">and August </w:t>
      </w:r>
      <w:r w:rsidRPr="006D12C5" w:rsidR="00755835">
        <w:t>2020 Quarterly Worksheets</w:t>
      </w:r>
      <w:r w:rsidRPr="006D12C5" w:rsidR="00401500">
        <w:t>,</w:t>
      </w:r>
      <w:r w:rsidRPr="006D12C5" w:rsidR="00755835">
        <w:t xml:space="preserve"> and </w:t>
      </w:r>
      <w:r w:rsidRPr="006D12C5" w:rsidR="00401500">
        <w:t xml:space="preserve">its </w:t>
      </w:r>
      <w:r w:rsidRPr="006D12C5" w:rsidR="00755835">
        <w:t>2020 Annual Worksheet.</w:t>
      </w:r>
      <w:r w:rsidRPr="006D12C5" w:rsidR="00A421CE">
        <w:t xml:space="preserve">  We find that </w:t>
      </w:r>
      <w:r w:rsidRPr="006D12C5" w:rsidR="00BE0B06">
        <w:t>the Company also apparently, willfully, and repeatedly violated sections 52.17(b), 52.32(b), and 64.604(c)(5)(iii)(B) of the Commission’s rules by failing to timely file its Annual Worksheets for 2018, 2019 and 2020.</w:t>
      </w:r>
      <w:r w:rsidRPr="006D12C5" w:rsidR="00755835">
        <w:t xml:space="preserve"> </w:t>
      </w:r>
      <w:r w:rsidRPr="006D12C5" w:rsidR="00AA7E2A">
        <w:t xml:space="preserve"> As explained further below, however, we propose a forfeiture for only one of these apparent violations because the other violations occurred outside of the applicable statute of limitations.  </w:t>
      </w:r>
      <w:r w:rsidRPr="006D12C5" w:rsidR="00755835">
        <w:t xml:space="preserve"> </w:t>
      </w:r>
      <w:r w:rsidRPr="006D12C5" w:rsidR="007866E7">
        <w:t xml:space="preserve"> </w:t>
      </w:r>
      <w:r w:rsidRPr="006D12C5" w:rsidR="00755835">
        <w:t xml:space="preserve"> </w:t>
      </w:r>
    </w:p>
    <w:bookmarkEnd w:id="17"/>
    <w:p w:rsidR="00994D88" w:rsidRPr="006D12C5" w:rsidP="00CB0321" w14:paraId="1B267B27" w14:textId="77777777">
      <w:pPr>
        <w:pStyle w:val="Heading1"/>
        <w:widowControl/>
        <w:rPr>
          <w:rFonts w:ascii="Times New Roman" w:hAnsi="Times New Roman"/>
        </w:rPr>
      </w:pPr>
      <w:r w:rsidRPr="006D12C5">
        <w:rPr>
          <w:rFonts w:ascii="Times New Roman" w:hAnsi="Times New Roman"/>
        </w:rPr>
        <w:t>PROPOSED FORFEITURE</w:t>
      </w:r>
      <w:r w:rsidRPr="006D12C5" w:rsidR="009C0FAD">
        <w:rPr>
          <w:rFonts w:ascii="Times New Roman" w:hAnsi="Times New Roman"/>
        </w:rPr>
        <w:t xml:space="preserve">  </w:t>
      </w:r>
    </w:p>
    <w:p w:rsidR="001006B5" w:rsidRPr="006D12C5" w:rsidP="00CB0321" w14:paraId="2E4F461C" w14:textId="0827B05A">
      <w:pPr>
        <w:pStyle w:val="ParaNum"/>
        <w:widowControl/>
      </w:pPr>
      <w:r w:rsidRPr="006D12C5">
        <w:t>Section 503(b) of the Act authorizes the Commission to impose a forfeiture against any entity that “willfully or repeatedly fail[s] to comply with any of the provisions of [the Act] or of any rule, regulation, or order issued by the Commission.”</w:t>
      </w:r>
      <w:r>
        <w:rPr>
          <w:vertAlign w:val="superscript"/>
        </w:rPr>
        <w:footnoteReference w:id="35"/>
      </w:r>
      <w:r w:rsidRPr="006D12C5">
        <w:t xml:space="preserve">  For the violations at issue here, section 503(b)(2)(</w:t>
      </w:r>
      <w:r w:rsidRPr="006D12C5" w:rsidR="00724BBB">
        <w:t>B</w:t>
      </w:r>
      <w:r w:rsidRPr="006D12C5">
        <w:t xml:space="preserve">) of the Act authorizes us to assess a forfeiture against a </w:t>
      </w:r>
      <w:r w:rsidRPr="006D12C5" w:rsidR="00AC6A02">
        <w:t xml:space="preserve">service provider </w:t>
      </w:r>
      <w:r w:rsidRPr="006D12C5">
        <w:t xml:space="preserve">such as </w:t>
      </w:r>
      <w:r w:rsidRPr="006D12C5" w:rsidR="00EE527E">
        <w:t>Peace Communications</w:t>
      </w:r>
      <w:r w:rsidRPr="006D12C5">
        <w:t xml:space="preserve"> of up to $</w:t>
      </w:r>
      <w:r w:rsidRPr="006D12C5" w:rsidR="00B23F1E">
        <w:t xml:space="preserve">207,314 </w:t>
      </w:r>
      <w:r w:rsidRPr="006D12C5">
        <w:t>for each violation or each day of a continuing violation, up to a statutory maximum of $</w:t>
      </w:r>
      <w:r w:rsidRPr="006D12C5" w:rsidR="00B23F1E">
        <w:t>2,073,133</w:t>
      </w:r>
      <w:r w:rsidRPr="006D12C5">
        <w:t xml:space="preserve"> for a single act or failure to act.</w:t>
      </w:r>
      <w:r>
        <w:rPr>
          <w:vertAlign w:val="superscript"/>
        </w:rPr>
        <w:footnoteReference w:id="36"/>
      </w:r>
      <w:r w:rsidRPr="006D12C5">
        <w:t xml:space="preserve">  In exercising our forfeiture authority, we must consider the </w:t>
      </w:r>
      <w:r w:rsidRPr="006D12C5">
        <w:t>“nature, circumstances, extent, and gravity of the violation and, with respect to the violator, the degree of culpability, any history of prior offenses, ability to pay, and such other matters as justice may require.”</w:t>
      </w:r>
      <w:r>
        <w:rPr>
          <w:rStyle w:val="FootnoteReference"/>
          <w:sz w:val="22"/>
        </w:rPr>
        <w:footnoteReference w:id="37"/>
      </w:r>
      <w:r w:rsidRPr="006D12C5">
        <w:rPr>
          <w:spacing w:val="-2"/>
        </w:rPr>
        <w:t xml:space="preserve">  </w:t>
      </w:r>
      <w:r w:rsidRPr="006D12C5">
        <w:t>In addition, the Commission has established forfeiture guidelines</w:t>
      </w:r>
      <w:r w:rsidRPr="006D12C5" w:rsidR="00F70CAE">
        <w:t xml:space="preserve">, which </w:t>
      </w:r>
      <w:r w:rsidRPr="006D12C5">
        <w:t xml:space="preserve">establish base penalties for certain violations and identify criteria </w:t>
      </w:r>
      <w:r w:rsidRPr="006D12C5" w:rsidR="006E2F0A">
        <w:t>to</w:t>
      </w:r>
      <w:r w:rsidRPr="006D12C5">
        <w:t xml:space="preserve"> consider when determining the appropriate penalty in any given case.</w:t>
      </w:r>
      <w:r>
        <w:rPr>
          <w:rStyle w:val="FootnoteReference"/>
          <w:sz w:val="22"/>
        </w:rPr>
        <w:footnoteReference w:id="38"/>
      </w:r>
      <w:r w:rsidRPr="006D12C5">
        <w:t xml:space="preserve">  </w:t>
      </w:r>
    </w:p>
    <w:p w:rsidR="00D93EBB" w:rsidRPr="006D12C5" w:rsidP="00CB0321" w14:paraId="1285B2B3" w14:textId="5205E706">
      <w:pPr>
        <w:pStyle w:val="ParaNum"/>
        <w:widowControl/>
      </w:pPr>
      <w:r w:rsidRPr="006D12C5">
        <w:t xml:space="preserve">The Commission may adopt upward or downward adjustments </w:t>
      </w:r>
      <w:r w:rsidRPr="006D12C5" w:rsidR="00252538">
        <w:t xml:space="preserve">to forfeitures </w:t>
      </w:r>
      <w:r w:rsidRPr="006D12C5">
        <w:t>when appropriate.</w:t>
      </w:r>
      <w:r>
        <w:rPr>
          <w:vertAlign w:val="superscript"/>
        </w:rPr>
        <w:footnoteReference w:id="39"/>
      </w:r>
      <w:r w:rsidRPr="006D12C5">
        <w:t xml:space="preserve">  Under </w:t>
      </w:r>
      <w:r w:rsidRPr="006D12C5" w:rsidR="0006242A">
        <w:t xml:space="preserve">section 1.80 of </w:t>
      </w:r>
      <w:r w:rsidRPr="006D12C5" w:rsidR="00252538">
        <w:t>the</w:t>
      </w:r>
      <w:r w:rsidRPr="006D12C5">
        <w:t xml:space="preserve"> </w:t>
      </w:r>
      <w:r w:rsidRPr="006D12C5" w:rsidR="00E55934">
        <w:t>Commission’s r</w:t>
      </w:r>
      <w:r w:rsidRPr="006D12C5">
        <w:t>ules, we may adjust a forfeiture upward for egregious</w:t>
      </w:r>
      <w:r w:rsidRPr="006D12C5" w:rsidR="00251E11">
        <w:t xml:space="preserve"> misconduct</w:t>
      </w:r>
      <w:r w:rsidRPr="006D12C5">
        <w:t xml:space="preserve">, </w:t>
      </w:r>
      <w:r w:rsidRPr="006D12C5" w:rsidR="00251E11">
        <w:t xml:space="preserve">ability to pay and relative disincentive, an </w:t>
      </w:r>
      <w:r w:rsidRPr="006D12C5">
        <w:t>intentional</w:t>
      </w:r>
      <w:r w:rsidRPr="006D12C5" w:rsidR="00251E11">
        <w:t xml:space="preserve"> violation</w:t>
      </w:r>
      <w:r w:rsidRPr="006D12C5">
        <w:t xml:space="preserve">, </w:t>
      </w:r>
      <w:r w:rsidRPr="006D12C5" w:rsidR="00251E11">
        <w:t xml:space="preserve">substantial harm, prior violations of Commission requirements, substantial economic gain, </w:t>
      </w:r>
      <w:r w:rsidRPr="006D12C5">
        <w:t>or repeated</w:t>
      </w:r>
      <w:r w:rsidRPr="006D12C5" w:rsidR="00251E11">
        <w:t xml:space="preserve"> or continuous violations</w:t>
      </w:r>
      <w:r w:rsidRPr="006D12C5">
        <w:t>.</w:t>
      </w:r>
      <w:bookmarkStart w:id="29" w:name="_Ref442436591"/>
      <w:r>
        <w:rPr>
          <w:rStyle w:val="FootnoteReference"/>
          <w:sz w:val="22"/>
        </w:rPr>
        <w:footnoteReference w:id="40"/>
      </w:r>
      <w:bookmarkEnd w:id="29"/>
      <w:r w:rsidRPr="006D12C5">
        <w:t xml:space="preserve">  We may adjust a forfeiture downward for </w:t>
      </w:r>
      <w:r w:rsidRPr="006D12C5" w:rsidR="007F122B">
        <w:t xml:space="preserve">a </w:t>
      </w:r>
      <w:r w:rsidRPr="006D12C5">
        <w:t>minor violation, good faith or voluntary disclosure, a history of overall compliance, or an inability to pay.</w:t>
      </w:r>
      <w:bookmarkStart w:id="30" w:name="_Ref442436610"/>
      <w:r>
        <w:rPr>
          <w:rStyle w:val="FootnoteReference"/>
          <w:sz w:val="22"/>
        </w:rPr>
        <w:footnoteReference w:id="41"/>
      </w:r>
      <w:bookmarkEnd w:id="30"/>
      <w:r w:rsidRPr="006D12C5">
        <w:t xml:space="preserve">  The</w:t>
      </w:r>
      <w:r w:rsidRPr="006D12C5" w:rsidR="0006242A">
        <w:t xml:space="preserve"> forfeiture guidelines listed in </w:t>
      </w:r>
      <w:r w:rsidRPr="006D12C5" w:rsidR="00E1082A">
        <w:t>s</w:t>
      </w:r>
      <w:r w:rsidRPr="006D12C5" w:rsidR="0006242A">
        <w:t>ection 1.80 of the</w:t>
      </w:r>
      <w:r w:rsidRPr="006D12C5">
        <w:t xml:space="preserve"> </w:t>
      </w:r>
      <w:r w:rsidRPr="006D12C5" w:rsidR="00E55934">
        <w:t xml:space="preserve">Commission’s rules </w:t>
      </w:r>
      <w:r w:rsidRPr="006D12C5">
        <w:t>specifically “are intended as a guide for frequently recurring violations” and not “a complete or exhaustive list of violations.”</w:t>
      </w:r>
      <w:r>
        <w:rPr>
          <w:rStyle w:val="FootnoteReference"/>
          <w:sz w:val="22"/>
        </w:rPr>
        <w:footnoteReference w:id="42"/>
      </w:r>
      <w:r w:rsidRPr="006D12C5">
        <w:t xml:space="preserve">  </w:t>
      </w:r>
      <w:r w:rsidRPr="006D12C5" w:rsidR="007A7760">
        <w:t xml:space="preserve">  </w:t>
      </w:r>
    </w:p>
    <w:p w:rsidR="00D13B67" w:rsidRPr="006D12C5" w:rsidP="00CB0321" w14:paraId="2E2537D9" w14:textId="72EC533A">
      <w:pPr>
        <w:pStyle w:val="ParaNum"/>
        <w:widowControl/>
      </w:pPr>
      <w:r w:rsidRPr="006D12C5">
        <w:t>Section 312(f)(1) of the Act defines “willful” as the “conscious and deliberate commission or omission of [any] act, irrespective of any intent to violate” the law.</w:t>
      </w:r>
      <w:r>
        <w:rPr>
          <w:vertAlign w:val="superscript"/>
        </w:rPr>
        <w:footnoteReference w:id="43"/>
      </w:r>
      <w:r w:rsidRPr="006D12C5">
        <w:t xml:space="preserve">  The legislative history to </w:t>
      </w:r>
      <w:r w:rsidRPr="006D12C5" w:rsidR="0068169C">
        <w:t>s</w:t>
      </w:r>
      <w:r w:rsidRPr="006D12C5">
        <w:t xml:space="preserve">ection 312(f)(1) of the Act clarifies that this definition of willful applies to both </w:t>
      </w:r>
      <w:r w:rsidRPr="006D12C5" w:rsidR="0068169C">
        <w:t>s</w:t>
      </w:r>
      <w:r w:rsidRPr="006D12C5">
        <w:t>ections 312 and 503(b) of the Act,</w:t>
      </w:r>
      <w:r>
        <w:rPr>
          <w:vertAlign w:val="superscript"/>
        </w:rPr>
        <w:footnoteReference w:id="44"/>
      </w:r>
      <w:r w:rsidRPr="006D12C5">
        <w:t xml:space="preserve"> and the Commission has so interpreted the term in the </w:t>
      </w:r>
      <w:r w:rsidRPr="006D12C5" w:rsidR="0068169C">
        <w:t>s</w:t>
      </w:r>
      <w:r w:rsidRPr="006D12C5">
        <w:t>ection 503(b) context.</w:t>
      </w:r>
      <w:r>
        <w:rPr>
          <w:vertAlign w:val="superscript"/>
        </w:rPr>
        <w:footnoteReference w:id="45"/>
      </w:r>
      <w:r w:rsidRPr="006D12C5">
        <w:t xml:space="preserve">  We therefore find that </w:t>
      </w:r>
      <w:r w:rsidRPr="006D12C5" w:rsidR="005857C7">
        <w:t>the Company’s apparent failures to file Worksheets required between February 1, 2018 and August 1, 2020</w:t>
      </w:r>
      <w:r w:rsidRPr="006D12C5">
        <w:t xml:space="preserve"> </w:t>
      </w:r>
      <w:r w:rsidRPr="006D12C5" w:rsidR="005857C7">
        <w:t>were willful.</w:t>
      </w:r>
      <w:r w:rsidRPr="006D12C5">
        <w:t xml:space="preserve"> </w:t>
      </w:r>
      <w:r w:rsidRPr="006D12C5" w:rsidR="005857C7">
        <w:t xml:space="preserve"> Given that the </w:t>
      </w:r>
      <w:r w:rsidRPr="006D12C5" w:rsidR="00622365">
        <w:t xml:space="preserve">Company apparently failed to </w:t>
      </w:r>
      <w:r w:rsidRPr="006D12C5" w:rsidR="005857C7">
        <w:t xml:space="preserve">timely </w:t>
      </w:r>
      <w:r w:rsidRPr="006D12C5" w:rsidR="00622365">
        <w:t xml:space="preserve">file </w:t>
      </w:r>
      <w:r w:rsidRPr="006D12C5" w:rsidR="005857C7">
        <w:t xml:space="preserve">14 </w:t>
      </w:r>
      <w:r w:rsidRPr="006D12C5" w:rsidR="00622365">
        <w:t xml:space="preserve">Worksheets between February 1, 2018 and August 1, 2020, we </w:t>
      </w:r>
      <w:r w:rsidRPr="006D12C5" w:rsidR="005857C7">
        <w:t xml:space="preserve">also </w:t>
      </w:r>
      <w:r w:rsidRPr="006D12C5" w:rsidR="00622365">
        <w:t xml:space="preserve">find that the Company’s apparent </w:t>
      </w:r>
      <w:r w:rsidRPr="006D12C5" w:rsidR="00622365">
        <w:t>violations were repeated.</w:t>
      </w:r>
      <w:r>
        <w:rPr>
          <w:rStyle w:val="FootnoteReference"/>
        </w:rPr>
        <w:footnoteReference w:id="46"/>
      </w:r>
      <w:r w:rsidRPr="006D12C5" w:rsidR="00622365">
        <w:t xml:space="preserve">  </w:t>
      </w:r>
      <w:r w:rsidRPr="006D12C5">
        <w:t>Section 503(b)(6)(B) of the Act provides that no forfeiture penalty shall be imposed if “the violation charged occurred more than 1 year prior to the date of issuance of the required notice or notice of apparent liability.”</w:t>
      </w:r>
      <w:r>
        <w:rPr>
          <w:rStyle w:val="FootnoteReference"/>
          <w:sz w:val="22"/>
        </w:rPr>
        <w:footnoteReference w:id="47"/>
      </w:r>
      <w:r w:rsidRPr="006D12C5">
        <w:t xml:space="preserve">  </w:t>
      </w:r>
      <w:bookmarkStart w:id="31" w:name="_Hlk47448216"/>
      <w:r w:rsidRPr="006D12C5" w:rsidR="00622365">
        <w:t>We</w:t>
      </w:r>
      <w:r w:rsidRPr="006D12C5" w:rsidR="00C5481A">
        <w:t xml:space="preserve"> </w:t>
      </w:r>
      <w:r w:rsidRPr="006D12C5" w:rsidR="00622365">
        <w:t>therefore</w:t>
      </w:r>
      <w:r w:rsidRPr="006D12C5" w:rsidR="00C5481A">
        <w:t xml:space="preserve"> propose a forfeiture for the Company’s </w:t>
      </w:r>
      <w:r w:rsidRPr="006D12C5" w:rsidR="004E0585">
        <w:t xml:space="preserve">apparent </w:t>
      </w:r>
      <w:r w:rsidRPr="006D12C5" w:rsidR="00C5481A">
        <w:t xml:space="preserve">failure to </w:t>
      </w:r>
      <w:r w:rsidRPr="006D12C5" w:rsidR="0073562E">
        <w:t xml:space="preserve">timely </w:t>
      </w:r>
      <w:r w:rsidRPr="006D12C5" w:rsidR="00A762B4">
        <w:t xml:space="preserve">file </w:t>
      </w:r>
      <w:r w:rsidRPr="006D12C5" w:rsidR="001F07C3">
        <w:t xml:space="preserve">its Quarterly Worksheet due August 1, 2020. </w:t>
      </w:r>
      <w:bookmarkEnd w:id="31"/>
      <w:r w:rsidRPr="006D12C5" w:rsidR="00622365">
        <w:t xml:space="preserve"> </w:t>
      </w:r>
      <w:r w:rsidRPr="006D12C5" w:rsidR="00236A49">
        <w:t xml:space="preserve">  </w:t>
      </w:r>
    </w:p>
    <w:p w:rsidR="00C5481A" w:rsidRPr="006D12C5" w:rsidP="00CB0321" w14:paraId="64DC49DC" w14:textId="6FD4EBD4">
      <w:pPr>
        <w:pStyle w:val="ParaNum"/>
        <w:widowControl/>
      </w:pPr>
      <w:r w:rsidRPr="006D12C5">
        <w:t xml:space="preserve">Section 1.80 of the </w:t>
      </w:r>
      <w:r w:rsidRPr="006D12C5" w:rsidR="009C5B57">
        <w:t>Commission’s rules</w:t>
      </w:r>
      <w:r w:rsidRPr="006D12C5" w:rsidR="00A9589E">
        <w:t xml:space="preserve"> specifies a base forfeiture of $3,000 for failure to file required forms or information</w:t>
      </w:r>
      <w:r w:rsidRPr="006D12C5">
        <w:t>.</w:t>
      </w:r>
      <w:r>
        <w:rPr>
          <w:rStyle w:val="FootnoteReference"/>
        </w:rPr>
        <w:footnoteReference w:id="48"/>
      </w:r>
      <w:r w:rsidRPr="006D12C5">
        <w:t xml:space="preserve"> </w:t>
      </w:r>
      <w:r w:rsidRPr="006D12C5" w:rsidR="008E3B43">
        <w:t xml:space="preserve"> </w:t>
      </w:r>
      <w:r w:rsidRPr="006D12C5" w:rsidR="00A9589E">
        <w:t>However, a</w:t>
      </w:r>
      <w:r w:rsidRPr="006D12C5">
        <w:t>s the Commission observed in another USF enforcement action,</w:t>
      </w:r>
      <w:r>
        <w:rPr>
          <w:rStyle w:val="FootnoteReference"/>
          <w:sz w:val="22"/>
        </w:rPr>
        <w:footnoteReference w:id="49"/>
      </w:r>
      <w:r w:rsidRPr="006D12C5">
        <w:t xml:space="preserve"> “the size and scope of the universal service and [other federal regulatory] programs impose a monumental burden on the Commission [and] USAC</w:t>
      </w:r>
      <w:r w:rsidRPr="006D12C5" w:rsidR="00694EAB">
        <w:t xml:space="preserve"> </w:t>
      </w:r>
      <w:r w:rsidRPr="006D12C5">
        <w:t>. . . to verify that each and every carrier has complied with the revenue reporting requirements.  By necessity, the Commission and the other entities must rely on carriers’ compliance with our rules.”</w:t>
      </w:r>
      <w:r>
        <w:rPr>
          <w:rStyle w:val="FootnoteReference"/>
          <w:sz w:val="22"/>
        </w:rPr>
        <w:footnoteReference w:id="50"/>
      </w:r>
      <w:r w:rsidRPr="006D12C5">
        <w:t xml:space="preserve">  </w:t>
      </w:r>
      <w:r w:rsidRPr="006D12C5" w:rsidR="000578E3">
        <w:t xml:space="preserve">USAC relies on the timely filing of Worksheets in order to calculate the correct monthly USF contributions owed by each service provider.  The timely filing of accurate Worksheets is crucial to implementing the Congressional directive to ensure the equitable and non-discriminatory distribution of universal service costs among all service providers.  </w:t>
      </w:r>
      <w:r w:rsidRPr="006D12C5" w:rsidR="00E41F10">
        <w:t>T</w:t>
      </w:r>
      <w:r w:rsidRPr="006D12C5" w:rsidR="008E3B43">
        <w:t xml:space="preserve">he Commission has </w:t>
      </w:r>
      <w:r w:rsidRPr="006D12C5" w:rsidR="00E41F10">
        <w:t xml:space="preserve">consistently </w:t>
      </w:r>
      <w:r w:rsidRPr="006D12C5" w:rsidR="008E3B43">
        <w:t>proposed a forfeiture of $50,000 for each failure</w:t>
      </w:r>
      <w:r w:rsidRPr="006D12C5" w:rsidR="00950E87">
        <w:t xml:space="preserve"> of a service provider</w:t>
      </w:r>
      <w:r w:rsidRPr="006D12C5" w:rsidR="008E3B43">
        <w:t xml:space="preserve"> to file an </w:t>
      </w:r>
      <w:r w:rsidRPr="006D12C5" w:rsidR="00CF0AC0">
        <w:t>A</w:t>
      </w:r>
      <w:r w:rsidRPr="006D12C5" w:rsidR="008E3B43">
        <w:t xml:space="preserve">nnual </w:t>
      </w:r>
      <w:r w:rsidRPr="006D12C5" w:rsidR="00CF0AC0">
        <w:t xml:space="preserve">or Quarterly </w:t>
      </w:r>
      <w:r w:rsidRPr="006D12C5" w:rsidR="008E3B43">
        <w:t>Worksheet.</w:t>
      </w:r>
      <w:bookmarkStart w:id="32" w:name="co_tablefootnote_109_1"/>
      <w:bookmarkEnd w:id="32"/>
      <w:r>
        <w:rPr>
          <w:rStyle w:val="FootnoteReference"/>
        </w:rPr>
        <w:footnoteReference w:id="51"/>
      </w:r>
      <w:r w:rsidRPr="006D12C5" w:rsidR="008E3B43">
        <w:t xml:space="preserve">  </w:t>
      </w:r>
      <w:r w:rsidRPr="006D12C5" w:rsidR="00E066F7">
        <w:t xml:space="preserve">We therefore propose a forfeiture of $50,000 for the </w:t>
      </w:r>
      <w:r w:rsidRPr="006D12C5" w:rsidR="00067F60">
        <w:t xml:space="preserve">Company’s </w:t>
      </w:r>
      <w:r w:rsidRPr="006D12C5" w:rsidR="00E066F7">
        <w:t xml:space="preserve">failure to timely file the Quarterly Worksheet due on August 1, 2020. </w:t>
      </w:r>
    </w:p>
    <w:p w:rsidR="002C484F" w:rsidRPr="006D12C5" w:rsidP="00CB0321" w14:paraId="5D0F53EF" w14:textId="014BFEFA">
      <w:pPr>
        <w:pStyle w:val="ParaNum"/>
        <w:widowControl/>
      </w:pPr>
      <w:r w:rsidRPr="006D12C5">
        <w:t xml:space="preserve">In assessing a forfeiture amount, we consider the nature, extent and gravity of the failure to comply with </w:t>
      </w:r>
      <w:r w:rsidRPr="006D12C5" w:rsidR="00645F11">
        <w:t>the Worksheet filing requirements</w:t>
      </w:r>
      <w:r w:rsidRPr="006D12C5">
        <w:t xml:space="preserve"> to be very serious.</w:t>
      </w:r>
      <w:r>
        <w:rPr>
          <w:rStyle w:val="FootnoteReference"/>
          <w:sz w:val="22"/>
        </w:rPr>
        <w:footnoteReference w:id="52"/>
      </w:r>
      <w:r w:rsidRPr="006D12C5">
        <w:t xml:space="preserve">  </w:t>
      </w:r>
      <w:r w:rsidRPr="006D12C5" w:rsidR="008E3B43">
        <w:t xml:space="preserve">The </w:t>
      </w:r>
      <w:r w:rsidRPr="006D12C5" w:rsidR="007B779B">
        <w:t>Commission</w:t>
      </w:r>
      <w:r w:rsidRPr="006D12C5" w:rsidR="00E0178C">
        <w:t>, USAC,</w:t>
      </w:r>
      <w:r w:rsidRPr="006D12C5" w:rsidR="007B779B">
        <w:t xml:space="preserve"> and </w:t>
      </w:r>
      <w:r w:rsidRPr="006D12C5" w:rsidR="00A64030">
        <w:t xml:space="preserve">the </w:t>
      </w:r>
      <w:r w:rsidRPr="006D12C5" w:rsidR="007B779B">
        <w:t>a</w:t>
      </w:r>
      <w:r w:rsidRPr="006D12C5" w:rsidR="008E3B43">
        <w:t xml:space="preserve">dministrators </w:t>
      </w:r>
      <w:r w:rsidRPr="006D12C5" w:rsidR="006E2E94">
        <w:t xml:space="preserve">of </w:t>
      </w:r>
      <w:bookmarkStart w:id="35" w:name="_Hlk43385263"/>
      <w:r w:rsidRPr="006D12C5" w:rsidR="007B779B">
        <w:t>Telecommunications Relay Service, Local Number Portability, and the North American Numbering Plan</w:t>
      </w:r>
      <w:bookmarkEnd w:id="35"/>
      <w:r w:rsidRPr="006D12C5" w:rsidR="007B779B">
        <w:t xml:space="preserve"> </w:t>
      </w:r>
      <w:r w:rsidRPr="006D12C5" w:rsidR="00E0178C">
        <w:t>r</w:t>
      </w:r>
      <w:r w:rsidRPr="006D12C5" w:rsidR="008E3B43">
        <w:t>ely on the data</w:t>
      </w:r>
      <w:r w:rsidRPr="006D12C5" w:rsidR="007B779B">
        <w:t xml:space="preserve"> reported</w:t>
      </w:r>
      <w:r w:rsidRPr="006D12C5" w:rsidR="008E3B43">
        <w:t xml:space="preserve"> in Worksheets to </w:t>
      </w:r>
      <w:r w:rsidRPr="006D12C5" w:rsidR="004D1A8F">
        <w:t xml:space="preserve">respectively </w:t>
      </w:r>
      <w:r w:rsidRPr="006D12C5" w:rsidR="008E3B43">
        <w:t>determine</w:t>
      </w:r>
      <w:r w:rsidRPr="006D12C5" w:rsidR="00746CDB">
        <w:t xml:space="preserve"> the</w:t>
      </w:r>
      <w:r w:rsidRPr="006D12C5" w:rsidR="00E0178C">
        <w:t xml:space="preserve"> accurate</w:t>
      </w:r>
      <w:r w:rsidRPr="006D12C5" w:rsidR="008E3B43">
        <w:t xml:space="preserve"> amounts that service providers</w:t>
      </w:r>
      <w:r w:rsidRPr="006D12C5" w:rsidR="007B779B">
        <w:t xml:space="preserve"> </w:t>
      </w:r>
      <w:r w:rsidRPr="006D12C5" w:rsidR="008E3B43">
        <w:t xml:space="preserve">owe for </w:t>
      </w:r>
      <w:r w:rsidRPr="006D12C5" w:rsidR="00E0178C">
        <w:t xml:space="preserve">regulatory fees, the </w:t>
      </w:r>
      <w:r w:rsidRPr="006D12C5" w:rsidR="008E3B43">
        <w:t xml:space="preserve">USF, </w:t>
      </w:r>
      <w:r w:rsidRPr="006D12C5" w:rsidR="00E0178C">
        <w:t>and these other important funding mechanisms arising under the Act</w:t>
      </w:r>
      <w:r w:rsidRPr="006D12C5" w:rsidR="008E3B43">
        <w:t>.</w:t>
      </w:r>
      <w:bookmarkStart w:id="36" w:name="co_tablefootnote_108_1"/>
      <w:bookmarkEnd w:id="36"/>
      <w:r>
        <w:rPr>
          <w:rStyle w:val="FootnoteReference"/>
        </w:rPr>
        <w:footnoteReference w:id="53"/>
      </w:r>
      <w:r w:rsidRPr="006D12C5" w:rsidR="007B779B">
        <w:t xml:space="preserve"> </w:t>
      </w:r>
      <w:r w:rsidRPr="006D12C5" w:rsidR="008E3B43">
        <w:t xml:space="preserve"> </w:t>
      </w:r>
      <w:r w:rsidRPr="006D12C5" w:rsidR="00EE527E">
        <w:t>Peace Communications</w:t>
      </w:r>
      <w:r w:rsidRPr="006D12C5" w:rsidR="008E3B43">
        <w:t xml:space="preserve">’ failure to file its Worksheets </w:t>
      </w:r>
      <w:r w:rsidRPr="006D12C5" w:rsidR="00A64030">
        <w:t xml:space="preserve">between </w:t>
      </w:r>
      <w:r w:rsidRPr="006D12C5" w:rsidR="0099406E">
        <w:t>February</w:t>
      </w:r>
      <w:r w:rsidRPr="006D12C5" w:rsidR="00A64030">
        <w:t xml:space="preserve"> </w:t>
      </w:r>
      <w:r w:rsidRPr="006D12C5" w:rsidR="0073562E">
        <w:t xml:space="preserve">1, </w:t>
      </w:r>
      <w:r w:rsidRPr="006D12C5" w:rsidR="00A64030">
        <w:t>201</w:t>
      </w:r>
      <w:r w:rsidRPr="006D12C5" w:rsidR="0099406E">
        <w:t>8</w:t>
      </w:r>
      <w:r w:rsidRPr="006D12C5" w:rsidR="00A64030">
        <w:t xml:space="preserve"> and </w:t>
      </w:r>
      <w:r w:rsidRPr="006D12C5" w:rsidR="0099406E">
        <w:t>August</w:t>
      </w:r>
      <w:r w:rsidRPr="006D12C5" w:rsidR="00A64030">
        <w:t xml:space="preserve"> </w:t>
      </w:r>
      <w:r w:rsidRPr="006D12C5" w:rsidR="0073562E">
        <w:t xml:space="preserve">1, </w:t>
      </w:r>
      <w:r w:rsidRPr="006D12C5" w:rsidR="00A64030">
        <w:t xml:space="preserve">2020 </w:t>
      </w:r>
      <w:r w:rsidRPr="006D12C5" w:rsidR="008E3B43">
        <w:t xml:space="preserve">had serious implications for the administration of </w:t>
      </w:r>
      <w:r w:rsidRPr="006D12C5" w:rsidR="00E0178C">
        <w:t xml:space="preserve">these </w:t>
      </w:r>
      <w:r w:rsidRPr="006D12C5" w:rsidR="006E2E94">
        <w:t>funding mechanisms</w:t>
      </w:r>
      <w:r w:rsidRPr="006D12C5" w:rsidR="008E3B43">
        <w:t>.</w:t>
      </w:r>
      <w:r w:rsidRPr="006D12C5" w:rsidR="00236A49">
        <w:t xml:space="preserve">  </w:t>
      </w:r>
      <w:r w:rsidRPr="006D12C5" w:rsidR="00A64030">
        <w:t>The</w:t>
      </w:r>
      <w:r w:rsidRPr="006D12C5">
        <w:t xml:space="preserve"> </w:t>
      </w:r>
      <w:r w:rsidRPr="006D12C5" w:rsidR="00645F11">
        <w:t xml:space="preserve">ability </w:t>
      </w:r>
      <w:r w:rsidRPr="006D12C5" w:rsidR="00A64030">
        <w:t xml:space="preserve">of the Commission and the administrators </w:t>
      </w:r>
      <w:r w:rsidRPr="006D12C5" w:rsidR="006E2E94">
        <w:t xml:space="preserve">acting on </w:t>
      </w:r>
      <w:r w:rsidRPr="006D12C5" w:rsidR="007417C7">
        <w:t>its</w:t>
      </w:r>
      <w:r w:rsidRPr="006D12C5" w:rsidR="006E2E94">
        <w:t xml:space="preserve"> behalf </w:t>
      </w:r>
      <w:r w:rsidRPr="006D12C5" w:rsidR="00645F11">
        <w:t xml:space="preserve">to </w:t>
      </w:r>
      <w:r w:rsidRPr="006D12C5" w:rsidR="007417C7">
        <w:t>assess</w:t>
      </w:r>
      <w:r w:rsidRPr="006D12C5" w:rsidR="00645F11">
        <w:t xml:space="preserve"> accurate </w:t>
      </w:r>
      <w:r w:rsidRPr="006D12C5" w:rsidR="00A64030">
        <w:t xml:space="preserve">regulatory fees, and </w:t>
      </w:r>
      <w:r w:rsidRPr="006D12C5" w:rsidR="006E2E94">
        <w:t xml:space="preserve">contributions </w:t>
      </w:r>
      <w:r w:rsidRPr="006D12C5" w:rsidR="00B646A5">
        <w:t>for</w:t>
      </w:r>
      <w:r w:rsidRPr="006D12C5" w:rsidR="006E2E94">
        <w:t xml:space="preserve"> the </w:t>
      </w:r>
      <w:r w:rsidRPr="006D12C5" w:rsidR="00645F11">
        <w:t>USF</w:t>
      </w:r>
      <w:r w:rsidRPr="006D12C5" w:rsidR="0055541A">
        <w:t>, and</w:t>
      </w:r>
      <w:r w:rsidRPr="006D12C5" w:rsidR="00A64030">
        <w:t xml:space="preserve"> </w:t>
      </w:r>
      <w:r w:rsidRPr="006D12C5" w:rsidR="006E2E94">
        <w:t>Telecommunications Relay Service, Local Number Portability, and North American Numbering Plan administration</w:t>
      </w:r>
      <w:r w:rsidRPr="006D12C5" w:rsidR="0055541A">
        <w:t>,</w:t>
      </w:r>
      <w:r w:rsidRPr="006D12C5" w:rsidR="006E2E94">
        <w:t xml:space="preserve"> </w:t>
      </w:r>
      <w:r w:rsidRPr="006D12C5" w:rsidR="00645F11">
        <w:t xml:space="preserve">depend on </w:t>
      </w:r>
      <w:r w:rsidRPr="006D12C5" w:rsidR="00A64030">
        <w:t>every</w:t>
      </w:r>
      <w:r w:rsidRPr="006D12C5" w:rsidR="00645F11">
        <w:t xml:space="preserve"> service provider’s compliance with the </w:t>
      </w:r>
      <w:r w:rsidRPr="006D12C5" w:rsidR="00CC00BD">
        <w:t xml:space="preserve">periodic </w:t>
      </w:r>
      <w:r w:rsidRPr="006D12C5" w:rsidR="00A64030">
        <w:t xml:space="preserve">Worksheet </w:t>
      </w:r>
      <w:r w:rsidRPr="006D12C5" w:rsidR="00645F11">
        <w:t>filing requirements</w:t>
      </w:r>
      <w:r w:rsidRPr="006D12C5">
        <w:t>.</w:t>
      </w:r>
      <w:r w:rsidRPr="006D12C5" w:rsidR="0068400B">
        <w:t xml:space="preserve">  A service provider</w:t>
      </w:r>
      <w:r w:rsidRPr="006D12C5" w:rsidR="00977347">
        <w:t>’</w:t>
      </w:r>
      <w:r w:rsidRPr="006D12C5" w:rsidR="0068400B">
        <w:t xml:space="preserve">s failure to timely file its Worksheets impedes the Congressional mandate that </w:t>
      </w:r>
      <w:r w:rsidRPr="006D12C5" w:rsidR="00977347">
        <w:t xml:space="preserve">each </w:t>
      </w:r>
      <w:r w:rsidRPr="006D12C5" w:rsidR="0068400B">
        <w:t>service provider contribute on an equitable and nondiscriminatory basis to the USF</w:t>
      </w:r>
      <w:r w:rsidRPr="006D12C5" w:rsidR="00A64030">
        <w:t>,</w:t>
      </w:r>
      <w:r>
        <w:rPr>
          <w:rStyle w:val="FootnoteReference"/>
          <w:sz w:val="22"/>
        </w:rPr>
        <w:footnoteReference w:id="54"/>
      </w:r>
      <w:r w:rsidRPr="006D12C5" w:rsidR="00A64030">
        <w:t xml:space="preserve"> and </w:t>
      </w:r>
      <w:r w:rsidRPr="006D12C5" w:rsidR="007417C7">
        <w:t xml:space="preserve">to </w:t>
      </w:r>
      <w:r w:rsidRPr="006D12C5" w:rsidR="00A64030">
        <w:t xml:space="preserve">these other </w:t>
      </w:r>
      <w:r w:rsidRPr="006D12C5" w:rsidR="007417C7">
        <w:t>important funding mechan</w:t>
      </w:r>
      <w:r w:rsidRPr="006D12C5" w:rsidR="00A63421">
        <w:t>is</w:t>
      </w:r>
      <w:r w:rsidRPr="006D12C5" w:rsidR="007417C7">
        <w:t>ms</w:t>
      </w:r>
      <w:r w:rsidRPr="006D12C5" w:rsidR="00A64030">
        <w:t xml:space="preserve"> arising under the Act.</w:t>
      </w:r>
      <w:r w:rsidRPr="006D12C5" w:rsidR="00645F11">
        <w:t xml:space="preserve"> </w:t>
      </w:r>
      <w:r w:rsidRPr="006D12C5" w:rsidR="0068400B">
        <w:t xml:space="preserve"> </w:t>
      </w:r>
      <w:r w:rsidRPr="006D12C5">
        <w:t xml:space="preserve">We have also considered the degree of the Company’s </w:t>
      </w:r>
      <w:r w:rsidRPr="006D12C5" w:rsidR="00A64030">
        <w:t>culpability</w:t>
      </w:r>
      <w:r w:rsidRPr="006D12C5" w:rsidR="009C5B57">
        <w:t>, ability to pay,</w:t>
      </w:r>
      <w:r w:rsidRPr="006D12C5" w:rsidR="00A64030">
        <w:t xml:space="preserve"> and</w:t>
      </w:r>
      <w:r w:rsidRPr="006D12C5">
        <w:t xml:space="preserve"> </w:t>
      </w:r>
      <w:r w:rsidRPr="006D12C5" w:rsidR="00AA3608">
        <w:t xml:space="preserve">repeated </w:t>
      </w:r>
      <w:r w:rsidRPr="006D12C5" w:rsidR="00AA3608">
        <w:t>viol</w:t>
      </w:r>
      <w:r w:rsidRPr="006D12C5" w:rsidR="0055541A">
        <w:t>a</w:t>
      </w:r>
      <w:r w:rsidRPr="006D12C5" w:rsidR="00AA3608">
        <w:t>tions</w:t>
      </w:r>
      <w:r w:rsidRPr="006D12C5">
        <w:t>.</w:t>
      </w:r>
      <w:r>
        <w:rPr>
          <w:rStyle w:val="FootnoteReference"/>
          <w:sz w:val="22"/>
        </w:rPr>
        <w:footnoteReference w:id="55"/>
      </w:r>
      <w:r w:rsidRPr="006D12C5">
        <w:t xml:space="preserve">  </w:t>
      </w:r>
      <w:r w:rsidRPr="006D12C5" w:rsidR="00A64030">
        <w:t>The Company has</w:t>
      </w:r>
      <w:r w:rsidRPr="006D12C5">
        <w:t xml:space="preserve"> an important obligation to </w:t>
      </w:r>
      <w:r w:rsidRPr="006D12C5" w:rsidR="0068400B">
        <w:t xml:space="preserve">file four Quarterly Worksheets and an Annual Worksheet every year.  </w:t>
      </w:r>
      <w:r w:rsidRPr="006D12C5" w:rsidR="00EE527E">
        <w:t>Peace Communications</w:t>
      </w:r>
      <w:r w:rsidRPr="006D12C5" w:rsidR="00CC00BD">
        <w:t xml:space="preserve"> has apparently </w:t>
      </w:r>
      <w:r w:rsidRPr="006D12C5" w:rsidR="007C6C53">
        <w:t>failed</w:t>
      </w:r>
      <w:r w:rsidRPr="006D12C5" w:rsidR="00CC00BD">
        <w:t xml:space="preserve"> to comply for </w:t>
      </w:r>
      <w:r w:rsidRPr="006D12C5" w:rsidR="00B23F1E">
        <w:t xml:space="preserve">nearly </w:t>
      </w:r>
      <w:r w:rsidRPr="006D12C5" w:rsidR="00756476">
        <w:t>three</w:t>
      </w:r>
      <w:r w:rsidRPr="006D12C5" w:rsidR="00CC00BD">
        <w:t xml:space="preserve"> years.</w:t>
      </w:r>
      <w:r w:rsidRPr="006D12C5" w:rsidR="007C6C53">
        <w:t xml:space="preserve">  T</w:t>
      </w:r>
      <w:r w:rsidRPr="006D12C5">
        <w:t xml:space="preserve">he Company is thus highly culpable for the apparent </w:t>
      </w:r>
      <w:r w:rsidRPr="006D12C5" w:rsidR="007C6C53">
        <w:t xml:space="preserve">filing </w:t>
      </w:r>
      <w:r w:rsidRPr="006D12C5">
        <w:t>failures, which were repeated</w:t>
      </w:r>
      <w:r w:rsidRPr="006D12C5" w:rsidR="0068400B">
        <w:t xml:space="preserve"> over several years</w:t>
      </w:r>
      <w:r w:rsidRPr="006D12C5">
        <w:t>.</w:t>
      </w:r>
      <w:r w:rsidRPr="006D12C5" w:rsidR="009C5B57">
        <w:t xml:space="preserve">  </w:t>
      </w:r>
      <w:r w:rsidRPr="006D12C5">
        <w:t xml:space="preserve">  </w:t>
      </w:r>
      <w:r w:rsidRPr="006D12C5" w:rsidR="00AE7432">
        <w:t xml:space="preserve">  </w:t>
      </w:r>
    </w:p>
    <w:p w:rsidR="00622365" w:rsidRPr="006D12C5" w:rsidP="00CB0321" w14:paraId="66DACC4D" w14:textId="0D9E9DBA">
      <w:pPr>
        <w:pStyle w:val="ParaNum"/>
        <w:widowControl/>
      </w:pPr>
      <w:r w:rsidRPr="006D12C5">
        <w:t>Section 1.80 of the Commission’s rules provides for an upward adjustment to forfeiture amounts for prior violations of any FCC requirements and for repeated or continuous violations.</w:t>
      </w:r>
      <w:r>
        <w:rPr>
          <w:rStyle w:val="FootnoteReference"/>
          <w:sz w:val="22"/>
        </w:rPr>
        <w:footnoteReference w:id="56"/>
      </w:r>
      <w:r w:rsidRPr="006D12C5">
        <w:t xml:space="preserve">  </w:t>
      </w:r>
      <w:r w:rsidRPr="006D12C5" w:rsidR="00821FA7">
        <w:t xml:space="preserve">We provide notice to </w:t>
      </w:r>
      <w:r w:rsidRPr="006D12C5">
        <w:t>Peace Communications, and other parties required to file Worksheets under section</w:t>
      </w:r>
      <w:r w:rsidRPr="006D12C5" w:rsidR="009859D5">
        <w:t>s</w:t>
      </w:r>
      <w:r w:rsidRPr="006D12C5">
        <w:t xml:space="preserve"> </w:t>
      </w:r>
      <w:r w:rsidRPr="006D12C5" w:rsidR="009859D5">
        <w:t>52.17(b), 52.32(b), 54.711 and 64.604(c)(5)(iii)(B)</w:t>
      </w:r>
      <w:r w:rsidRPr="006D12C5">
        <w:t>of the Commission’s rules</w:t>
      </w:r>
      <w:r w:rsidRPr="006D12C5" w:rsidR="00821FA7">
        <w:t>,</w:t>
      </w:r>
      <w:r>
        <w:rPr>
          <w:vertAlign w:val="superscript"/>
        </w:rPr>
        <w:footnoteReference w:id="57"/>
      </w:r>
      <w:r w:rsidRPr="006D12C5" w:rsidR="00821FA7">
        <w:t xml:space="preserve"> that i</w:t>
      </w:r>
      <w:r w:rsidRPr="006D12C5">
        <w:t xml:space="preserve">n future enforcement actions involving </w:t>
      </w:r>
      <w:r w:rsidRPr="006D12C5" w:rsidR="00821FA7">
        <w:t xml:space="preserve">the failure to file Worksheets we may </w:t>
      </w:r>
      <w:r w:rsidRPr="006D12C5" w:rsidR="00A453A8">
        <w:t xml:space="preserve">also </w:t>
      </w:r>
      <w:r w:rsidRPr="006D12C5" w:rsidR="00821FA7">
        <w:t>apply a</w:t>
      </w:r>
      <w:r w:rsidRPr="006D12C5" w:rsidR="00E741AA">
        <w:t xml:space="preserve"> further</w:t>
      </w:r>
      <w:r w:rsidRPr="006D12C5" w:rsidR="00821FA7">
        <w:t xml:space="preserve"> upward adjustment to forfeiture amounts when filing failures are repeated.</w:t>
      </w:r>
      <w:r>
        <w:rPr>
          <w:rStyle w:val="FootnoteReference"/>
        </w:rPr>
        <w:footnoteReference w:id="58"/>
      </w:r>
      <w:r w:rsidRPr="006D12C5" w:rsidR="00821FA7">
        <w:t xml:space="preserve">  </w:t>
      </w:r>
    </w:p>
    <w:p w:rsidR="00B4684B" w:rsidRPr="006D12C5" w:rsidP="00CB0321" w14:paraId="3013D2DD" w14:textId="1915B2AD">
      <w:pPr>
        <w:pStyle w:val="ParaNum"/>
        <w:widowControl/>
      </w:pPr>
      <w:r w:rsidRPr="006D12C5">
        <w:t xml:space="preserve">Consistent with the Act and </w:t>
      </w:r>
      <w:r w:rsidRPr="006D12C5" w:rsidR="00DB7D79">
        <w:t>the</w:t>
      </w:r>
      <w:r w:rsidRPr="006D12C5">
        <w:t xml:space="preserve"> </w:t>
      </w:r>
      <w:r w:rsidRPr="006D12C5" w:rsidR="00573C5C">
        <w:t>Commission’s r</w:t>
      </w:r>
      <w:r w:rsidRPr="006D12C5">
        <w:t>ules,</w:t>
      </w:r>
      <w:r>
        <w:rPr>
          <w:rStyle w:val="FootnoteReference"/>
          <w:sz w:val="22"/>
        </w:rPr>
        <w:footnoteReference w:id="59"/>
      </w:r>
      <w:r w:rsidRPr="006D12C5">
        <w:t xml:space="preserve"> we have exercised our discretion and considered the specific circumstances related to </w:t>
      </w:r>
      <w:r w:rsidRPr="006D12C5" w:rsidR="00D67491">
        <w:t>the Company</w:t>
      </w:r>
      <w:r w:rsidRPr="006D12C5">
        <w:t xml:space="preserve"> and the violations it apparently committed, and we therefore find </w:t>
      </w:r>
      <w:r w:rsidRPr="006D12C5" w:rsidR="00D67491">
        <w:t>the Company</w:t>
      </w:r>
      <w:r w:rsidRPr="006D12C5">
        <w:t xml:space="preserve"> apparently liable for a </w:t>
      </w:r>
      <w:r w:rsidRPr="006D12C5" w:rsidR="00F903E0">
        <w:t xml:space="preserve">total proposed </w:t>
      </w:r>
      <w:r w:rsidRPr="006D12C5">
        <w:t>forfeiture of</w:t>
      </w:r>
      <w:r w:rsidRPr="006D12C5" w:rsidR="00F903E0">
        <w:t xml:space="preserve"> </w:t>
      </w:r>
      <w:bookmarkStart w:id="37" w:name="_Hlk43386276"/>
      <w:r w:rsidRPr="006D12C5" w:rsidR="00E066F7">
        <w:t xml:space="preserve">fifty </w:t>
      </w:r>
      <w:r w:rsidRPr="006D12C5" w:rsidR="00A81ADD">
        <w:t xml:space="preserve">thousand </w:t>
      </w:r>
      <w:r w:rsidRPr="006D12C5" w:rsidR="00F903E0">
        <w:t>dollars ($</w:t>
      </w:r>
      <w:r w:rsidRPr="006D12C5" w:rsidR="00E066F7">
        <w:t>50,000</w:t>
      </w:r>
      <w:r w:rsidRPr="006D12C5" w:rsidR="00F903E0">
        <w:t>)</w:t>
      </w:r>
      <w:bookmarkEnd w:id="37"/>
      <w:r w:rsidRPr="006D12C5" w:rsidR="00F903E0">
        <w:t xml:space="preserve"> </w:t>
      </w:r>
      <w:r w:rsidRPr="006D12C5">
        <w:t xml:space="preserve">for its </w:t>
      </w:r>
      <w:r w:rsidRPr="006D12C5" w:rsidR="00F903E0">
        <w:t xml:space="preserve">apparent, </w:t>
      </w:r>
      <w:r w:rsidRPr="006D12C5">
        <w:t xml:space="preserve">willful and repeated failure to </w:t>
      </w:r>
      <w:r w:rsidRPr="006D12C5" w:rsidR="00D67491">
        <w:t xml:space="preserve">timely </w:t>
      </w:r>
      <w:r w:rsidRPr="006D12C5" w:rsidR="00C5287D">
        <w:t>comply with the Commission’s Worksheet filing requirements</w:t>
      </w:r>
      <w:r w:rsidRPr="006D12C5">
        <w:rPr>
          <w:lang w:eastAsia="zh-HK"/>
        </w:rPr>
        <w:t>.</w:t>
      </w:r>
    </w:p>
    <w:p w:rsidR="00796F09" w:rsidRPr="006D12C5" w:rsidP="00CB0321" w14:paraId="038D365D" w14:textId="77777777">
      <w:pPr>
        <w:pStyle w:val="Heading1"/>
        <w:widowControl/>
        <w:rPr>
          <w:rFonts w:ascii="Times New Roman" w:hAnsi="Times New Roman"/>
        </w:rPr>
      </w:pPr>
      <w:r w:rsidRPr="006D12C5">
        <w:rPr>
          <w:rFonts w:ascii="Times New Roman" w:hAnsi="Times New Roman"/>
        </w:rPr>
        <w:t>ordering clauses</w:t>
      </w:r>
    </w:p>
    <w:p w:rsidR="00EA0B4A" w:rsidRPr="006D12C5" w:rsidP="00CB0321" w14:paraId="5B6B4B9A" w14:textId="6F41C0D1">
      <w:pPr>
        <w:pStyle w:val="ParaNum"/>
        <w:widowControl/>
      </w:pPr>
      <w:r w:rsidRPr="006D12C5">
        <w:t xml:space="preserve">Accordingly, </w:t>
      </w:r>
      <w:r w:rsidRPr="006D12C5">
        <w:rPr>
          <w:b/>
        </w:rPr>
        <w:t xml:space="preserve">IT IS ORDERED </w:t>
      </w:r>
      <w:r w:rsidRPr="006D12C5">
        <w:t xml:space="preserve">that, pursuant to </w:t>
      </w:r>
      <w:r w:rsidRPr="006D12C5" w:rsidR="0068169C">
        <w:t>s</w:t>
      </w:r>
      <w:r w:rsidRPr="006D12C5">
        <w:t xml:space="preserve">ection 503(b) of the Act, and 1.80 of the </w:t>
      </w:r>
      <w:r w:rsidRPr="006D12C5" w:rsidR="004E68A7">
        <w:t>Commission’s r</w:t>
      </w:r>
      <w:r w:rsidRPr="006D12C5">
        <w:t>ules,</w:t>
      </w:r>
      <w:r>
        <w:rPr>
          <w:vertAlign w:val="superscript"/>
        </w:rPr>
        <w:footnoteReference w:id="60"/>
      </w:r>
      <w:r w:rsidRPr="006D12C5">
        <w:t xml:space="preserve"> </w:t>
      </w:r>
      <w:r w:rsidRPr="006D12C5" w:rsidR="00EE527E">
        <w:t xml:space="preserve">Peace Communications, </w:t>
      </w:r>
      <w:r w:rsidRPr="006D12C5" w:rsidR="002D657D">
        <w:t>LLC</w:t>
      </w:r>
      <w:r w:rsidRPr="006D12C5" w:rsidR="008C5124">
        <w:rPr>
          <w:spacing w:val="-2"/>
        </w:rPr>
        <w:t xml:space="preserve"> </w:t>
      </w:r>
      <w:r w:rsidRPr="006D12C5">
        <w:t xml:space="preserve">is hereby </w:t>
      </w:r>
      <w:r w:rsidRPr="006D12C5">
        <w:rPr>
          <w:b/>
        </w:rPr>
        <w:t xml:space="preserve">NOTIFIED </w:t>
      </w:r>
      <w:r w:rsidRPr="006D12C5">
        <w:t xml:space="preserve">of this </w:t>
      </w:r>
      <w:r w:rsidRPr="006D12C5">
        <w:rPr>
          <w:b/>
        </w:rPr>
        <w:t xml:space="preserve">APPARENT LIABILITY FOR A FORFEITURE </w:t>
      </w:r>
      <w:r w:rsidRPr="006D12C5">
        <w:t xml:space="preserve">in the amount of </w:t>
      </w:r>
      <w:r w:rsidRPr="006D12C5" w:rsidR="00E066F7">
        <w:t>fifty</w:t>
      </w:r>
      <w:r w:rsidRPr="006D12C5" w:rsidR="00A81ADD">
        <w:t xml:space="preserve"> thousand dollars ($</w:t>
      </w:r>
      <w:r w:rsidRPr="006D12C5" w:rsidR="00E066F7">
        <w:t>50,000</w:t>
      </w:r>
      <w:r w:rsidRPr="006D12C5" w:rsidR="00A81ADD">
        <w:t>)</w:t>
      </w:r>
      <w:r w:rsidRPr="006D12C5">
        <w:t xml:space="preserve"> for apparently</w:t>
      </w:r>
      <w:r w:rsidRPr="006D12C5" w:rsidR="00AC3C83">
        <w:t>,</w:t>
      </w:r>
      <w:r w:rsidRPr="006D12C5">
        <w:t xml:space="preserve"> willfully and repeatedly violating </w:t>
      </w:r>
      <w:r w:rsidRPr="006D12C5" w:rsidR="002C484F">
        <w:t>s</w:t>
      </w:r>
      <w:r w:rsidRPr="006D12C5">
        <w:t>ection 54.711</w:t>
      </w:r>
      <w:r w:rsidRPr="006D12C5" w:rsidR="00C24378">
        <w:t xml:space="preserve"> </w:t>
      </w:r>
      <w:r w:rsidRPr="006D12C5">
        <w:t xml:space="preserve">of the </w:t>
      </w:r>
      <w:r w:rsidRPr="006D12C5" w:rsidR="00573C5C">
        <w:t>Commission’s rules</w:t>
      </w:r>
      <w:r w:rsidRPr="006D12C5" w:rsidR="00A81ADD">
        <w:t>.</w:t>
      </w:r>
      <w:r>
        <w:rPr>
          <w:vertAlign w:val="superscript"/>
        </w:rPr>
        <w:footnoteReference w:id="61"/>
      </w:r>
      <w:r w:rsidRPr="006D12C5">
        <w:t xml:space="preserve"> </w:t>
      </w:r>
    </w:p>
    <w:p w:rsidR="00796F09" w:rsidRPr="006D12C5" w:rsidP="00CB0321" w14:paraId="3E40272A" w14:textId="71B9A015">
      <w:pPr>
        <w:pStyle w:val="ParaNum"/>
        <w:widowControl/>
        <w:rPr>
          <w:spacing w:val="-2"/>
        </w:rPr>
      </w:pPr>
      <w:r w:rsidRPr="006D12C5">
        <w:rPr>
          <w:b/>
        </w:rPr>
        <w:t>IT IS FURTHER ORDERED</w:t>
      </w:r>
      <w:r w:rsidRPr="006D12C5">
        <w:t xml:space="preserve"> that, pursuant to section 1.80 of the </w:t>
      </w:r>
      <w:r w:rsidRPr="006D12C5" w:rsidR="004E68A7">
        <w:t>Commission’s r</w:t>
      </w:r>
      <w:r w:rsidRPr="006D12C5">
        <w:t>ules,</w:t>
      </w:r>
      <w:r>
        <w:rPr>
          <w:vertAlign w:val="superscript"/>
        </w:rPr>
        <w:footnoteReference w:id="62"/>
      </w:r>
      <w:r w:rsidRPr="006D12C5">
        <w:t xml:space="preserve"> within thirty (30) calendar days of the release date of this Notice of Apparent Liability for Forfeiture and Order, </w:t>
      </w:r>
      <w:r w:rsidRPr="006D12C5" w:rsidR="00EE527E">
        <w:t xml:space="preserve">Peace Communications, </w:t>
      </w:r>
      <w:r w:rsidRPr="006D12C5" w:rsidR="002D657D">
        <w:t>LLC</w:t>
      </w:r>
      <w:r w:rsidRPr="006D12C5">
        <w:t xml:space="preserve"> </w:t>
      </w:r>
      <w:r w:rsidRPr="006D12C5">
        <w:rPr>
          <w:b/>
        </w:rPr>
        <w:t>SHALL PAY</w:t>
      </w:r>
      <w:r w:rsidRPr="006D12C5">
        <w:t xml:space="preserve"> the full amount of the proposed forfeiture or </w:t>
      </w:r>
      <w:r w:rsidRPr="006D12C5">
        <w:rPr>
          <w:b/>
        </w:rPr>
        <w:t>SHALL FILE</w:t>
      </w:r>
      <w:r w:rsidRPr="006D12C5">
        <w:t xml:space="preserve"> a written statement seeking reduction or cancellation of the proposed forfeiture consistent with paragraph </w:t>
      </w:r>
      <w:r w:rsidRPr="006D12C5" w:rsidR="00114B2B">
        <w:t>2</w:t>
      </w:r>
      <w:r w:rsidRPr="006D12C5" w:rsidR="00A453A8">
        <w:t>3</w:t>
      </w:r>
      <w:r w:rsidRPr="006D12C5">
        <w:t xml:space="preserve"> below</w:t>
      </w:r>
      <w:r w:rsidRPr="006D12C5">
        <w:t>.</w:t>
      </w:r>
    </w:p>
    <w:p w:rsidR="00A87E80" w:rsidRPr="006D12C5" w:rsidP="00CB0321" w14:paraId="3E2B5664" w14:textId="121D01A0">
      <w:pPr>
        <w:pStyle w:val="ParaNum"/>
        <w:widowControl/>
      </w:pPr>
      <w:r w:rsidRPr="006D12C5">
        <w:t xml:space="preserve">Peace Communications, </w:t>
      </w:r>
      <w:r w:rsidRPr="006D12C5" w:rsidR="002D657D">
        <w:t>LLC</w:t>
      </w:r>
      <w:r w:rsidRPr="006D12C5" w:rsidR="00C5287D">
        <w:t xml:space="preserve"> </w:t>
      </w:r>
      <w:r w:rsidRPr="006D12C5">
        <w:rPr>
          <w:rFonts w:eastAsia="MS Mincho"/>
        </w:rPr>
        <w:t xml:space="preserve">shall send </w:t>
      </w:r>
      <w:r w:rsidRPr="006D12C5">
        <w:t xml:space="preserve">electronic notification of payment to </w:t>
      </w:r>
      <w:r w:rsidRPr="006D12C5">
        <w:t>Conor O’Donovan</w:t>
      </w:r>
      <w:r w:rsidRPr="006D12C5">
        <w:t xml:space="preserve">, Enforcement Bureau, Federal Communications Commission, at </w:t>
      </w:r>
      <w:hyperlink r:id="rId5" w:history="1">
        <w:r w:rsidRPr="00B80A3D" w:rsidR="00A83AAE">
          <w:rPr>
            <w:rStyle w:val="Hyperlink"/>
            <w:rFonts w:eastAsia="MS Mincho"/>
          </w:rPr>
          <w:t>Conor.O’Donovan@fcc.gov</w:t>
        </w:r>
      </w:hyperlink>
      <w:r w:rsidRPr="006D12C5" w:rsidR="00A83AAE">
        <w:t xml:space="preserve">  </w:t>
      </w:r>
      <w:r w:rsidRPr="006D12C5" w:rsidR="00293AD3">
        <w:t xml:space="preserve"> </w:t>
      </w:r>
      <w:r w:rsidRPr="006D12C5">
        <w:t>on the date said payment is made.  Payment of the forfeiture must be made by credit card, ACH (Automated Clearing House) debit from a bank account using the Commission’s Fee Filer (the Commission’s online payment system),</w:t>
      </w:r>
      <w:r>
        <w:rPr>
          <w:rStyle w:val="FootnoteReference"/>
          <w:sz w:val="22"/>
        </w:rPr>
        <w:footnoteReference w:id="63"/>
      </w:r>
      <w:r w:rsidRPr="006D12C5">
        <w:t xml:space="preserve"> or by wire transfer.  The Commission no longer accepts </w:t>
      </w:r>
      <w:r w:rsidRPr="006D12C5">
        <w:t>forfeiture payments by check or money order.  Below are instructions that payors should follow based on the form of payment selected:</w:t>
      </w:r>
      <w:r>
        <w:rPr>
          <w:vertAlign w:val="superscript"/>
        </w:rPr>
        <w:footnoteReference w:id="64"/>
      </w:r>
      <w:r w:rsidRPr="006D12C5">
        <w:t xml:space="preserve"> </w:t>
      </w:r>
    </w:p>
    <w:p w:rsidR="00A87E80" w:rsidRPr="006D12C5" w:rsidP="00CB0321" w14:paraId="1F9E15E5" w14:textId="0B6C582B">
      <w:pPr>
        <w:pStyle w:val="ParaNum"/>
        <w:widowControl/>
        <w:numPr>
          <w:ilvl w:val="0"/>
          <w:numId w:val="15"/>
        </w:numPr>
        <w:tabs>
          <w:tab w:val="num" w:pos="1080"/>
        </w:tabs>
        <w:autoSpaceDE w:val="0"/>
        <w:autoSpaceDN w:val="0"/>
        <w:adjustRightInd w:val="0"/>
      </w:pPr>
      <w:r w:rsidRPr="006D12C5">
        <w:rPr>
          <w:rFonts w:eastAsia="MS Mincho"/>
        </w:rPr>
        <w:t xml:space="preserve"> Payment by wire transfer must be made to ABA Number 021030004, receiving bank TREAS/NYC, and Account Number 27000001.  A completed Form 159 must be faxed to the Federal Communications Commission at 202-418-2843 or e-mailed to </w:t>
      </w:r>
      <w:hyperlink r:id="rId5" w:history="1">
        <w:r w:rsidRPr="00B80A3D">
          <w:rPr>
            <w:rStyle w:val="Hyperlink"/>
            <w:rFonts w:eastAsia="MS Mincho"/>
          </w:rPr>
          <w:t>RROGWireFaxes@fcc.gov</w:t>
        </w:r>
      </w:hyperlink>
      <w:r w:rsidRPr="006D12C5">
        <w:rPr>
          <w:rFonts w:eastAsia="MS Mincho"/>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Fonts w:eastAsia="MS Mincho"/>
          <w:sz w:val="22"/>
        </w:rPr>
        <w:footnoteReference w:id="65"/>
      </w:r>
      <w:r w:rsidRPr="006D12C5">
        <w:rPr>
          <w:rFonts w:eastAsia="MS Mincho"/>
        </w:rPr>
        <w:t xml:space="preserve">  For additional detail and wire transfer instructions, go to</w:t>
      </w:r>
      <w:r w:rsidRPr="00B80A3D">
        <w:rPr>
          <w:rStyle w:val="Hyperlink"/>
          <w:rFonts w:eastAsia="MS Mincho"/>
        </w:rPr>
        <w:t xml:space="preserve"> </w:t>
      </w:r>
      <w:hyperlink r:id="rId6" w:history="1">
        <w:r w:rsidRPr="00B80A3D">
          <w:rPr>
            <w:rStyle w:val="Hyperlink"/>
            <w:rFonts w:eastAsia="MS Mincho"/>
          </w:rPr>
          <w:t>https://www.fcc.gov/licensingdatabases/fees/wire-transfer</w:t>
        </w:r>
      </w:hyperlink>
      <w:r w:rsidRPr="006D12C5">
        <w:rPr>
          <w:rFonts w:eastAsia="MS Mincho"/>
        </w:rPr>
        <w:t xml:space="preserve">. </w:t>
      </w:r>
    </w:p>
    <w:p w:rsidR="00A87E80" w:rsidRPr="006D12C5" w:rsidP="00CB0321" w14:paraId="0EBAA452" w14:textId="77777777">
      <w:pPr>
        <w:pStyle w:val="ParaNum"/>
        <w:widowControl/>
        <w:numPr>
          <w:ilvl w:val="0"/>
          <w:numId w:val="15"/>
        </w:numPr>
        <w:tabs>
          <w:tab w:val="num" w:pos="1080"/>
        </w:tabs>
        <w:autoSpaceDE w:val="0"/>
        <w:autoSpaceDN w:val="0"/>
        <w:adjustRightInd w:val="0"/>
      </w:pPr>
      <w:r w:rsidRPr="006D12C5">
        <w:rPr>
          <w:rFonts w:eastAsia="MS Mincho"/>
        </w:rPr>
        <w:t xml:space="preserve">Payment by credit card must be made by using the Commission’s Fee Filer website at </w:t>
      </w:r>
      <w:hyperlink r:id="rId7" w:history="1">
        <w:r w:rsidRPr="00B80A3D" w:rsidR="004015F6">
          <w:rPr>
            <w:rStyle w:val="Hyperlink"/>
            <w:rFonts w:eastAsia="MS Mincho"/>
          </w:rPr>
          <w:t>https://apps.fcc.gov/FeeFiler/login.cfm</w:t>
        </w:r>
      </w:hyperlink>
      <w:r w:rsidRPr="006D12C5" w:rsidR="004015F6">
        <w:rPr>
          <w:rFonts w:eastAsia="MS Mincho"/>
        </w:rPr>
        <w:t>.</w:t>
      </w:r>
      <w:r w:rsidRPr="006D12C5">
        <w:rPr>
          <w:rFonts w:eastAsia="MS Mincho"/>
        </w:rPr>
        <w:t xml:space="preserve">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796F09" w:rsidRPr="006D12C5" w:rsidP="00CB0321" w14:paraId="293EA51F" w14:textId="72EE71BE">
      <w:pPr>
        <w:pStyle w:val="ParaNum"/>
        <w:widowControl/>
        <w:numPr>
          <w:ilvl w:val="0"/>
          <w:numId w:val="15"/>
        </w:numPr>
        <w:tabs>
          <w:tab w:val="num" w:pos="1080"/>
        </w:tabs>
        <w:autoSpaceDE w:val="0"/>
        <w:autoSpaceDN w:val="0"/>
        <w:adjustRightInd w:val="0"/>
      </w:pPr>
      <w:r w:rsidRPr="006D12C5">
        <w:rPr>
          <w:rFonts w:eastAsia="MS Mincho"/>
        </w:rPr>
        <w:t xml:space="preserve">Payment by ACH must be made by using the Commission’s Fee Filer website at </w:t>
      </w:r>
      <w:hyperlink r:id="rId7" w:history="1">
        <w:r w:rsidRPr="00B80A3D" w:rsidR="004015F6">
          <w:rPr>
            <w:rStyle w:val="Hyperlink"/>
            <w:rFonts w:eastAsia="MS Mincho"/>
          </w:rPr>
          <w:t>https://apps.fcc.gov/FeeFiler/login.cfm</w:t>
        </w:r>
      </w:hyperlink>
      <w:r w:rsidRPr="006D12C5">
        <w:rPr>
          <w:rFonts w:eastAsia="MS Mincho"/>
        </w:rPr>
        <w:t>.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rsidRPr="006D12C5">
        <w:rPr>
          <w:rFonts w:eastAsia="MS Mincho"/>
        </w:rPr>
        <w:t>.</w:t>
      </w:r>
    </w:p>
    <w:p w:rsidR="00E80FC6" w:rsidRPr="006D12C5" w:rsidP="00CB0321" w14:paraId="63516D1A" w14:textId="293D94D9">
      <w:pPr>
        <w:pStyle w:val="ParaNum"/>
        <w:keepNext/>
        <w:widowControl/>
      </w:pPr>
      <w:bookmarkStart w:id="38" w:name="_Hlk41388985"/>
      <w:r w:rsidRPr="006D12C5">
        <w:t xml:space="preserve">Any request for making full payment over time under an installment plan should be sent to Chief Financial Officer—Financial Operations, Federal Communications Commission, 45 </w:t>
      </w:r>
      <w:r w:rsidRPr="006D12C5" w:rsidR="007306E4">
        <w:t xml:space="preserve">L </w:t>
      </w:r>
      <w:r w:rsidRPr="006D12C5">
        <w:t xml:space="preserve">Street, </w:t>
      </w:r>
      <w:r w:rsidRPr="006D12C5" w:rsidR="007306E4">
        <w:t>NE</w:t>
      </w:r>
      <w:r w:rsidRPr="006D12C5">
        <w:t xml:space="preserve">, Washington, DC 20554 and e-mailed to Scott Radcliffe, Revenue &amp; Receivables Operations Group, FCC Office of the Managing Director, at </w:t>
      </w:r>
      <w:hyperlink r:id="rId8" w:history="1">
        <w:r w:rsidRPr="00B80A3D">
          <w:rPr>
            <w:rStyle w:val="Hyperlink"/>
            <w:rFonts w:eastAsia="MS Mincho"/>
          </w:rPr>
          <w:t>Scott.Radcliffe@fcc.gov</w:t>
        </w:r>
      </w:hyperlink>
      <w:r w:rsidRPr="006D12C5">
        <w:rPr>
          <w:rStyle w:val="Hyperlink"/>
          <w:color w:val="auto"/>
          <w:u w:val="none"/>
        </w:rPr>
        <w:t>.</w:t>
      </w:r>
      <w:r>
        <w:rPr>
          <w:rFonts w:eastAsia="MS Mincho"/>
          <w:vertAlign w:val="superscript"/>
        </w:rPr>
        <w:footnoteReference w:id="66"/>
      </w:r>
      <w:r w:rsidRPr="006D12C5">
        <w:t xml:space="preserve">  If you have questions regarding payment procedures, please contact the Financial Operations Group Help Desk by phone, 1-877-480-3201, or by e</w:t>
      </w:r>
      <w:r w:rsidRPr="006D12C5">
        <w:noBreakHyphen/>
        <w:t xml:space="preserve">mail, </w:t>
      </w:r>
      <w:bookmarkEnd w:id="38"/>
      <w:hyperlink r:id="rId9" w:history="1">
        <w:r w:rsidRPr="00B80A3D">
          <w:rPr>
            <w:rStyle w:val="Hyperlink"/>
            <w:rFonts w:eastAsia="MS Mincho"/>
          </w:rPr>
          <w:t>ARINQUIRIES@fcc.gov</w:t>
        </w:r>
      </w:hyperlink>
      <w:r w:rsidRPr="006D12C5" w:rsidR="00796F09">
        <w:t>.</w:t>
      </w:r>
    </w:p>
    <w:p w:rsidR="00E80FC6" w:rsidRPr="006D12C5" w:rsidP="00CB0321" w14:paraId="45D36C4A" w14:textId="488F0FBB">
      <w:pPr>
        <w:pStyle w:val="ParaNum"/>
        <w:keepNext/>
        <w:widowControl/>
      </w:pPr>
      <w:r w:rsidRPr="006D12C5">
        <w:t xml:space="preserve">The written statement seeking reduction or cancellation of the proposed forfeiture, if any, must include a detailed factual statement supported by appropriate documentation and affidavits pursuant to </w:t>
      </w:r>
      <w:r w:rsidRPr="006D12C5" w:rsidR="0068169C">
        <w:t>s</w:t>
      </w:r>
      <w:r w:rsidRPr="006D12C5">
        <w:t>ections 1.16 and 1.80(</w:t>
      </w:r>
      <w:r w:rsidRPr="006D12C5" w:rsidR="00FB2073">
        <w:t>g</w:t>
      </w:r>
      <w:r w:rsidRPr="006D12C5">
        <w:t xml:space="preserve">)(3) of the </w:t>
      </w:r>
      <w:r w:rsidRPr="006D12C5" w:rsidR="0030682F">
        <w:t xml:space="preserve">Commission’s </w:t>
      </w:r>
      <w:r w:rsidRPr="006D12C5">
        <w:t>rules.</w:t>
      </w:r>
      <w:r>
        <w:rPr>
          <w:vertAlign w:val="superscript"/>
        </w:rPr>
        <w:footnoteReference w:id="67"/>
      </w:r>
      <w:r w:rsidRPr="006D12C5">
        <w:t xml:space="preserve">  The written statement must be mailed to Jeffrey J. Gee, Chief, Investigations and Hearings Division, Enforcement Bureau, Federal Communications Commission, </w:t>
      </w:r>
      <w:r w:rsidRPr="006D12C5" w:rsidR="00FB2073">
        <w:t>45 L Street, NE</w:t>
      </w:r>
      <w:r w:rsidRPr="006D12C5">
        <w:t xml:space="preserve">, Washington, D.C. 20554, and must include the </w:t>
      </w:r>
      <w:r w:rsidRPr="006D12C5">
        <w:t xml:space="preserve">NAL/Acct. No. referenced in the caption.  The written statement shall also be e-mailed to Jeffrey J. Gee at </w:t>
      </w:r>
      <w:hyperlink r:id="rId10" w:history="1">
        <w:r w:rsidRPr="00B80A3D">
          <w:rPr>
            <w:rStyle w:val="Hyperlink"/>
            <w:rFonts w:eastAsia="MS Mincho"/>
          </w:rPr>
          <w:t>Jeffrey.Gee@fcc.gov</w:t>
        </w:r>
      </w:hyperlink>
      <w:r w:rsidRPr="006D12C5">
        <w:t xml:space="preserve"> and to </w:t>
      </w:r>
      <w:r w:rsidRPr="006D12C5" w:rsidR="00EE527E">
        <w:t>Conor O’Donovan</w:t>
      </w:r>
      <w:r w:rsidRPr="006D12C5">
        <w:t xml:space="preserve"> at </w:t>
      </w:r>
      <w:hyperlink r:id="rId11" w:history="1">
        <w:r w:rsidRPr="00B80A3D" w:rsidR="00EE527E">
          <w:rPr>
            <w:rStyle w:val="Hyperlink"/>
            <w:rFonts w:eastAsia="MS Mincho"/>
          </w:rPr>
          <w:t>Conor.O’Donovan</w:t>
        </w:r>
        <w:r w:rsidRPr="00B80A3D" w:rsidR="0006759D">
          <w:rPr>
            <w:rStyle w:val="Hyperlink"/>
            <w:rFonts w:eastAsia="MS Mincho"/>
          </w:rPr>
          <w:t>@fcc.gov</w:t>
        </w:r>
      </w:hyperlink>
      <w:r w:rsidRPr="006D12C5" w:rsidR="00796F09">
        <w:t xml:space="preserve">.  </w:t>
      </w:r>
    </w:p>
    <w:p w:rsidR="00E80FC6" w:rsidRPr="006D12C5" w:rsidP="00CB0321" w14:paraId="5AEE37A9" w14:textId="77777777">
      <w:pPr>
        <w:pStyle w:val="ParaNum"/>
        <w:keepNext/>
        <w:widowControl/>
        <w:spacing w:after="0"/>
      </w:pPr>
      <w:r w:rsidRPr="006D12C5">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47 U.S.C. § 503(b)(2)(E) support that result.</w:t>
      </w:r>
      <w:r>
        <w:rPr>
          <w:vertAlign w:val="superscript"/>
        </w:rPr>
        <w:footnoteReference w:id="68"/>
      </w:r>
      <w:r w:rsidRPr="006D12C5">
        <w:t xml:space="preserve"> </w:t>
      </w:r>
    </w:p>
    <w:p w:rsidR="00ED1750" w:rsidRPr="006D12C5" w:rsidP="00CB0321" w14:paraId="14E3821F" w14:textId="77777777">
      <w:pPr>
        <w:widowControl/>
        <w:rPr>
          <w:b/>
        </w:rPr>
      </w:pPr>
      <w:r w:rsidRPr="006D12C5">
        <w:rPr>
          <w:b/>
        </w:rPr>
        <w:br w:type="page"/>
      </w:r>
    </w:p>
    <w:p w:rsidR="00796F09" w:rsidRPr="006D12C5" w:rsidP="00CB0321" w14:paraId="7109A329" w14:textId="335B51E0">
      <w:pPr>
        <w:pStyle w:val="ParaNum"/>
        <w:keepNext/>
        <w:widowControl/>
      </w:pPr>
      <w:r w:rsidRPr="006D12C5">
        <w:rPr>
          <w:b/>
        </w:rPr>
        <w:t>IT IS FURTHER ORDERED</w:t>
      </w:r>
      <w:r w:rsidRPr="006D12C5">
        <w:t xml:space="preserve"> that a copy of this Notice of Apparent Liability for Forfeiture and Order shall be sent by certified mail, return receipt requested, and first-class mail to </w:t>
      </w:r>
      <w:r w:rsidRPr="006D12C5" w:rsidR="00756476">
        <w:t>Steve Blankenship, Chief Financial Officer,</w:t>
      </w:r>
      <w:r w:rsidRPr="006D12C5" w:rsidR="00293AD3">
        <w:t xml:space="preserve"> </w:t>
      </w:r>
      <w:r w:rsidRPr="006D12C5" w:rsidR="00EE527E">
        <w:t xml:space="preserve">Peace Communications, </w:t>
      </w:r>
      <w:r w:rsidRPr="006D12C5" w:rsidR="002D657D">
        <w:t>LLC</w:t>
      </w:r>
      <w:r w:rsidRPr="006D12C5" w:rsidR="00082099">
        <w:t xml:space="preserve">, </w:t>
      </w:r>
      <w:r w:rsidRPr="006D12C5" w:rsidR="00756476">
        <w:t>1100 Central Avenue, Chattanooga, Tennessee 37403</w:t>
      </w:r>
      <w:r w:rsidRPr="006D12C5" w:rsidR="00082099">
        <w:t xml:space="preserve">, and </w:t>
      </w:r>
      <w:r w:rsidRPr="006D12C5" w:rsidR="006D1783">
        <w:rPr>
          <w:w w:val="105"/>
        </w:rPr>
        <w:t xml:space="preserve">by </w:t>
      </w:r>
      <w:r w:rsidRPr="006D12C5" w:rsidR="008953A2">
        <w:rPr>
          <w:w w:val="105"/>
        </w:rPr>
        <w:t>e</w:t>
      </w:r>
      <w:r w:rsidRPr="006D12C5" w:rsidR="008A6591">
        <w:rPr>
          <w:w w:val="105"/>
        </w:rPr>
        <w:t>-</w:t>
      </w:r>
      <w:r w:rsidRPr="006D12C5" w:rsidR="006D1783">
        <w:rPr>
          <w:w w:val="105"/>
        </w:rPr>
        <w:t xml:space="preserve">mail to </w:t>
      </w:r>
      <w:hyperlink r:id="rId12" w:history="1">
        <w:r w:rsidRPr="00B80A3D" w:rsidR="00801242">
          <w:rPr>
            <w:rStyle w:val="Hyperlink"/>
            <w:rFonts w:eastAsia="MS Mincho"/>
          </w:rPr>
          <w:t>sblankenship@peacecom.net</w:t>
        </w:r>
      </w:hyperlink>
      <w:r w:rsidRPr="006D12C5" w:rsidR="00801242">
        <w:rPr>
          <w:w w:val="105"/>
        </w:rPr>
        <w:t xml:space="preserve">. </w:t>
      </w:r>
    </w:p>
    <w:p w:rsidR="00B23901" w:rsidRPr="006D12C5" w:rsidP="00CB0321" w14:paraId="389F1590" w14:textId="77777777">
      <w:pPr>
        <w:widowControl/>
      </w:pPr>
      <w:r w:rsidRPr="006D12C5">
        <w:t xml:space="preserve">  </w:t>
      </w:r>
      <w:r w:rsidRPr="006D12C5">
        <w:tab/>
      </w:r>
      <w:r w:rsidRPr="006D12C5">
        <w:tab/>
      </w:r>
      <w:r w:rsidRPr="006D12C5">
        <w:tab/>
      </w:r>
      <w:r w:rsidRPr="006D12C5">
        <w:tab/>
      </w:r>
      <w:r w:rsidRPr="006D12C5">
        <w:tab/>
      </w:r>
      <w:r w:rsidRPr="006D12C5">
        <w:tab/>
      </w:r>
    </w:p>
    <w:p w:rsidR="00796F09" w:rsidRPr="006D12C5" w:rsidP="00CB0321" w14:paraId="19C560E5" w14:textId="1E0B7548">
      <w:pPr>
        <w:widowControl/>
        <w:ind w:left="3600" w:firstLine="720"/>
      </w:pPr>
      <w:r w:rsidRPr="006D12C5">
        <w:t>FEDERAL COMMUNICATIONS COMMISSION</w:t>
      </w:r>
    </w:p>
    <w:p w:rsidR="00796F09" w:rsidRPr="006D12C5" w:rsidP="00CB0321" w14:paraId="4422F48D" w14:textId="77777777">
      <w:pPr>
        <w:widowControl/>
      </w:pPr>
    </w:p>
    <w:p w:rsidR="00174770" w:rsidRPr="006D12C5" w:rsidP="00CB0321" w14:paraId="0C0CAA61" w14:textId="77777777">
      <w:pPr>
        <w:widowControl/>
      </w:pPr>
    </w:p>
    <w:p w:rsidR="00796F09" w:rsidRPr="006D12C5" w:rsidP="00CB0321" w14:paraId="5CF106F4" w14:textId="77777777">
      <w:pPr>
        <w:widowControl/>
      </w:pPr>
    </w:p>
    <w:p w:rsidR="00511F1B" w:rsidRPr="006D12C5" w:rsidP="00CB0321" w14:paraId="388C46BB" w14:textId="0911C1A7">
      <w:pPr>
        <w:widowControl/>
      </w:pPr>
      <w:r w:rsidRPr="006D12C5">
        <w:tab/>
      </w:r>
    </w:p>
    <w:p w:rsidR="00511F1B" w:rsidRPr="006D12C5" w:rsidP="00CB0321" w14:paraId="052D9FEE" w14:textId="0DD7AD37">
      <w:pPr>
        <w:widowControl/>
        <w:rPr>
          <w:snapToGrid/>
        </w:rPr>
      </w:pPr>
      <w:r w:rsidRPr="006D12C5">
        <w:tab/>
      </w:r>
      <w:r w:rsidRPr="006D12C5" w:rsidR="00B23901">
        <w:tab/>
      </w:r>
      <w:r w:rsidRPr="006D12C5" w:rsidR="00B23901">
        <w:tab/>
      </w:r>
      <w:r w:rsidRPr="006D12C5" w:rsidR="00B23901">
        <w:tab/>
      </w:r>
      <w:r w:rsidRPr="006D12C5" w:rsidR="00B23901">
        <w:tab/>
      </w:r>
      <w:r w:rsidRPr="006D12C5" w:rsidR="00B23901">
        <w:tab/>
      </w:r>
      <w:r w:rsidRPr="006D12C5">
        <w:t>Rosemary C. Harold</w:t>
      </w:r>
    </w:p>
    <w:p w:rsidR="00511F1B" w:rsidRPr="006D12C5" w:rsidP="00CB0321" w14:paraId="425D165F" w14:textId="751E14A8">
      <w:pPr>
        <w:widowControl/>
      </w:pPr>
      <w:r w:rsidRPr="006D12C5">
        <w:tab/>
      </w:r>
      <w:r w:rsidRPr="006D12C5" w:rsidR="00B23901">
        <w:tab/>
      </w:r>
      <w:r w:rsidRPr="006D12C5" w:rsidR="00B23901">
        <w:tab/>
      </w:r>
      <w:r w:rsidRPr="006D12C5" w:rsidR="00B23901">
        <w:tab/>
      </w:r>
      <w:r w:rsidRPr="006D12C5" w:rsidR="00B23901">
        <w:tab/>
      </w:r>
      <w:r w:rsidRPr="006D12C5" w:rsidR="00B23901">
        <w:tab/>
      </w:r>
      <w:r w:rsidRPr="006D12C5">
        <w:t>Chief</w:t>
      </w:r>
    </w:p>
    <w:p w:rsidR="00511F1B" w:rsidRPr="00E912DF" w:rsidP="00CB0321" w14:paraId="08301B19" w14:textId="77777777">
      <w:pPr>
        <w:widowControl/>
      </w:pPr>
      <w:r w:rsidRPr="006D12C5">
        <w:tab/>
      </w:r>
      <w:r w:rsidRPr="006D12C5">
        <w:tab/>
      </w:r>
      <w:r w:rsidRPr="006D12C5">
        <w:tab/>
      </w:r>
      <w:r w:rsidRPr="006D12C5">
        <w:tab/>
      </w:r>
      <w:r w:rsidRPr="006D12C5">
        <w:tab/>
      </w:r>
      <w:r w:rsidRPr="006D12C5">
        <w:tab/>
        <w:t>Enforcement Bureau</w:t>
      </w:r>
    </w:p>
    <w:p w:rsidR="00796F09" w:rsidRPr="00E912DF" w:rsidP="00CB0321" w14:paraId="5D80A37A" w14:textId="10AF0C3E">
      <w:pPr>
        <w:widowControl/>
        <w:tabs>
          <w:tab w:val="left" w:pos="4320"/>
        </w:tabs>
      </w:pPr>
      <w:r w:rsidRPr="00E912DF">
        <w:tab/>
      </w:r>
    </w:p>
    <w:sectPr w:rsidSect="0055614C">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500" w:rsidP="0055614C" w14:paraId="69296D55" w14:textId="77777777">
    <w:pPr>
      <w:pStyle w:val="Footer"/>
      <w:framePr w:wrap="around" w:vAnchor="text" w:hAnchor="margin" w:xAlign="center" w:y="1"/>
    </w:pPr>
    <w:r>
      <w:fldChar w:fldCharType="begin"/>
    </w:r>
    <w:r>
      <w:instrText xml:space="preserve">PAGE  </w:instrText>
    </w:r>
    <w:r>
      <w:fldChar w:fldCharType="separate"/>
    </w:r>
    <w:r>
      <w:fldChar w:fldCharType="end"/>
    </w:r>
  </w:p>
  <w:p w:rsidR="00401500" w14:paraId="75544A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500" w:rsidRPr="00EA7306" w14:paraId="6F427601" w14:textId="77777777">
    <w:pPr>
      <w:pStyle w:val="Footer"/>
      <w:jc w:val="center"/>
    </w:pPr>
    <w:r w:rsidRPr="00EA7306">
      <w:fldChar w:fldCharType="begin"/>
    </w:r>
    <w:r w:rsidRPr="00EA7306">
      <w:instrText xml:space="preserve"> PAGE   \* MERGEFORMAT </w:instrText>
    </w:r>
    <w:r w:rsidRPr="00EA7306">
      <w:fldChar w:fldCharType="separate"/>
    </w:r>
    <w:r w:rsidRPr="00EA7306">
      <w:rPr>
        <w:noProof/>
      </w:rPr>
      <w:t>2</w:t>
    </w:r>
    <w:r w:rsidRPr="00EA7306">
      <w:rPr>
        <w:noProof/>
      </w:rPr>
      <w:fldChar w:fldCharType="end"/>
    </w:r>
  </w:p>
  <w:p w:rsidR="00401500" w14:paraId="63B5F14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500" w14:paraId="1584CAA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553A" w14:paraId="488C5A30" w14:textId="77777777">
      <w:r>
        <w:separator/>
      </w:r>
    </w:p>
  </w:footnote>
  <w:footnote w:type="continuationSeparator" w:id="1">
    <w:p w:rsidR="0028553A" w:rsidP="00C721AC" w14:paraId="27A8A751" w14:textId="77777777">
      <w:pPr>
        <w:spacing w:before="120"/>
        <w:rPr>
          <w:sz w:val="20"/>
        </w:rPr>
      </w:pPr>
      <w:r>
        <w:rPr>
          <w:sz w:val="20"/>
        </w:rPr>
        <w:t xml:space="preserve">(Continued from previous page)  </w:t>
      </w:r>
      <w:r>
        <w:rPr>
          <w:sz w:val="20"/>
        </w:rPr>
        <w:separator/>
      </w:r>
    </w:p>
  </w:footnote>
  <w:footnote w:type="continuationNotice" w:id="2">
    <w:p w:rsidR="0028553A" w:rsidP="00C721AC" w14:paraId="670D7A48" w14:textId="77777777">
      <w:pPr>
        <w:jc w:val="right"/>
        <w:rPr>
          <w:sz w:val="20"/>
        </w:rPr>
      </w:pPr>
      <w:r>
        <w:rPr>
          <w:sz w:val="20"/>
        </w:rPr>
        <w:t>(continued….)</w:t>
      </w:r>
    </w:p>
  </w:footnote>
  <w:footnote w:id="3">
    <w:p w:rsidR="00401500" w:rsidP="00C93201" w14:paraId="09C12CE5"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4">
    <w:p w:rsidR="00401500" w:rsidRPr="008C11BD" w:rsidP="0000217E" w14:paraId="52E40BC1" w14:textId="77777777">
      <w:pPr>
        <w:pStyle w:val="FootnoteText"/>
      </w:pPr>
      <w:r w:rsidRPr="008C11BD">
        <w:rPr>
          <w:rStyle w:val="FootnoteReference"/>
        </w:rPr>
        <w:footnoteRef/>
      </w:r>
      <w:r w:rsidRPr="008C11BD">
        <w:t xml:space="preserve"> 47 U.S.C. § 254(d).  </w:t>
      </w:r>
    </w:p>
  </w:footnote>
  <w:footnote w:id="5">
    <w:p w:rsidR="00401500" w:rsidRPr="008C11BD" w:rsidP="0000217E" w14:paraId="11A3DEA8" w14:textId="77777777">
      <w:pPr>
        <w:pStyle w:val="FootnoteText"/>
      </w:pPr>
      <w:r w:rsidRPr="008C11BD">
        <w:rPr>
          <w:rStyle w:val="FootnoteReference"/>
        </w:rPr>
        <w:footnoteRef/>
      </w:r>
      <w:r w:rsidRPr="008C11BD">
        <w:t xml:space="preserve"> 47 CFR § 54.706(b).  </w:t>
      </w:r>
    </w:p>
  </w:footnote>
  <w:footnote w:id="6">
    <w:p w:rsidR="00401500" w:rsidRPr="008C11BD" w:rsidP="0000217E" w14:paraId="56A189F4" w14:textId="5E536D11">
      <w:pPr>
        <w:pStyle w:val="FootnoteText"/>
        <w:rPr>
          <w:b/>
        </w:rPr>
      </w:pPr>
      <w:r w:rsidRPr="008C11BD">
        <w:rPr>
          <w:rStyle w:val="FootnoteReference"/>
        </w:rPr>
        <w:footnoteRef/>
      </w:r>
      <w:r w:rsidRPr="008C11BD">
        <w:t xml:space="preserve"> </w:t>
      </w:r>
      <w:r w:rsidR="003A08AF">
        <w:t xml:space="preserve">47 CFR § 54.706; </w:t>
      </w:r>
      <w:r w:rsidR="003A08AF">
        <w:rPr>
          <w:i/>
        </w:rPr>
        <w:t>s</w:t>
      </w:r>
      <w:r w:rsidRPr="008C11BD">
        <w:rPr>
          <w:i/>
        </w:rPr>
        <w:t>ee</w:t>
      </w:r>
      <w:r w:rsidRPr="008C11BD">
        <w:t xml:space="preserve"> 47 U.S.C. § 254(d) (“Any other provider of interstate telecommunications may be required to contribute to the preservation and advancement of universal service if the public interest so requires.”); </w:t>
      </w:r>
      <w:r w:rsidRPr="008C11BD">
        <w:rPr>
          <w:i/>
        </w:rPr>
        <w:t>Universal Service Contribution Methodology</w:t>
      </w:r>
      <w:r w:rsidRPr="008C11BD">
        <w:t xml:space="preserve">, Report and Order and Notice of Proposed Rulemaking, 21 FCC </w:t>
      </w:r>
      <w:r w:rsidRPr="008C11BD">
        <w:t>Rcd</w:t>
      </w:r>
      <w:r w:rsidRPr="008C11BD">
        <w:t xml:space="preserve"> 7518 (2006) (extending section 254(d) permissive authority to require interconnected VoIP providers to contribute to the USF), </w:t>
      </w:r>
      <w:r w:rsidRPr="008C11BD">
        <w:rPr>
          <w:i/>
        </w:rPr>
        <w:t>petition for review denied, and vacated in part on other grounds</w:t>
      </w:r>
      <w:r w:rsidRPr="008C11BD">
        <w:t xml:space="preserve">, </w:t>
      </w:r>
      <w:r w:rsidRPr="008C11BD">
        <w:rPr>
          <w:i/>
        </w:rPr>
        <w:t>Vonage Holding Corp. v. FCC</w:t>
      </w:r>
      <w:r w:rsidRPr="008C11BD">
        <w:t xml:space="preserve">, 489 F.3d 1232 (D.C. Cir. 2007).  </w:t>
      </w:r>
    </w:p>
  </w:footnote>
  <w:footnote w:id="7">
    <w:p w:rsidR="00401500" w:rsidRPr="008C11BD" w14:paraId="0E3634F4" w14:textId="39FCF627">
      <w:pPr>
        <w:pStyle w:val="FootnoteText"/>
      </w:pPr>
      <w:r w:rsidRPr="008C11BD">
        <w:rPr>
          <w:rStyle w:val="FootnoteReference"/>
        </w:rPr>
        <w:footnoteRef/>
      </w:r>
      <w:r w:rsidRPr="008C11BD">
        <w:t xml:space="preserve"> </w:t>
      </w:r>
      <w:r w:rsidRPr="008C11BD">
        <w:rPr>
          <w:i/>
          <w:iCs/>
        </w:rPr>
        <w:t xml:space="preserve">See </w:t>
      </w:r>
      <w:r w:rsidRPr="008C11BD">
        <w:rPr>
          <w:i/>
          <w:iCs/>
        </w:rPr>
        <w:t>Telseven</w:t>
      </w:r>
      <w:r w:rsidRPr="008C11BD">
        <w:rPr>
          <w:i/>
          <w:iCs/>
        </w:rPr>
        <w:t>, LLC</w:t>
      </w:r>
      <w:r w:rsidRPr="008C11BD">
        <w:t xml:space="preserve">, </w:t>
      </w:r>
      <w:bookmarkStart w:id="0" w:name="_Hlk74744935"/>
      <w:r w:rsidRPr="008C11BD">
        <w:t xml:space="preserve">Notice of Apparent Liability for Forfeiture, 27 FCC </w:t>
      </w:r>
      <w:r w:rsidRPr="008C11BD">
        <w:t>Rcd</w:t>
      </w:r>
      <w:r w:rsidRPr="008C11BD">
        <w:t xml:space="preserve"> 6636, 6637, para. 2 (2012) (</w:t>
      </w:r>
      <w:r w:rsidRPr="008C11BD">
        <w:rPr>
          <w:i/>
          <w:iCs/>
        </w:rPr>
        <w:t>Telseven</w:t>
      </w:r>
      <w:r w:rsidRPr="008C11BD">
        <w:rPr>
          <w:i/>
          <w:iCs/>
        </w:rPr>
        <w:t xml:space="preserve"> NAL</w:t>
      </w:r>
      <w:r w:rsidRPr="008C11BD">
        <w:t xml:space="preserve">), </w:t>
      </w:r>
      <w:r w:rsidRPr="008C11BD">
        <w:rPr>
          <w:i/>
          <w:iCs/>
        </w:rPr>
        <w:t>forfeiture issued</w:t>
      </w:r>
      <w:r w:rsidRPr="008C11BD">
        <w:t xml:space="preserve">, Forfeiture Order, 31 FCC </w:t>
      </w:r>
      <w:r w:rsidRPr="008C11BD">
        <w:t>Rcd</w:t>
      </w:r>
      <w:r w:rsidRPr="008C11BD">
        <w:t xml:space="preserve"> 1629 (2016).</w:t>
      </w:r>
    </w:p>
    <w:bookmarkEnd w:id="0"/>
  </w:footnote>
  <w:footnote w:id="8">
    <w:p w:rsidR="00401500" w:rsidRPr="008C11BD" w14:paraId="509A29EA" w14:textId="77777777">
      <w:pPr>
        <w:pStyle w:val="FootnoteText"/>
        <w:rPr>
          <w:i/>
          <w:iCs/>
        </w:rPr>
      </w:pPr>
      <w:r w:rsidRPr="008C11BD">
        <w:rPr>
          <w:rStyle w:val="FootnoteReference"/>
        </w:rPr>
        <w:footnoteRef/>
      </w:r>
      <w:r w:rsidRPr="008C11BD">
        <w:t xml:space="preserve"> </w:t>
      </w:r>
      <w:bookmarkStart w:id="1" w:name="_Hlk41464369"/>
      <w:r w:rsidRPr="008C11BD">
        <w:rPr>
          <w:i/>
          <w:iCs/>
        </w:rPr>
        <w:t>See id</w:t>
      </w:r>
      <w:bookmarkEnd w:id="1"/>
      <w:r w:rsidRPr="008C11BD">
        <w:rPr>
          <w:i/>
          <w:iCs/>
        </w:rPr>
        <w:t>.</w:t>
      </w:r>
    </w:p>
  </w:footnote>
  <w:footnote w:id="9">
    <w:p w:rsidR="00401500" w:rsidRPr="008C11BD" w:rsidP="00F3060C" w14:paraId="4546D577" w14:textId="093EC70A">
      <w:pPr>
        <w:pStyle w:val="FootnoteText"/>
        <w:rPr>
          <w:i/>
          <w:iCs/>
        </w:rPr>
      </w:pPr>
      <w:r w:rsidRPr="008C11BD">
        <w:rPr>
          <w:rStyle w:val="FootnoteReference"/>
        </w:rPr>
        <w:footnoteRef/>
      </w:r>
      <w:r w:rsidRPr="008C11BD">
        <w:t xml:space="preserve"> </w:t>
      </w:r>
      <w:r w:rsidRPr="008C11BD">
        <w:rPr>
          <w:i/>
          <w:iCs/>
        </w:rPr>
        <w:t xml:space="preserve">See </w:t>
      </w:r>
      <w:r w:rsidRPr="008C11BD">
        <w:t xml:space="preserve">47 CFR </w:t>
      </w:r>
      <w:r w:rsidRPr="008C11BD">
        <w:rPr>
          <w:color w:val="000000"/>
          <w:lang w:val="es-ES"/>
        </w:rPr>
        <w:t xml:space="preserve">§ </w:t>
      </w:r>
      <w:r w:rsidRPr="008C11BD">
        <w:t xml:space="preserve">54.711; </w:t>
      </w:r>
      <w:r w:rsidRPr="008C11BD">
        <w:rPr>
          <w:i/>
          <w:iCs/>
        </w:rPr>
        <w:t>Telseven</w:t>
      </w:r>
      <w:r w:rsidRPr="008C11BD">
        <w:rPr>
          <w:i/>
          <w:iCs/>
        </w:rPr>
        <w:t xml:space="preserve"> NAL</w:t>
      </w:r>
      <w:r w:rsidRPr="008C11BD">
        <w:t xml:space="preserve">, 27 FCC </w:t>
      </w:r>
      <w:r w:rsidRPr="008C11BD">
        <w:t>Rcd</w:t>
      </w:r>
      <w:r w:rsidRPr="008C11BD">
        <w:t xml:space="preserve"> at 6637, para. 2.  </w:t>
      </w:r>
      <w:bookmarkStart w:id="2" w:name="_Hlk41466167"/>
      <w:r w:rsidRPr="008C11BD">
        <w:t xml:space="preserve">Within 30 days of beginning to provide service, new service providers must register with the Commission by </w:t>
      </w:r>
      <w:r w:rsidRPr="008C11BD">
        <w:rPr>
          <w:color w:val="000000"/>
        </w:rPr>
        <w:t>obtaining an FCC registration number (FRN) from the Commission registration system (CORES) and obtaining a Filer ID from USAC’s E-File system.</w:t>
      </w:r>
      <w:r w:rsidRPr="008C11BD">
        <w:t xml:space="preserve"> </w:t>
      </w:r>
      <w:r w:rsidR="000B55D1">
        <w:rPr>
          <w:i/>
          <w:iCs/>
        </w:rPr>
        <w:t>See, e.g.</w:t>
      </w:r>
      <w:r w:rsidR="000B55D1">
        <w:t>,</w:t>
      </w:r>
      <w:r w:rsidRPr="008C11BD">
        <w:t xml:space="preserve"> </w:t>
      </w:r>
      <w:r w:rsidRPr="008C11BD">
        <w:rPr>
          <w:i/>
          <w:iCs/>
        </w:rPr>
        <w:t>Wireline Competition Bureau Releases the 2020 Telecommunications Reporting Worksheets and Acc</w:t>
      </w:r>
      <w:r w:rsidRPr="00C56B0F">
        <w:rPr>
          <w:i/>
          <w:iCs/>
        </w:rPr>
        <w:t>o</w:t>
      </w:r>
      <w:r w:rsidRPr="008C11BD">
        <w:rPr>
          <w:i/>
          <w:iCs/>
        </w:rPr>
        <w:t>mpanying Instructions</w:t>
      </w:r>
      <w:r w:rsidRPr="008C11BD">
        <w:t xml:space="preserve">, Public Notice, </w:t>
      </w:r>
      <w:r>
        <w:t xml:space="preserve">35 FCC </w:t>
      </w:r>
      <w:r>
        <w:t>Rcd</w:t>
      </w:r>
      <w:r>
        <w:t xml:space="preserve"> 1350, 1372, </w:t>
      </w:r>
      <w:r w:rsidRPr="008C11BD">
        <w:t>Attach</w:t>
      </w:r>
      <w:r>
        <w:t>.</w:t>
      </w:r>
      <w:r w:rsidRPr="008C11BD">
        <w:t xml:space="preserve"> 2, </w:t>
      </w:r>
      <w:bookmarkStart w:id="3" w:name="_Hlk76721137"/>
      <w:r w:rsidRPr="008C11BD">
        <w:rPr>
          <w:color w:val="000000"/>
        </w:rPr>
        <w:t xml:space="preserve">2020 FCC Form 499-A </w:t>
      </w:r>
      <w:bookmarkEnd w:id="3"/>
      <w:r w:rsidRPr="008C11BD">
        <w:rPr>
          <w:color w:val="000000"/>
        </w:rPr>
        <w:t>Instructions</w:t>
      </w:r>
      <w:r w:rsidRPr="008C11BD">
        <w:t xml:space="preserve">, </w:t>
      </w:r>
      <w:r w:rsidRPr="008C11BD">
        <w:t>Tbl</w:t>
      </w:r>
      <w:r>
        <w:t>.</w:t>
      </w:r>
      <w:r w:rsidRPr="008C11BD">
        <w:t xml:space="preserve"> 2, Filing Schedule for One-Time Requirements</w:t>
      </w:r>
      <w:r>
        <w:t xml:space="preserve"> </w:t>
      </w:r>
      <w:r w:rsidRPr="008C11BD">
        <w:t>(W</w:t>
      </w:r>
      <w:r>
        <w:t>CB</w:t>
      </w:r>
      <w:r w:rsidRPr="008C11BD">
        <w:t xml:space="preserve"> 2020)</w:t>
      </w:r>
      <w:r>
        <w:t xml:space="preserve"> (</w:t>
      </w:r>
      <w:r w:rsidRPr="00DD3293">
        <w:rPr>
          <w:i/>
          <w:iCs/>
        </w:rPr>
        <w:t>2020 Form 499 Public Notice</w:t>
      </w:r>
      <w:r>
        <w:t>)</w:t>
      </w:r>
      <w:r w:rsidRPr="008C11BD">
        <w:t>.</w:t>
      </w:r>
      <w:bookmarkEnd w:id="2"/>
      <w:r w:rsidRPr="008C11BD">
        <w:t xml:space="preserve"> </w:t>
      </w:r>
    </w:p>
  </w:footnote>
  <w:footnote w:id="10">
    <w:p w:rsidR="00401500" w:rsidRPr="008C11BD" w:rsidP="00F3060C" w14:paraId="49781FCE" w14:textId="5F520424">
      <w:pPr>
        <w:pStyle w:val="FootnoteText"/>
      </w:pPr>
      <w:r w:rsidRPr="008C11BD">
        <w:rPr>
          <w:rStyle w:val="FootnoteReference"/>
        </w:rPr>
        <w:footnoteRef/>
      </w:r>
      <w:r w:rsidRPr="008C11BD">
        <w:t xml:space="preserve"> </w:t>
      </w:r>
      <w:bookmarkStart w:id="4" w:name="_Hlk41464496"/>
      <w:r w:rsidRPr="008C11BD">
        <w:rPr>
          <w:i/>
          <w:iCs/>
        </w:rPr>
        <w:t xml:space="preserve">See </w:t>
      </w:r>
      <w:r w:rsidRPr="008C11BD">
        <w:t xml:space="preserve">47 CFR </w:t>
      </w:r>
      <w:r w:rsidRPr="008C11BD">
        <w:rPr>
          <w:color w:val="000000"/>
          <w:lang w:val="es-ES"/>
        </w:rPr>
        <w:t xml:space="preserve">§ </w:t>
      </w:r>
      <w:r w:rsidRPr="008C11BD">
        <w:t xml:space="preserve">54.711; </w:t>
      </w:r>
      <w:bookmarkStart w:id="5" w:name="_Hlk74734459"/>
      <w:bookmarkStart w:id="6" w:name="_Hlk43390264"/>
      <w:r w:rsidRPr="00DD3293">
        <w:rPr>
          <w:i/>
          <w:iCs/>
        </w:rPr>
        <w:t>2020 Form 499 Public Notice</w:t>
      </w:r>
      <w:bookmarkEnd w:id="5"/>
      <w:r>
        <w:t>,</w:t>
      </w:r>
      <w:r w:rsidRPr="00DF3C0F">
        <w:t xml:space="preserve"> </w:t>
      </w:r>
      <w:r>
        <w:t xml:space="preserve">35 FCC </w:t>
      </w:r>
      <w:r>
        <w:t>Rcd</w:t>
      </w:r>
      <w:r>
        <w:t xml:space="preserve"> at 1372</w:t>
      </w:r>
      <w:bookmarkEnd w:id="6"/>
      <w:r>
        <w:rPr>
          <w:color w:val="212121"/>
        </w:rPr>
        <w:t xml:space="preserve">; </w:t>
      </w:r>
      <w:r w:rsidRPr="008C11BD">
        <w:rPr>
          <w:i/>
          <w:iCs/>
        </w:rPr>
        <w:t>Telseven</w:t>
      </w:r>
      <w:r w:rsidRPr="008C11BD">
        <w:rPr>
          <w:i/>
          <w:iCs/>
        </w:rPr>
        <w:t xml:space="preserve"> NAL</w:t>
      </w:r>
      <w:r w:rsidRPr="008C11BD">
        <w:t xml:space="preserve">, 27 FCC </w:t>
      </w:r>
      <w:r w:rsidRPr="008C11BD">
        <w:t>Rcd</w:t>
      </w:r>
      <w:r w:rsidRPr="008C11BD">
        <w:t xml:space="preserve"> at 6637, para. 2</w:t>
      </w:r>
      <w:bookmarkEnd w:id="4"/>
      <w:r w:rsidRPr="008C11BD">
        <w:t xml:space="preserve">.      </w:t>
      </w:r>
    </w:p>
  </w:footnote>
  <w:footnote w:id="11">
    <w:p w:rsidR="00401500" w:rsidRPr="008C11BD" w:rsidP="00F3060C" w14:paraId="2068F90E" w14:textId="77777777">
      <w:pPr>
        <w:pStyle w:val="FootnoteText"/>
      </w:pPr>
      <w:r w:rsidRPr="008C11BD">
        <w:rPr>
          <w:rStyle w:val="FootnoteReference"/>
        </w:rPr>
        <w:footnoteRef/>
      </w:r>
      <w:r w:rsidRPr="008C11BD">
        <w:t xml:space="preserve"> Individual universal service contribution amounts that are based upon quarterly filings are subject to an annual true-up based on the Annual Worksheets.  </w:t>
      </w:r>
      <w:r w:rsidRPr="008C11BD">
        <w:rPr>
          <w:i/>
        </w:rPr>
        <w:t xml:space="preserve">See </w:t>
      </w:r>
      <w:r w:rsidRPr="008C11BD">
        <w:t>47 CFR § 54.711</w:t>
      </w:r>
      <w:r>
        <w:t xml:space="preserve">; </w:t>
      </w:r>
      <w:r w:rsidRPr="008C11BD">
        <w:rPr>
          <w:i/>
        </w:rPr>
        <w:t>Federal-State Joint Board on Universal Service</w:t>
      </w:r>
      <w:r w:rsidRPr="008C11BD">
        <w:rPr>
          <w:iCs/>
        </w:rPr>
        <w:t xml:space="preserve">, </w:t>
      </w:r>
      <w:r w:rsidRPr="008C11BD">
        <w:t xml:space="preserve">Report and Order and Order on Reconsideration, 16 FCC </w:t>
      </w:r>
      <w:r w:rsidRPr="008C11BD">
        <w:t>Rcd</w:t>
      </w:r>
      <w:r w:rsidRPr="008C11BD">
        <w:t xml:space="preserve"> 5748, 5752-53, para. 12 (2001).  </w:t>
      </w:r>
    </w:p>
  </w:footnote>
  <w:footnote w:id="12">
    <w:p w:rsidR="00401500" w:rsidP="001B6E53" w14:paraId="7627520B" w14:textId="1D79DB6F">
      <w:pPr>
        <w:pStyle w:val="FootnoteText"/>
      </w:pPr>
      <w:r>
        <w:rPr>
          <w:rStyle w:val="FootnoteReference"/>
        </w:rPr>
        <w:footnoteRef/>
      </w:r>
      <w:r>
        <w:t xml:space="preserve"> </w:t>
      </w:r>
      <w:bookmarkStart w:id="8" w:name="_Hlk76721050"/>
      <w:r w:rsidRPr="000E066B" w:rsidR="006B717B">
        <w:rPr>
          <w:i/>
          <w:iCs/>
        </w:rPr>
        <w:t xml:space="preserve">See </w:t>
      </w:r>
      <w:r w:rsidRPr="00DD3293">
        <w:rPr>
          <w:i/>
          <w:iCs/>
        </w:rPr>
        <w:t>2020 Form 499 Public Notice</w:t>
      </w:r>
      <w:r w:rsidRPr="00D76BD8">
        <w:t>,</w:t>
      </w:r>
      <w:r w:rsidRPr="00DF3C0F">
        <w:t xml:space="preserve"> </w:t>
      </w:r>
      <w:r w:rsidR="00075AD0">
        <w:t xml:space="preserve">35 </w:t>
      </w:r>
      <w:r>
        <w:t xml:space="preserve">FCC </w:t>
      </w:r>
      <w:r>
        <w:t>Rcd</w:t>
      </w:r>
      <w:r>
        <w:t xml:space="preserve"> at 1372</w:t>
      </w:r>
      <w:bookmarkEnd w:id="8"/>
      <w:r>
        <w:rPr>
          <w:color w:val="212121"/>
        </w:rPr>
        <w:t>.</w:t>
      </w:r>
    </w:p>
  </w:footnote>
  <w:footnote w:id="13">
    <w:p w:rsidR="00401500" w:rsidRPr="008C11BD" w:rsidP="00F3060C" w14:paraId="5D836688" w14:textId="4650127C">
      <w:pPr>
        <w:pStyle w:val="FootnoteText"/>
      </w:pPr>
      <w:r w:rsidRPr="008C11BD">
        <w:rPr>
          <w:rStyle w:val="FootnoteReference"/>
        </w:rPr>
        <w:footnoteRef/>
      </w:r>
      <w:r w:rsidRPr="008C11BD">
        <w:t xml:space="preserve"> 47 CFR § 54.713</w:t>
      </w:r>
      <w:r w:rsidR="00075AD0">
        <w:t>(c)</w:t>
      </w:r>
      <w:r w:rsidRPr="008C11BD">
        <w:t xml:space="preserve">.  </w:t>
      </w:r>
    </w:p>
  </w:footnote>
  <w:footnote w:id="14">
    <w:p w:rsidR="00401500" w:rsidRPr="008C11BD" w14:paraId="15015709" w14:textId="418C1CB0">
      <w:pPr>
        <w:pStyle w:val="FootnoteText"/>
      </w:pPr>
      <w:r w:rsidRPr="008C11BD">
        <w:rPr>
          <w:rStyle w:val="FootnoteReference"/>
        </w:rPr>
        <w:footnoteRef/>
      </w:r>
      <w:r w:rsidRPr="008C11BD">
        <w:t xml:space="preserve"> </w:t>
      </w:r>
      <w:r w:rsidRPr="00011FF5">
        <w:rPr>
          <w:i/>
          <w:iCs/>
        </w:rPr>
        <w:t>Id. at</w:t>
      </w:r>
      <w:r w:rsidRPr="00011FF5">
        <w:t xml:space="preserve"> </w:t>
      </w:r>
      <w:r w:rsidRPr="005B5B35">
        <w:t xml:space="preserve">§§ 54.711(a), 54.713.  </w:t>
      </w:r>
      <w:r>
        <w:t xml:space="preserve">An officer of a company completing an Annual Worksheet must </w:t>
      </w:r>
      <w:r w:rsidRPr="00557043">
        <w:t>certify</w:t>
      </w:r>
      <w:r>
        <w:t>, in part, as follows:  “</w:t>
      </w:r>
      <w:r w:rsidRPr="00557043">
        <w:t>I have examined the foregoing report and, to the best of my knowledge, information and belief, all statements of fact contained in this Worksheet are true and that said Worksheet is an accurate statement of the affairs of the above-named company for the previous calendar year.</w:t>
      </w:r>
      <w:r>
        <w:t xml:space="preserve">”  </w:t>
      </w:r>
      <w:bookmarkStart w:id="9" w:name="_Hlk73535787"/>
      <w:r w:rsidRPr="00711924">
        <w:rPr>
          <w:i/>
          <w:iCs/>
        </w:rPr>
        <w:t xml:space="preserve">2020 Form 499 Public Notice, </w:t>
      </w:r>
      <w:r w:rsidRPr="00711924">
        <w:t xml:space="preserve">35 </w:t>
      </w:r>
      <w:r w:rsidRPr="00711924">
        <w:t>Rcd</w:t>
      </w:r>
      <w:r w:rsidRPr="00711924">
        <w:t xml:space="preserve"> at 13</w:t>
      </w:r>
      <w:r w:rsidR="0025763B">
        <w:t>60</w:t>
      </w:r>
      <w:r w:rsidR="002601B3">
        <w:t>, Attach. 1, 2020 Form 499-A</w:t>
      </w:r>
      <w:r>
        <w:t>.  W</w:t>
      </w:r>
      <w:r w:rsidRPr="003D7A4A">
        <w:t xml:space="preserve">hile the Commission permits revisions to </w:t>
      </w:r>
      <w:r>
        <w:t>W</w:t>
      </w:r>
      <w:r w:rsidRPr="003D7A4A">
        <w:t xml:space="preserve">orksheets in certain circumstances, </w:t>
      </w:r>
      <w:r w:rsidRPr="003D7A4A">
        <w:rPr>
          <w:i/>
          <w:iCs/>
        </w:rPr>
        <w:t xml:space="preserve">see </w:t>
      </w:r>
      <w:r>
        <w:rPr>
          <w:i/>
          <w:iCs/>
        </w:rPr>
        <w:t>id.</w:t>
      </w:r>
      <w:r>
        <w:t xml:space="preserve"> at 1373-74</w:t>
      </w:r>
      <w:r>
        <w:rPr>
          <w:color w:val="212121"/>
        </w:rPr>
        <w:t xml:space="preserve">, </w:t>
      </w:r>
      <w:r w:rsidRPr="003D7A4A">
        <w:t>that opportunity does not affect the separate requirement to submit accurate info</w:t>
      </w:r>
      <w:r>
        <w:t>rmation</w:t>
      </w:r>
      <w:r w:rsidRPr="003D7A4A">
        <w:t xml:space="preserve"> in the first instance to the best of the filer’s knowledge, information and belief</w:t>
      </w:r>
      <w:r>
        <w:t xml:space="preserve">.  </w:t>
      </w:r>
      <w:r>
        <w:rPr>
          <w:i/>
          <w:iCs/>
        </w:rPr>
        <w:t xml:space="preserve">See id. </w:t>
      </w:r>
      <w:r>
        <w:t>at 1350</w:t>
      </w:r>
      <w:r w:rsidRPr="008C11BD">
        <w:t>.</w:t>
      </w:r>
      <w:bookmarkEnd w:id="9"/>
    </w:p>
  </w:footnote>
  <w:footnote w:id="15">
    <w:p w:rsidR="00401500" w:rsidRPr="00B97D8D" w:rsidP="00586850" w14:paraId="6F74AFC3" w14:textId="77777777">
      <w:pPr>
        <w:pStyle w:val="FootnoteText"/>
        <w:rPr>
          <w:i/>
          <w:iCs/>
        </w:rPr>
      </w:pPr>
      <w:r w:rsidRPr="008C11BD">
        <w:rPr>
          <w:rStyle w:val="FootnoteReference"/>
        </w:rPr>
        <w:footnoteRef/>
      </w:r>
      <w:r w:rsidRPr="008C11BD">
        <w:t xml:space="preserve"> </w:t>
      </w:r>
      <w:r w:rsidRPr="008C11BD">
        <w:rPr>
          <w:i/>
        </w:rPr>
        <w:t xml:space="preserve">See </w:t>
      </w:r>
      <w:bookmarkStart w:id="10" w:name="_Hlk43372818"/>
      <w:r w:rsidRPr="008C11BD">
        <w:t>47 CFR § 54.711</w:t>
      </w:r>
      <w:bookmarkEnd w:id="10"/>
      <w:r w:rsidRPr="008C11BD">
        <w:t>.</w:t>
      </w:r>
      <w:r>
        <w:t xml:space="preserve">  </w:t>
      </w:r>
      <w:r w:rsidRPr="00586850">
        <w:t>The Commission and USAC may review records and documentation underlying revenue reported on a contributor’s Worksheets to determine whether the contributor is properly reporting revenue, and thus contributing its fair share to the costs of the universal service program.</w:t>
      </w:r>
      <w:r>
        <w:t xml:space="preserve">  </w:t>
      </w:r>
      <w:r w:rsidRPr="008C11BD">
        <w:rPr>
          <w:i/>
          <w:iCs/>
        </w:rPr>
        <w:t xml:space="preserve">See </w:t>
      </w:r>
      <w:r>
        <w:rPr>
          <w:i/>
          <w:iCs/>
        </w:rPr>
        <w:t>id. at</w:t>
      </w:r>
      <w:r w:rsidRPr="008C11BD">
        <w:t xml:space="preserve"> § 54.711(a); </w:t>
      </w:r>
      <w:r w:rsidRPr="008C11BD">
        <w:rPr>
          <w:i/>
          <w:iCs/>
        </w:rPr>
        <w:t>see also id.</w:t>
      </w:r>
      <w:r w:rsidRPr="008C11BD">
        <w:t xml:space="preserve"> at § 54.706(e).</w:t>
      </w:r>
    </w:p>
  </w:footnote>
  <w:footnote w:id="16">
    <w:p w:rsidR="00401500" w14:paraId="6A87AE38" w14:textId="57D12C10">
      <w:pPr>
        <w:pStyle w:val="FootnoteText"/>
      </w:pPr>
      <w:r>
        <w:rPr>
          <w:rStyle w:val="FootnoteReference"/>
        </w:rPr>
        <w:footnoteRef/>
      </w:r>
      <w:r>
        <w:t xml:space="preserve"> </w:t>
      </w:r>
      <w:r w:rsidRPr="008C11BD">
        <w:rPr>
          <w:i/>
          <w:iCs/>
        </w:rPr>
        <w:t xml:space="preserve">See </w:t>
      </w:r>
      <w:r w:rsidRPr="008C11BD">
        <w:t xml:space="preserve">47 CFR </w:t>
      </w:r>
      <w:r w:rsidRPr="008C11BD">
        <w:rPr>
          <w:color w:val="000000"/>
          <w:lang w:val="es-ES"/>
        </w:rPr>
        <w:t xml:space="preserve">§ </w:t>
      </w:r>
      <w:r w:rsidRPr="008C11BD">
        <w:t xml:space="preserve">54.711; </w:t>
      </w:r>
      <w:bookmarkStart w:id="11" w:name="_Hlk74302041"/>
      <w:r w:rsidRPr="00DD3293">
        <w:rPr>
          <w:i/>
          <w:iCs/>
        </w:rPr>
        <w:t>2020 Form 499 Public Notice</w:t>
      </w:r>
      <w:r>
        <w:t>,</w:t>
      </w:r>
      <w:r w:rsidRPr="00DF3C0F">
        <w:t xml:space="preserve"> </w:t>
      </w:r>
      <w:r>
        <w:t xml:space="preserve">35 FCC </w:t>
      </w:r>
      <w:r>
        <w:t>Rcd</w:t>
      </w:r>
      <w:r>
        <w:t xml:space="preserve"> at 13</w:t>
      </w:r>
      <w:r w:rsidR="00093916">
        <w:t>67, n.</w:t>
      </w:r>
      <w:r w:rsidR="0022072D">
        <w:t xml:space="preserve"> </w:t>
      </w:r>
      <w:r w:rsidR="00093916">
        <w:t>17</w:t>
      </w:r>
      <w:bookmarkEnd w:id="11"/>
      <w:r>
        <w:rPr>
          <w:i/>
          <w:iCs/>
        </w:rPr>
        <w:t xml:space="preserve">; </w:t>
      </w:r>
      <w:r w:rsidRPr="008C11BD">
        <w:rPr>
          <w:i/>
          <w:iCs/>
        </w:rPr>
        <w:t>Telseven</w:t>
      </w:r>
      <w:r w:rsidRPr="008C11BD">
        <w:rPr>
          <w:i/>
          <w:iCs/>
        </w:rPr>
        <w:t xml:space="preserve"> NAL</w:t>
      </w:r>
      <w:r w:rsidRPr="008C11BD">
        <w:t xml:space="preserve">, 27 FCC </w:t>
      </w:r>
      <w:r w:rsidRPr="008C11BD">
        <w:t>Rcd</w:t>
      </w:r>
      <w:r w:rsidRPr="008C11BD">
        <w:t xml:space="preserve"> at 6637, para. 2</w:t>
      </w:r>
      <w:r>
        <w:t>.</w:t>
      </w:r>
    </w:p>
  </w:footnote>
  <w:footnote w:id="17">
    <w:p w:rsidR="00401500" w:rsidRPr="008C11BD" w:rsidP="00586850" w14:paraId="72338736" w14:textId="77777777">
      <w:pPr>
        <w:pStyle w:val="FootnoteText"/>
      </w:pPr>
      <w:r w:rsidRPr="008C11BD">
        <w:rPr>
          <w:rStyle w:val="FootnoteReference"/>
        </w:rPr>
        <w:footnoteRef/>
      </w:r>
      <w:r w:rsidRPr="008C11BD">
        <w:t xml:space="preserve"> </w:t>
      </w:r>
      <w:r w:rsidRPr="008C11BD">
        <w:rPr>
          <w:i/>
        </w:rPr>
        <w:t xml:space="preserve">See </w:t>
      </w:r>
      <w:r w:rsidRPr="008C11BD">
        <w:rPr>
          <w:color w:val="000000"/>
          <w:lang w:val="es-ES"/>
        </w:rPr>
        <w:t>47 U.S.C. § 254(d).</w:t>
      </w:r>
    </w:p>
  </w:footnote>
  <w:footnote w:id="18">
    <w:p w:rsidR="00401500" w:rsidRPr="008C11BD" w14:paraId="3DD71FE6" w14:textId="4CFE363E">
      <w:pPr>
        <w:pStyle w:val="FootnoteText"/>
      </w:pPr>
      <w:r w:rsidRPr="008C11BD">
        <w:rPr>
          <w:rStyle w:val="FootnoteReference"/>
        </w:rPr>
        <w:footnoteRef/>
      </w:r>
      <w:r w:rsidRPr="008C11BD">
        <w:t xml:space="preserve"> The effective administration of Telecommunications Relay Service, </w:t>
      </w:r>
      <w:r w:rsidRPr="008C11BD">
        <w:rPr>
          <w:i/>
          <w:iCs/>
        </w:rPr>
        <w:t xml:space="preserve">see </w:t>
      </w:r>
      <w:r w:rsidRPr="008C11BD">
        <w:t xml:space="preserve">47 CFR § 64.604; Local Number Portability, </w:t>
      </w:r>
      <w:r w:rsidRPr="008C11BD">
        <w:rPr>
          <w:i/>
          <w:iCs/>
        </w:rPr>
        <w:t xml:space="preserve">see </w:t>
      </w:r>
      <w:r w:rsidRPr="008C11BD">
        <w:t xml:space="preserve">47 CFR § 52.32; the North American Numbering Plan, </w:t>
      </w:r>
      <w:r w:rsidRPr="008C11BD">
        <w:rPr>
          <w:i/>
          <w:iCs/>
        </w:rPr>
        <w:t xml:space="preserve">see </w:t>
      </w:r>
      <w:r w:rsidRPr="008C11BD">
        <w:t xml:space="preserve">47 CFR § 52.17; and federal regulatory fees, </w:t>
      </w:r>
      <w:r w:rsidRPr="008C11BD">
        <w:rPr>
          <w:i/>
          <w:iCs/>
        </w:rPr>
        <w:t xml:space="preserve">see </w:t>
      </w:r>
      <w:r w:rsidRPr="008C11BD">
        <w:t xml:space="preserve">47 CFR </w:t>
      </w:r>
      <w:r w:rsidRPr="008C11BD">
        <w:rPr>
          <w:lang w:val="es-ES_tradnl"/>
        </w:rPr>
        <w:t xml:space="preserve">§§ </w:t>
      </w:r>
      <w:r w:rsidRPr="008C11BD">
        <w:t xml:space="preserve">1.1154, </w:t>
      </w:r>
      <w:r w:rsidRPr="008C11BD">
        <w:rPr>
          <w:lang w:val="es-ES_tradnl"/>
        </w:rPr>
        <w:t xml:space="preserve">1.1157, </w:t>
      </w:r>
      <w:r>
        <w:rPr>
          <w:lang w:val="es-ES_tradnl"/>
        </w:rPr>
        <w:t>require</w:t>
      </w:r>
      <w:r w:rsidR="00621A97">
        <w:rPr>
          <w:lang w:val="es-ES_tradnl"/>
        </w:rPr>
        <w:t>s</w:t>
      </w:r>
      <w:r w:rsidRPr="008C11BD">
        <w:t xml:space="preserve"> the </w:t>
      </w:r>
      <w:r>
        <w:t>timely filing of accurate</w:t>
      </w:r>
      <w:r w:rsidRPr="008C11BD">
        <w:t xml:space="preserve"> Worksheets</w:t>
      </w:r>
      <w:r>
        <w:t xml:space="preserve"> by service providers</w:t>
      </w:r>
      <w:r w:rsidRPr="008C11BD">
        <w:t>.</w:t>
      </w:r>
    </w:p>
  </w:footnote>
  <w:footnote w:id="19">
    <w:p w:rsidR="00401500" w:rsidRPr="00E25E7B" w14:paraId="0067CC06" w14:textId="77777777">
      <w:pPr>
        <w:pStyle w:val="FootnoteText"/>
      </w:pPr>
      <w:r>
        <w:rPr>
          <w:rStyle w:val="FootnoteReference"/>
        </w:rPr>
        <w:footnoteRef/>
      </w:r>
      <w:r>
        <w:t xml:space="preserve"> </w:t>
      </w:r>
      <w:r w:rsidRPr="00BB663E">
        <w:rPr>
          <w:i/>
          <w:iCs/>
        </w:rPr>
        <w:t>See, e.g</w:t>
      </w:r>
      <w:r>
        <w:t>.,</w:t>
      </w:r>
      <w:r>
        <w:rPr>
          <w:i/>
          <w:iCs/>
        </w:rPr>
        <w:t xml:space="preserve"> Unipoint Tech., Inc.</w:t>
      </w:r>
      <w:r>
        <w:t xml:space="preserve">, Notice of Apparent Liability for Forfeiture, 27 FCC </w:t>
      </w:r>
      <w:r>
        <w:t>Rcd</w:t>
      </w:r>
      <w:r>
        <w:t xml:space="preserve"> 12751, 12753, para. 5 (2012), </w:t>
      </w:r>
      <w:r>
        <w:rPr>
          <w:i/>
          <w:iCs/>
        </w:rPr>
        <w:t>forfeiture issued</w:t>
      </w:r>
      <w:r>
        <w:t xml:space="preserve">, Forfeiture Order, 29 FCC </w:t>
      </w:r>
      <w:r>
        <w:t>Rcd</w:t>
      </w:r>
      <w:r>
        <w:t xml:space="preserve"> 1633 (2014) (</w:t>
      </w:r>
      <w:r>
        <w:rPr>
          <w:i/>
          <w:iCs/>
        </w:rPr>
        <w:t>Unipoint Forfeiture Order</w:t>
      </w:r>
      <w:r>
        <w:t xml:space="preserve">); </w:t>
      </w:r>
      <w:r w:rsidRPr="00BB663E">
        <w:rPr>
          <w:i/>
          <w:iCs/>
        </w:rPr>
        <w:t>ADMA Telecom, Inc</w:t>
      </w:r>
      <w:r>
        <w:t xml:space="preserve">., Notice of Apparent Liability for Forfeiture, 24 FCC </w:t>
      </w:r>
      <w:r>
        <w:t>Rcd</w:t>
      </w:r>
      <w:r>
        <w:t xml:space="preserve"> 838, 846-47, para. 17 (2009), </w:t>
      </w:r>
      <w:r>
        <w:rPr>
          <w:i/>
          <w:iCs/>
        </w:rPr>
        <w:t>forfeiture issued</w:t>
      </w:r>
      <w:r>
        <w:t xml:space="preserve">, Forfeiture Order, 26 FCC </w:t>
      </w:r>
      <w:r>
        <w:t>Rcd</w:t>
      </w:r>
      <w:r>
        <w:t xml:space="preserve"> 4152 (2011) (</w:t>
      </w:r>
      <w:r>
        <w:rPr>
          <w:i/>
          <w:iCs/>
        </w:rPr>
        <w:t>ADMA</w:t>
      </w:r>
      <w:r>
        <w:rPr>
          <w:i/>
          <w:iCs/>
        </w:rPr>
        <w:t xml:space="preserve"> Forfeiture Order</w:t>
      </w:r>
      <w:r>
        <w:t xml:space="preserve">); </w:t>
      </w:r>
      <w:r w:rsidRPr="00CA1113">
        <w:rPr>
          <w:i/>
          <w:iCs/>
          <w:color w:val="000000"/>
        </w:rPr>
        <w:t>Local Phone Services, Inc</w:t>
      </w:r>
      <w:r>
        <w:t xml:space="preserve">., Notice of Apparent Liability for Forfeiture, 21 FCC </w:t>
      </w:r>
      <w:r>
        <w:t>Rcd</w:t>
      </w:r>
      <w:r>
        <w:t xml:space="preserve"> 9974, 9977-78, para. 9 (2006), </w:t>
      </w:r>
      <w:r>
        <w:rPr>
          <w:i/>
          <w:iCs/>
        </w:rPr>
        <w:t>forfeiture issued</w:t>
      </w:r>
      <w:r>
        <w:t xml:space="preserve">, Order of Forfeiture, 23 FCC </w:t>
      </w:r>
      <w:r>
        <w:t>Rcd</w:t>
      </w:r>
      <w:r>
        <w:t xml:space="preserve"> 8952 (2008) (proposed forfeiture reduced from $529,000 to </w:t>
      </w:r>
      <w:r>
        <w:rPr>
          <w:color w:val="000000"/>
        </w:rPr>
        <w:t>$436,765 to account for updated revenue information provided to USAC</w:t>
      </w:r>
      <w:r w:rsidRPr="00062E6A">
        <w:rPr>
          <w:color w:val="000000"/>
        </w:rPr>
        <w:t xml:space="preserve"> </w:t>
      </w:r>
      <w:r>
        <w:rPr>
          <w:color w:val="000000"/>
        </w:rPr>
        <w:t>by the service provider).</w:t>
      </w:r>
    </w:p>
  </w:footnote>
  <w:footnote w:id="20">
    <w:p w:rsidR="00401500" w:rsidRPr="00E25E7B" w:rsidP="007517DE" w14:paraId="290AC1CC" w14:textId="44D9A4A6">
      <w:pPr>
        <w:pStyle w:val="FootnoteText"/>
        <w:rPr>
          <w:i/>
          <w:iCs/>
        </w:rPr>
      </w:pPr>
      <w:r>
        <w:rPr>
          <w:rStyle w:val="FootnoteReference"/>
        </w:rPr>
        <w:footnoteRef/>
      </w:r>
      <w:r>
        <w:t xml:space="preserve"> </w:t>
      </w:r>
      <w:r>
        <w:rPr>
          <w:i/>
          <w:iCs/>
        </w:rPr>
        <w:t>See ibid.</w:t>
      </w:r>
    </w:p>
  </w:footnote>
  <w:footnote w:id="21">
    <w:p w:rsidR="00401500" w:rsidRPr="009B1278" w:rsidP="006E7C87" w14:paraId="2EB29499" w14:textId="6CFDAD76">
      <w:pPr>
        <w:pStyle w:val="FootnoteText"/>
        <w:rPr>
          <w:b/>
          <w:bCs/>
        </w:rPr>
      </w:pPr>
      <w:r>
        <w:rPr>
          <w:rStyle w:val="FootnoteReference"/>
        </w:rPr>
        <w:footnoteRef/>
      </w:r>
      <w:r>
        <w:t xml:space="preserve"> Peace Communications was granted an order of public convenience and necessity by the Tennessee Regulatory Authority on January 25, 20</w:t>
      </w:r>
      <w:r w:rsidR="003178F6">
        <w:t>1</w:t>
      </w:r>
      <w:r>
        <w:t xml:space="preserve">0, to provide competing local telecommunications services in Tennessee.  </w:t>
      </w:r>
      <w:bookmarkStart w:id="19" w:name="_Hlk74840090"/>
      <w:r w:rsidRPr="009B1278">
        <w:rPr>
          <w:i/>
          <w:iCs/>
        </w:rPr>
        <w:t xml:space="preserve">See </w:t>
      </w:r>
      <w:r w:rsidRPr="009B1278">
        <w:t xml:space="preserve">Response to Letter of Inquiry, from Steve Blankenship, Chief Financial Officer, Peace Communications, </w:t>
      </w:r>
      <w:r>
        <w:t>LLC</w:t>
      </w:r>
      <w:r w:rsidRPr="009B1278">
        <w:t>, to Conor P. O’Donovan, Attorney-Advisor, FCC Enforcement Bureau, at 2-3 (Mar. 17, 2021) (on file in File No. EB-IHD-20-000316</w:t>
      </w:r>
      <w:r>
        <w:t>97</w:t>
      </w:r>
      <w:r w:rsidRPr="009B1278">
        <w:t>) (LOI Response)</w:t>
      </w:r>
      <w:r>
        <w:t>.</w:t>
      </w:r>
      <w:bookmarkEnd w:id="19"/>
    </w:p>
  </w:footnote>
  <w:footnote w:id="22">
    <w:p w:rsidR="00401500" w14:paraId="08C3554E" w14:textId="2F4DBC9B">
      <w:pPr>
        <w:pStyle w:val="FootnoteText"/>
      </w:pPr>
      <w:r>
        <w:rPr>
          <w:rStyle w:val="FootnoteReference"/>
        </w:rPr>
        <w:footnoteRef/>
      </w:r>
      <w:r>
        <w:t xml:space="preserve"> LOI Response at 3.</w:t>
      </w:r>
    </w:p>
  </w:footnote>
  <w:footnote w:id="23">
    <w:p w:rsidR="00401500" w:rsidRPr="006D12C5" w:rsidP="004E79B0" w14:paraId="169611AF" w14:textId="0CCF8481">
      <w:pPr>
        <w:pStyle w:val="FootnoteText"/>
      </w:pPr>
      <w:r>
        <w:rPr>
          <w:rStyle w:val="FootnoteReference"/>
        </w:rPr>
        <w:footnoteRef/>
      </w:r>
      <w:r>
        <w:t xml:space="preserve"> </w:t>
      </w:r>
      <w:bookmarkStart w:id="21" w:name="_Hlk74562696"/>
      <w:bookmarkStart w:id="22" w:name="_Hlk43372823"/>
      <w:r w:rsidRPr="008C11BD">
        <w:rPr>
          <w:rStyle w:val="FootnoteTextCharChar1"/>
        </w:rPr>
        <w:t xml:space="preserve">Letter from Tracey Pilsch, </w:t>
      </w:r>
      <w:r w:rsidRPr="008C11BD">
        <w:t xml:space="preserve">Manager of Contributor Operations, 499 Team, Finance, Universal Services Administrative Company to </w:t>
      </w:r>
      <w:r>
        <w:t>Conor O’Donovan</w:t>
      </w:r>
      <w:r w:rsidRPr="008C11BD">
        <w:t xml:space="preserve">, </w:t>
      </w:r>
      <w:r>
        <w:t>Attorney-Advisor</w:t>
      </w:r>
      <w:r w:rsidRPr="008C11BD">
        <w:t xml:space="preserve">, Investigations &amp; Hearings Division, FCC Enforcement </w:t>
      </w:r>
      <w:r w:rsidRPr="006D12C5">
        <w:t xml:space="preserve">Bureau at </w:t>
      </w:r>
      <w:r w:rsidRPr="006D12C5" w:rsidR="0098329C">
        <w:t xml:space="preserve">1 </w:t>
      </w:r>
      <w:r w:rsidRPr="006D12C5">
        <w:rPr>
          <w:rStyle w:val="FootnoteTextCharChar1"/>
        </w:rPr>
        <w:t>(</w:t>
      </w:r>
      <w:r w:rsidRPr="006D12C5" w:rsidR="0098329C">
        <w:rPr>
          <w:rStyle w:val="FootnoteTextCharChar1"/>
        </w:rPr>
        <w:t>Jul. 26, 2021</w:t>
      </w:r>
      <w:r w:rsidRPr="006D12C5">
        <w:rPr>
          <w:rStyle w:val="FootnoteTextCharChar1"/>
        </w:rPr>
        <w:t xml:space="preserve">) </w:t>
      </w:r>
      <w:r w:rsidRPr="006D12C5">
        <w:t>(</w:t>
      </w:r>
      <w:r w:rsidRPr="006D12C5">
        <w:rPr>
          <w:rStyle w:val="FootnoteTextCharChar1"/>
        </w:rPr>
        <w:t>on file in EB-IHD-20-00031697</w:t>
      </w:r>
      <w:r w:rsidRPr="006D12C5">
        <w:t xml:space="preserve">) </w:t>
      </w:r>
      <w:r w:rsidRPr="006D12C5">
        <w:rPr>
          <w:rStyle w:val="FootnoteTextCharChar1"/>
        </w:rPr>
        <w:t xml:space="preserve">(USAC </w:t>
      </w:r>
      <w:bookmarkStart w:id="23" w:name="_Hlk78207734"/>
      <w:r w:rsidRPr="006D12C5" w:rsidR="0098329C">
        <w:rPr>
          <w:rStyle w:val="FootnoteTextCharChar1"/>
        </w:rPr>
        <w:t xml:space="preserve">Jul. 26, 2021 </w:t>
      </w:r>
      <w:bookmarkEnd w:id="23"/>
      <w:r w:rsidRPr="006D12C5">
        <w:rPr>
          <w:rStyle w:val="FootnoteTextCharChar1"/>
        </w:rPr>
        <w:t>Letter)</w:t>
      </w:r>
      <w:r w:rsidRPr="006D12C5">
        <w:t>.</w:t>
      </w:r>
      <w:bookmarkEnd w:id="21"/>
      <w:bookmarkEnd w:id="22"/>
    </w:p>
  </w:footnote>
  <w:footnote w:id="24">
    <w:p w:rsidR="00401500" w:rsidRPr="006D12C5" w14:paraId="69E1D082" w14:textId="5569DC0E">
      <w:pPr>
        <w:pStyle w:val="FootnoteText"/>
      </w:pPr>
      <w:r w:rsidRPr="006D12C5">
        <w:rPr>
          <w:rStyle w:val="FootnoteReference"/>
        </w:rPr>
        <w:footnoteRef/>
      </w:r>
      <w:r w:rsidRPr="006D12C5">
        <w:t xml:space="preserve"> </w:t>
      </w:r>
      <w:r w:rsidRPr="006D12C5">
        <w:rPr>
          <w:i/>
          <w:iCs/>
        </w:rPr>
        <w:t>Id.</w:t>
      </w:r>
      <w:r w:rsidRPr="006D12C5">
        <w:rPr>
          <w:color w:val="212121"/>
        </w:rPr>
        <w:t xml:space="preserve"> </w:t>
      </w:r>
      <w:r w:rsidRPr="006D12C5">
        <w:t xml:space="preserve"> As a de minimis service provider under the Commission’s rules, Peace Communications was not required to file Quarterly Worksheets between 2009 and 2017.</w:t>
      </w:r>
      <w:r w:rsidRPr="006D12C5" w:rsidR="00896753">
        <w:t xml:space="preserve"> </w:t>
      </w:r>
      <w:r w:rsidRPr="006D12C5" w:rsidR="00CA44F1">
        <w:rPr>
          <w:i/>
          <w:iCs/>
        </w:rPr>
        <w:t xml:space="preserve">See </w:t>
      </w:r>
      <w:r w:rsidRPr="006D12C5" w:rsidR="00896753">
        <w:t>47 CFR § 54.708.</w:t>
      </w:r>
    </w:p>
  </w:footnote>
  <w:footnote w:id="25">
    <w:p w:rsidR="00401500" w:rsidRPr="006D12C5" w14:paraId="1A0C1CFD" w14:textId="7C702BC4">
      <w:pPr>
        <w:pStyle w:val="FootnoteText"/>
      </w:pPr>
      <w:r w:rsidRPr="006D12C5">
        <w:rPr>
          <w:rStyle w:val="FootnoteReference"/>
        </w:rPr>
        <w:footnoteRef/>
      </w:r>
      <w:r w:rsidRPr="006D12C5">
        <w:t xml:space="preserve"> </w:t>
      </w:r>
      <w:r w:rsidRPr="006D12C5">
        <w:rPr>
          <w:rStyle w:val="FootnoteTextCharChar1"/>
        </w:rPr>
        <w:t xml:space="preserve">USAC </w:t>
      </w:r>
      <w:r w:rsidRPr="006D12C5" w:rsidR="0098329C">
        <w:rPr>
          <w:rStyle w:val="FootnoteTextCharChar1"/>
        </w:rPr>
        <w:t xml:space="preserve">Jul. 26, 2021 </w:t>
      </w:r>
      <w:r w:rsidRPr="006D12C5">
        <w:rPr>
          <w:rStyle w:val="FootnoteTextCharChar1"/>
        </w:rPr>
        <w:t xml:space="preserve">Letter, </w:t>
      </w:r>
      <w:r w:rsidRPr="006D12C5">
        <w:rPr>
          <w:i/>
          <w:iCs/>
        </w:rPr>
        <w:t xml:space="preserve">supra </w:t>
      </w:r>
      <w:r w:rsidRPr="006D12C5">
        <w:t>note</w:t>
      </w:r>
      <w:r w:rsidRPr="006D12C5">
        <w:rPr>
          <w:i/>
          <w:iCs/>
        </w:rPr>
        <w:t xml:space="preserve"> </w:t>
      </w:r>
      <w:r w:rsidRPr="006D12C5">
        <w:t xml:space="preserve">22, at </w:t>
      </w:r>
      <w:r w:rsidRPr="006D12C5" w:rsidR="0098329C">
        <w:t>1</w:t>
      </w:r>
      <w:r w:rsidRPr="006D12C5">
        <w:t>.</w:t>
      </w:r>
    </w:p>
  </w:footnote>
  <w:footnote w:id="26">
    <w:p w:rsidR="00401500" w:rsidRPr="006D12C5" w14:paraId="3E91C2D0" w14:textId="5A126D1A">
      <w:pPr>
        <w:pStyle w:val="FootnoteText"/>
      </w:pPr>
      <w:r w:rsidRPr="006D12C5">
        <w:rPr>
          <w:rStyle w:val="FootnoteReference"/>
        </w:rPr>
        <w:footnoteRef/>
      </w:r>
      <w:r w:rsidRPr="006D12C5">
        <w:t xml:space="preserve"> </w:t>
      </w:r>
      <w:r w:rsidRPr="006D12C5">
        <w:rPr>
          <w:i/>
          <w:iCs/>
        </w:rPr>
        <w:t>Id</w:t>
      </w:r>
      <w:r w:rsidRPr="006D12C5">
        <w:t xml:space="preserve">. at </w:t>
      </w:r>
      <w:r w:rsidRPr="006D12C5" w:rsidR="0098329C">
        <w:t>1</w:t>
      </w:r>
      <w:r w:rsidRPr="006D12C5">
        <w:t xml:space="preserve">.  The Company did not qualify for the de minimis exception under 47 CFR § </w:t>
      </w:r>
      <w:r w:rsidRPr="006D12C5" w:rsidR="00C174C2">
        <w:t>54.708</w:t>
      </w:r>
      <w:r w:rsidRPr="006D12C5">
        <w:t xml:space="preserve"> for the years 2018 through 2020.  </w:t>
      </w:r>
      <w:r w:rsidRPr="006D12C5">
        <w:rPr>
          <w:rStyle w:val="FootnoteTextCharChar1"/>
        </w:rPr>
        <w:t>USAC</w:t>
      </w:r>
      <w:r w:rsidRPr="006D12C5" w:rsidR="0098329C">
        <w:rPr>
          <w:rStyle w:val="FootnoteTextCharChar1"/>
        </w:rPr>
        <w:t xml:space="preserve"> Jul. 26, 2021 </w:t>
      </w:r>
      <w:r w:rsidRPr="006D12C5">
        <w:rPr>
          <w:rStyle w:val="FootnoteTextCharChar1"/>
        </w:rPr>
        <w:t xml:space="preserve">Letter, </w:t>
      </w:r>
      <w:r w:rsidRPr="006D12C5">
        <w:rPr>
          <w:i/>
          <w:iCs/>
        </w:rPr>
        <w:t xml:space="preserve">supra </w:t>
      </w:r>
      <w:r w:rsidRPr="006D12C5">
        <w:t>note</w:t>
      </w:r>
      <w:r w:rsidRPr="006D12C5">
        <w:rPr>
          <w:i/>
          <w:iCs/>
        </w:rPr>
        <w:t xml:space="preserve"> </w:t>
      </w:r>
      <w:r w:rsidRPr="006D12C5">
        <w:t xml:space="preserve">22, at </w:t>
      </w:r>
      <w:r w:rsidRPr="006D12C5" w:rsidR="0098329C">
        <w:t>1</w:t>
      </w:r>
      <w:r w:rsidRPr="006D12C5">
        <w:t>.</w:t>
      </w:r>
    </w:p>
  </w:footnote>
  <w:footnote w:id="27">
    <w:p w:rsidR="00401500" w:rsidRPr="006D12C5" w:rsidP="004E79B0" w14:paraId="73798523" w14:textId="5869B9FD">
      <w:pPr>
        <w:pStyle w:val="FootnoteText"/>
        <w:rPr>
          <w:i/>
          <w:iCs/>
        </w:rPr>
      </w:pPr>
      <w:r w:rsidRPr="006D12C5">
        <w:rPr>
          <w:rStyle w:val="FootnoteReference"/>
        </w:rPr>
        <w:footnoteRef/>
      </w:r>
      <w:r w:rsidRPr="006D12C5">
        <w:t xml:space="preserve"> </w:t>
      </w:r>
      <w:r w:rsidRPr="006D12C5">
        <w:rPr>
          <w:i/>
          <w:iCs/>
        </w:rPr>
        <w:t>Id.</w:t>
      </w:r>
      <w:r w:rsidRPr="006D12C5">
        <w:t xml:space="preserve">    </w:t>
      </w:r>
    </w:p>
  </w:footnote>
  <w:footnote w:id="28">
    <w:p w:rsidR="00401500" w:rsidRPr="00160FE5" w14:paraId="17F5728C" w14:textId="7A8DE591">
      <w:pPr>
        <w:pStyle w:val="FootnoteText"/>
      </w:pPr>
      <w:r w:rsidRPr="006D12C5">
        <w:rPr>
          <w:rStyle w:val="FootnoteReference"/>
        </w:rPr>
        <w:footnoteRef/>
      </w:r>
      <w:r w:rsidRPr="006D12C5">
        <w:t xml:space="preserve"> </w:t>
      </w:r>
      <w:r w:rsidRPr="006D12C5">
        <w:rPr>
          <w:rStyle w:val="FootnoteTextCharChar1"/>
          <w:i/>
          <w:iCs/>
        </w:rPr>
        <w:t>See</w:t>
      </w:r>
      <w:r w:rsidRPr="006D12C5">
        <w:rPr>
          <w:rStyle w:val="FootnoteTextCharChar1"/>
        </w:rPr>
        <w:t xml:space="preserve"> </w:t>
      </w:r>
      <w:r w:rsidRPr="006D12C5">
        <w:rPr>
          <w:rStyle w:val="FootnoteTextCharChar1"/>
          <w:i/>
          <w:iCs/>
        </w:rPr>
        <w:t>id</w:t>
      </w:r>
      <w:r w:rsidRPr="006D12C5">
        <w:rPr>
          <w:rStyle w:val="FootnoteTextCharChar1"/>
        </w:rPr>
        <w:t>.</w:t>
      </w:r>
      <w:r w:rsidRPr="006D12C5">
        <w:t xml:space="preserve">  </w:t>
      </w:r>
      <w:r w:rsidRPr="006D12C5">
        <w:rPr>
          <w:i/>
          <w:iCs/>
        </w:rPr>
        <w:t>See also</w:t>
      </w:r>
      <w:r w:rsidRPr="006D12C5">
        <w:t xml:space="preserve"> 47 CFR § 54.711; </w:t>
      </w:r>
      <w:r w:rsidRPr="006D12C5">
        <w:rPr>
          <w:i/>
          <w:iCs/>
        </w:rPr>
        <w:t>2020 Form 499 Public Notice</w:t>
      </w:r>
      <w:r w:rsidRPr="006D12C5">
        <w:t xml:space="preserve">, 35 FCC </w:t>
      </w:r>
      <w:r w:rsidRPr="006D12C5">
        <w:t>Rcd</w:t>
      </w:r>
      <w:r w:rsidRPr="006D12C5">
        <w:t xml:space="preserve"> at 1372</w:t>
      </w:r>
      <w:r w:rsidRPr="006D12C5">
        <w:rPr>
          <w:i/>
          <w:iCs/>
        </w:rPr>
        <w:t xml:space="preserve">; </w:t>
      </w:r>
      <w:r w:rsidRPr="006D12C5">
        <w:rPr>
          <w:i/>
          <w:iCs/>
        </w:rPr>
        <w:t>Telseven</w:t>
      </w:r>
      <w:r w:rsidRPr="006D12C5">
        <w:rPr>
          <w:i/>
          <w:iCs/>
        </w:rPr>
        <w:t xml:space="preserve"> NAL</w:t>
      </w:r>
      <w:r w:rsidRPr="006D12C5">
        <w:t xml:space="preserve">, 27 FCC </w:t>
      </w:r>
      <w:r w:rsidRPr="006D12C5">
        <w:t>Rcd</w:t>
      </w:r>
      <w:r w:rsidRPr="006D12C5">
        <w:t xml:space="preserve"> at 6637, para. 2.</w:t>
      </w:r>
    </w:p>
  </w:footnote>
  <w:footnote w:id="29">
    <w:p w:rsidR="00401500" w:rsidRPr="006D12C5" w14:paraId="3C324A9B" w14:textId="3849E4C1">
      <w:pPr>
        <w:pStyle w:val="FootnoteText"/>
      </w:pPr>
      <w:r w:rsidRPr="008C11BD">
        <w:rPr>
          <w:rStyle w:val="FootnoteReference"/>
        </w:rPr>
        <w:footnoteRef/>
      </w:r>
      <w:r w:rsidRPr="008C11BD">
        <w:t xml:space="preserve"> </w:t>
      </w:r>
      <w:bookmarkStart w:id="25" w:name="_Hlk38025533"/>
      <w:r w:rsidRPr="008C11BD">
        <w:t xml:space="preserve">Letter </w:t>
      </w:r>
      <w:r>
        <w:t xml:space="preserve">of Inquiry </w:t>
      </w:r>
      <w:r w:rsidRPr="008C11BD">
        <w:t>from Jeffrey J. Gee, Chief, Investigations &amp; Hearings Division, FCC Enforcement Bureau</w:t>
      </w:r>
      <w:bookmarkEnd w:id="25"/>
      <w:r w:rsidRPr="008C11BD">
        <w:t xml:space="preserve">, to </w:t>
      </w:r>
      <w:r>
        <w:t>Jim Peace, Chief Executive Officer,</w:t>
      </w:r>
      <w:r>
        <w:rPr>
          <w:color w:val="FF0000"/>
        </w:rPr>
        <w:t xml:space="preserve"> </w:t>
      </w:r>
      <w:bookmarkStart w:id="26" w:name="_Hlk42608197"/>
      <w:r>
        <w:t>Peace Communications, LLC, and Steve Blankenship, Chief Financial Officer, Peace Communications, LLC</w:t>
      </w:r>
      <w:r w:rsidRPr="00E74B1F">
        <w:rPr>
          <w:color w:val="FF0000"/>
        </w:rPr>
        <w:t xml:space="preserve"> </w:t>
      </w:r>
      <w:bookmarkEnd w:id="26"/>
      <w:r w:rsidRPr="00950D76">
        <w:t>(Feb. 9, 202</w:t>
      </w:r>
      <w:r>
        <w:t>1</w:t>
      </w:r>
      <w:r w:rsidRPr="00950D76">
        <w:t>)</w:t>
      </w:r>
      <w:r w:rsidRPr="008C11BD">
        <w:t xml:space="preserve"> (regarding compliance with </w:t>
      </w:r>
      <w:r w:rsidRPr="008C11BD">
        <w:rPr>
          <w:lang w:val="es-ES_tradnl"/>
        </w:rPr>
        <w:t xml:space="preserve">47 U.S.C. §§ 159(a), </w:t>
      </w:r>
      <w:r w:rsidRPr="008C11BD">
        <w:t xml:space="preserve">222, 251(e)(2), 254(d); </w:t>
      </w:r>
      <w:r w:rsidRPr="008C11BD">
        <w:rPr>
          <w:lang w:val="es-ES_tradnl"/>
        </w:rPr>
        <w:t xml:space="preserve">47 CFR §§ </w:t>
      </w:r>
      <w:r w:rsidRPr="008C11BD">
        <w:t xml:space="preserve">1.1154, </w:t>
      </w:r>
      <w:r w:rsidRPr="008C11BD">
        <w:rPr>
          <w:lang w:val="es-ES_tradnl"/>
        </w:rPr>
        <w:t xml:space="preserve">1.1157, 1.7001, </w:t>
      </w:r>
      <w:r>
        <w:rPr>
          <w:lang w:val="es-ES_tradnl"/>
        </w:rPr>
        <w:t xml:space="preserve">1.8002, </w:t>
      </w:r>
      <w:r w:rsidRPr="008C11BD">
        <w:rPr>
          <w:lang w:val="es-ES_tradnl"/>
        </w:rPr>
        <w:t xml:space="preserve">52.17, 52.32, 54.706, 54.711, 54.712, </w:t>
      </w:r>
      <w:r>
        <w:rPr>
          <w:lang w:val="es-ES_tradnl"/>
        </w:rPr>
        <w:t xml:space="preserve">54,713, </w:t>
      </w:r>
      <w:r w:rsidRPr="008C11BD">
        <w:rPr>
          <w:lang w:val="es-ES_tradnl"/>
        </w:rPr>
        <w:t>64.604, 64.2009(e)</w:t>
      </w:r>
      <w:r>
        <w:rPr>
          <w:lang w:val="es-ES_tradnl"/>
        </w:rPr>
        <w:t>, 64.2115</w:t>
      </w:r>
      <w:r w:rsidRPr="008C11BD">
        <w:rPr>
          <w:lang w:val="es-ES_tradnl"/>
        </w:rPr>
        <w:t xml:space="preserve">) </w:t>
      </w:r>
      <w:r w:rsidRPr="008C11BD">
        <w:t>(</w:t>
      </w:r>
      <w:r w:rsidRPr="008C11BD">
        <w:rPr>
          <w:rStyle w:val="FootnoteTextCharChar1"/>
        </w:rPr>
        <w:t xml:space="preserve">on </w:t>
      </w:r>
      <w:r w:rsidRPr="006D12C5">
        <w:rPr>
          <w:rStyle w:val="FootnoteTextCharChar1"/>
        </w:rPr>
        <w:t>file in EB-IHD-20-00031697</w:t>
      </w:r>
      <w:r w:rsidRPr="006D12C5">
        <w:t>) (LOI)</w:t>
      </w:r>
      <w:r w:rsidRPr="006D12C5">
        <w:rPr>
          <w:lang w:val="es-ES_tradnl"/>
        </w:rPr>
        <w:t xml:space="preserve">. </w:t>
      </w:r>
    </w:p>
  </w:footnote>
  <w:footnote w:id="30">
    <w:p w:rsidR="00401500" w:rsidRPr="006D12C5" w14:paraId="2EFB5932" w14:textId="7B4CDDFB">
      <w:pPr>
        <w:pStyle w:val="FootnoteText"/>
      </w:pPr>
      <w:r w:rsidRPr="006D12C5">
        <w:rPr>
          <w:rStyle w:val="FootnoteReference"/>
        </w:rPr>
        <w:footnoteRef/>
      </w:r>
      <w:r w:rsidRPr="006D12C5">
        <w:t xml:space="preserve"> LOI Response, </w:t>
      </w:r>
      <w:r w:rsidRPr="006D12C5">
        <w:rPr>
          <w:i/>
          <w:iCs/>
        </w:rPr>
        <w:t>supra</w:t>
      </w:r>
      <w:r w:rsidRPr="006D12C5">
        <w:t xml:space="preserve"> note 20; Response to Letter of Inquiry Amended, from Steve Blankenship, Chief Financial Officer, Peace Communications, LLC, to Conor P. O’Donovan, Attorney-Advisor, FCC Enforcement Bureau (Mar. 24, 2021) (on file in File No. EB-IHD-20-00031697) (Amended LOI Response).</w:t>
      </w:r>
    </w:p>
  </w:footnote>
  <w:footnote w:id="31">
    <w:p w:rsidR="00401500" w:rsidRPr="006D12C5" w:rsidP="00994D88" w14:paraId="4F10ADBF" w14:textId="592BF301">
      <w:pPr>
        <w:pStyle w:val="FootnoteText"/>
      </w:pPr>
      <w:r w:rsidRPr="006D12C5">
        <w:rPr>
          <w:rStyle w:val="FootnoteReference"/>
        </w:rPr>
        <w:footnoteRef/>
      </w:r>
      <w:r w:rsidRPr="006D12C5">
        <w:t xml:space="preserve"> </w:t>
      </w:r>
      <w:r w:rsidRPr="006D12C5">
        <w:rPr>
          <w:rStyle w:val="FootnoteTextCharChar1"/>
          <w:i/>
          <w:iCs/>
        </w:rPr>
        <w:t>See</w:t>
      </w:r>
      <w:r w:rsidRPr="006D12C5">
        <w:rPr>
          <w:rStyle w:val="FootnoteTextCharChar1"/>
        </w:rPr>
        <w:t xml:space="preserve"> </w:t>
      </w:r>
      <w:r w:rsidRPr="006D12C5">
        <w:t xml:space="preserve">47 CFR </w:t>
      </w:r>
      <w:r w:rsidRPr="006D12C5" w:rsidR="009859D5">
        <w:t>§</w:t>
      </w:r>
      <w:r w:rsidRPr="006D12C5">
        <w:t xml:space="preserve">§ </w:t>
      </w:r>
      <w:r w:rsidRPr="006D12C5" w:rsidR="0087094B">
        <w:t>52.17(b), 52.32(b), 54.711, 64.604(c)(5)(iii)(B)</w:t>
      </w:r>
      <w:r w:rsidRPr="006D12C5">
        <w:t xml:space="preserve">.  </w:t>
      </w:r>
    </w:p>
  </w:footnote>
  <w:footnote w:id="32">
    <w:p w:rsidR="00401500" w:rsidRPr="006D12C5" w14:paraId="4DE64BEE" w14:textId="42BAA16C">
      <w:pPr>
        <w:pStyle w:val="FootnoteText"/>
      </w:pPr>
      <w:r w:rsidRPr="006D12C5">
        <w:rPr>
          <w:rStyle w:val="FootnoteReference"/>
        </w:rPr>
        <w:footnoteRef/>
      </w:r>
      <w:r w:rsidRPr="006D12C5">
        <w:t xml:space="preserve"> </w:t>
      </w:r>
      <w:r w:rsidRPr="006D12C5">
        <w:rPr>
          <w:rStyle w:val="FootnoteTextCharChar1"/>
          <w:i/>
          <w:iCs/>
        </w:rPr>
        <w:t>See</w:t>
      </w:r>
      <w:r w:rsidRPr="006D12C5">
        <w:rPr>
          <w:rStyle w:val="FootnoteTextCharChar1"/>
        </w:rPr>
        <w:t xml:space="preserve"> USAC </w:t>
      </w:r>
      <w:r w:rsidRPr="006D12C5" w:rsidR="0098329C">
        <w:rPr>
          <w:rStyle w:val="FootnoteTextCharChar1"/>
        </w:rPr>
        <w:t xml:space="preserve">Jul. 26, 2021 </w:t>
      </w:r>
      <w:r w:rsidRPr="006D12C5">
        <w:rPr>
          <w:rStyle w:val="FootnoteTextCharChar1"/>
        </w:rPr>
        <w:t xml:space="preserve">Letter, </w:t>
      </w:r>
      <w:r w:rsidRPr="006D12C5">
        <w:rPr>
          <w:i/>
          <w:iCs/>
        </w:rPr>
        <w:t xml:space="preserve">supra </w:t>
      </w:r>
      <w:r w:rsidRPr="006D12C5">
        <w:t>note</w:t>
      </w:r>
      <w:r w:rsidRPr="006D12C5">
        <w:rPr>
          <w:i/>
          <w:iCs/>
        </w:rPr>
        <w:t xml:space="preserve"> </w:t>
      </w:r>
      <w:r w:rsidRPr="006D12C5">
        <w:t>2</w:t>
      </w:r>
      <w:r w:rsidRPr="006D12C5" w:rsidR="00204560">
        <w:t>2</w:t>
      </w:r>
      <w:r w:rsidRPr="006D12C5">
        <w:t xml:space="preserve">, at </w:t>
      </w:r>
      <w:r w:rsidRPr="006D12C5" w:rsidR="0098329C">
        <w:t>1</w:t>
      </w:r>
      <w:r w:rsidRPr="006D12C5">
        <w:t>.</w:t>
      </w:r>
    </w:p>
  </w:footnote>
  <w:footnote w:id="33">
    <w:p w:rsidR="00401500" w:rsidRPr="006D12C5" w:rsidP="000655F2" w14:paraId="2741F647" w14:textId="28CA4417">
      <w:pPr>
        <w:pStyle w:val="FootnoteText"/>
      </w:pPr>
      <w:r w:rsidRPr="006D12C5">
        <w:rPr>
          <w:rStyle w:val="FootnoteReference"/>
        </w:rPr>
        <w:footnoteRef/>
      </w:r>
      <w:r w:rsidRPr="006D12C5">
        <w:t xml:space="preserve"> </w:t>
      </w:r>
      <w:r w:rsidRPr="006D12C5">
        <w:rPr>
          <w:i/>
          <w:iCs/>
        </w:rPr>
        <w:t>E.g., 2020 Form 499 Public Notice</w:t>
      </w:r>
      <w:r w:rsidRPr="006D12C5">
        <w:t xml:space="preserve">, 35 FCC </w:t>
      </w:r>
      <w:r w:rsidRPr="006D12C5">
        <w:t>Rcd</w:t>
      </w:r>
      <w:r w:rsidRPr="006D12C5">
        <w:t xml:space="preserve"> at 1372</w:t>
      </w:r>
      <w:r w:rsidRPr="006D12C5">
        <w:rPr>
          <w:i/>
          <w:iCs/>
        </w:rPr>
        <w:t>.</w:t>
      </w:r>
    </w:p>
  </w:footnote>
  <w:footnote w:id="34">
    <w:p w:rsidR="0087094B" w14:paraId="43359358" w14:textId="65A2E52B">
      <w:pPr>
        <w:pStyle w:val="FootnoteText"/>
      </w:pPr>
      <w:r w:rsidRPr="006D12C5">
        <w:rPr>
          <w:rStyle w:val="FootnoteReference"/>
        </w:rPr>
        <w:footnoteRef/>
      </w:r>
      <w:r w:rsidRPr="006D12C5">
        <w:t xml:space="preserve"> Additionally, each individual failure to timely file an Annual Worksheet are separate violations of 47 CFR §§ 52.17(b), 52.32(b), and 64.604(c)(5)(iii)(B).</w:t>
      </w:r>
    </w:p>
  </w:footnote>
  <w:footnote w:id="35">
    <w:p w:rsidR="00401500" w:rsidRPr="008C11BD" w:rsidP="001006B5" w14:paraId="3C82AD86" w14:textId="77777777">
      <w:pPr>
        <w:pStyle w:val="FootnoteText"/>
        <w:rPr>
          <w:b/>
          <w:color w:val="000000"/>
        </w:rPr>
      </w:pPr>
      <w:r w:rsidRPr="008C11BD">
        <w:rPr>
          <w:rStyle w:val="FootnoteReference"/>
          <w:color w:val="000000"/>
        </w:rPr>
        <w:footnoteRef/>
      </w:r>
      <w:r w:rsidRPr="008C11BD">
        <w:rPr>
          <w:color w:val="000000"/>
        </w:rPr>
        <w:t xml:space="preserve"> 47 U.S.C. § 503(b)(1)(B).</w:t>
      </w:r>
    </w:p>
  </w:footnote>
  <w:footnote w:id="36">
    <w:p w:rsidR="00401500" w:rsidRPr="008C11BD" w:rsidP="001006B5" w14:paraId="7C47BBD4" w14:textId="1279E7B2">
      <w:pPr>
        <w:pStyle w:val="FootnoteText"/>
      </w:pPr>
      <w:r w:rsidRPr="008C11BD">
        <w:rPr>
          <w:rStyle w:val="FootnoteReference"/>
        </w:rPr>
        <w:footnoteRef/>
      </w:r>
      <w:r w:rsidRPr="008C11BD">
        <w:t xml:space="preserve"> </w:t>
      </w:r>
      <w:r w:rsidRPr="008C11BD">
        <w:rPr>
          <w:i/>
        </w:rPr>
        <w:t xml:space="preserve">See </w:t>
      </w:r>
      <w:r w:rsidRPr="008C11BD">
        <w:t>47 U.S.C. § 503(b)(2)(</w:t>
      </w:r>
      <w:r w:rsidR="00724BBB">
        <w:t>B</w:t>
      </w:r>
      <w:r w:rsidRPr="008C11BD">
        <w:t>); 47 CFR § 1.80(b)(</w:t>
      </w:r>
      <w:r w:rsidR="00AB7F7E">
        <w:t>2</w:t>
      </w:r>
      <w:r w:rsidRPr="008C11BD">
        <w:t>).  These amounts reflect inflation adjustments to the forfeitures specified in section 503(b)(2)(</w:t>
      </w:r>
      <w:r w:rsidR="00B23F1E">
        <w:t>B</w:t>
      </w:r>
      <w:r w:rsidRPr="008C11BD">
        <w:t>) of the Act ($10</w:t>
      </w:r>
      <w:r w:rsidR="00B23F1E">
        <w:t>0</w:t>
      </w:r>
      <w:r w:rsidRPr="008C11BD">
        <w:t>,000 per violation or per day of a continuing violation and a statutory maximum of $</w:t>
      </w:r>
      <w:r w:rsidR="00B23F1E">
        <w:t>1,000</w:t>
      </w:r>
      <w:r w:rsidRPr="008C11BD">
        <w:t xml:space="preserve">,000 for a single act or failure to act).  </w:t>
      </w:r>
      <w:r w:rsidRPr="007C51DF">
        <w:rPr>
          <w:rStyle w:val="Emphasis"/>
        </w:rPr>
        <w:t>See Amendment of Section 1.80(b) of the Commission’s Rules, Adjustment of Civil Monetary Penalties to Reflect Inflation</w:t>
      </w:r>
      <w:r w:rsidRPr="007C51DF">
        <w:t xml:space="preserve">, Order, </w:t>
      </w:r>
      <w:r w:rsidRPr="00F26920" w:rsidR="00F26920">
        <w:t xml:space="preserve">35 FCC </w:t>
      </w:r>
      <w:r w:rsidRPr="00F26920" w:rsidR="00F26920">
        <w:t>Rcd</w:t>
      </w:r>
      <w:r w:rsidRPr="00F26920" w:rsidR="00F26920">
        <w:t xml:space="preserve"> 14879</w:t>
      </w:r>
      <w:r w:rsidRPr="007C51DF">
        <w:t xml:space="preserve"> (</w:t>
      </w:r>
      <w:r w:rsidR="00F26920">
        <w:rPr>
          <w:snapToGrid w:val="0"/>
          <w:color w:val="000000"/>
        </w:rPr>
        <w:t>EB</w:t>
      </w:r>
      <w:r w:rsidRPr="007C51DF">
        <w:rPr>
          <w:snapToGrid w:val="0"/>
          <w:color w:val="000000"/>
        </w:rPr>
        <w:t xml:space="preserve"> </w:t>
      </w:r>
      <w:r w:rsidRPr="007C51DF" w:rsidR="007C51DF">
        <w:rPr>
          <w:snapToGrid w:val="0"/>
          <w:color w:val="000000"/>
        </w:rPr>
        <w:t>20</w:t>
      </w:r>
      <w:r w:rsidR="007C51DF">
        <w:rPr>
          <w:snapToGrid w:val="0"/>
          <w:color w:val="000000"/>
        </w:rPr>
        <w:t>20</w:t>
      </w:r>
      <w:r w:rsidRPr="007C51DF">
        <w:t>)</w:t>
      </w:r>
      <w:r w:rsidR="007C51DF">
        <w:t xml:space="preserve">, Erratum, </w:t>
      </w:r>
      <w:r w:rsidRPr="00F26920" w:rsidR="00F26920">
        <w:t xml:space="preserve">36 FCC </w:t>
      </w:r>
      <w:r w:rsidRPr="00F26920" w:rsidR="00F26920">
        <w:t>Rcd</w:t>
      </w:r>
      <w:r w:rsidRPr="00F26920" w:rsidR="00F26920">
        <w:t xml:space="preserve"> 1349</w:t>
      </w:r>
      <w:r w:rsidR="007C51DF">
        <w:t xml:space="preserve"> (</w:t>
      </w:r>
      <w:r w:rsidR="00F26920">
        <w:t>EB</w:t>
      </w:r>
      <w:r w:rsidR="007C51DF">
        <w:t xml:space="preserve"> Feb. 3, 2021)</w:t>
      </w:r>
      <w:r w:rsidRPr="007C51DF">
        <w:t>;</w:t>
      </w:r>
      <w:r w:rsidR="007C51DF">
        <w:t xml:space="preserve"> </w:t>
      </w:r>
      <w:r w:rsidRPr="007C51DF">
        <w:rPr>
          <w:rStyle w:val="Emphasis"/>
        </w:rPr>
        <w:t>see also Annual Adjustment of Civil Monetary Penalties to Reflect Inflation</w:t>
      </w:r>
      <w:r w:rsidRPr="007C51DF">
        <w:t xml:space="preserve">, </w:t>
      </w:r>
      <w:r w:rsidR="008D6801">
        <w:t>86</w:t>
      </w:r>
      <w:r w:rsidRPr="007C51DF" w:rsidR="008D6801">
        <w:t xml:space="preserve"> </w:t>
      </w:r>
      <w:r w:rsidRPr="007C51DF">
        <w:t xml:space="preserve">Fed. Reg. </w:t>
      </w:r>
      <w:r w:rsidR="008D6801">
        <w:t>3830</w:t>
      </w:r>
      <w:r w:rsidRPr="007C51DF" w:rsidR="008D6801">
        <w:t xml:space="preserve"> </w:t>
      </w:r>
      <w:r w:rsidRPr="007C51DF">
        <w:t xml:space="preserve">(Jan. 15, </w:t>
      </w:r>
      <w:r w:rsidRPr="007C51DF" w:rsidR="008D6801">
        <w:t>20</w:t>
      </w:r>
      <w:r w:rsidR="008D6801">
        <w:t>21</w:t>
      </w:r>
      <w:r w:rsidRPr="007C51DF">
        <w:t xml:space="preserve">) (setting January 15, </w:t>
      </w:r>
      <w:r w:rsidRPr="007C51DF" w:rsidR="008D6801">
        <w:t>20</w:t>
      </w:r>
      <w:r w:rsidR="008D6801">
        <w:t>21</w:t>
      </w:r>
      <w:r w:rsidRPr="007C51DF">
        <w:t>, as the effective date for the increases).</w:t>
      </w:r>
      <w:r w:rsidRPr="008C11BD">
        <w:t xml:space="preserve">  </w:t>
      </w:r>
    </w:p>
  </w:footnote>
  <w:footnote w:id="37">
    <w:p w:rsidR="00401500" w:rsidRPr="008C11BD" w:rsidP="001006B5" w14:paraId="66FD9F29" w14:textId="77777777">
      <w:pPr>
        <w:pStyle w:val="FootnoteText"/>
        <w:rPr>
          <w:color w:val="000000"/>
        </w:rPr>
      </w:pPr>
      <w:r w:rsidRPr="008C11BD">
        <w:rPr>
          <w:rStyle w:val="FootnoteReference"/>
          <w:color w:val="000000"/>
        </w:rPr>
        <w:footnoteRef/>
      </w:r>
      <w:r w:rsidRPr="008C11BD">
        <w:rPr>
          <w:color w:val="000000"/>
        </w:rPr>
        <w:t xml:space="preserve"> 47 U.S.C. § 503(b)(2)(E).</w:t>
      </w:r>
    </w:p>
  </w:footnote>
  <w:footnote w:id="38">
    <w:p w:rsidR="00401500" w:rsidRPr="008C11BD" w:rsidP="001006B5" w14:paraId="2ACFDE82" w14:textId="10582015">
      <w:pPr>
        <w:pStyle w:val="FootnoteText"/>
        <w:rPr>
          <w:color w:val="000000"/>
        </w:rPr>
      </w:pPr>
      <w:r w:rsidRPr="008C11BD">
        <w:rPr>
          <w:rStyle w:val="FootnoteReference"/>
          <w:color w:val="000000"/>
        </w:rPr>
        <w:footnoteRef/>
      </w:r>
      <w:r w:rsidRPr="008C11BD">
        <w:rPr>
          <w:color w:val="000000"/>
        </w:rPr>
        <w:t xml:space="preserve"> </w:t>
      </w:r>
      <w:bookmarkStart w:id="28" w:name="_Hlk37839056"/>
      <w:r w:rsidRPr="008C11BD">
        <w:rPr>
          <w:color w:val="000000"/>
        </w:rPr>
        <w:t>47 CFR § 1.80(b)(</w:t>
      </w:r>
      <w:r w:rsidR="00AB7F7E">
        <w:rPr>
          <w:color w:val="000000"/>
        </w:rPr>
        <w:t>10</w:t>
      </w:r>
      <w:r w:rsidRPr="008C11BD">
        <w:rPr>
          <w:color w:val="000000"/>
        </w:rPr>
        <w:t>), Note to paragraph (b)(</w:t>
      </w:r>
      <w:r w:rsidR="00AB7F7E">
        <w:rPr>
          <w:color w:val="000000"/>
        </w:rPr>
        <w:t>10</w:t>
      </w:r>
      <w:r w:rsidRPr="008C11BD">
        <w:rPr>
          <w:color w:val="000000"/>
        </w:rPr>
        <w:t>)</w:t>
      </w:r>
      <w:bookmarkEnd w:id="28"/>
      <w:r w:rsidRPr="008C11BD">
        <w:rPr>
          <w:color w:val="000000"/>
        </w:rPr>
        <w:t xml:space="preserve"> (f</w:t>
      </w:r>
      <w:r w:rsidRPr="008C11BD">
        <w:rPr>
          <w:color w:val="000000"/>
          <w:shd w:val="clear" w:color="auto" w:fill="FFFFFF"/>
        </w:rPr>
        <w:t>actors considered in determining the amount of the forfeiture penalty</w:t>
      </w:r>
      <w:r w:rsidRPr="008C11BD">
        <w:rPr>
          <w:color w:val="000000"/>
        </w:rPr>
        <w:t xml:space="preserve">). </w:t>
      </w:r>
    </w:p>
  </w:footnote>
  <w:footnote w:id="39">
    <w:p w:rsidR="00401500" w:rsidRPr="008C11BD" w:rsidP="00B4684B" w14:paraId="0397E950" w14:textId="77777777">
      <w:pPr>
        <w:pStyle w:val="FootnoteText"/>
        <w:widowControl w:val="0"/>
        <w:rPr>
          <w:color w:val="000000"/>
        </w:rPr>
      </w:pPr>
      <w:r w:rsidRPr="008C11BD">
        <w:rPr>
          <w:rStyle w:val="FootnoteReference"/>
        </w:rPr>
        <w:footnoteRef/>
      </w:r>
      <w:r w:rsidRPr="008C11BD">
        <w:t xml:space="preserve"> </w:t>
      </w:r>
      <w:r w:rsidRPr="008C11BD">
        <w:rPr>
          <w:i/>
          <w:color w:val="000000"/>
        </w:rPr>
        <w:t xml:space="preserve">See </w:t>
      </w:r>
      <w:r w:rsidRPr="008C11BD">
        <w:rPr>
          <w:i/>
        </w:rPr>
        <w:t xml:space="preserve">Commission’s </w:t>
      </w:r>
      <w:r w:rsidRPr="008C11BD">
        <w:rPr>
          <w:i/>
          <w:color w:val="000000"/>
        </w:rPr>
        <w:t>Forfeiture Policy Statement &amp; Amendment of Section 1.80 of the Rules to Incorporate the Forfeiture Guidelines</w:t>
      </w:r>
      <w:r w:rsidRPr="008C11BD">
        <w:rPr>
          <w:color w:val="000000"/>
        </w:rPr>
        <w:t xml:space="preserve">, Report and Order, 12 FCC </w:t>
      </w:r>
      <w:r w:rsidRPr="008C11BD">
        <w:rPr>
          <w:color w:val="000000"/>
        </w:rPr>
        <w:t>Rcd</w:t>
      </w:r>
      <w:r w:rsidRPr="008C11BD">
        <w:rPr>
          <w:color w:val="000000"/>
        </w:rPr>
        <w:t xml:space="preserve"> 17087, 17110, para. 53 (1997) (citing 47 U.S.C. § 503(b)(2)(E)) (</w:t>
      </w:r>
      <w:r w:rsidRPr="008C11BD">
        <w:rPr>
          <w:i/>
          <w:color w:val="000000"/>
        </w:rPr>
        <w:t>1997</w:t>
      </w:r>
      <w:r w:rsidRPr="008C11BD">
        <w:rPr>
          <w:color w:val="000000"/>
        </w:rPr>
        <w:t xml:space="preserve"> </w:t>
      </w:r>
      <w:r w:rsidRPr="008C11BD">
        <w:rPr>
          <w:i/>
          <w:color w:val="000000"/>
        </w:rPr>
        <w:t>Forfeiture Guidelines</w:t>
      </w:r>
      <w:r w:rsidRPr="008C11BD">
        <w:rPr>
          <w:color w:val="000000"/>
        </w:rPr>
        <w:t xml:space="preserve">), </w:t>
      </w:r>
      <w:r w:rsidRPr="008C11BD">
        <w:rPr>
          <w:i/>
          <w:color w:val="000000"/>
        </w:rPr>
        <w:t>recon. denied</w:t>
      </w:r>
      <w:r w:rsidRPr="008C11BD">
        <w:rPr>
          <w:color w:val="000000"/>
        </w:rPr>
        <w:t xml:space="preserve">, Memorandum Opinion and Order, 15 FCC </w:t>
      </w:r>
      <w:r w:rsidRPr="008C11BD">
        <w:rPr>
          <w:color w:val="000000"/>
        </w:rPr>
        <w:t>Rcd</w:t>
      </w:r>
      <w:r w:rsidRPr="008C11BD">
        <w:rPr>
          <w:color w:val="000000"/>
        </w:rPr>
        <w:t xml:space="preserve"> 303 (1999).</w:t>
      </w:r>
    </w:p>
  </w:footnote>
  <w:footnote w:id="40">
    <w:p w:rsidR="00401500" w:rsidRPr="008C11BD" w:rsidP="00B4684B" w14:paraId="75DE4B7F" w14:textId="0D1686CA">
      <w:pPr>
        <w:pStyle w:val="FootnoteText"/>
        <w:rPr>
          <w:color w:val="000000"/>
        </w:rPr>
      </w:pPr>
      <w:r w:rsidRPr="008C11BD">
        <w:rPr>
          <w:rStyle w:val="FootnoteReference"/>
          <w:color w:val="000000"/>
        </w:rPr>
        <w:footnoteRef/>
      </w:r>
      <w:r w:rsidRPr="008C11BD">
        <w:rPr>
          <w:color w:val="000000"/>
        </w:rPr>
        <w:t xml:space="preserve"> 47 CFR § 1.80(b)(</w:t>
      </w:r>
      <w:r w:rsidR="00D45F5D">
        <w:rPr>
          <w:color w:val="000000"/>
        </w:rPr>
        <w:t>10</w:t>
      </w:r>
      <w:r w:rsidRPr="008C11BD">
        <w:rPr>
          <w:color w:val="000000"/>
        </w:rPr>
        <w:t>), Note to paragraph (b)(</w:t>
      </w:r>
      <w:r w:rsidR="00D45F5D">
        <w:rPr>
          <w:color w:val="000000"/>
        </w:rPr>
        <w:t>10</w:t>
      </w:r>
      <w:r w:rsidRPr="008C11BD">
        <w:rPr>
          <w:color w:val="000000"/>
        </w:rPr>
        <w:t xml:space="preserve">).  </w:t>
      </w:r>
      <w:r w:rsidRPr="008C11BD">
        <w:rPr>
          <w:i/>
          <w:color w:val="000000"/>
        </w:rPr>
        <w:t>See also 1997</w:t>
      </w:r>
      <w:r w:rsidRPr="008C11BD">
        <w:rPr>
          <w:color w:val="000000"/>
        </w:rPr>
        <w:t xml:space="preserve"> </w:t>
      </w:r>
      <w:r w:rsidRPr="008C11BD">
        <w:rPr>
          <w:i/>
          <w:color w:val="000000"/>
        </w:rPr>
        <w:t>Forfeiture Guidelines</w:t>
      </w:r>
      <w:r w:rsidRPr="008C11BD">
        <w:rPr>
          <w:color w:val="000000"/>
        </w:rPr>
        <w:t xml:space="preserve">, 12 FCC </w:t>
      </w:r>
      <w:r w:rsidRPr="008C11BD">
        <w:rPr>
          <w:color w:val="000000"/>
        </w:rPr>
        <w:t>Rcd</w:t>
      </w:r>
      <w:r w:rsidRPr="008C11BD">
        <w:rPr>
          <w:color w:val="000000"/>
        </w:rPr>
        <w:t xml:space="preserve"> at 17098–99, para. 22 (1997) (noting that “[a]</w:t>
      </w:r>
      <w:r w:rsidRPr="008C11BD">
        <w:rPr>
          <w:color w:val="000000"/>
        </w:rPr>
        <w:t>lthough</w:t>
      </w:r>
      <w:r w:rsidRPr="008C11BD">
        <w:rPr>
          <w:color w:val="000000"/>
        </w:rP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8C11BD">
        <w:t xml:space="preserve">  </w:t>
      </w:r>
    </w:p>
  </w:footnote>
  <w:footnote w:id="41">
    <w:p w:rsidR="00401500" w:rsidRPr="008C11BD" w:rsidP="00B4684B" w14:paraId="6C033222" w14:textId="3B5F814B">
      <w:pPr>
        <w:pStyle w:val="FootnoteText"/>
      </w:pPr>
      <w:r w:rsidRPr="008C11BD">
        <w:rPr>
          <w:rStyle w:val="FootnoteReference"/>
        </w:rPr>
        <w:footnoteRef/>
      </w:r>
      <w:r w:rsidRPr="008C11BD">
        <w:t xml:space="preserve"> </w:t>
      </w:r>
      <w:r w:rsidRPr="008C11BD">
        <w:rPr>
          <w:color w:val="000000"/>
        </w:rPr>
        <w:t>47 CFR § 1.80(b)(</w:t>
      </w:r>
      <w:r w:rsidR="00D45F5D">
        <w:rPr>
          <w:color w:val="000000"/>
        </w:rPr>
        <w:t>10</w:t>
      </w:r>
      <w:r w:rsidRPr="008C11BD">
        <w:rPr>
          <w:color w:val="000000"/>
        </w:rPr>
        <w:t>), Note to paragraph (b)(</w:t>
      </w:r>
      <w:r w:rsidR="00D45F5D">
        <w:rPr>
          <w:color w:val="000000"/>
        </w:rPr>
        <w:t>10</w:t>
      </w:r>
      <w:r w:rsidRPr="008C11BD">
        <w:rPr>
          <w:color w:val="000000"/>
        </w:rPr>
        <w:t>).</w:t>
      </w:r>
    </w:p>
  </w:footnote>
  <w:footnote w:id="42">
    <w:p w:rsidR="00401500" w:rsidRPr="008C11BD" w:rsidP="00B4684B" w14:paraId="51A72AE0" w14:textId="77777777">
      <w:pPr>
        <w:pStyle w:val="FootnoteText"/>
        <w:widowControl w:val="0"/>
      </w:pPr>
      <w:r w:rsidRPr="008C11BD">
        <w:rPr>
          <w:rStyle w:val="FootnoteReference"/>
        </w:rPr>
        <w:footnoteRef/>
      </w:r>
      <w:r w:rsidRPr="008C11BD">
        <w:t xml:space="preserve"> </w:t>
      </w:r>
      <w:r w:rsidRPr="008C11BD">
        <w:rPr>
          <w:i/>
        </w:rPr>
        <w:t>1997</w:t>
      </w:r>
      <w:r w:rsidRPr="008C11BD">
        <w:t xml:space="preserve"> </w:t>
      </w:r>
      <w:r w:rsidRPr="008C11BD">
        <w:rPr>
          <w:i/>
          <w:color w:val="000000"/>
        </w:rPr>
        <w:t>Forfeiture Guidelines</w:t>
      </w:r>
      <w:r w:rsidRPr="008C11BD">
        <w:t xml:space="preserve">, 12 FCC </w:t>
      </w:r>
      <w:r w:rsidRPr="008C11BD">
        <w:t>Rcd</w:t>
      </w:r>
      <w:r w:rsidRPr="008C11BD">
        <w:t xml:space="preserve"> at 17109-10, para. 53.</w:t>
      </w:r>
    </w:p>
  </w:footnote>
  <w:footnote w:id="43">
    <w:p w:rsidR="002425DE" w:rsidP="002425DE" w14:paraId="7C1CD684" w14:textId="77777777">
      <w:pPr>
        <w:pStyle w:val="FootnoteText"/>
      </w:pPr>
      <w:r>
        <w:rPr>
          <w:rStyle w:val="FootnoteReference"/>
        </w:rPr>
        <w:footnoteRef/>
      </w:r>
      <w:r>
        <w:t xml:space="preserve"> 47 U.S.C. § 312(f)(1).</w:t>
      </w:r>
    </w:p>
  </w:footnote>
  <w:footnote w:id="44">
    <w:p w:rsidR="002425DE" w:rsidP="002425DE" w14:paraId="795E7691" w14:textId="69BA4F7C">
      <w:pPr>
        <w:pStyle w:val="FootnoteText"/>
      </w:pPr>
      <w:r>
        <w:rPr>
          <w:rStyle w:val="FootnoteReference"/>
        </w:rPr>
        <w:footnoteRef/>
      </w:r>
      <w:r>
        <w:t xml:space="preserve"> H.R. Rep. No. 97-765, 97</w:t>
      </w:r>
      <w:r>
        <w:rPr>
          <w:vertAlign w:val="superscript"/>
        </w:rPr>
        <w:t>th</w:t>
      </w:r>
      <w:r>
        <w:t xml:space="preserve"> Cong. 2d Sess. 51 (1982) (“This provision [inserted in section 312] defines the terms ‘willful’ and ‘repeated’ for purposes of section 312,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312 and 503, and are consistent with the Commission’s application of those terms . . . . ”).</w:t>
      </w:r>
    </w:p>
  </w:footnote>
  <w:footnote w:id="45">
    <w:p w:rsidR="002425DE" w:rsidP="002425DE" w14:paraId="37F7992E" w14:textId="77777777">
      <w:pPr>
        <w:pStyle w:val="FootnoteText"/>
      </w:pPr>
      <w:r>
        <w:rPr>
          <w:rStyle w:val="FootnoteReference"/>
        </w:rPr>
        <w:footnoteRef/>
      </w:r>
      <w:r>
        <w:t xml:space="preserve"> </w:t>
      </w:r>
      <w:r>
        <w:rPr>
          <w:i/>
        </w:rPr>
        <w:t>See, e.g., S. Cal. Broad. Co.</w:t>
      </w:r>
      <w:r>
        <w:t xml:space="preserve">, Memorandum Opinion and Order, 6 FCC </w:t>
      </w:r>
      <w:r>
        <w:t>Rcd</w:t>
      </w:r>
      <w:r>
        <w:t xml:space="preserve"> 4387, 4388 (1991).  </w:t>
      </w:r>
    </w:p>
  </w:footnote>
  <w:footnote w:id="46">
    <w:p w:rsidR="00622365" w:rsidP="00622365" w14:paraId="1B6ED622" w14:textId="77777777">
      <w:pPr>
        <w:pStyle w:val="FootnoteText"/>
      </w:pPr>
      <w:r>
        <w:rPr>
          <w:rStyle w:val="FootnoteReference"/>
        </w:rPr>
        <w:footnoteRef/>
      </w:r>
      <w:r>
        <w:t xml:space="preserve"> Under the Act, 47 U.S.C. § 503(b)(1)(B), any service provider that “</w:t>
      </w:r>
      <w:r>
        <w:rPr>
          <w:color w:val="000000"/>
        </w:rPr>
        <w:t>willfully or repeatedly” fails to comply with provisions of the Act or Commission rules or orders issued pursuant to the Act shall be liable for a forfeiture penalty.</w:t>
      </w:r>
    </w:p>
  </w:footnote>
  <w:footnote w:id="47">
    <w:p w:rsidR="00401500" w:rsidRPr="008C11BD" w:rsidP="00D13B67" w14:paraId="1524BC34" w14:textId="77777777">
      <w:pPr>
        <w:pStyle w:val="FootnoteText"/>
      </w:pPr>
      <w:r w:rsidRPr="008C11BD">
        <w:rPr>
          <w:rStyle w:val="FootnoteReference"/>
        </w:rPr>
        <w:footnoteRef/>
      </w:r>
      <w:r w:rsidRPr="008C11BD">
        <w:t xml:space="preserve"> 47 U.S.C. § 503(b)(6)(B).</w:t>
      </w:r>
    </w:p>
  </w:footnote>
  <w:footnote w:id="48">
    <w:p w:rsidR="00A9589E" w14:paraId="24FCCC53" w14:textId="4320213F">
      <w:pPr>
        <w:pStyle w:val="FootnoteText"/>
      </w:pPr>
      <w:r>
        <w:rPr>
          <w:rStyle w:val="FootnoteReference"/>
        </w:rPr>
        <w:footnoteRef/>
      </w:r>
      <w:r>
        <w:t xml:space="preserve"> </w:t>
      </w:r>
      <w:r w:rsidRPr="008C11BD">
        <w:rPr>
          <w:color w:val="000000"/>
        </w:rPr>
        <w:t>47 CFR § 1.80(b)(</w:t>
      </w:r>
      <w:r>
        <w:rPr>
          <w:color w:val="000000"/>
        </w:rPr>
        <w:t>10</w:t>
      </w:r>
      <w:r w:rsidRPr="008C11BD">
        <w:rPr>
          <w:color w:val="000000"/>
        </w:rPr>
        <w:t>), Note to paragraph (b)(</w:t>
      </w:r>
      <w:r>
        <w:rPr>
          <w:color w:val="000000"/>
        </w:rPr>
        <w:t>10</w:t>
      </w:r>
      <w:r w:rsidRPr="008C11BD">
        <w:rPr>
          <w:color w:val="000000"/>
        </w:rPr>
        <w:t>).</w:t>
      </w:r>
    </w:p>
  </w:footnote>
  <w:footnote w:id="49">
    <w:p w:rsidR="00401500" w:rsidRPr="008C11BD" w:rsidP="00C5481A" w14:paraId="798DE230" w14:textId="77777777">
      <w:pPr>
        <w:pStyle w:val="FootnoteText"/>
      </w:pPr>
      <w:r w:rsidRPr="008C11BD">
        <w:rPr>
          <w:rStyle w:val="FootnoteReference"/>
        </w:rPr>
        <w:footnoteRef/>
      </w:r>
      <w:r w:rsidRPr="008C11BD">
        <w:t xml:space="preserve"> </w:t>
      </w:r>
      <w:r w:rsidRPr="008C11BD">
        <w:rPr>
          <w:i/>
        </w:rPr>
        <w:t>Globcom</w:t>
      </w:r>
      <w:r w:rsidRPr="008C11BD">
        <w:rPr>
          <w:i/>
        </w:rPr>
        <w:t xml:space="preserve">, Inc., </w:t>
      </w:r>
      <w:r w:rsidRPr="008C11BD">
        <w:t xml:space="preserve">Notice of Apparent Liability for Forfeiture and Order, 18 FCC </w:t>
      </w:r>
      <w:r w:rsidRPr="008C11BD">
        <w:t>Rcd</w:t>
      </w:r>
      <w:r w:rsidRPr="008C11BD">
        <w:t xml:space="preserve"> 19893 (2003) (</w:t>
      </w:r>
      <w:r w:rsidRPr="008C11BD">
        <w:rPr>
          <w:i/>
          <w:iCs/>
        </w:rPr>
        <w:t>Globcom</w:t>
      </w:r>
      <w:r w:rsidRPr="008C11BD">
        <w:rPr>
          <w:i/>
          <w:iCs/>
        </w:rPr>
        <w:t xml:space="preserve"> NAL</w:t>
      </w:r>
      <w:r w:rsidRPr="008C11BD">
        <w:t xml:space="preserve">), </w:t>
      </w:r>
      <w:r w:rsidRPr="008C11BD">
        <w:rPr>
          <w:i/>
          <w:iCs/>
        </w:rPr>
        <w:t>forfeiture issued</w:t>
      </w:r>
      <w:r w:rsidRPr="008C11BD">
        <w:t xml:space="preserve">, Order of Forfeiture, 21 FCC </w:t>
      </w:r>
      <w:r w:rsidRPr="008C11BD">
        <w:t>Rcd</w:t>
      </w:r>
      <w:r w:rsidRPr="008C11BD">
        <w:t xml:space="preserve"> 4710 (2006) (</w:t>
      </w:r>
      <w:r w:rsidRPr="008C11BD">
        <w:rPr>
          <w:i/>
          <w:iCs/>
        </w:rPr>
        <w:t>Globcom</w:t>
      </w:r>
      <w:r w:rsidRPr="008C11BD">
        <w:rPr>
          <w:i/>
          <w:iCs/>
        </w:rPr>
        <w:t xml:space="preserve"> Forfeiture Order</w:t>
      </w:r>
      <w:r w:rsidRPr="008C11BD">
        <w:t>).</w:t>
      </w:r>
    </w:p>
  </w:footnote>
  <w:footnote w:id="50">
    <w:p w:rsidR="00401500" w:rsidRPr="008C11BD" w:rsidP="00C5481A" w14:paraId="532B3E3A" w14:textId="77777777">
      <w:pPr>
        <w:pStyle w:val="FootnoteText"/>
      </w:pPr>
      <w:r w:rsidRPr="008C11BD">
        <w:rPr>
          <w:rStyle w:val="FootnoteReference"/>
        </w:rPr>
        <w:footnoteRef/>
      </w:r>
      <w:r w:rsidRPr="008C11BD">
        <w:t xml:space="preserve"> </w:t>
      </w:r>
      <w:r w:rsidRPr="008C11BD">
        <w:rPr>
          <w:i/>
        </w:rPr>
        <w:t>Globcom</w:t>
      </w:r>
      <w:r w:rsidRPr="008C11BD">
        <w:rPr>
          <w:i/>
        </w:rPr>
        <w:t xml:space="preserve"> NAL</w:t>
      </w:r>
      <w:r w:rsidRPr="008C11BD">
        <w:t xml:space="preserve">, 18 FCC </w:t>
      </w:r>
      <w:r w:rsidRPr="008C11BD">
        <w:t>Rcd</w:t>
      </w:r>
      <w:r w:rsidRPr="008C11BD">
        <w:t xml:space="preserve"> at 19904, para. 30.</w:t>
      </w:r>
    </w:p>
  </w:footnote>
  <w:footnote w:id="51">
    <w:p w:rsidR="00401500" w:rsidRPr="00CF0720" w:rsidP="00CF0720" w14:paraId="3CFF1B66" w14:textId="77777777">
      <w:pPr>
        <w:autoSpaceDE w:val="0"/>
        <w:autoSpaceDN w:val="0"/>
        <w:adjustRightInd w:val="0"/>
        <w:spacing w:after="120"/>
        <w:rPr>
          <w:color w:val="000000"/>
          <w:sz w:val="20"/>
        </w:rPr>
      </w:pPr>
      <w:r>
        <w:rPr>
          <w:rStyle w:val="FootnoteReference"/>
        </w:rPr>
        <w:footnoteRef/>
      </w:r>
      <w:r>
        <w:t xml:space="preserve"> </w:t>
      </w:r>
      <w:r w:rsidRPr="00CF0720">
        <w:rPr>
          <w:i/>
          <w:iCs/>
          <w:sz w:val="20"/>
        </w:rPr>
        <w:t>E.g</w:t>
      </w:r>
      <w:r w:rsidRPr="00CB7BA9">
        <w:rPr>
          <w:sz w:val="20"/>
        </w:rPr>
        <w:t>.,</w:t>
      </w:r>
      <w:r>
        <w:rPr>
          <w:sz w:val="20"/>
        </w:rPr>
        <w:t xml:space="preserve"> </w:t>
      </w:r>
      <w:r w:rsidRPr="00CB7BA9">
        <w:rPr>
          <w:i/>
          <w:iCs/>
          <w:sz w:val="20"/>
        </w:rPr>
        <w:t>PTT</w:t>
      </w:r>
      <w:r>
        <w:rPr>
          <w:i/>
          <w:iCs/>
          <w:sz w:val="20"/>
        </w:rPr>
        <w:t xml:space="preserve"> Phone Cards NAL</w:t>
      </w:r>
      <w:r>
        <w:rPr>
          <w:sz w:val="20"/>
        </w:rPr>
        <w:t xml:space="preserve">, 29 FCC </w:t>
      </w:r>
      <w:r>
        <w:rPr>
          <w:sz w:val="20"/>
        </w:rPr>
        <w:t>Rcd</w:t>
      </w:r>
      <w:r>
        <w:rPr>
          <w:sz w:val="20"/>
        </w:rPr>
        <w:t xml:space="preserve"> at 11543, para. 30 (citing </w:t>
      </w:r>
      <w:r w:rsidRPr="00CF0720">
        <w:rPr>
          <w:i/>
          <w:iCs/>
          <w:sz w:val="20"/>
        </w:rPr>
        <w:t xml:space="preserve">Unipoint </w:t>
      </w:r>
      <w:r w:rsidRPr="00D2561E">
        <w:rPr>
          <w:i/>
          <w:iCs/>
          <w:sz w:val="20"/>
        </w:rPr>
        <w:t>Forfeiture Order</w:t>
      </w:r>
      <w:r>
        <w:rPr>
          <w:sz w:val="20"/>
        </w:rPr>
        <w:t xml:space="preserve">, 29 FCC </w:t>
      </w:r>
      <w:r>
        <w:rPr>
          <w:sz w:val="20"/>
        </w:rPr>
        <w:t>Rcd</w:t>
      </w:r>
      <w:r>
        <w:rPr>
          <w:sz w:val="20"/>
        </w:rPr>
        <w:t xml:space="preserve"> at 1643, para. 32; </w:t>
      </w:r>
      <w:r w:rsidRPr="00D2561E">
        <w:rPr>
          <w:i/>
          <w:iCs/>
          <w:sz w:val="20"/>
        </w:rPr>
        <w:t>ADMA Forfeiture Order</w:t>
      </w:r>
      <w:r>
        <w:rPr>
          <w:sz w:val="20"/>
        </w:rPr>
        <w:t xml:space="preserve">, 26 FCC </w:t>
      </w:r>
      <w:r>
        <w:rPr>
          <w:sz w:val="20"/>
        </w:rPr>
        <w:t>Rcd</w:t>
      </w:r>
      <w:r>
        <w:rPr>
          <w:sz w:val="20"/>
        </w:rPr>
        <w:t xml:space="preserve"> at 4155, 4162, paras. 9, 28</w:t>
      </w:r>
      <w:r w:rsidRPr="00CB7BA9">
        <w:rPr>
          <w:color w:val="000000"/>
          <w:sz w:val="20"/>
        </w:rPr>
        <w:t xml:space="preserve">; </w:t>
      </w:r>
      <w:r w:rsidRPr="00CB7BA9">
        <w:rPr>
          <w:i/>
          <w:iCs/>
          <w:color w:val="000000"/>
          <w:sz w:val="20"/>
        </w:rPr>
        <w:t>Globcom</w:t>
      </w:r>
      <w:r w:rsidRPr="00CB7BA9">
        <w:rPr>
          <w:i/>
          <w:iCs/>
          <w:color w:val="000000"/>
          <w:sz w:val="20"/>
        </w:rPr>
        <w:t xml:space="preserve"> Forfeiture Order</w:t>
      </w:r>
      <w:r>
        <w:rPr>
          <w:color w:val="000000"/>
          <w:sz w:val="20"/>
        </w:rPr>
        <w:t xml:space="preserve">, 21 FCC </w:t>
      </w:r>
      <w:r>
        <w:rPr>
          <w:color w:val="000000"/>
          <w:sz w:val="20"/>
        </w:rPr>
        <w:t>Rcd</w:t>
      </w:r>
      <w:r>
        <w:rPr>
          <w:color w:val="000000"/>
          <w:sz w:val="20"/>
        </w:rPr>
        <w:t xml:space="preserve"> 4710, 4720-21, 4727, paras. 26-28, 31, 45)</w:t>
      </w:r>
      <w:r>
        <w:rPr>
          <w:sz w:val="20"/>
        </w:rPr>
        <w:t xml:space="preserve">; </w:t>
      </w:r>
      <w:bookmarkStart w:id="33" w:name="_Hlk76735949"/>
      <w:r w:rsidRPr="00CB7BA9">
        <w:rPr>
          <w:i/>
          <w:iCs/>
          <w:sz w:val="20"/>
        </w:rPr>
        <w:t>PTT</w:t>
      </w:r>
      <w:r>
        <w:rPr>
          <w:i/>
          <w:iCs/>
          <w:sz w:val="20"/>
        </w:rPr>
        <w:t xml:space="preserve"> Phone Cards Forfeiture Order</w:t>
      </w:r>
      <w:r>
        <w:rPr>
          <w:color w:val="000000"/>
          <w:sz w:val="20"/>
        </w:rPr>
        <w:t xml:space="preserve">, 30 FCC </w:t>
      </w:r>
      <w:r>
        <w:rPr>
          <w:color w:val="000000"/>
          <w:sz w:val="20"/>
        </w:rPr>
        <w:t>Rcd</w:t>
      </w:r>
      <w:r>
        <w:rPr>
          <w:color w:val="000000"/>
          <w:sz w:val="20"/>
        </w:rPr>
        <w:t xml:space="preserve"> at 14707, para. 19</w:t>
      </w:r>
      <w:r w:rsidRPr="00CB7BA9">
        <w:rPr>
          <w:color w:val="000000"/>
          <w:sz w:val="20"/>
        </w:rPr>
        <w:t>.</w:t>
      </w:r>
      <w:bookmarkEnd w:id="33"/>
    </w:p>
  </w:footnote>
  <w:footnote w:id="52">
    <w:p w:rsidR="00401500" w:rsidRPr="008C11BD" w:rsidP="00823E8D" w14:paraId="21CAFA37" w14:textId="77777777">
      <w:pPr>
        <w:pStyle w:val="FootnoteText"/>
        <w:rPr>
          <w:color w:val="000000"/>
        </w:rPr>
      </w:pPr>
      <w:r w:rsidRPr="008C11BD">
        <w:rPr>
          <w:rStyle w:val="FootnoteReference"/>
          <w:color w:val="000000"/>
        </w:rPr>
        <w:footnoteRef/>
      </w:r>
      <w:r w:rsidRPr="008C11BD">
        <w:rPr>
          <w:color w:val="000000"/>
        </w:rPr>
        <w:t xml:space="preserve"> </w:t>
      </w:r>
      <w:bookmarkStart w:id="34" w:name="_Hlk42783008"/>
      <w:r w:rsidRPr="008C11BD">
        <w:rPr>
          <w:i/>
          <w:iCs/>
          <w:color w:val="000000"/>
        </w:rPr>
        <w:t xml:space="preserve">See </w:t>
      </w:r>
      <w:bookmarkEnd w:id="34"/>
      <w:r w:rsidRPr="008C11BD">
        <w:rPr>
          <w:color w:val="000000"/>
        </w:rPr>
        <w:t>47 U.S.C. § 503(b)(2)(E).</w:t>
      </w:r>
    </w:p>
  </w:footnote>
  <w:footnote w:id="53">
    <w:p w:rsidR="00401500" w14:paraId="02EDC183" w14:textId="77777777">
      <w:pPr>
        <w:pStyle w:val="FootnoteText"/>
      </w:pPr>
      <w:r>
        <w:rPr>
          <w:rStyle w:val="FootnoteReference"/>
        </w:rPr>
        <w:footnoteRef/>
      </w:r>
      <w:r>
        <w:t xml:space="preserve"> </w:t>
      </w:r>
      <w:r w:rsidRPr="008C11BD">
        <w:rPr>
          <w:i/>
          <w:iCs/>
          <w:color w:val="000000"/>
        </w:rPr>
        <w:t xml:space="preserve">See </w:t>
      </w:r>
      <w:r>
        <w:t>47 CFR §§ 1.1154, 1.1157, 52.17(a), 52.32, 54.711, 64.604(c)(5)(iii).</w:t>
      </w:r>
    </w:p>
  </w:footnote>
  <w:footnote w:id="54">
    <w:p w:rsidR="00401500" w14:paraId="76257489" w14:textId="77777777">
      <w:pPr>
        <w:pStyle w:val="FootnoteText"/>
      </w:pPr>
      <w:r>
        <w:rPr>
          <w:rStyle w:val="FootnoteReference"/>
        </w:rPr>
        <w:footnoteRef/>
      </w:r>
      <w:r>
        <w:t xml:space="preserve"> </w:t>
      </w:r>
      <w:r w:rsidRPr="008C11BD">
        <w:rPr>
          <w:i/>
          <w:iCs/>
          <w:color w:val="000000"/>
        </w:rPr>
        <w:t>See</w:t>
      </w:r>
      <w:r>
        <w:rPr>
          <w:i/>
          <w:iCs/>
          <w:color w:val="000000"/>
        </w:rPr>
        <w:t xml:space="preserve"> </w:t>
      </w:r>
      <w:r w:rsidRPr="008C11BD">
        <w:rPr>
          <w:color w:val="000000"/>
        </w:rPr>
        <w:t xml:space="preserve">47 U.S.C. § </w:t>
      </w:r>
      <w:r>
        <w:rPr>
          <w:color w:val="000000"/>
        </w:rPr>
        <w:t>254(d).</w:t>
      </w:r>
    </w:p>
  </w:footnote>
  <w:footnote w:id="55">
    <w:p w:rsidR="00401500" w:rsidRPr="0068400B" w:rsidP="00823E8D" w14:paraId="15F4A396" w14:textId="59EFF5CF">
      <w:pPr>
        <w:pStyle w:val="FootnoteText"/>
      </w:pPr>
      <w:r w:rsidRPr="008C11BD">
        <w:rPr>
          <w:rStyle w:val="FootnoteReference"/>
        </w:rPr>
        <w:footnoteRef/>
      </w:r>
      <w:r w:rsidRPr="008C11BD">
        <w:t xml:space="preserve"> </w:t>
      </w:r>
      <w:r w:rsidRPr="008C11BD">
        <w:rPr>
          <w:i/>
          <w:iCs/>
        </w:rPr>
        <w:t>See id.</w:t>
      </w:r>
      <w:r>
        <w:t xml:space="preserve"> at </w:t>
      </w:r>
      <w:r w:rsidRPr="008C11BD">
        <w:rPr>
          <w:color w:val="000000"/>
        </w:rPr>
        <w:t>§ 503(b)(2)(E)</w:t>
      </w:r>
      <w:r>
        <w:rPr>
          <w:color w:val="000000"/>
        </w:rPr>
        <w:t xml:space="preserve">; 47 </w:t>
      </w:r>
      <w:r>
        <w:t xml:space="preserve">47 CFR § 1.80, </w:t>
      </w:r>
      <w:r w:rsidRPr="008C11BD">
        <w:rPr>
          <w:color w:val="000000"/>
        </w:rPr>
        <w:t>Note to paragraph (b)(</w:t>
      </w:r>
      <w:r w:rsidR="00865329">
        <w:rPr>
          <w:color w:val="000000"/>
        </w:rPr>
        <w:t>10</w:t>
      </w:r>
      <w:r w:rsidRPr="008C11BD">
        <w:rPr>
          <w:color w:val="000000"/>
        </w:rPr>
        <w:t>).</w:t>
      </w:r>
      <w:r>
        <w:rPr>
          <w:color w:val="000000"/>
        </w:rPr>
        <w:t xml:space="preserve">    </w:t>
      </w:r>
    </w:p>
  </w:footnote>
  <w:footnote w:id="56">
    <w:p w:rsidR="000A5E5C" w:rsidRPr="00724C5B" w:rsidP="000A5E5C" w14:paraId="277E3E8C" w14:textId="0D2CF3A3">
      <w:pPr>
        <w:pStyle w:val="FootnoteText"/>
      </w:pPr>
      <w:r w:rsidRPr="00724C5B">
        <w:rPr>
          <w:rStyle w:val="FootnoteReference"/>
        </w:rPr>
        <w:footnoteRef/>
      </w:r>
      <w:r w:rsidRPr="00724C5B">
        <w:t xml:space="preserve"> </w:t>
      </w:r>
      <w:r w:rsidRPr="00724C5B">
        <w:rPr>
          <w:color w:val="000000"/>
        </w:rPr>
        <w:t>47 CFR § 1.80(b)(</w:t>
      </w:r>
      <w:r w:rsidR="00E741AA">
        <w:rPr>
          <w:color w:val="000000"/>
        </w:rPr>
        <w:t>10</w:t>
      </w:r>
      <w:r w:rsidRPr="00724C5B">
        <w:rPr>
          <w:color w:val="000000"/>
        </w:rPr>
        <w:t>), Note to paragraph (b)(</w:t>
      </w:r>
      <w:r w:rsidR="00E741AA">
        <w:rPr>
          <w:color w:val="000000"/>
        </w:rPr>
        <w:t>10</w:t>
      </w:r>
      <w:r w:rsidRPr="00724C5B">
        <w:rPr>
          <w:color w:val="000000"/>
        </w:rPr>
        <w:t>).</w:t>
      </w:r>
    </w:p>
  </w:footnote>
  <w:footnote w:id="57">
    <w:p w:rsidR="000A5E5C" w:rsidRPr="008C11BD" w:rsidP="000A5E5C" w14:paraId="3B92958D" w14:textId="108B64B2">
      <w:pPr>
        <w:pStyle w:val="FootnoteText"/>
      </w:pPr>
      <w:r w:rsidRPr="008C11BD">
        <w:rPr>
          <w:rStyle w:val="FootnoteReference"/>
        </w:rPr>
        <w:footnoteRef/>
      </w:r>
      <w:r w:rsidRPr="008C11BD">
        <w:t xml:space="preserve"> </w:t>
      </w:r>
      <w:r w:rsidRPr="00011FF5" w:rsidR="00351BB2">
        <w:rPr>
          <w:i/>
          <w:iCs/>
        </w:rPr>
        <w:t>Id. at</w:t>
      </w:r>
      <w:r w:rsidRPr="00011FF5" w:rsidR="00351BB2">
        <w:t xml:space="preserve"> </w:t>
      </w:r>
      <w:r w:rsidRPr="008C11BD">
        <w:t>§</w:t>
      </w:r>
      <w:r w:rsidRPr="008C11BD" w:rsidR="009859D5">
        <w:t xml:space="preserve">§ </w:t>
      </w:r>
      <w:r w:rsidRPr="0087094B" w:rsidR="009859D5">
        <w:t>52.17(b)</w:t>
      </w:r>
      <w:r w:rsidR="009859D5">
        <w:t xml:space="preserve">, </w:t>
      </w:r>
      <w:r w:rsidRPr="0087094B" w:rsidR="009859D5">
        <w:t xml:space="preserve">52.32(b), </w:t>
      </w:r>
      <w:r w:rsidRPr="000655F2" w:rsidR="009859D5">
        <w:t>54.711</w:t>
      </w:r>
      <w:r w:rsidR="009859D5">
        <w:t xml:space="preserve">, </w:t>
      </w:r>
      <w:r w:rsidRPr="0087094B" w:rsidR="009859D5">
        <w:t>64.604(c)(5)(iii)(B)</w:t>
      </w:r>
      <w:r w:rsidRPr="008C11BD">
        <w:t>.</w:t>
      </w:r>
    </w:p>
  </w:footnote>
  <w:footnote w:id="58">
    <w:p w:rsidR="00821FA7" w:rsidRPr="00351BB2" w14:paraId="6BB89741" w14:textId="6E70B643">
      <w:pPr>
        <w:pStyle w:val="FootnoteText"/>
        <w:rPr>
          <w:shd w:val="clear" w:color="auto" w:fill="FFFFFF"/>
        </w:rPr>
      </w:pPr>
      <w:r>
        <w:rPr>
          <w:rStyle w:val="FootnoteReference"/>
        </w:rPr>
        <w:footnoteRef/>
      </w:r>
      <w:r>
        <w:t xml:space="preserve"> </w:t>
      </w:r>
      <w:r w:rsidR="00256D46">
        <w:t>We have recently applied upward adjustment</w:t>
      </w:r>
      <w:r w:rsidR="00351BB2">
        <w:t>s</w:t>
      </w:r>
      <w:r w:rsidR="00256D46">
        <w:t xml:space="preserve"> of 50% of</w:t>
      </w:r>
      <w:r w:rsidRPr="00921828" w:rsidR="00256D46">
        <w:t xml:space="preserve"> </w:t>
      </w:r>
      <w:r w:rsidR="00256D46">
        <w:t>proposed</w:t>
      </w:r>
      <w:r w:rsidRPr="00921828" w:rsidR="00256D46">
        <w:t xml:space="preserve"> forfeiture</w:t>
      </w:r>
      <w:r w:rsidR="00256D46">
        <w:t xml:space="preserve">s </w:t>
      </w:r>
      <w:r w:rsidR="00C26785">
        <w:t>for</w:t>
      </w:r>
      <w:r w:rsidR="00256D46">
        <w:t xml:space="preserve"> the repeated nature of companies’ apparent violations</w:t>
      </w:r>
      <w:r w:rsidR="00C26785">
        <w:t xml:space="preserve"> involving section 54.711 of the Commission’s rules</w:t>
      </w:r>
      <w:r w:rsidR="00256D46">
        <w:t>.</w:t>
      </w:r>
      <w:r w:rsidR="00256D46">
        <w:rPr>
          <w:i/>
          <w:iCs/>
        </w:rPr>
        <w:t xml:space="preserve">  </w:t>
      </w:r>
      <w:r>
        <w:rPr>
          <w:i/>
          <w:iCs/>
        </w:rPr>
        <w:t xml:space="preserve">See </w:t>
      </w:r>
      <w:r w:rsidR="00256D46">
        <w:rPr>
          <w:i/>
          <w:iCs/>
        </w:rPr>
        <w:t>US South Communications, Inc.</w:t>
      </w:r>
      <w:r w:rsidR="00256D46">
        <w:t xml:space="preserve">, Notice of Apparent Liability for Forfeiture, </w:t>
      </w:r>
      <w:r w:rsidRPr="0044315F" w:rsidR="00256D46">
        <w:t xml:space="preserve">35 FCC </w:t>
      </w:r>
      <w:r w:rsidRPr="0044315F" w:rsidR="00256D46">
        <w:t>Rcd</w:t>
      </w:r>
      <w:r w:rsidRPr="0044315F" w:rsidR="00256D46">
        <w:t xml:space="preserve"> </w:t>
      </w:r>
      <w:r w:rsidR="00256D46">
        <w:t>12668</w:t>
      </w:r>
      <w:r w:rsidR="00256D46">
        <w:rPr>
          <w:shd w:val="clear" w:color="auto" w:fill="FFFFFF"/>
        </w:rPr>
        <w:t xml:space="preserve">, </w:t>
      </w:r>
      <w:r w:rsidR="00256D46">
        <w:t xml:space="preserve">12676, </w:t>
      </w:r>
      <w:r w:rsidRPr="006D00E3" w:rsidR="00256D46">
        <w:t xml:space="preserve">para. </w:t>
      </w:r>
      <w:r w:rsidR="00256D46">
        <w:t>22</w:t>
      </w:r>
      <w:r w:rsidRPr="00015C81" w:rsidR="00256D46">
        <w:rPr>
          <w:shd w:val="clear" w:color="auto" w:fill="FFFFFF"/>
        </w:rPr>
        <w:t xml:space="preserve"> (EB 2020) (forfeiture paid)</w:t>
      </w:r>
      <w:r w:rsidR="00256D46">
        <w:rPr>
          <w:shd w:val="clear" w:color="auto" w:fill="FFFFFF"/>
        </w:rPr>
        <w:t>;</w:t>
      </w:r>
      <w:r w:rsidRPr="00015C81">
        <w:rPr>
          <w:i/>
          <w:iCs/>
        </w:rPr>
        <w:t xml:space="preserve"> </w:t>
      </w:r>
      <w:r w:rsidRPr="00C32E6A" w:rsidR="00A453A8">
        <w:rPr>
          <w:i/>
          <w:iCs/>
        </w:rPr>
        <w:t>Compu-Phone Voice &amp; Data, Inc.</w:t>
      </w:r>
      <w:r w:rsidRPr="00635BC7" w:rsidR="00A453A8">
        <w:rPr>
          <w:i/>
          <w:iCs/>
        </w:rPr>
        <w:t>,</w:t>
      </w:r>
      <w:r w:rsidRPr="006D00E3" w:rsidR="00A453A8">
        <w:rPr>
          <w:i/>
          <w:iCs/>
        </w:rPr>
        <w:t xml:space="preserve"> </w:t>
      </w:r>
      <w:r w:rsidR="00A453A8">
        <w:t xml:space="preserve">Notice of Apparent Liability for Forfeiture, </w:t>
      </w:r>
      <w:r w:rsidRPr="006D00E3" w:rsidR="00A453A8">
        <w:rPr>
          <w:i/>
          <w:iCs/>
        </w:rPr>
        <w:t>LLC</w:t>
      </w:r>
      <w:r w:rsidRPr="00015C81" w:rsidR="00A453A8">
        <w:t xml:space="preserve">, </w:t>
      </w:r>
      <w:r w:rsidRPr="00092B07" w:rsidR="00A453A8">
        <w:t xml:space="preserve">35 FCC </w:t>
      </w:r>
      <w:r w:rsidRPr="00092B07" w:rsidR="00A453A8">
        <w:t>Rcd</w:t>
      </w:r>
      <w:r w:rsidRPr="00092B07" w:rsidR="00A453A8">
        <w:t xml:space="preserve"> 6573</w:t>
      </w:r>
      <w:r w:rsidR="00A453A8">
        <w:rPr>
          <w:shd w:val="clear" w:color="auto" w:fill="FFFFFF"/>
        </w:rPr>
        <w:t xml:space="preserve">, </w:t>
      </w:r>
      <w:r w:rsidR="00A453A8">
        <w:t xml:space="preserve">6583, </w:t>
      </w:r>
      <w:r w:rsidRPr="00015C81" w:rsidR="00A453A8">
        <w:t>para. 23</w:t>
      </w:r>
      <w:r w:rsidRPr="00015C81" w:rsidR="00A453A8">
        <w:rPr>
          <w:shd w:val="clear" w:color="auto" w:fill="FFFFFF"/>
        </w:rPr>
        <w:t xml:space="preserve"> (EB 2020) (forfeiture paid)</w:t>
      </w:r>
      <w:r w:rsidR="00A453A8">
        <w:rPr>
          <w:shd w:val="clear" w:color="auto" w:fill="FFFFFF"/>
        </w:rPr>
        <w:t xml:space="preserve">; </w:t>
      </w:r>
      <w:r w:rsidRPr="00015C81">
        <w:rPr>
          <w:i/>
          <w:iCs/>
        </w:rPr>
        <w:t>Blue Casa Telephone, LLC</w:t>
      </w:r>
      <w:r w:rsidRPr="00015C81">
        <w:t xml:space="preserve">, </w:t>
      </w:r>
      <w:r>
        <w:t xml:space="preserve">Notice of Apparent Liability for Forfeiture, </w:t>
      </w:r>
      <w:r w:rsidRPr="0044315F">
        <w:t xml:space="preserve">35 FCC </w:t>
      </w:r>
      <w:r w:rsidRPr="0044315F">
        <w:t>Rcd</w:t>
      </w:r>
      <w:r w:rsidRPr="0044315F">
        <w:t xml:space="preserve"> 6333</w:t>
      </w:r>
      <w:r>
        <w:rPr>
          <w:shd w:val="clear" w:color="auto" w:fill="FFFFFF"/>
        </w:rPr>
        <w:t xml:space="preserve">, </w:t>
      </w:r>
      <w:r>
        <w:t xml:space="preserve">6344, </w:t>
      </w:r>
      <w:r w:rsidRPr="006D00E3">
        <w:t xml:space="preserve">para. </w:t>
      </w:r>
      <w:r w:rsidRPr="00015C81">
        <w:t>25</w:t>
      </w:r>
      <w:r w:rsidRPr="00015C81">
        <w:rPr>
          <w:shd w:val="clear" w:color="auto" w:fill="FFFFFF"/>
        </w:rPr>
        <w:t xml:space="preserve"> (EB 2020) (forfeiture paid)</w:t>
      </w:r>
      <w:r>
        <w:rPr>
          <w:shd w:val="clear" w:color="auto" w:fill="FFFFFF"/>
        </w:rPr>
        <w:t>.</w:t>
      </w:r>
    </w:p>
  </w:footnote>
  <w:footnote w:id="59">
    <w:p w:rsidR="00401500" w:rsidRPr="008C11BD" w:rsidP="00796F09" w14:paraId="6D98363D" w14:textId="55E51838">
      <w:pPr>
        <w:pStyle w:val="FootnoteText"/>
      </w:pPr>
      <w:r w:rsidRPr="008C11BD">
        <w:rPr>
          <w:rStyle w:val="FootnoteReference"/>
        </w:rPr>
        <w:footnoteRef/>
      </w:r>
      <w:r w:rsidRPr="008C11BD">
        <w:t xml:space="preserve"> </w:t>
      </w:r>
      <w:r w:rsidRPr="008C11BD">
        <w:rPr>
          <w:i/>
        </w:rPr>
        <w:t xml:space="preserve">See </w:t>
      </w:r>
      <w:r w:rsidRPr="008C11BD">
        <w:t>47 U.S.C. § 503(b)(2)(E); 47 CFR § 1.80(b)(</w:t>
      </w:r>
      <w:r w:rsidR="00FB2073">
        <w:t>10</w:t>
      </w:r>
      <w:r w:rsidRPr="008C11BD">
        <w:t>), note to paragraph (b)(</w:t>
      </w:r>
      <w:r w:rsidR="00FB2073">
        <w:t>10</w:t>
      </w:r>
      <w:r w:rsidRPr="008C11BD">
        <w:t>).</w:t>
      </w:r>
    </w:p>
  </w:footnote>
  <w:footnote w:id="60">
    <w:p w:rsidR="00401500" w:rsidRPr="008C11BD" w:rsidP="00EA0B4A" w14:paraId="0365BE2C" w14:textId="77777777">
      <w:pPr>
        <w:pStyle w:val="FootnoteText"/>
      </w:pPr>
      <w:r w:rsidRPr="008C11BD">
        <w:rPr>
          <w:rStyle w:val="FootnoteReference"/>
        </w:rPr>
        <w:footnoteRef/>
      </w:r>
      <w:r w:rsidRPr="008C11BD">
        <w:t xml:space="preserve"> 47 U.S.C. § 503(b); 47 CFR § 1.80.</w:t>
      </w:r>
    </w:p>
  </w:footnote>
  <w:footnote w:id="61">
    <w:p w:rsidR="00401500" w:rsidRPr="008C11BD" w:rsidP="00AC3C83" w14:paraId="713D42C6" w14:textId="4040B5A6">
      <w:pPr>
        <w:pStyle w:val="FootnoteText"/>
      </w:pPr>
      <w:r w:rsidRPr="008C11BD">
        <w:rPr>
          <w:rStyle w:val="FootnoteReference"/>
        </w:rPr>
        <w:footnoteRef/>
      </w:r>
      <w:r w:rsidRPr="008C11BD">
        <w:t xml:space="preserve"> 47 CFR § 54.711.</w:t>
      </w:r>
    </w:p>
  </w:footnote>
  <w:footnote w:id="62">
    <w:p w:rsidR="00401500" w:rsidRPr="008C11BD" w:rsidP="00A87E80" w14:paraId="563786E3" w14:textId="4CD7FD2F">
      <w:pPr>
        <w:pStyle w:val="FootnoteText"/>
      </w:pPr>
      <w:r w:rsidRPr="008C11BD">
        <w:rPr>
          <w:rStyle w:val="FootnoteReference"/>
        </w:rPr>
        <w:footnoteRef/>
      </w:r>
      <w:r w:rsidRPr="008C11BD">
        <w:t xml:space="preserve"> </w:t>
      </w:r>
      <w:r w:rsidRPr="00011FF5" w:rsidR="00351BB2">
        <w:rPr>
          <w:i/>
          <w:iCs/>
        </w:rPr>
        <w:t>Id. at</w:t>
      </w:r>
      <w:r w:rsidRPr="00011FF5" w:rsidR="00351BB2">
        <w:t xml:space="preserve"> </w:t>
      </w:r>
      <w:r w:rsidRPr="008C11BD">
        <w:t>§ 1.80.</w:t>
      </w:r>
    </w:p>
  </w:footnote>
  <w:footnote w:id="63">
    <w:p w:rsidR="00401500" w:rsidRPr="008C11BD" w:rsidP="00A87E80" w14:paraId="2B3E8E1B" w14:textId="77777777">
      <w:pPr>
        <w:pStyle w:val="FootnoteText"/>
      </w:pPr>
      <w:r w:rsidRPr="008C11BD">
        <w:rPr>
          <w:rStyle w:val="FootnoteReference"/>
        </w:rPr>
        <w:footnoteRef/>
      </w:r>
      <w:r w:rsidRPr="008C11BD">
        <w:t xml:space="preserve"> Payments made using the Commission’s Fee Filer system do not require the submission of an FCC Form 159.</w:t>
      </w:r>
    </w:p>
  </w:footnote>
  <w:footnote w:id="64">
    <w:p w:rsidR="00401500" w:rsidRPr="008C11BD" w:rsidP="00A87E80" w14:paraId="19DE5AE8" w14:textId="77777777">
      <w:pPr>
        <w:pStyle w:val="FootnoteText"/>
      </w:pPr>
      <w:r w:rsidRPr="008C11BD">
        <w:rPr>
          <w:rStyle w:val="FootnoteReference"/>
        </w:rPr>
        <w:footnoteRef/>
      </w:r>
      <w:r w:rsidRPr="008C11BD">
        <w:t xml:space="preserve"> For questions regarding payment procedures, please contact the Financial Operations Group Help Desk by phone at 1-877-480-3201 (option #6), or by e-mail at </w:t>
      </w:r>
      <w:hyperlink r:id="rId1" w:history="1">
        <w:r w:rsidRPr="008C11BD">
          <w:rPr>
            <w:rStyle w:val="Hyperlink"/>
          </w:rPr>
          <w:t>ARINQUIRIES@fcc.gov</w:t>
        </w:r>
      </w:hyperlink>
      <w:r w:rsidRPr="008C11BD">
        <w:t>.</w:t>
      </w:r>
    </w:p>
  </w:footnote>
  <w:footnote w:id="65">
    <w:p w:rsidR="00401500" w:rsidRPr="008C11BD" w:rsidP="00A87E80" w14:paraId="0252397F" w14:textId="77777777">
      <w:pPr>
        <w:pStyle w:val="FootnoteText"/>
      </w:pPr>
      <w:r w:rsidRPr="008C11BD">
        <w:rPr>
          <w:rStyle w:val="FootnoteReference"/>
        </w:rPr>
        <w:footnoteRef/>
      </w:r>
      <w:r w:rsidRPr="008C11BD">
        <w:t xml:space="preserve"> Instructions for completing the form may be obtained at </w:t>
      </w:r>
      <w:hyperlink r:id="rId2" w:history="1">
        <w:r w:rsidRPr="008C11BD">
          <w:rPr>
            <w:rStyle w:val="Hyperlink"/>
          </w:rPr>
          <w:t>http://www.fcc.gov/Forms/Form159/159.pdf</w:t>
        </w:r>
      </w:hyperlink>
      <w:r w:rsidRPr="008C11BD">
        <w:t xml:space="preserve">. </w:t>
      </w:r>
    </w:p>
  </w:footnote>
  <w:footnote w:id="66">
    <w:p w:rsidR="00401500" w:rsidRPr="001F0DAD" w:rsidP="00C5287D" w14:paraId="27746DFE" w14:textId="77777777">
      <w:pPr>
        <w:pStyle w:val="FootnoteText"/>
      </w:pPr>
      <w:bookmarkStart w:id="39" w:name="_Hlk41389214"/>
      <w:r w:rsidRPr="001F0DAD">
        <w:rPr>
          <w:rStyle w:val="FootnoteReference"/>
        </w:rPr>
        <w:footnoteRef/>
      </w:r>
      <w:r w:rsidRPr="001F0DAD">
        <w:t xml:space="preserve"> </w:t>
      </w:r>
      <w:r w:rsidRPr="001F0DAD">
        <w:rPr>
          <w:i/>
        </w:rPr>
        <w:t>See</w:t>
      </w:r>
      <w:r w:rsidRPr="001F0DAD">
        <w:t xml:space="preserve"> 47 CFR § 1.1914.</w:t>
      </w:r>
      <w:bookmarkEnd w:id="39"/>
    </w:p>
  </w:footnote>
  <w:footnote w:id="67">
    <w:p w:rsidR="00401500" w:rsidRPr="008C11BD" w:rsidP="00A87E80" w14:paraId="38AC6D3D" w14:textId="50DF01F2">
      <w:pPr>
        <w:pStyle w:val="FootnoteText"/>
      </w:pPr>
      <w:r w:rsidRPr="008C11BD">
        <w:rPr>
          <w:rStyle w:val="FootnoteReference"/>
        </w:rPr>
        <w:footnoteRef/>
      </w:r>
      <w:r w:rsidRPr="008C11BD">
        <w:t xml:space="preserve"> 47 CFR §§ 1.16, 1.80(</w:t>
      </w:r>
      <w:r w:rsidR="00FB2073">
        <w:t>g</w:t>
      </w:r>
      <w:r w:rsidRPr="008C11BD">
        <w:t>)(3).</w:t>
      </w:r>
    </w:p>
  </w:footnote>
  <w:footnote w:id="68">
    <w:p w:rsidR="00401500" w:rsidRPr="00724C5B" w:rsidP="00C5287D" w14:paraId="49E77DF9" w14:textId="77777777">
      <w:pPr>
        <w:pStyle w:val="FootnoteText"/>
      </w:pPr>
      <w:r w:rsidRPr="00724C5B">
        <w:rPr>
          <w:rStyle w:val="FootnoteReference"/>
        </w:rPr>
        <w:footnoteRef/>
      </w:r>
      <w:r w:rsidRPr="00724C5B">
        <w:t xml:space="preserve"> </w:t>
      </w:r>
      <w:r w:rsidRPr="00724C5B">
        <w:rPr>
          <w:i/>
          <w:iCs/>
        </w:rPr>
        <w:t>Adrian Abramovich</w:t>
      </w:r>
      <w:r w:rsidRPr="00724C5B">
        <w:t xml:space="preserve">, Forfeiture Order, 33 FCC </w:t>
      </w:r>
      <w:r w:rsidRPr="00724C5B">
        <w:t>Rcd</w:t>
      </w:r>
      <w:r w:rsidRPr="00724C5B">
        <w:t xml:space="preserve"> 4663, 4678-79, paras. 44-45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500" w:rsidP="00764738" w14:paraId="1DF11659" w14:textId="165206EB">
    <w:pPr>
      <w:pStyle w:val="Header"/>
    </w:pPr>
    <w:r>
      <w:tab/>
      <w:t>Federal Communications Commission</w:t>
    </w:r>
    <w:r>
      <w:tab/>
      <w:t xml:space="preserve">DA </w:t>
    </w:r>
    <w:r w:rsidR="00293AD3">
      <w:t>21</w:t>
    </w:r>
    <w:r>
      <w:t>-</w:t>
    </w:r>
    <w:r w:rsidR="00B374B5">
      <w:t>875</w:t>
    </w:r>
  </w:p>
  <w:p w:rsidR="00401500" w:rsidP="00622365" w14:paraId="3D4E018A" w14:textId="7A973C2A">
    <w:pPr>
      <w:tabs>
        <w:tab w:val="left" w:pos="-720"/>
      </w:tabs>
      <w:suppressAutoHyphens/>
      <w:spacing w:line="19" w:lineRule="exact"/>
      <w:rPr>
        <w:sz w:val="1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500" w:rsidRPr="00764738" w:rsidP="00764738" w14:paraId="09A1A191" w14:textId="66D3CA2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764738">
      <w:tab/>
      <w:t>Federal Communications Commission</w:t>
    </w:r>
    <w:r w:rsidRPr="00764738">
      <w:tab/>
    </w:r>
    <w:r>
      <w:t>DA 21-</w:t>
    </w:r>
    <w:r w:rsidR="00B374B5">
      <w:t>875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6156CE"/>
    <w:multiLevelType w:val="hybridMultilevel"/>
    <w:tmpl w:val="D88AAF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F76BB7"/>
    <w:multiLevelType w:val="hybridMultilevel"/>
    <w:tmpl w:val="27C657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CB45DC0"/>
    <w:multiLevelType w:val="hybridMultilevel"/>
    <w:tmpl w:val="B3DA2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4E64FF1"/>
    <w:multiLevelType w:val="hybridMultilevel"/>
    <w:tmpl w:val="43021986"/>
    <w:lvl w:ilvl="0">
      <w:start w:val="59"/>
      <w:numFmt w:val="decimal"/>
      <w:lvlText w:val="%1."/>
      <w:lvlJc w:val="left"/>
      <w:pPr>
        <w:ind w:left="839" w:hanging="735"/>
      </w:pPr>
      <w:rPr>
        <w:rFonts w:ascii="Arial" w:eastAsia="Arial" w:hAnsi="Arial" w:hint="default"/>
        <w:color w:val="161616"/>
        <w:w w:val="104"/>
        <w:sz w:val="23"/>
        <w:szCs w:val="23"/>
      </w:rPr>
    </w:lvl>
    <w:lvl w:ilvl="1">
      <w:start w:val="1"/>
      <w:numFmt w:val="lowerLetter"/>
      <w:lvlText w:val="%2."/>
      <w:lvlJc w:val="left"/>
      <w:pPr>
        <w:ind w:left="1552" w:hanging="720"/>
      </w:pPr>
      <w:rPr>
        <w:rFonts w:ascii="Times New Roman" w:eastAsia="Times New Roman" w:hAnsi="Times New Roman" w:hint="default"/>
        <w:color w:val="242424"/>
        <w:w w:val="111"/>
        <w:sz w:val="27"/>
        <w:szCs w:val="27"/>
      </w:rPr>
    </w:lvl>
    <w:lvl w:ilvl="2">
      <w:start w:val="1"/>
      <w:numFmt w:val="lowerRoman"/>
      <w:lvlText w:val="%3."/>
      <w:lvlJc w:val="left"/>
      <w:pPr>
        <w:ind w:left="2276" w:hanging="720"/>
      </w:pPr>
      <w:rPr>
        <w:rFonts w:ascii="Arial" w:eastAsia="Arial" w:hAnsi="Arial" w:hint="default"/>
        <w:i/>
        <w:color w:val="212121"/>
        <w:w w:val="127"/>
        <w:sz w:val="24"/>
        <w:szCs w:val="24"/>
      </w:rPr>
    </w:lvl>
    <w:lvl w:ilvl="3">
      <w:start w:val="1"/>
      <w:numFmt w:val="bullet"/>
      <w:lvlText w:val="•"/>
      <w:lvlJc w:val="left"/>
      <w:pPr>
        <w:ind w:left="1559" w:hanging="720"/>
      </w:pPr>
      <w:rPr>
        <w:rFonts w:hint="default"/>
      </w:rPr>
    </w:lvl>
    <w:lvl w:ilvl="4">
      <w:start w:val="1"/>
      <w:numFmt w:val="bullet"/>
      <w:lvlText w:val="•"/>
      <w:lvlJc w:val="left"/>
      <w:pPr>
        <w:ind w:left="1566" w:hanging="720"/>
      </w:pPr>
      <w:rPr>
        <w:rFonts w:hint="default"/>
      </w:rPr>
    </w:lvl>
    <w:lvl w:ilvl="5">
      <w:start w:val="1"/>
      <w:numFmt w:val="bullet"/>
      <w:lvlText w:val="•"/>
      <w:lvlJc w:val="left"/>
      <w:pPr>
        <w:ind w:left="2276" w:hanging="720"/>
      </w:pPr>
      <w:rPr>
        <w:rFonts w:hint="default"/>
      </w:rPr>
    </w:lvl>
    <w:lvl w:ilvl="6">
      <w:start w:val="1"/>
      <w:numFmt w:val="bullet"/>
      <w:lvlText w:val="•"/>
      <w:lvlJc w:val="left"/>
      <w:pPr>
        <w:ind w:left="3744" w:hanging="720"/>
      </w:pPr>
      <w:rPr>
        <w:rFonts w:hint="default"/>
      </w:rPr>
    </w:lvl>
    <w:lvl w:ilvl="7">
      <w:start w:val="1"/>
      <w:numFmt w:val="bullet"/>
      <w:lvlText w:val="•"/>
      <w:lvlJc w:val="left"/>
      <w:pPr>
        <w:ind w:left="5213" w:hanging="720"/>
      </w:pPr>
      <w:rPr>
        <w:rFonts w:hint="default"/>
      </w:rPr>
    </w:lvl>
    <w:lvl w:ilvl="8">
      <w:start w:val="1"/>
      <w:numFmt w:val="bullet"/>
      <w:lvlText w:val="•"/>
      <w:lvlJc w:val="left"/>
      <w:pPr>
        <w:ind w:left="6682" w:hanging="720"/>
      </w:pPr>
      <w:rPr>
        <w:rFonts w:hint="default"/>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8E1E95"/>
    <w:multiLevelType w:val="singleLevel"/>
    <w:tmpl w:val="FE70DD96"/>
    <w:lvl w:ilvl="0">
      <w:start w:val="1"/>
      <w:numFmt w:val="decimal"/>
      <w:pStyle w:val="par1"/>
      <w:lvlText w:val="%1."/>
      <w:lvlJc w:val="left"/>
      <w:pPr>
        <w:tabs>
          <w:tab w:val="num" w:pos="1080"/>
        </w:tabs>
        <w:ind w:firstLine="720"/>
      </w:pPr>
      <w:rPr>
        <w:rFonts w:cs="Times New Roman"/>
        <w:b w:val="0"/>
      </w:rPr>
    </w:lvl>
  </w:abstractNum>
  <w:abstractNum w:abstractNumId="14">
    <w:nsid w:val="730A1BD0"/>
    <w:multiLevelType w:val="hybridMultilevel"/>
    <w:tmpl w:val="8CD42D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5"/>
  </w:num>
  <w:num w:numId="2">
    <w:abstractNumId w:val="12"/>
  </w:num>
  <w:num w:numId="3">
    <w:abstractNumId w:val="8"/>
  </w:num>
  <w:num w:numId="4">
    <w:abstractNumId w:val="10"/>
  </w:num>
  <w:num w:numId="5">
    <w:abstractNumId w:val="6"/>
  </w:num>
  <w:num w:numId="6">
    <w:abstractNumId w:val="1"/>
  </w:num>
  <w:num w:numId="7">
    <w:abstractNumId w:val="13"/>
  </w:num>
  <w:num w:numId="8">
    <w:abstractNumId w:val="9"/>
  </w:num>
  <w:num w:numId="9">
    <w:abstractNumId w:val="15"/>
  </w:num>
  <w:num w:numId="10">
    <w:abstractNumId w:val="4"/>
  </w:num>
  <w:num w:numId="11">
    <w:abstractNumId w:val="11"/>
  </w:num>
  <w:num w:numId="12">
    <w:abstractNumId w:val="12"/>
    <w:lvlOverride w:ilvl="0">
      <w:startOverride w:val="1"/>
    </w:lvlOverride>
  </w:num>
  <w:num w:numId="13">
    <w:abstractNumId w:val="12"/>
    <w:lvlOverride w:ilvl="0">
      <w:startOverride w:val="1"/>
    </w:lvlOverride>
  </w:num>
  <w:num w:numId="14">
    <w:abstractNumId w:val="3"/>
  </w:num>
  <w:num w:numId="15">
    <w:abstractNumId w:val="2"/>
  </w:num>
  <w:num w:numId="16">
    <w:abstractNumId w:val="7"/>
  </w:num>
  <w:num w:numId="17">
    <w:abstractNumId w:val="12"/>
    <w:lvlOverride w:ilvl="0">
      <w:startOverride w:val="1"/>
    </w:lvlOverride>
  </w:num>
  <w:num w:numId="18">
    <w:abstractNumId w:val="14"/>
  </w:num>
  <w:num w:numId="19">
    <w:abstractNumId w:val="12"/>
    <w:lvlOverride w:ilvl="0">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F4"/>
    <w:rsid w:val="0000096D"/>
    <w:rsid w:val="00000A50"/>
    <w:rsid w:val="00001C71"/>
    <w:rsid w:val="0000217E"/>
    <w:rsid w:val="00004C39"/>
    <w:rsid w:val="00004EBB"/>
    <w:rsid w:val="00005B2F"/>
    <w:rsid w:val="00006873"/>
    <w:rsid w:val="00007BA1"/>
    <w:rsid w:val="0001167F"/>
    <w:rsid w:val="00011FF5"/>
    <w:rsid w:val="00013937"/>
    <w:rsid w:val="000147D4"/>
    <w:rsid w:val="00015C81"/>
    <w:rsid w:val="0001795A"/>
    <w:rsid w:val="00017D98"/>
    <w:rsid w:val="000203DB"/>
    <w:rsid w:val="000227C5"/>
    <w:rsid w:val="00026628"/>
    <w:rsid w:val="00036039"/>
    <w:rsid w:val="000360AE"/>
    <w:rsid w:val="000375FD"/>
    <w:rsid w:val="00037F90"/>
    <w:rsid w:val="0004018D"/>
    <w:rsid w:val="00042573"/>
    <w:rsid w:val="0004377F"/>
    <w:rsid w:val="000438AE"/>
    <w:rsid w:val="00045876"/>
    <w:rsid w:val="00050064"/>
    <w:rsid w:val="00053CE2"/>
    <w:rsid w:val="000553BC"/>
    <w:rsid w:val="000578E3"/>
    <w:rsid w:val="0006085A"/>
    <w:rsid w:val="0006242A"/>
    <w:rsid w:val="00062B46"/>
    <w:rsid w:val="00062E6A"/>
    <w:rsid w:val="00064B10"/>
    <w:rsid w:val="000655F2"/>
    <w:rsid w:val="00065672"/>
    <w:rsid w:val="000657E4"/>
    <w:rsid w:val="00066858"/>
    <w:rsid w:val="0006759D"/>
    <w:rsid w:val="00067F60"/>
    <w:rsid w:val="0007041F"/>
    <w:rsid w:val="000713D6"/>
    <w:rsid w:val="000729AD"/>
    <w:rsid w:val="00075AD0"/>
    <w:rsid w:val="00075CD8"/>
    <w:rsid w:val="00080E40"/>
    <w:rsid w:val="00082099"/>
    <w:rsid w:val="000829BC"/>
    <w:rsid w:val="00082F9E"/>
    <w:rsid w:val="0008693A"/>
    <w:rsid w:val="00086AE8"/>
    <w:rsid w:val="000875BF"/>
    <w:rsid w:val="00090327"/>
    <w:rsid w:val="00092B07"/>
    <w:rsid w:val="00093916"/>
    <w:rsid w:val="00095E56"/>
    <w:rsid w:val="00096D8C"/>
    <w:rsid w:val="00096E4D"/>
    <w:rsid w:val="0009776E"/>
    <w:rsid w:val="00097CA0"/>
    <w:rsid w:val="000A04FC"/>
    <w:rsid w:val="000A2501"/>
    <w:rsid w:val="000A383F"/>
    <w:rsid w:val="000A4E67"/>
    <w:rsid w:val="000A5E5C"/>
    <w:rsid w:val="000A7A85"/>
    <w:rsid w:val="000B1D83"/>
    <w:rsid w:val="000B2D83"/>
    <w:rsid w:val="000B55D1"/>
    <w:rsid w:val="000B7207"/>
    <w:rsid w:val="000C0B65"/>
    <w:rsid w:val="000C138B"/>
    <w:rsid w:val="000C2B22"/>
    <w:rsid w:val="000C428D"/>
    <w:rsid w:val="000C6429"/>
    <w:rsid w:val="000C6A42"/>
    <w:rsid w:val="000D0056"/>
    <w:rsid w:val="000D688A"/>
    <w:rsid w:val="000E05FE"/>
    <w:rsid w:val="000E066B"/>
    <w:rsid w:val="000E0E02"/>
    <w:rsid w:val="000E2290"/>
    <w:rsid w:val="000E30C6"/>
    <w:rsid w:val="000E3D42"/>
    <w:rsid w:val="000F10E1"/>
    <w:rsid w:val="000F1A16"/>
    <w:rsid w:val="000F2572"/>
    <w:rsid w:val="000F3DE2"/>
    <w:rsid w:val="000F4519"/>
    <w:rsid w:val="000F5A20"/>
    <w:rsid w:val="000F685D"/>
    <w:rsid w:val="001006B5"/>
    <w:rsid w:val="00101C75"/>
    <w:rsid w:val="0010202B"/>
    <w:rsid w:val="0010373C"/>
    <w:rsid w:val="00103DCD"/>
    <w:rsid w:val="001049A3"/>
    <w:rsid w:val="00106856"/>
    <w:rsid w:val="00107BB1"/>
    <w:rsid w:val="00107EF5"/>
    <w:rsid w:val="00114B29"/>
    <w:rsid w:val="00114B2B"/>
    <w:rsid w:val="00114C28"/>
    <w:rsid w:val="0011665D"/>
    <w:rsid w:val="00117067"/>
    <w:rsid w:val="001202B0"/>
    <w:rsid w:val="001204B8"/>
    <w:rsid w:val="0012278A"/>
    <w:rsid w:val="00122BD5"/>
    <w:rsid w:val="0012415D"/>
    <w:rsid w:val="00124660"/>
    <w:rsid w:val="00130851"/>
    <w:rsid w:val="00130A9F"/>
    <w:rsid w:val="00131755"/>
    <w:rsid w:val="00132B72"/>
    <w:rsid w:val="00133F31"/>
    <w:rsid w:val="00133F79"/>
    <w:rsid w:val="001342B5"/>
    <w:rsid w:val="00136997"/>
    <w:rsid w:val="001402AA"/>
    <w:rsid w:val="00143AC7"/>
    <w:rsid w:val="001464BA"/>
    <w:rsid w:val="001531A7"/>
    <w:rsid w:val="00153600"/>
    <w:rsid w:val="00160FE5"/>
    <w:rsid w:val="00162C1E"/>
    <w:rsid w:val="0016406E"/>
    <w:rsid w:val="001646F0"/>
    <w:rsid w:val="001660C2"/>
    <w:rsid w:val="00170BB9"/>
    <w:rsid w:val="00170F67"/>
    <w:rsid w:val="00170FFD"/>
    <w:rsid w:val="001713CF"/>
    <w:rsid w:val="00172114"/>
    <w:rsid w:val="00173051"/>
    <w:rsid w:val="00173341"/>
    <w:rsid w:val="00174770"/>
    <w:rsid w:val="00174FD3"/>
    <w:rsid w:val="0017640E"/>
    <w:rsid w:val="00184218"/>
    <w:rsid w:val="00184BD3"/>
    <w:rsid w:val="00185056"/>
    <w:rsid w:val="00185FEF"/>
    <w:rsid w:val="00186EB4"/>
    <w:rsid w:val="0019179B"/>
    <w:rsid w:val="00192EDB"/>
    <w:rsid w:val="00194A66"/>
    <w:rsid w:val="0019754D"/>
    <w:rsid w:val="001A13DB"/>
    <w:rsid w:val="001A140A"/>
    <w:rsid w:val="001A21F7"/>
    <w:rsid w:val="001A6EE5"/>
    <w:rsid w:val="001A7C3E"/>
    <w:rsid w:val="001B2DE3"/>
    <w:rsid w:val="001B4323"/>
    <w:rsid w:val="001B5792"/>
    <w:rsid w:val="001B5C73"/>
    <w:rsid w:val="001B6BCA"/>
    <w:rsid w:val="001B6E53"/>
    <w:rsid w:val="001C013F"/>
    <w:rsid w:val="001C1CBB"/>
    <w:rsid w:val="001C2961"/>
    <w:rsid w:val="001C2EA9"/>
    <w:rsid w:val="001C4602"/>
    <w:rsid w:val="001C64C0"/>
    <w:rsid w:val="001D0153"/>
    <w:rsid w:val="001D4401"/>
    <w:rsid w:val="001D4FAA"/>
    <w:rsid w:val="001D517A"/>
    <w:rsid w:val="001D662D"/>
    <w:rsid w:val="001D6BCF"/>
    <w:rsid w:val="001E01CA"/>
    <w:rsid w:val="001E033A"/>
    <w:rsid w:val="001E0B9D"/>
    <w:rsid w:val="001E3403"/>
    <w:rsid w:val="001E5610"/>
    <w:rsid w:val="001E5C81"/>
    <w:rsid w:val="001E6795"/>
    <w:rsid w:val="001E777B"/>
    <w:rsid w:val="001F07C3"/>
    <w:rsid w:val="001F0DAD"/>
    <w:rsid w:val="001F0E7F"/>
    <w:rsid w:val="001F1ED7"/>
    <w:rsid w:val="001F3072"/>
    <w:rsid w:val="001F3089"/>
    <w:rsid w:val="001F4699"/>
    <w:rsid w:val="001F521F"/>
    <w:rsid w:val="00201851"/>
    <w:rsid w:val="002021DF"/>
    <w:rsid w:val="002042BB"/>
    <w:rsid w:val="00204560"/>
    <w:rsid w:val="00204E2B"/>
    <w:rsid w:val="00205FDC"/>
    <w:rsid w:val="002066EC"/>
    <w:rsid w:val="002079B0"/>
    <w:rsid w:val="002117F5"/>
    <w:rsid w:val="0021362B"/>
    <w:rsid w:val="0022072D"/>
    <w:rsid w:val="00220840"/>
    <w:rsid w:val="00220D62"/>
    <w:rsid w:val="00221B04"/>
    <w:rsid w:val="00221C7C"/>
    <w:rsid w:val="00222316"/>
    <w:rsid w:val="002241AF"/>
    <w:rsid w:val="0022433A"/>
    <w:rsid w:val="0022456C"/>
    <w:rsid w:val="00224F70"/>
    <w:rsid w:val="00225B29"/>
    <w:rsid w:val="002263C0"/>
    <w:rsid w:val="00233897"/>
    <w:rsid w:val="0023494A"/>
    <w:rsid w:val="00236A49"/>
    <w:rsid w:val="0023784B"/>
    <w:rsid w:val="00241909"/>
    <w:rsid w:val="002425DE"/>
    <w:rsid w:val="00243EF9"/>
    <w:rsid w:val="00246476"/>
    <w:rsid w:val="00246D37"/>
    <w:rsid w:val="00247040"/>
    <w:rsid w:val="002479A0"/>
    <w:rsid w:val="0025047F"/>
    <w:rsid w:val="00251E11"/>
    <w:rsid w:val="00252538"/>
    <w:rsid w:val="00256D46"/>
    <w:rsid w:val="002573A8"/>
    <w:rsid w:val="0025763B"/>
    <w:rsid w:val="002601B3"/>
    <w:rsid w:val="002616E1"/>
    <w:rsid w:val="00262ED8"/>
    <w:rsid w:val="00270A08"/>
    <w:rsid w:val="00271442"/>
    <w:rsid w:val="00272D73"/>
    <w:rsid w:val="0027313C"/>
    <w:rsid w:val="00274C25"/>
    <w:rsid w:val="00275CF5"/>
    <w:rsid w:val="002764CF"/>
    <w:rsid w:val="00277668"/>
    <w:rsid w:val="002817FA"/>
    <w:rsid w:val="0028191B"/>
    <w:rsid w:val="0028301F"/>
    <w:rsid w:val="0028322D"/>
    <w:rsid w:val="002845A3"/>
    <w:rsid w:val="00285017"/>
    <w:rsid w:val="0028553A"/>
    <w:rsid w:val="00285FA1"/>
    <w:rsid w:val="00291BB1"/>
    <w:rsid w:val="00291F06"/>
    <w:rsid w:val="00292A8C"/>
    <w:rsid w:val="00293AD3"/>
    <w:rsid w:val="002967AA"/>
    <w:rsid w:val="002A00F0"/>
    <w:rsid w:val="002A1928"/>
    <w:rsid w:val="002A1D23"/>
    <w:rsid w:val="002A2A16"/>
    <w:rsid w:val="002A2D2E"/>
    <w:rsid w:val="002A4279"/>
    <w:rsid w:val="002A78ED"/>
    <w:rsid w:val="002B0108"/>
    <w:rsid w:val="002B0BAD"/>
    <w:rsid w:val="002B3F1E"/>
    <w:rsid w:val="002B4620"/>
    <w:rsid w:val="002B475B"/>
    <w:rsid w:val="002B4F92"/>
    <w:rsid w:val="002B5696"/>
    <w:rsid w:val="002B60CF"/>
    <w:rsid w:val="002B6C7F"/>
    <w:rsid w:val="002B704A"/>
    <w:rsid w:val="002C00E8"/>
    <w:rsid w:val="002C0A06"/>
    <w:rsid w:val="002C2555"/>
    <w:rsid w:val="002C4332"/>
    <w:rsid w:val="002C484F"/>
    <w:rsid w:val="002C6EDF"/>
    <w:rsid w:val="002C731E"/>
    <w:rsid w:val="002D073E"/>
    <w:rsid w:val="002D0F09"/>
    <w:rsid w:val="002D48B3"/>
    <w:rsid w:val="002D5424"/>
    <w:rsid w:val="002D657D"/>
    <w:rsid w:val="002D71B8"/>
    <w:rsid w:val="002D7573"/>
    <w:rsid w:val="002D79E8"/>
    <w:rsid w:val="002D7F49"/>
    <w:rsid w:val="002E22FC"/>
    <w:rsid w:val="002E253C"/>
    <w:rsid w:val="002E2605"/>
    <w:rsid w:val="002E6D18"/>
    <w:rsid w:val="002E71A8"/>
    <w:rsid w:val="002F269B"/>
    <w:rsid w:val="002F3212"/>
    <w:rsid w:val="003002E7"/>
    <w:rsid w:val="00300E92"/>
    <w:rsid w:val="00301FD3"/>
    <w:rsid w:val="00302173"/>
    <w:rsid w:val="00303F5F"/>
    <w:rsid w:val="0030682F"/>
    <w:rsid w:val="003074EA"/>
    <w:rsid w:val="00311827"/>
    <w:rsid w:val="003124C2"/>
    <w:rsid w:val="003129A9"/>
    <w:rsid w:val="00312E7B"/>
    <w:rsid w:val="0031306D"/>
    <w:rsid w:val="003153B5"/>
    <w:rsid w:val="0031655E"/>
    <w:rsid w:val="00316651"/>
    <w:rsid w:val="00316D43"/>
    <w:rsid w:val="003178F6"/>
    <w:rsid w:val="003200E7"/>
    <w:rsid w:val="0032177B"/>
    <w:rsid w:val="00324277"/>
    <w:rsid w:val="003266F4"/>
    <w:rsid w:val="00327151"/>
    <w:rsid w:val="0033018B"/>
    <w:rsid w:val="003306A6"/>
    <w:rsid w:val="00330834"/>
    <w:rsid w:val="0033403D"/>
    <w:rsid w:val="003340D6"/>
    <w:rsid w:val="003403C5"/>
    <w:rsid w:val="003421C2"/>
    <w:rsid w:val="00343749"/>
    <w:rsid w:val="003444E1"/>
    <w:rsid w:val="00345DFF"/>
    <w:rsid w:val="003505BD"/>
    <w:rsid w:val="00351BB2"/>
    <w:rsid w:val="00351E43"/>
    <w:rsid w:val="00354EF1"/>
    <w:rsid w:val="0035555A"/>
    <w:rsid w:val="003573D8"/>
    <w:rsid w:val="00360F73"/>
    <w:rsid w:val="00361577"/>
    <w:rsid w:val="00364471"/>
    <w:rsid w:val="00364717"/>
    <w:rsid w:val="00365582"/>
    <w:rsid w:val="003660ED"/>
    <w:rsid w:val="003670D8"/>
    <w:rsid w:val="00370314"/>
    <w:rsid w:val="003722BD"/>
    <w:rsid w:val="003728C2"/>
    <w:rsid w:val="003729FA"/>
    <w:rsid w:val="00372CC1"/>
    <w:rsid w:val="00374C9D"/>
    <w:rsid w:val="00377130"/>
    <w:rsid w:val="00380E73"/>
    <w:rsid w:val="003819DF"/>
    <w:rsid w:val="00381ED1"/>
    <w:rsid w:val="00384559"/>
    <w:rsid w:val="0038568D"/>
    <w:rsid w:val="003869F3"/>
    <w:rsid w:val="00386F11"/>
    <w:rsid w:val="003872F9"/>
    <w:rsid w:val="00387ECA"/>
    <w:rsid w:val="00390255"/>
    <w:rsid w:val="003909A1"/>
    <w:rsid w:val="00392A45"/>
    <w:rsid w:val="003944FD"/>
    <w:rsid w:val="00395B3F"/>
    <w:rsid w:val="00397B9D"/>
    <w:rsid w:val="00397D9B"/>
    <w:rsid w:val="003A08AF"/>
    <w:rsid w:val="003A29BB"/>
    <w:rsid w:val="003A52CE"/>
    <w:rsid w:val="003A7D28"/>
    <w:rsid w:val="003B0550"/>
    <w:rsid w:val="003B1CA4"/>
    <w:rsid w:val="003B2DD2"/>
    <w:rsid w:val="003B3400"/>
    <w:rsid w:val="003B694F"/>
    <w:rsid w:val="003C00A7"/>
    <w:rsid w:val="003C2B3B"/>
    <w:rsid w:val="003C4450"/>
    <w:rsid w:val="003C746C"/>
    <w:rsid w:val="003D202A"/>
    <w:rsid w:val="003D22B9"/>
    <w:rsid w:val="003D2781"/>
    <w:rsid w:val="003D2B96"/>
    <w:rsid w:val="003D63EC"/>
    <w:rsid w:val="003D7A4A"/>
    <w:rsid w:val="003E0C2D"/>
    <w:rsid w:val="003E17E6"/>
    <w:rsid w:val="003E3B1E"/>
    <w:rsid w:val="003E3C49"/>
    <w:rsid w:val="003E4500"/>
    <w:rsid w:val="003E4FFE"/>
    <w:rsid w:val="003F057A"/>
    <w:rsid w:val="003F171C"/>
    <w:rsid w:val="003F36CB"/>
    <w:rsid w:val="003F66F2"/>
    <w:rsid w:val="003F6A2A"/>
    <w:rsid w:val="003F7DDC"/>
    <w:rsid w:val="0040046F"/>
    <w:rsid w:val="00400C4E"/>
    <w:rsid w:val="00401500"/>
    <w:rsid w:val="004015F6"/>
    <w:rsid w:val="00403CFD"/>
    <w:rsid w:val="00403F1C"/>
    <w:rsid w:val="00404D91"/>
    <w:rsid w:val="0041118D"/>
    <w:rsid w:val="00411A5F"/>
    <w:rsid w:val="00412FC5"/>
    <w:rsid w:val="00413205"/>
    <w:rsid w:val="0041361C"/>
    <w:rsid w:val="00415AF9"/>
    <w:rsid w:val="00422276"/>
    <w:rsid w:val="004225A4"/>
    <w:rsid w:val="00423757"/>
    <w:rsid w:val="004242F1"/>
    <w:rsid w:val="00424416"/>
    <w:rsid w:val="004252AA"/>
    <w:rsid w:val="00426B31"/>
    <w:rsid w:val="00426B60"/>
    <w:rsid w:val="00431216"/>
    <w:rsid w:val="00434F75"/>
    <w:rsid w:val="0043750E"/>
    <w:rsid w:val="00437F3A"/>
    <w:rsid w:val="0044315F"/>
    <w:rsid w:val="0044436B"/>
    <w:rsid w:val="00445A00"/>
    <w:rsid w:val="004510F7"/>
    <w:rsid w:val="004514C2"/>
    <w:rsid w:val="00451B0F"/>
    <w:rsid w:val="004522E6"/>
    <w:rsid w:val="004547E8"/>
    <w:rsid w:val="0045658F"/>
    <w:rsid w:val="00456C48"/>
    <w:rsid w:val="00456F0C"/>
    <w:rsid w:val="004600E1"/>
    <w:rsid w:val="004605A4"/>
    <w:rsid w:val="004614EB"/>
    <w:rsid w:val="00462FA3"/>
    <w:rsid w:val="00463DF6"/>
    <w:rsid w:val="00464D65"/>
    <w:rsid w:val="00465755"/>
    <w:rsid w:val="00466549"/>
    <w:rsid w:val="004709D5"/>
    <w:rsid w:val="00472430"/>
    <w:rsid w:val="0047344B"/>
    <w:rsid w:val="00475DAF"/>
    <w:rsid w:val="00475E71"/>
    <w:rsid w:val="004764C3"/>
    <w:rsid w:val="00476C16"/>
    <w:rsid w:val="0047791E"/>
    <w:rsid w:val="0048464B"/>
    <w:rsid w:val="00484BC8"/>
    <w:rsid w:val="00485A5E"/>
    <w:rsid w:val="004A0305"/>
    <w:rsid w:val="004A2720"/>
    <w:rsid w:val="004A34A4"/>
    <w:rsid w:val="004A3E91"/>
    <w:rsid w:val="004A4317"/>
    <w:rsid w:val="004A4784"/>
    <w:rsid w:val="004A54DB"/>
    <w:rsid w:val="004B06A6"/>
    <w:rsid w:val="004B1404"/>
    <w:rsid w:val="004B32E0"/>
    <w:rsid w:val="004B7669"/>
    <w:rsid w:val="004C0C02"/>
    <w:rsid w:val="004C182A"/>
    <w:rsid w:val="004C1975"/>
    <w:rsid w:val="004C2EE3"/>
    <w:rsid w:val="004C3982"/>
    <w:rsid w:val="004C588C"/>
    <w:rsid w:val="004D1296"/>
    <w:rsid w:val="004D1A8F"/>
    <w:rsid w:val="004D2178"/>
    <w:rsid w:val="004D303D"/>
    <w:rsid w:val="004D66AF"/>
    <w:rsid w:val="004D6B14"/>
    <w:rsid w:val="004E0585"/>
    <w:rsid w:val="004E2E55"/>
    <w:rsid w:val="004E2F47"/>
    <w:rsid w:val="004E3309"/>
    <w:rsid w:val="004E3D44"/>
    <w:rsid w:val="004E4A22"/>
    <w:rsid w:val="004E68A7"/>
    <w:rsid w:val="004E79B0"/>
    <w:rsid w:val="004F17A7"/>
    <w:rsid w:val="004F32EB"/>
    <w:rsid w:val="004F4214"/>
    <w:rsid w:val="004F4437"/>
    <w:rsid w:val="004F5425"/>
    <w:rsid w:val="004F617E"/>
    <w:rsid w:val="005000FE"/>
    <w:rsid w:val="005018F3"/>
    <w:rsid w:val="00504166"/>
    <w:rsid w:val="0050699A"/>
    <w:rsid w:val="00511968"/>
    <w:rsid w:val="00511F1B"/>
    <w:rsid w:val="00516650"/>
    <w:rsid w:val="00516C45"/>
    <w:rsid w:val="0052058C"/>
    <w:rsid w:val="005218F0"/>
    <w:rsid w:val="00524655"/>
    <w:rsid w:val="00524A83"/>
    <w:rsid w:val="00524C24"/>
    <w:rsid w:val="0053073C"/>
    <w:rsid w:val="0053473B"/>
    <w:rsid w:val="00543CB7"/>
    <w:rsid w:val="00544A51"/>
    <w:rsid w:val="00547482"/>
    <w:rsid w:val="005549E3"/>
    <w:rsid w:val="0055541A"/>
    <w:rsid w:val="0055614C"/>
    <w:rsid w:val="00557043"/>
    <w:rsid w:val="005575FF"/>
    <w:rsid w:val="00557CF3"/>
    <w:rsid w:val="00561714"/>
    <w:rsid w:val="00561CB5"/>
    <w:rsid w:val="00566D06"/>
    <w:rsid w:val="00566E5B"/>
    <w:rsid w:val="00567DC6"/>
    <w:rsid w:val="00570587"/>
    <w:rsid w:val="00570630"/>
    <w:rsid w:val="00572318"/>
    <w:rsid w:val="0057231C"/>
    <w:rsid w:val="00573C5C"/>
    <w:rsid w:val="00574417"/>
    <w:rsid w:val="00577F85"/>
    <w:rsid w:val="00581E38"/>
    <w:rsid w:val="00582A65"/>
    <w:rsid w:val="00582CB9"/>
    <w:rsid w:val="00583573"/>
    <w:rsid w:val="005857C7"/>
    <w:rsid w:val="00586850"/>
    <w:rsid w:val="00586911"/>
    <w:rsid w:val="0059147A"/>
    <w:rsid w:val="00591A3D"/>
    <w:rsid w:val="00592AFB"/>
    <w:rsid w:val="00592BAE"/>
    <w:rsid w:val="00592D33"/>
    <w:rsid w:val="0059372D"/>
    <w:rsid w:val="005939CC"/>
    <w:rsid w:val="005951F7"/>
    <w:rsid w:val="00596276"/>
    <w:rsid w:val="005A082E"/>
    <w:rsid w:val="005A3591"/>
    <w:rsid w:val="005A46CE"/>
    <w:rsid w:val="005A47F0"/>
    <w:rsid w:val="005A483C"/>
    <w:rsid w:val="005A7B4F"/>
    <w:rsid w:val="005A7C3A"/>
    <w:rsid w:val="005B133C"/>
    <w:rsid w:val="005B28A1"/>
    <w:rsid w:val="005B39E7"/>
    <w:rsid w:val="005B5B35"/>
    <w:rsid w:val="005B706B"/>
    <w:rsid w:val="005B7C3F"/>
    <w:rsid w:val="005B7CC9"/>
    <w:rsid w:val="005C1E15"/>
    <w:rsid w:val="005C3EA8"/>
    <w:rsid w:val="005C5BBE"/>
    <w:rsid w:val="005C60DA"/>
    <w:rsid w:val="005C6A04"/>
    <w:rsid w:val="005C6C24"/>
    <w:rsid w:val="005C7951"/>
    <w:rsid w:val="005D15A9"/>
    <w:rsid w:val="005D26C2"/>
    <w:rsid w:val="005D46B4"/>
    <w:rsid w:val="005E14C2"/>
    <w:rsid w:val="005E2370"/>
    <w:rsid w:val="005E4571"/>
    <w:rsid w:val="005E59C2"/>
    <w:rsid w:val="005E5E5D"/>
    <w:rsid w:val="005E7310"/>
    <w:rsid w:val="005E736E"/>
    <w:rsid w:val="005F0621"/>
    <w:rsid w:val="005F083C"/>
    <w:rsid w:val="005F32E8"/>
    <w:rsid w:val="005F72C9"/>
    <w:rsid w:val="005F73B3"/>
    <w:rsid w:val="00601C3E"/>
    <w:rsid w:val="006034F1"/>
    <w:rsid w:val="006041EC"/>
    <w:rsid w:val="00604CD8"/>
    <w:rsid w:val="00606625"/>
    <w:rsid w:val="00606859"/>
    <w:rsid w:val="006076FD"/>
    <w:rsid w:val="00607BA5"/>
    <w:rsid w:val="0061180A"/>
    <w:rsid w:val="00612A6C"/>
    <w:rsid w:val="006135B2"/>
    <w:rsid w:val="00614655"/>
    <w:rsid w:val="00614CFB"/>
    <w:rsid w:val="00615F91"/>
    <w:rsid w:val="006172F0"/>
    <w:rsid w:val="00621A8C"/>
    <w:rsid w:val="00621A97"/>
    <w:rsid w:val="00622365"/>
    <w:rsid w:val="006261BC"/>
    <w:rsid w:val="00626768"/>
    <w:rsid w:val="00626EB6"/>
    <w:rsid w:val="006270A8"/>
    <w:rsid w:val="00627F15"/>
    <w:rsid w:val="006332D2"/>
    <w:rsid w:val="0063549F"/>
    <w:rsid w:val="00635B03"/>
    <w:rsid w:val="00635BC7"/>
    <w:rsid w:val="00635E57"/>
    <w:rsid w:val="00636669"/>
    <w:rsid w:val="006369E8"/>
    <w:rsid w:val="00636DB7"/>
    <w:rsid w:val="00640240"/>
    <w:rsid w:val="00641203"/>
    <w:rsid w:val="00642354"/>
    <w:rsid w:val="0064246F"/>
    <w:rsid w:val="0064469F"/>
    <w:rsid w:val="00645DBD"/>
    <w:rsid w:val="00645F11"/>
    <w:rsid w:val="00653312"/>
    <w:rsid w:val="00653C2B"/>
    <w:rsid w:val="00655D03"/>
    <w:rsid w:val="006566AA"/>
    <w:rsid w:val="00656BD5"/>
    <w:rsid w:val="00660F25"/>
    <w:rsid w:val="00662273"/>
    <w:rsid w:val="00665132"/>
    <w:rsid w:val="0066757A"/>
    <w:rsid w:val="006704D9"/>
    <w:rsid w:val="0067277A"/>
    <w:rsid w:val="00674A5D"/>
    <w:rsid w:val="00674B90"/>
    <w:rsid w:val="006765DA"/>
    <w:rsid w:val="00680E05"/>
    <w:rsid w:val="006810FA"/>
    <w:rsid w:val="0068169C"/>
    <w:rsid w:val="00682C22"/>
    <w:rsid w:val="00683388"/>
    <w:rsid w:val="00683F84"/>
    <w:rsid w:val="0068400B"/>
    <w:rsid w:val="006854C5"/>
    <w:rsid w:val="00686969"/>
    <w:rsid w:val="00686F90"/>
    <w:rsid w:val="006901DD"/>
    <w:rsid w:val="00690F62"/>
    <w:rsid w:val="00694C1E"/>
    <w:rsid w:val="00694EAB"/>
    <w:rsid w:val="00695F77"/>
    <w:rsid w:val="006A212A"/>
    <w:rsid w:val="006A385A"/>
    <w:rsid w:val="006A4282"/>
    <w:rsid w:val="006A49FA"/>
    <w:rsid w:val="006A4C2C"/>
    <w:rsid w:val="006A52AA"/>
    <w:rsid w:val="006A6A81"/>
    <w:rsid w:val="006B11B4"/>
    <w:rsid w:val="006B2CA1"/>
    <w:rsid w:val="006B42E6"/>
    <w:rsid w:val="006B717B"/>
    <w:rsid w:val="006B7B52"/>
    <w:rsid w:val="006C4129"/>
    <w:rsid w:val="006C72CC"/>
    <w:rsid w:val="006D00E3"/>
    <w:rsid w:val="006D08CA"/>
    <w:rsid w:val="006D0D1A"/>
    <w:rsid w:val="006D12C5"/>
    <w:rsid w:val="006D1783"/>
    <w:rsid w:val="006D194B"/>
    <w:rsid w:val="006D4CBC"/>
    <w:rsid w:val="006D4E2D"/>
    <w:rsid w:val="006D53DF"/>
    <w:rsid w:val="006D6745"/>
    <w:rsid w:val="006E0BB2"/>
    <w:rsid w:val="006E2E94"/>
    <w:rsid w:val="006E2F0A"/>
    <w:rsid w:val="006E2F4E"/>
    <w:rsid w:val="006E3B96"/>
    <w:rsid w:val="006E646D"/>
    <w:rsid w:val="006E6610"/>
    <w:rsid w:val="006E6694"/>
    <w:rsid w:val="006E7C87"/>
    <w:rsid w:val="006F041C"/>
    <w:rsid w:val="006F2329"/>
    <w:rsid w:val="006F3760"/>
    <w:rsid w:val="006F4F74"/>
    <w:rsid w:val="006F5C1F"/>
    <w:rsid w:val="006F5C5A"/>
    <w:rsid w:val="006F61A5"/>
    <w:rsid w:val="006F6203"/>
    <w:rsid w:val="006F6B22"/>
    <w:rsid w:val="006F7393"/>
    <w:rsid w:val="0070093D"/>
    <w:rsid w:val="00701EC0"/>
    <w:rsid w:val="0070224F"/>
    <w:rsid w:val="00704287"/>
    <w:rsid w:val="0070453D"/>
    <w:rsid w:val="00704684"/>
    <w:rsid w:val="0070521D"/>
    <w:rsid w:val="007115F7"/>
    <w:rsid w:val="00711856"/>
    <w:rsid w:val="00711924"/>
    <w:rsid w:val="007131D5"/>
    <w:rsid w:val="0072185C"/>
    <w:rsid w:val="0072194A"/>
    <w:rsid w:val="00722628"/>
    <w:rsid w:val="007228AA"/>
    <w:rsid w:val="00724BBB"/>
    <w:rsid w:val="00724C5B"/>
    <w:rsid w:val="00724CA3"/>
    <w:rsid w:val="0072509C"/>
    <w:rsid w:val="007306E4"/>
    <w:rsid w:val="00733490"/>
    <w:rsid w:val="007342A7"/>
    <w:rsid w:val="0073446A"/>
    <w:rsid w:val="007352CE"/>
    <w:rsid w:val="0073562E"/>
    <w:rsid w:val="007367A6"/>
    <w:rsid w:val="0074058B"/>
    <w:rsid w:val="007417C7"/>
    <w:rsid w:val="00741F4F"/>
    <w:rsid w:val="00742567"/>
    <w:rsid w:val="0074276E"/>
    <w:rsid w:val="007431FB"/>
    <w:rsid w:val="00743625"/>
    <w:rsid w:val="00743966"/>
    <w:rsid w:val="00743DE2"/>
    <w:rsid w:val="00744610"/>
    <w:rsid w:val="00744827"/>
    <w:rsid w:val="00746CDB"/>
    <w:rsid w:val="00747D63"/>
    <w:rsid w:val="00750647"/>
    <w:rsid w:val="00750C44"/>
    <w:rsid w:val="00751271"/>
    <w:rsid w:val="007517DE"/>
    <w:rsid w:val="0075225F"/>
    <w:rsid w:val="0075378D"/>
    <w:rsid w:val="007537BD"/>
    <w:rsid w:val="00755540"/>
    <w:rsid w:val="00755835"/>
    <w:rsid w:val="00755A4A"/>
    <w:rsid w:val="00756355"/>
    <w:rsid w:val="00756476"/>
    <w:rsid w:val="00757B7D"/>
    <w:rsid w:val="007607A0"/>
    <w:rsid w:val="007615D4"/>
    <w:rsid w:val="00763D52"/>
    <w:rsid w:val="00764738"/>
    <w:rsid w:val="0076645C"/>
    <w:rsid w:val="007674B7"/>
    <w:rsid w:val="007679DE"/>
    <w:rsid w:val="007703B4"/>
    <w:rsid w:val="0077217B"/>
    <w:rsid w:val="00774167"/>
    <w:rsid w:val="0077477A"/>
    <w:rsid w:val="00775102"/>
    <w:rsid w:val="00775FEF"/>
    <w:rsid w:val="00776556"/>
    <w:rsid w:val="00783CAB"/>
    <w:rsid w:val="00785689"/>
    <w:rsid w:val="007866E7"/>
    <w:rsid w:val="00786A37"/>
    <w:rsid w:val="00787D98"/>
    <w:rsid w:val="00790588"/>
    <w:rsid w:val="00790969"/>
    <w:rsid w:val="007925D1"/>
    <w:rsid w:val="00792FA3"/>
    <w:rsid w:val="00793201"/>
    <w:rsid w:val="00794627"/>
    <w:rsid w:val="00796F09"/>
    <w:rsid w:val="0079754B"/>
    <w:rsid w:val="00797D26"/>
    <w:rsid w:val="007A1E6D"/>
    <w:rsid w:val="007A3B70"/>
    <w:rsid w:val="007A4922"/>
    <w:rsid w:val="007A7760"/>
    <w:rsid w:val="007B0067"/>
    <w:rsid w:val="007B07DD"/>
    <w:rsid w:val="007B0EB2"/>
    <w:rsid w:val="007B3498"/>
    <w:rsid w:val="007B4724"/>
    <w:rsid w:val="007B66BB"/>
    <w:rsid w:val="007B771B"/>
    <w:rsid w:val="007B779B"/>
    <w:rsid w:val="007B7F9C"/>
    <w:rsid w:val="007C0B0A"/>
    <w:rsid w:val="007C255D"/>
    <w:rsid w:val="007C2BD2"/>
    <w:rsid w:val="007C38AD"/>
    <w:rsid w:val="007C50D9"/>
    <w:rsid w:val="007C51DF"/>
    <w:rsid w:val="007C5D5D"/>
    <w:rsid w:val="007C6C53"/>
    <w:rsid w:val="007C7E4C"/>
    <w:rsid w:val="007D080C"/>
    <w:rsid w:val="007D0A3D"/>
    <w:rsid w:val="007D0DF7"/>
    <w:rsid w:val="007D2620"/>
    <w:rsid w:val="007D2D4F"/>
    <w:rsid w:val="007D77E4"/>
    <w:rsid w:val="007D7EDA"/>
    <w:rsid w:val="007E0D38"/>
    <w:rsid w:val="007E172E"/>
    <w:rsid w:val="007E1BDB"/>
    <w:rsid w:val="007E1E8B"/>
    <w:rsid w:val="007E1F2A"/>
    <w:rsid w:val="007E44ED"/>
    <w:rsid w:val="007F122B"/>
    <w:rsid w:val="007F1595"/>
    <w:rsid w:val="007F3581"/>
    <w:rsid w:val="007F3E72"/>
    <w:rsid w:val="007F5C97"/>
    <w:rsid w:val="007F6133"/>
    <w:rsid w:val="007F701A"/>
    <w:rsid w:val="007F7C69"/>
    <w:rsid w:val="00801242"/>
    <w:rsid w:val="00801541"/>
    <w:rsid w:val="00804AB5"/>
    <w:rsid w:val="00805335"/>
    <w:rsid w:val="00805B25"/>
    <w:rsid w:val="0080728D"/>
    <w:rsid w:val="00810B6F"/>
    <w:rsid w:val="0081319A"/>
    <w:rsid w:val="008142F7"/>
    <w:rsid w:val="008145F6"/>
    <w:rsid w:val="0081475A"/>
    <w:rsid w:val="00816A47"/>
    <w:rsid w:val="00817C91"/>
    <w:rsid w:val="00817EB7"/>
    <w:rsid w:val="00821FA7"/>
    <w:rsid w:val="00822CE0"/>
    <w:rsid w:val="00822E74"/>
    <w:rsid w:val="00823E8D"/>
    <w:rsid w:val="008257B2"/>
    <w:rsid w:val="00825F23"/>
    <w:rsid w:val="008275A8"/>
    <w:rsid w:val="00830FB2"/>
    <w:rsid w:val="00832601"/>
    <w:rsid w:val="00832C24"/>
    <w:rsid w:val="008330DF"/>
    <w:rsid w:val="008340D6"/>
    <w:rsid w:val="00835331"/>
    <w:rsid w:val="0083619C"/>
    <w:rsid w:val="008363E0"/>
    <w:rsid w:val="00841AB1"/>
    <w:rsid w:val="0084334E"/>
    <w:rsid w:val="00844AAB"/>
    <w:rsid w:val="0084659E"/>
    <w:rsid w:val="008550EC"/>
    <w:rsid w:val="00855B67"/>
    <w:rsid w:val="0085638E"/>
    <w:rsid w:val="008567A0"/>
    <w:rsid w:val="008604B4"/>
    <w:rsid w:val="00862C99"/>
    <w:rsid w:val="008632E5"/>
    <w:rsid w:val="0086451B"/>
    <w:rsid w:val="008646E4"/>
    <w:rsid w:val="00865329"/>
    <w:rsid w:val="00866828"/>
    <w:rsid w:val="00867558"/>
    <w:rsid w:val="0087031E"/>
    <w:rsid w:val="0087094B"/>
    <w:rsid w:val="00872939"/>
    <w:rsid w:val="00873457"/>
    <w:rsid w:val="00874318"/>
    <w:rsid w:val="00875026"/>
    <w:rsid w:val="00876F19"/>
    <w:rsid w:val="0088017F"/>
    <w:rsid w:val="008809C0"/>
    <w:rsid w:val="00882455"/>
    <w:rsid w:val="00882BC0"/>
    <w:rsid w:val="00883FD0"/>
    <w:rsid w:val="00884E11"/>
    <w:rsid w:val="00886570"/>
    <w:rsid w:val="008910BD"/>
    <w:rsid w:val="00891402"/>
    <w:rsid w:val="00892A7F"/>
    <w:rsid w:val="00892BAA"/>
    <w:rsid w:val="008935A7"/>
    <w:rsid w:val="00895104"/>
    <w:rsid w:val="008953A2"/>
    <w:rsid w:val="00896753"/>
    <w:rsid w:val="00897EBB"/>
    <w:rsid w:val="008A14DA"/>
    <w:rsid w:val="008A2B4B"/>
    <w:rsid w:val="008A4239"/>
    <w:rsid w:val="008A6591"/>
    <w:rsid w:val="008A6BEF"/>
    <w:rsid w:val="008A7141"/>
    <w:rsid w:val="008A7FED"/>
    <w:rsid w:val="008B4EA1"/>
    <w:rsid w:val="008B59B0"/>
    <w:rsid w:val="008B6D62"/>
    <w:rsid w:val="008B7B46"/>
    <w:rsid w:val="008B7FA7"/>
    <w:rsid w:val="008C0595"/>
    <w:rsid w:val="008C0B2D"/>
    <w:rsid w:val="008C1096"/>
    <w:rsid w:val="008C1117"/>
    <w:rsid w:val="008C11BD"/>
    <w:rsid w:val="008C207A"/>
    <w:rsid w:val="008C3178"/>
    <w:rsid w:val="008C348F"/>
    <w:rsid w:val="008C3580"/>
    <w:rsid w:val="008C5124"/>
    <w:rsid w:val="008C68F1"/>
    <w:rsid w:val="008C6A5F"/>
    <w:rsid w:val="008C7C8E"/>
    <w:rsid w:val="008D29F4"/>
    <w:rsid w:val="008D3F90"/>
    <w:rsid w:val="008D5593"/>
    <w:rsid w:val="008D5D24"/>
    <w:rsid w:val="008D6801"/>
    <w:rsid w:val="008D7B67"/>
    <w:rsid w:val="008D7EAD"/>
    <w:rsid w:val="008E0C52"/>
    <w:rsid w:val="008E2C26"/>
    <w:rsid w:val="008E3B43"/>
    <w:rsid w:val="008E4466"/>
    <w:rsid w:val="008E4B87"/>
    <w:rsid w:val="008E55DC"/>
    <w:rsid w:val="008E560D"/>
    <w:rsid w:val="008E6289"/>
    <w:rsid w:val="008E648C"/>
    <w:rsid w:val="008E6751"/>
    <w:rsid w:val="008E6E3A"/>
    <w:rsid w:val="008F062D"/>
    <w:rsid w:val="008F1B15"/>
    <w:rsid w:val="008F4036"/>
    <w:rsid w:val="008F5AF9"/>
    <w:rsid w:val="0090409A"/>
    <w:rsid w:val="00904A65"/>
    <w:rsid w:val="009106C3"/>
    <w:rsid w:val="0091286D"/>
    <w:rsid w:val="00913BC9"/>
    <w:rsid w:val="009145E5"/>
    <w:rsid w:val="00914FB9"/>
    <w:rsid w:val="009151DA"/>
    <w:rsid w:val="00921803"/>
    <w:rsid w:val="00921828"/>
    <w:rsid w:val="00922B4E"/>
    <w:rsid w:val="0092342D"/>
    <w:rsid w:val="009241FC"/>
    <w:rsid w:val="00925145"/>
    <w:rsid w:val="00926067"/>
    <w:rsid w:val="00926503"/>
    <w:rsid w:val="00926775"/>
    <w:rsid w:val="00926D5D"/>
    <w:rsid w:val="0092720A"/>
    <w:rsid w:val="0092792A"/>
    <w:rsid w:val="009303C3"/>
    <w:rsid w:val="00930D25"/>
    <w:rsid w:val="00933F89"/>
    <w:rsid w:val="00934D9A"/>
    <w:rsid w:val="00935010"/>
    <w:rsid w:val="009355EE"/>
    <w:rsid w:val="0094069E"/>
    <w:rsid w:val="00940F87"/>
    <w:rsid w:val="009413BC"/>
    <w:rsid w:val="00946C1A"/>
    <w:rsid w:val="0095064B"/>
    <w:rsid w:val="00950D76"/>
    <w:rsid w:val="00950E87"/>
    <w:rsid w:val="00952569"/>
    <w:rsid w:val="00953EE0"/>
    <w:rsid w:val="00954CE4"/>
    <w:rsid w:val="0096026D"/>
    <w:rsid w:val="00960C17"/>
    <w:rsid w:val="0096342A"/>
    <w:rsid w:val="00966DDB"/>
    <w:rsid w:val="00967C05"/>
    <w:rsid w:val="00970F9F"/>
    <w:rsid w:val="009726D8"/>
    <w:rsid w:val="00975D99"/>
    <w:rsid w:val="00976190"/>
    <w:rsid w:val="0097629A"/>
    <w:rsid w:val="00977347"/>
    <w:rsid w:val="009803CA"/>
    <w:rsid w:val="00980AD6"/>
    <w:rsid w:val="00980C33"/>
    <w:rsid w:val="009831F9"/>
    <w:rsid w:val="0098329C"/>
    <w:rsid w:val="0098383C"/>
    <w:rsid w:val="00984301"/>
    <w:rsid w:val="0098476B"/>
    <w:rsid w:val="009859D5"/>
    <w:rsid w:val="00985F2B"/>
    <w:rsid w:val="0098754C"/>
    <w:rsid w:val="00987B29"/>
    <w:rsid w:val="00987F06"/>
    <w:rsid w:val="00992485"/>
    <w:rsid w:val="00993FA6"/>
    <w:rsid w:val="0099406E"/>
    <w:rsid w:val="00994169"/>
    <w:rsid w:val="00994D88"/>
    <w:rsid w:val="009969D9"/>
    <w:rsid w:val="009A3E32"/>
    <w:rsid w:val="009A4A0C"/>
    <w:rsid w:val="009A6BC4"/>
    <w:rsid w:val="009A72BF"/>
    <w:rsid w:val="009B0AB6"/>
    <w:rsid w:val="009B0E01"/>
    <w:rsid w:val="009B1278"/>
    <w:rsid w:val="009B520D"/>
    <w:rsid w:val="009B5AB6"/>
    <w:rsid w:val="009B6401"/>
    <w:rsid w:val="009C0AAF"/>
    <w:rsid w:val="009C0FAD"/>
    <w:rsid w:val="009C110B"/>
    <w:rsid w:val="009C186F"/>
    <w:rsid w:val="009C3D38"/>
    <w:rsid w:val="009C5B57"/>
    <w:rsid w:val="009D118B"/>
    <w:rsid w:val="009D57A7"/>
    <w:rsid w:val="009D66F3"/>
    <w:rsid w:val="009D7308"/>
    <w:rsid w:val="009E0B8A"/>
    <w:rsid w:val="009E125C"/>
    <w:rsid w:val="009E342C"/>
    <w:rsid w:val="009E353A"/>
    <w:rsid w:val="009E4463"/>
    <w:rsid w:val="009E466F"/>
    <w:rsid w:val="009F3E6A"/>
    <w:rsid w:val="009F4532"/>
    <w:rsid w:val="009F461D"/>
    <w:rsid w:val="009F5C3A"/>
    <w:rsid w:val="009F76DB"/>
    <w:rsid w:val="009F76DF"/>
    <w:rsid w:val="009F78CA"/>
    <w:rsid w:val="00A00463"/>
    <w:rsid w:val="00A045B3"/>
    <w:rsid w:val="00A04625"/>
    <w:rsid w:val="00A07C11"/>
    <w:rsid w:val="00A10A6F"/>
    <w:rsid w:val="00A10DCF"/>
    <w:rsid w:val="00A10FE5"/>
    <w:rsid w:val="00A11CDF"/>
    <w:rsid w:val="00A1314D"/>
    <w:rsid w:val="00A1459D"/>
    <w:rsid w:val="00A15914"/>
    <w:rsid w:val="00A22A6F"/>
    <w:rsid w:val="00A22D69"/>
    <w:rsid w:val="00A23126"/>
    <w:rsid w:val="00A30367"/>
    <w:rsid w:val="00A32C3B"/>
    <w:rsid w:val="00A35185"/>
    <w:rsid w:val="00A354A7"/>
    <w:rsid w:val="00A3619F"/>
    <w:rsid w:val="00A36251"/>
    <w:rsid w:val="00A36B3D"/>
    <w:rsid w:val="00A373F1"/>
    <w:rsid w:val="00A37818"/>
    <w:rsid w:val="00A40B15"/>
    <w:rsid w:val="00A41EE4"/>
    <w:rsid w:val="00A421CE"/>
    <w:rsid w:val="00A42BEA"/>
    <w:rsid w:val="00A4385F"/>
    <w:rsid w:val="00A453A8"/>
    <w:rsid w:val="00A45F4F"/>
    <w:rsid w:val="00A463F5"/>
    <w:rsid w:val="00A46596"/>
    <w:rsid w:val="00A50477"/>
    <w:rsid w:val="00A50531"/>
    <w:rsid w:val="00A5110A"/>
    <w:rsid w:val="00A5143A"/>
    <w:rsid w:val="00A51539"/>
    <w:rsid w:val="00A52488"/>
    <w:rsid w:val="00A52992"/>
    <w:rsid w:val="00A548C1"/>
    <w:rsid w:val="00A600A9"/>
    <w:rsid w:val="00A6067A"/>
    <w:rsid w:val="00A63421"/>
    <w:rsid w:val="00A64030"/>
    <w:rsid w:val="00A642AA"/>
    <w:rsid w:val="00A6794A"/>
    <w:rsid w:val="00A70235"/>
    <w:rsid w:val="00A71A04"/>
    <w:rsid w:val="00A73E91"/>
    <w:rsid w:val="00A74BBC"/>
    <w:rsid w:val="00A75A8A"/>
    <w:rsid w:val="00A762B4"/>
    <w:rsid w:val="00A765B0"/>
    <w:rsid w:val="00A76B9A"/>
    <w:rsid w:val="00A77DC4"/>
    <w:rsid w:val="00A817A5"/>
    <w:rsid w:val="00A8194A"/>
    <w:rsid w:val="00A81ADD"/>
    <w:rsid w:val="00A81FC1"/>
    <w:rsid w:val="00A835D5"/>
    <w:rsid w:val="00A83AAE"/>
    <w:rsid w:val="00A8457F"/>
    <w:rsid w:val="00A84E17"/>
    <w:rsid w:val="00A86A29"/>
    <w:rsid w:val="00A8758C"/>
    <w:rsid w:val="00A879E6"/>
    <w:rsid w:val="00A87E80"/>
    <w:rsid w:val="00A90175"/>
    <w:rsid w:val="00A903A7"/>
    <w:rsid w:val="00A9121B"/>
    <w:rsid w:val="00A93377"/>
    <w:rsid w:val="00A93CFE"/>
    <w:rsid w:val="00A94623"/>
    <w:rsid w:val="00A94E2B"/>
    <w:rsid w:val="00A9589E"/>
    <w:rsid w:val="00A95C40"/>
    <w:rsid w:val="00AA127F"/>
    <w:rsid w:val="00AA1E20"/>
    <w:rsid w:val="00AA2518"/>
    <w:rsid w:val="00AA3608"/>
    <w:rsid w:val="00AA45A1"/>
    <w:rsid w:val="00AA55B7"/>
    <w:rsid w:val="00AA5B9E"/>
    <w:rsid w:val="00AA5D84"/>
    <w:rsid w:val="00AA7931"/>
    <w:rsid w:val="00AA7E2A"/>
    <w:rsid w:val="00AB0ED7"/>
    <w:rsid w:val="00AB164C"/>
    <w:rsid w:val="00AB167F"/>
    <w:rsid w:val="00AB1704"/>
    <w:rsid w:val="00AB1F27"/>
    <w:rsid w:val="00AB2407"/>
    <w:rsid w:val="00AB2BC7"/>
    <w:rsid w:val="00AB53DF"/>
    <w:rsid w:val="00AB5D09"/>
    <w:rsid w:val="00AB6418"/>
    <w:rsid w:val="00AB6A00"/>
    <w:rsid w:val="00AB7F7E"/>
    <w:rsid w:val="00AC1A2F"/>
    <w:rsid w:val="00AC2B28"/>
    <w:rsid w:val="00AC3C83"/>
    <w:rsid w:val="00AC4222"/>
    <w:rsid w:val="00AC57C8"/>
    <w:rsid w:val="00AC58B9"/>
    <w:rsid w:val="00AC6A02"/>
    <w:rsid w:val="00AC761B"/>
    <w:rsid w:val="00AC76C1"/>
    <w:rsid w:val="00AC7D69"/>
    <w:rsid w:val="00AD11D4"/>
    <w:rsid w:val="00AD13B2"/>
    <w:rsid w:val="00AD2B6A"/>
    <w:rsid w:val="00AD2E55"/>
    <w:rsid w:val="00AD3FB7"/>
    <w:rsid w:val="00AD5C7F"/>
    <w:rsid w:val="00AE10F2"/>
    <w:rsid w:val="00AE1752"/>
    <w:rsid w:val="00AE2697"/>
    <w:rsid w:val="00AE3926"/>
    <w:rsid w:val="00AE5505"/>
    <w:rsid w:val="00AE5ECD"/>
    <w:rsid w:val="00AE7432"/>
    <w:rsid w:val="00AE7FFC"/>
    <w:rsid w:val="00AF06D7"/>
    <w:rsid w:val="00AF281A"/>
    <w:rsid w:val="00AF2DF3"/>
    <w:rsid w:val="00AF370E"/>
    <w:rsid w:val="00AF37C2"/>
    <w:rsid w:val="00AF4330"/>
    <w:rsid w:val="00AF5405"/>
    <w:rsid w:val="00AF60C7"/>
    <w:rsid w:val="00AF7248"/>
    <w:rsid w:val="00AF7AA2"/>
    <w:rsid w:val="00B030F5"/>
    <w:rsid w:val="00B03B32"/>
    <w:rsid w:val="00B03FEA"/>
    <w:rsid w:val="00B04417"/>
    <w:rsid w:val="00B04BD4"/>
    <w:rsid w:val="00B0599A"/>
    <w:rsid w:val="00B07E5C"/>
    <w:rsid w:val="00B11E19"/>
    <w:rsid w:val="00B12677"/>
    <w:rsid w:val="00B12C4C"/>
    <w:rsid w:val="00B136D4"/>
    <w:rsid w:val="00B147F3"/>
    <w:rsid w:val="00B175AE"/>
    <w:rsid w:val="00B2285A"/>
    <w:rsid w:val="00B22DDB"/>
    <w:rsid w:val="00B22F1E"/>
    <w:rsid w:val="00B23901"/>
    <w:rsid w:val="00B23F1E"/>
    <w:rsid w:val="00B25275"/>
    <w:rsid w:val="00B32218"/>
    <w:rsid w:val="00B32708"/>
    <w:rsid w:val="00B32CCE"/>
    <w:rsid w:val="00B3671D"/>
    <w:rsid w:val="00B3678F"/>
    <w:rsid w:val="00B37359"/>
    <w:rsid w:val="00B374B5"/>
    <w:rsid w:val="00B417FD"/>
    <w:rsid w:val="00B41B5A"/>
    <w:rsid w:val="00B42809"/>
    <w:rsid w:val="00B42B8F"/>
    <w:rsid w:val="00B4613B"/>
    <w:rsid w:val="00B4684B"/>
    <w:rsid w:val="00B50169"/>
    <w:rsid w:val="00B50695"/>
    <w:rsid w:val="00B523C8"/>
    <w:rsid w:val="00B52834"/>
    <w:rsid w:val="00B52B0A"/>
    <w:rsid w:val="00B53475"/>
    <w:rsid w:val="00B53EA5"/>
    <w:rsid w:val="00B5463D"/>
    <w:rsid w:val="00B55484"/>
    <w:rsid w:val="00B563AF"/>
    <w:rsid w:val="00B610CC"/>
    <w:rsid w:val="00B617D7"/>
    <w:rsid w:val="00B61947"/>
    <w:rsid w:val="00B61B1F"/>
    <w:rsid w:val="00B646A5"/>
    <w:rsid w:val="00B64E3C"/>
    <w:rsid w:val="00B67176"/>
    <w:rsid w:val="00B729CD"/>
    <w:rsid w:val="00B73A67"/>
    <w:rsid w:val="00B74D01"/>
    <w:rsid w:val="00B756D3"/>
    <w:rsid w:val="00B76564"/>
    <w:rsid w:val="00B80A3D"/>
    <w:rsid w:val="00B80C4A"/>
    <w:rsid w:val="00B811F7"/>
    <w:rsid w:val="00B81BD7"/>
    <w:rsid w:val="00B82D62"/>
    <w:rsid w:val="00B848F8"/>
    <w:rsid w:val="00B862DD"/>
    <w:rsid w:val="00B874F2"/>
    <w:rsid w:val="00B87536"/>
    <w:rsid w:val="00B875D1"/>
    <w:rsid w:val="00B90C2E"/>
    <w:rsid w:val="00B929BB"/>
    <w:rsid w:val="00B930E0"/>
    <w:rsid w:val="00B9358A"/>
    <w:rsid w:val="00B93E6F"/>
    <w:rsid w:val="00B944C1"/>
    <w:rsid w:val="00B97D8D"/>
    <w:rsid w:val="00BA03B6"/>
    <w:rsid w:val="00BA0B02"/>
    <w:rsid w:val="00BA0EBE"/>
    <w:rsid w:val="00BA5DC6"/>
    <w:rsid w:val="00BA6196"/>
    <w:rsid w:val="00BA6903"/>
    <w:rsid w:val="00BA697B"/>
    <w:rsid w:val="00BA7689"/>
    <w:rsid w:val="00BA7E7A"/>
    <w:rsid w:val="00BA7EA4"/>
    <w:rsid w:val="00BB3730"/>
    <w:rsid w:val="00BB5C45"/>
    <w:rsid w:val="00BB663E"/>
    <w:rsid w:val="00BB758F"/>
    <w:rsid w:val="00BC01C7"/>
    <w:rsid w:val="00BC04FA"/>
    <w:rsid w:val="00BC38B5"/>
    <w:rsid w:val="00BC4639"/>
    <w:rsid w:val="00BC5B2B"/>
    <w:rsid w:val="00BC5D2B"/>
    <w:rsid w:val="00BC6D8C"/>
    <w:rsid w:val="00BD1DEB"/>
    <w:rsid w:val="00BD2F19"/>
    <w:rsid w:val="00BD41EF"/>
    <w:rsid w:val="00BD4434"/>
    <w:rsid w:val="00BD53B6"/>
    <w:rsid w:val="00BD578B"/>
    <w:rsid w:val="00BE030A"/>
    <w:rsid w:val="00BE0B06"/>
    <w:rsid w:val="00BE0BF8"/>
    <w:rsid w:val="00BE36D1"/>
    <w:rsid w:val="00BF151C"/>
    <w:rsid w:val="00BF39EC"/>
    <w:rsid w:val="00C00871"/>
    <w:rsid w:val="00C026BE"/>
    <w:rsid w:val="00C03092"/>
    <w:rsid w:val="00C038EC"/>
    <w:rsid w:val="00C04561"/>
    <w:rsid w:val="00C04CAE"/>
    <w:rsid w:val="00C053BE"/>
    <w:rsid w:val="00C062B1"/>
    <w:rsid w:val="00C11EF9"/>
    <w:rsid w:val="00C12585"/>
    <w:rsid w:val="00C14BBA"/>
    <w:rsid w:val="00C161F5"/>
    <w:rsid w:val="00C174C2"/>
    <w:rsid w:val="00C21B2E"/>
    <w:rsid w:val="00C23A98"/>
    <w:rsid w:val="00C24249"/>
    <w:rsid w:val="00C24378"/>
    <w:rsid w:val="00C26785"/>
    <w:rsid w:val="00C26F99"/>
    <w:rsid w:val="00C2755E"/>
    <w:rsid w:val="00C30AFC"/>
    <w:rsid w:val="00C326D8"/>
    <w:rsid w:val="00C32E6A"/>
    <w:rsid w:val="00C34006"/>
    <w:rsid w:val="00C35E2E"/>
    <w:rsid w:val="00C36B4C"/>
    <w:rsid w:val="00C371BB"/>
    <w:rsid w:val="00C377C9"/>
    <w:rsid w:val="00C426B1"/>
    <w:rsid w:val="00C43077"/>
    <w:rsid w:val="00C444C7"/>
    <w:rsid w:val="00C46225"/>
    <w:rsid w:val="00C464B4"/>
    <w:rsid w:val="00C5287D"/>
    <w:rsid w:val="00C5481A"/>
    <w:rsid w:val="00C548A5"/>
    <w:rsid w:val="00C56176"/>
    <w:rsid w:val="00C56B0F"/>
    <w:rsid w:val="00C579CF"/>
    <w:rsid w:val="00C60D3B"/>
    <w:rsid w:val="00C61E46"/>
    <w:rsid w:val="00C6270E"/>
    <w:rsid w:val="00C66160"/>
    <w:rsid w:val="00C66972"/>
    <w:rsid w:val="00C70837"/>
    <w:rsid w:val="00C721AC"/>
    <w:rsid w:val="00C723F9"/>
    <w:rsid w:val="00C74D4B"/>
    <w:rsid w:val="00C74F8F"/>
    <w:rsid w:val="00C759B5"/>
    <w:rsid w:val="00C775F3"/>
    <w:rsid w:val="00C80571"/>
    <w:rsid w:val="00C841D1"/>
    <w:rsid w:val="00C85CB8"/>
    <w:rsid w:val="00C90D6A"/>
    <w:rsid w:val="00C93201"/>
    <w:rsid w:val="00C94423"/>
    <w:rsid w:val="00C94D70"/>
    <w:rsid w:val="00C9723E"/>
    <w:rsid w:val="00CA0402"/>
    <w:rsid w:val="00CA0C4F"/>
    <w:rsid w:val="00CA1113"/>
    <w:rsid w:val="00CA247E"/>
    <w:rsid w:val="00CA44F1"/>
    <w:rsid w:val="00CA4FBE"/>
    <w:rsid w:val="00CA6D21"/>
    <w:rsid w:val="00CA7336"/>
    <w:rsid w:val="00CB0321"/>
    <w:rsid w:val="00CB0F06"/>
    <w:rsid w:val="00CB1597"/>
    <w:rsid w:val="00CB2E21"/>
    <w:rsid w:val="00CB5A4B"/>
    <w:rsid w:val="00CB5B2E"/>
    <w:rsid w:val="00CB5D5D"/>
    <w:rsid w:val="00CB7BA9"/>
    <w:rsid w:val="00CB7EF3"/>
    <w:rsid w:val="00CC00BD"/>
    <w:rsid w:val="00CC143D"/>
    <w:rsid w:val="00CC16E5"/>
    <w:rsid w:val="00CC66BD"/>
    <w:rsid w:val="00CC66F2"/>
    <w:rsid w:val="00CC72B6"/>
    <w:rsid w:val="00CD06BB"/>
    <w:rsid w:val="00CD094B"/>
    <w:rsid w:val="00CD1419"/>
    <w:rsid w:val="00CD392D"/>
    <w:rsid w:val="00CD4734"/>
    <w:rsid w:val="00CD64CF"/>
    <w:rsid w:val="00CE1B02"/>
    <w:rsid w:val="00CE3815"/>
    <w:rsid w:val="00CE63B6"/>
    <w:rsid w:val="00CE70B3"/>
    <w:rsid w:val="00CE721F"/>
    <w:rsid w:val="00CF030C"/>
    <w:rsid w:val="00CF0720"/>
    <w:rsid w:val="00CF0AC0"/>
    <w:rsid w:val="00CF1AC5"/>
    <w:rsid w:val="00CF478B"/>
    <w:rsid w:val="00CF4FA6"/>
    <w:rsid w:val="00CF614A"/>
    <w:rsid w:val="00D006F9"/>
    <w:rsid w:val="00D0129D"/>
    <w:rsid w:val="00D01986"/>
    <w:rsid w:val="00D01D4D"/>
    <w:rsid w:val="00D0218D"/>
    <w:rsid w:val="00D029B9"/>
    <w:rsid w:val="00D04983"/>
    <w:rsid w:val="00D04D1A"/>
    <w:rsid w:val="00D070F3"/>
    <w:rsid w:val="00D122A1"/>
    <w:rsid w:val="00D13B67"/>
    <w:rsid w:val="00D142FC"/>
    <w:rsid w:val="00D15A7C"/>
    <w:rsid w:val="00D170C8"/>
    <w:rsid w:val="00D21AA3"/>
    <w:rsid w:val="00D21B9C"/>
    <w:rsid w:val="00D2212F"/>
    <w:rsid w:val="00D23A5B"/>
    <w:rsid w:val="00D244E3"/>
    <w:rsid w:val="00D2561E"/>
    <w:rsid w:val="00D25712"/>
    <w:rsid w:val="00D25BE9"/>
    <w:rsid w:val="00D25FB5"/>
    <w:rsid w:val="00D312C7"/>
    <w:rsid w:val="00D333CF"/>
    <w:rsid w:val="00D344C6"/>
    <w:rsid w:val="00D34B4F"/>
    <w:rsid w:val="00D359A8"/>
    <w:rsid w:val="00D37A88"/>
    <w:rsid w:val="00D37E9F"/>
    <w:rsid w:val="00D4124D"/>
    <w:rsid w:val="00D41CA6"/>
    <w:rsid w:val="00D44223"/>
    <w:rsid w:val="00D45F5D"/>
    <w:rsid w:val="00D46E21"/>
    <w:rsid w:val="00D472F5"/>
    <w:rsid w:val="00D5047E"/>
    <w:rsid w:val="00D524DB"/>
    <w:rsid w:val="00D5569F"/>
    <w:rsid w:val="00D567BB"/>
    <w:rsid w:val="00D56936"/>
    <w:rsid w:val="00D61609"/>
    <w:rsid w:val="00D62238"/>
    <w:rsid w:val="00D6245E"/>
    <w:rsid w:val="00D64A21"/>
    <w:rsid w:val="00D65E90"/>
    <w:rsid w:val="00D66ADB"/>
    <w:rsid w:val="00D67491"/>
    <w:rsid w:val="00D67663"/>
    <w:rsid w:val="00D67B2D"/>
    <w:rsid w:val="00D67B69"/>
    <w:rsid w:val="00D67C3C"/>
    <w:rsid w:val="00D70B33"/>
    <w:rsid w:val="00D70B4B"/>
    <w:rsid w:val="00D712A5"/>
    <w:rsid w:val="00D735FA"/>
    <w:rsid w:val="00D760A0"/>
    <w:rsid w:val="00D76BD8"/>
    <w:rsid w:val="00D80B67"/>
    <w:rsid w:val="00D82129"/>
    <w:rsid w:val="00D83E01"/>
    <w:rsid w:val="00D84270"/>
    <w:rsid w:val="00D854B2"/>
    <w:rsid w:val="00D85F64"/>
    <w:rsid w:val="00D8693F"/>
    <w:rsid w:val="00D92C73"/>
    <w:rsid w:val="00D93651"/>
    <w:rsid w:val="00D93982"/>
    <w:rsid w:val="00D93EBB"/>
    <w:rsid w:val="00D94BCC"/>
    <w:rsid w:val="00DA246D"/>
    <w:rsid w:val="00DA2476"/>
    <w:rsid w:val="00DA2529"/>
    <w:rsid w:val="00DA29C4"/>
    <w:rsid w:val="00DA31CA"/>
    <w:rsid w:val="00DA3223"/>
    <w:rsid w:val="00DA4319"/>
    <w:rsid w:val="00DA58AB"/>
    <w:rsid w:val="00DA60C0"/>
    <w:rsid w:val="00DA6948"/>
    <w:rsid w:val="00DA696F"/>
    <w:rsid w:val="00DB130A"/>
    <w:rsid w:val="00DB2EBB"/>
    <w:rsid w:val="00DB6B5B"/>
    <w:rsid w:val="00DB7D79"/>
    <w:rsid w:val="00DC10A1"/>
    <w:rsid w:val="00DC3CD1"/>
    <w:rsid w:val="00DC3FD0"/>
    <w:rsid w:val="00DC6317"/>
    <w:rsid w:val="00DC655F"/>
    <w:rsid w:val="00DD040D"/>
    <w:rsid w:val="00DD0B59"/>
    <w:rsid w:val="00DD0B9C"/>
    <w:rsid w:val="00DD19DA"/>
    <w:rsid w:val="00DD301C"/>
    <w:rsid w:val="00DD3293"/>
    <w:rsid w:val="00DD34BC"/>
    <w:rsid w:val="00DD40A6"/>
    <w:rsid w:val="00DD4A8A"/>
    <w:rsid w:val="00DD51BC"/>
    <w:rsid w:val="00DD5F1E"/>
    <w:rsid w:val="00DD6C36"/>
    <w:rsid w:val="00DD7A81"/>
    <w:rsid w:val="00DD7EBD"/>
    <w:rsid w:val="00DE109A"/>
    <w:rsid w:val="00DE1AD7"/>
    <w:rsid w:val="00DE239E"/>
    <w:rsid w:val="00DF16B0"/>
    <w:rsid w:val="00DF3C0F"/>
    <w:rsid w:val="00DF5107"/>
    <w:rsid w:val="00DF62B6"/>
    <w:rsid w:val="00E00F89"/>
    <w:rsid w:val="00E0178C"/>
    <w:rsid w:val="00E01CD9"/>
    <w:rsid w:val="00E038FC"/>
    <w:rsid w:val="00E05A76"/>
    <w:rsid w:val="00E05D23"/>
    <w:rsid w:val="00E063F5"/>
    <w:rsid w:val="00E066F7"/>
    <w:rsid w:val="00E06C22"/>
    <w:rsid w:val="00E07225"/>
    <w:rsid w:val="00E07B61"/>
    <w:rsid w:val="00E1082A"/>
    <w:rsid w:val="00E13150"/>
    <w:rsid w:val="00E158BF"/>
    <w:rsid w:val="00E16711"/>
    <w:rsid w:val="00E21838"/>
    <w:rsid w:val="00E221C1"/>
    <w:rsid w:val="00E22CEB"/>
    <w:rsid w:val="00E23252"/>
    <w:rsid w:val="00E24AD0"/>
    <w:rsid w:val="00E250D2"/>
    <w:rsid w:val="00E25E7B"/>
    <w:rsid w:val="00E263A5"/>
    <w:rsid w:val="00E2687D"/>
    <w:rsid w:val="00E26C01"/>
    <w:rsid w:val="00E30254"/>
    <w:rsid w:val="00E33A4F"/>
    <w:rsid w:val="00E3657D"/>
    <w:rsid w:val="00E41239"/>
    <w:rsid w:val="00E41438"/>
    <w:rsid w:val="00E41F10"/>
    <w:rsid w:val="00E42395"/>
    <w:rsid w:val="00E42594"/>
    <w:rsid w:val="00E43DA6"/>
    <w:rsid w:val="00E446C2"/>
    <w:rsid w:val="00E44D83"/>
    <w:rsid w:val="00E466BD"/>
    <w:rsid w:val="00E5070E"/>
    <w:rsid w:val="00E5385E"/>
    <w:rsid w:val="00E53CA4"/>
    <w:rsid w:val="00E53EE1"/>
    <w:rsid w:val="00E5409F"/>
    <w:rsid w:val="00E554DA"/>
    <w:rsid w:val="00E55934"/>
    <w:rsid w:val="00E568D0"/>
    <w:rsid w:val="00E604A2"/>
    <w:rsid w:val="00E604AE"/>
    <w:rsid w:val="00E60BA1"/>
    <w:rsid w:val="00E64CEB"/>
    <w:rsid w:val="00E67F50"/>
    <w:rsid w:val="00E70035"/>
    <w:rsid w:val="00E70DDA"/>
    <w:rsid w:val="00E71C85"/>
    <w:rsid w:val="00E741AA"/>
    <w:rsid w:val="00E74B1F"/>
    <w:rsid w:val="00E74C72"/>
    <w:rsid w:val="00E760B4"/>
    <w:rsid w:val="00E76EEF"/>
    <w:rsid w:val="00E76FCA"/>
    <w:rsid w:val="00E80FC6"/>
    <w:rsid w:val="00E81786"/>
    <w:rsid w:val="00E855B3"/>
    <w:rsid w:val="00E8605F"/>
    <w:rsid w:val="00E8644C"/>
    <w:rsid w:val="00E912DF"/>
    <w:rsid w:val="00E92451"/>
    <w:rsid w:val="00E92F74"/>
    <w:rsid w:val="00E940FD"/>
    <w:rsid w:val="00E94775"/>
    <w:rsid w:val="00E96C51"/>
    <w:rsid w:val="00EA0B4A"/>
    <w:rsid w:val="00EA18A3"/>
    <w:rsid w:val="00EA44B5"/>
    <w:rsid w:val="00EA45AE"/>
    <w:rsid w:val="00EA7306"/>
    <w:rsid w:val="00EA7A56"/>
    <w:rsid w:val="00EB04DE"/>
    <w:rsid w:val="00EB0505"/>
    <w:rsid w:val="00EB0864"/>
    <w:rsid w:val="00EB490F"/>
    <w:rsid w:val="00EB503C"/>
    <w:rsid w:val="00EB61AC"/>
    <w:rsid w:val="00EC1245"/>
    <w:rsid w:val="00EC1AA8"/>
    <w:rsid w:val="00EC1F0C"/>
    <w:rsid w:val="00EC28BC"/>
    <w:rsid w:val="00EC5570"/>
    <w:rsid w:val="00EC7234"/>
    <w:rsid w:val="00EC76A5"/>
    <w:rsid w:val="00ED07C7"/>
    <w:rsid w:val="00ED0BF9"/>
    <w:rsid w:val="00ED1750"/>
    <w:rsid w:val="00ED1BE6"/>
    <w:rsid w:val="00ED2214"/>
    <w:rsid w:val="00ED4208"/>
    <w:rsid w:val="00ED4670"/>
    <w:rsid w:val="00ED7DCB"/>
    <w:rsid w:val="00EE395A"/>
    <w:rsid w:val="00EE39B7"/>
    <w:rsid w:val="00EE463F"/>
    <w:rsid w:val="00EE4B3D"/>
    <w:rsid w:val="00EE527E"/>
    <w:rsid w:val="00EE6488"/>
    <w:rsid w:val="00EE67EA"/>
    <w:rsid w:val="00EE6FCC"/>
    <w:rsid w:val="00EE7BE9"/>
    <w:rsid w:val="00EF124A"/>
    <w:rsid w:val="00EF12E0"/>
    <w:rsid w:val="00EF2525"/>
    <w:rsid w:val="00EF4133"/>
    <w:rsid w:val="00EF5962"/>
    <w:rsid w:val="00F00031"/>
    <w:rsid w:val="00F021FA"/>
    <w:rsid w:val="00F029BA"/>
    <w:rsid w:val="00F035EE"/>
    <w:rsid w:val="00F04D4F"/>
    <w:rsid w:val="00F04FA0"/>
    <w:rsid w:val="00F0527C"/>
    <w:rsid w:val="00F05B66"/>
    <w:rsid w:val="00F10EE3"/>
    <w:rsid w:val="00F1153B"/>
    <w:rsid w:val="00F126C1"/>
    <w:rsid w:val="00F14442"/>
    <w:rsid w:val="00F14821"/>
    <w:rsid w:val="00F15AF5"/>
    <w:rsid w:val="00F15BE5"/>
    <w:rsid w:val="00F2471D"/>
    <w:rsid w:val="00F25E9E"/>
    <w:rsid w:val="00F26920"/>
    <w:rsid w:val="00F30501"/>
    <w:rsid w:val="00F3060C"/>
    <w:rsid w:val="00F30FAF"/>
    <w:rsid w:val="00F31549"/>
    <w:rsid w:val="00F337CB"/>
    <w:rsid w:val="00F33DA9"/>
    <w:rsid w:val="00F3421E"/>
    <w:rsid w:val="00F363AB"/>
    <w:rsid w:val="00F409C1"/>
    <w:rsid w:val="00F40FCE"/>
    <w:rsid w:val="00F41D09"/>
    <w:rsid w:val="00F435C4"/>
    <w:rsid w:val="00F45534"/>
    <w:rsid w:val="00F4587F"/>
    <w:rsid w:val="00F50862"/>
    <w:rsid w:val="00F51330"/>
    <w:rsid w:val="00F51965"/>
    <w:rsid w:val="00F54CC0"/>
    <w:rsid w:val="00F54F00"/>
    <w:rsid w:val="00F568BF"/>
    <w:rsid w:val="00F57AFE"/>
    <w:rsid w:val="00F62E97"/>
    <w:rsid w:val="00F639C3"/>
    <w:rsid w:val="00F64209"/>
    <w:rsid w:val="00F64673"/>
    <w:rsid w:val="00F65E97"/>
    <w:rsid w:val="00F70CAE"/>
    <w:rsid w:val="00F72520"/>
    <w:rsid w:val="00F72821"/>
    <w:rsid w:val="00F72CB3"/>
    <w:rsid w:val="00F733E1"/>
    <w:rsid w:val="00F73DAD"/>
    <w:rsid w:val="00F74B22"/>
    <w:rsid w:val="00F74E86"/>
    <w:rsid w:val="00F759A4"/>
    <w:rsid w:val="00F76E5E"/>
    <w:rsid w:val="00F778D7"/>
    <w:rsid w:val="00F808B1"/>
    <w:rsid w:val="00F82595"/>
    <w:rsid w:val="00F83979"/>
    <w:rsid w:val="00F8570E"/>
    <w:rsid w:val="00F85F98"/>
    <w:rsid w:val="00F868F1"/>
    <w:rsid w:val="00F873E2"/>
    <w:rsid w:val="00F903E0"/>
    <w:rsid w:val="00F91CDA"/>
    <w:rsid w:val="00F93BF5"/>
    <w:rsid w:val="00FA10E3"/>
    <w:rsid w:val="00FA5020"/>
    <w:rsid w:val="00FA52D8"/>
    <w:rsid w:val="00FA5E7F"/>
    <w:rsid w:val="00FA788C"/>
    <w:rsid w:val="00FA7DD1"/>
    <w:rsid w:val="00FB2073"/>
    <w:rsid w:val="00FB4C53"/>
    <w:rsid w:val="00FB6074"/>
    <w:rsid w:val="00FB70F5"/>
    <w:rsid w:val="00FB7515"/>
    <w:rsid w:val="00FC4E1D"/>
    <w:rsid w:val="00FC5398"/>
    <w:rsid w:val="00FC733E"/>
    <w:rsid w:val="00FC7D65"/>
    <w:rsid w:val="00FD1355"/>
    <w:rsid w:val="00FD1B73"/>
    <w:rsid w:val="00FD2059"/>
    <w:rsid w:val="00FD21BE"/>
    <w:rsid w:val="00FD48A2"/>
    <w:rsid w:val="00FE300B"/>
    <w:rsid w:val="00FE5327"/>
    <w:rsid w:val="00FE594B"/>
    <w:rsid w:val="00FF1E50"/>
    <w:rsid w:val="00FF419C"/>
    <w:rsid w:val="00FF47B1"/>
    <w:rsid w:val="00FF4A10"/>
    <w:rsid w:val="00FF69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3B7542"/>
  <w15:chartTrackingRefBased/>
  <w15:docId w15:val="{12E488D4-6D29-439A-80A4-B6111A96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2072D"/>
    <w:pPr>
      <w:widowControl w:val="0"/>
    </w:pPr>
    <w:rPr>
      <w:snapToGrid w:val="0"/>
      <w:kern w:val="28"/>
      <w:sz w:val="22"/>
    </w:rPr>
  </w:style>
  <w:style w:type="paragraph" w:styleId="Heading1">
    <w:name w:val="heading 1"/>
    <w:basedOn w:val="Normal"/>
    <w:next w:val="ParaNum"/>
    <w:qFormat/>
    <w:rsid w:val="0022072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2072D"/>
    <w:pPr>
      <w:keepNext/>
      <w:numPr>
        <w:ilvl w:val="1"/>
        <w:numId w:val="3"/>
      </w:numPr>
      <w:spacing w:after="120"/>
      <w:outlineLvl w:val="1"/>
    </w:pPr>
    <w:rPr>
      <w:b/>
    </w:rPr>
  </w:style>
  <w:style w:type="paragraph" w:styleId="Heading3">
    <w:name w:val="heading 3"/>
    <w:basedOn w:val="Normal"/>
    <w:next w:val="ParaNum"/>
    <w:qFormat/>
    <w:rsid w:val="0022072D"/>
    <w:pPr>
      <w:keepNext/>
      <w:numPr>
        <w:ilvl w:val="2"/>
        <w:numId w:val="3"/>
      </w:numPr>
      <w:tabs>
        <w:tab w:val="left" w:pos="2160"/>
      </w:tabs>
      <w:spacing w:after="120"/>
      <w:outlineLvl w:val="2"/>
    </w:pPr>
    <w:rPr>
      <w:b/>
    </w:rPr>
  </w:style>
  <w:style w:type="paragraph" w:styleId="Heading4">
    <w:name w:val="heading 4"/>
    <w:basedOn w:val="Normal"/>
    <w:next w:val="ParaNum"/>
    <w:qFormat/>
    <w:rsid w:val="0022072D"/>
    <w:pPr>
      <w:keepNext/>
      <w:numPr>
        <w:ilvl w:val="3"/>
        <w:numId w:val="3"/>
      </w:numPr>
      <w:tabs>
        <w:tab w:val="left" w:pos="2880"/>
      </w:tabs>
      <w:spacing w:after="120"/>
      <w:outlineLvl w:val="3"/>
    </w:pPr>
    <w:rPr>
      <w:b/>
    </w:rPr>
  </w:style>
  <w:style w:type="paragraph" w:styleId="Heading5">
    <w:name w:val="heading 5"/>
    <w:basedOn w:val="Normal"/>
    <w:next w:val="ParaNum"/>
    <w:qFormat/>
    <w:rsid w:val="0022072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2072D"/>
    <w:pPr>
      <w:numPr>
        <w:ilvl w:val="5"/>
        <w:numId w:val="3"/>
      </w:numPr>
      <w:tabs>
        <w:tab w:val="left" w:pos="4320"/>
      </w:tabs>
      <w:spacing w:after="120"/>
      <w:outlineLvl w:val="5"/>
    </w:pPr>
    <w:rPr>
      <w:b/>
    </w:rPr>
  </w:style>
  <w:style w:type="paragraph" w:styleId="Heading7">
    <w:name w:val="heading 7"/>
    <w:basedOn w:val="Normal"/>
    <w:next w:val="ParaNum"/>
    <w:qFormat/>
    <w:rsid w:val="0022072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2072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2072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07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072D"/>
  </w:style>
  <w:style w:type="paragraph" w:customStyle="1" w:styleId="ParaNum">
    <w:name w:val="ParaNum"/>
    <w:basedOn w:val="Normal"/>
    <w:link w:val="ParaNumChar"/>
    <w:rsid w:val="0022072D"/>
    <w:pPr>
      <w:numPr>
        <w:numId w:val="2"/>
      </w:numPr>
      <w:tabs>
        <w:tab w:val="clear" w:pos="1080"/>
        <w:tab w:val="num" w:pos="1440"/>
      </w:tabs>
      <w:spacing w:after="120"/>
    </w:pPr>
  </w:style>
  <w:style w:type="paragraph" w:styleId="EndnoteText">
    <w:name w:val="endnote text"/>
    <w:basedOn w:val="Normal"/>
    <w:semiHidden/>
    <w:rsid w:val="0022072D"/>
    <w:rPr>
      <w:sz w:val="20"/>
    </w:rPr>
  </w:style>
  <w:style w:type="character" w:styleId="EndnoteReference">
    <w:name w:val="endnote reference"/>
    <w:semiHidden/>
    <w:rsid w:val="0022072D"/>
    <w:rPr>
      <w:vertAlign w:val="superscript"/>
    </w:rPr>
  </w:style>
  <w:style w:type="paragraph" w:styleId="FootnoteText">
    <w:name w:val="footnote text"/>
    <w:aliases w:val="ALTS FOOTNOTE Char,Footnote Text Char Char Char,Footnote Text Char Char Char Char Char Char,Footnote Text Char1 Char,Footnote Text Char1 Char2 Char Char Char,Footnote Text Char2,Footnote Text Char2 Char Char Char,rrfootnote,rrfootnote Char"/>
    <w:link w:val="FootnoteTextChar"/>
    <w:rsid w:val="0022072D"/>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22072D"/>
    <w:rPr>
      <w:rFonts w:ascii="Times New Roman" w:hAnsi="Times New Roman"/>
      <w:dstrike w:val="0"/>
      <w:color w:val="auto"/>
      <w:sz w:val="20"/>
      <w:vertAlign w:val="superscript"/>
    </w:rPr>
  </w:style>
  <w:style w:type="paragraph" w:styleId="TOC1">
    <w:name w:val="toc 1"/>
    <w:basedOn w:val="Normal"/>
    <w:next w:val="Normal"/>
    <w:semiHidden/>
    <w:rsid w:val="0022072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2072D"/>
    <w:pPr>
      <w:tabs>
        <w:tab w:val="left" w:pos="720"/>
        <w:tab w:val="right" w:leader="dot" w:pos="9360"/>
      </w:tabs>
      <w:suppressAutoHyphens/>
      <w:ind w:left="720" w:right="720" w:hanging="360"/>
    </w:pPr>
    <w:rPr>
      <w:noProof/>
    </w:rPr>
  </w:style>
  <w:style w:type="paragraph" w:styleId="TOC3">
    <w:name w:val="toc 3"/>
    <w:basedOn w:val="Normal"/>
    <w:next w:val="Normal"/>
    <w:semiHidden/>
    <w:rsid w:val="0022072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2072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2072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2072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2072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2072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2072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2072D"/>
    <w:pPr>
      <w:tabs>
        <w:tab w:val="right" w:pos="9360"/>
      </w:tabs>
      <w:suppressAutoHyphens/>
    </w:pPr>
  </w:style>
  <w:style w:type="character" w:customStyle="1" w:styleId="EquationCaption">
    <w:name w:val="_Equation Caption"/>
    <w:rsid w:val="0022072D"/>
  </w:style>
  <w:style w:type="paragraph" w:styleId="Header">
    <w:name w:val="header"/>
    <w:basedOn w:val="Normal"/>
    <w:autoRedefine/>
    <w:rsid w:val="0022072D"/>
    <w:pPr>
      <w:tabs>
        <w:tab w:val="center" w:pos="4680"/>
        <w:tab w:val="right" w:pos="9360"/>
      </w:tabs>
    </w:pPr>
    <w:rPr>
      <w:b/>
    </w:rPr>
  </w:style>
  <w:style w:type="paragraph" w:styleId="Footer">
    <w:name w:val="footer"/>
    <w:basedOn w:val="Normal"/>
    <w:link w:val="FooterChar"/>
    <w:uiPriority w:val="99"/>
    <w:rsid w:val="0022072D"/>
    <w:pPr>
      <w:tabs>
        <w:tab w:val="center" w:pos="4320"/>
        <w:tab w:val="right" w:pos="8640"/>
      </w:tabs>
    </w:pPr>
  </w:style>
  <w:style w:type="character" w:styleId="PageNumber">
    <w:name w:val="page number"/>
    <w:basedOn w:val="DefaultParagraphFont"/>
    <w:rsid w:val="0022072D"/>
  </w:style>
  <w:style w:type="paragraph" w:styleId="BlockText">
    <w:name w:val="Block Text"/>
    <w:basedOn w:val="Normal"/>
    <w:rsid w:val="0022072D"/>
    <w:pPr>
      <w:spacing w:after="240"/>
      <w:ind w:left="1440" w:right="1440"/>
    </w:pPr>
  </w:style>
  <w:style w:type="paragraph" w:customStyle="1" w:styleId="Paratitle">
    <w:name w:val="Para title"/>
    <w:basedOn w:val="Normal"/>
    <w:rsid w:val="0022072D"/>
    <w:pPr>
      <w:tabs>
        <w:tab w:val="center" w:pos="9270"/>
      </w:tabs>
      <w:spacing w:after="240"/>
    </w:pPr>
    <w:rPr>
      <w:spacing w:val="-2"/>
    </w:rPr>
  </w:style>
  <w:style w:type="paragraph" w:customStyle="1" w:styleId="Bullet">
    <w:name w:val="Bullet"/>
    <w:basedOn w:val="Normal"/>
    <w:rsid w:val="0022072D"/>
    <w:pPr>
      <w:tabs>
        <w:tab w:val="left" w:pos="2160"/>
      </w:tabs>
      <w:spacing w:after="220"/>
      <w:ind w:left="2160" w:hanging="720"/>
    </w:pPr>
  </w:style>
  <w:style w:type="paragraph" w:customStyle="1" w:styleId="TableFormat">
    <w:name w:val="TableFormat"/>
    <w:basedOn w:val="Bullet"/>
    <w:rsid w:val="0022072D"/>
    <w:pPr>
      <w:tabs>
        <w:tab w:val="clear" w:pos="2160"/>
        <w:tab w:val="left" w:pos="5040"/>
      </w:tabs>
      <w:ind w:left="5040" w:hanging="3600"/>
    </w:pPr>
  </w:style>
  <w:style w:type="paragraph" w:customStyle="1" w:styleId="TOCTitle">
    <w:name w:val="TOC Title"/>
    <w:basedOn w:val="Normal"/>
    <w:rsid w:val="0022072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072D"/>
    <w:pPr>
      <w:jc w:val="center"/>
    </w:pPr>
    <w:rPr>
      <w:rFonts w:ascii="Times New Roman Bold" w:hAnsi="Times New Roman Bold"/>
      <w:b/>
      <w:bCs/>
      <w:caps/>
      <w:szCs w:val="22"/>
    </w:rPr>
  </w:style>
  <w:style w:type="character" w:styleId="Hyperlink">
    <w:name w:val="Hyperlink"/>
    <w:rsid w:val="0022072D"/>
    <w:rPr>
      <w:color w:val="0000FF"/>
      <w:u w:val="single"/>
    </w:rPr>
  </w:style>
  <w:style w:type="character" w:customStyle="1" w:styleId="FooterChar">
    <w:name w:val="Footer Char"/>
    <w:link w:val="Footer"/>
    <w:uiPriority w:val="99"/>
    <w:rsid w:val="0022072D"/>
    <w:rPr>
      <w:snapToGrid w:val="0"/>
      <w:kern w:val="28"/>
      <w:sz w:val="22"/>
    </w:rPr>
  </w:style>
  <w:style w:type="character" w:customStyle="1" w:styleId="FootnoteTextChar">
    <w:name w:val="Footnote Text Char"/>
    <w:aliases w:val="Footnote Text Char Char Char Char,Footnote Text Char1 Char Char,Footnote Text Char1 Char2 Char Char Char Char,Footnote Text Char2 Char,Footnote Text Char2 Char Char Char Char,rrfootnote Char Char,rrfootnote Char1"/>
    <w:basedOn w:val="DefaultParagraphFont"/>
    <w:link w:val="FootnoteText"/>
    <w:rsid w:val="00AB164C"/>
  </w:style>
  <w:style w:type="paragraph" w:customStyle="1" w:styleId="par1">
    <w:name w:val="par1"/>
    <w:basedOn w:val="Normal"/>
    <w:rsid w:val="00AB164C"/>
    <w:pPr>
      <w:numPr>
        <w:numId w:val="7"/>
      </w:numPr>
    </w:pPr>
    <w:rPr>
      <w:snapToGrid/>
    </w:rPr>
  </w:style>
  <w:style w:type="character" w:customStyle="1" w:styleId="ParaNumChar">
    <w:name w:val="ParaNum Char"/>
    <w:link w:val="ParaNum"/>
    <w:locked/>
    <w:rsid w:val="00AB164C"/>
    <w:rPr>
      <w:snapToGrid w:val="0"/>
      <w:kern w:val="28"/>
      <w:sz w:val="22"/>
    </w:rPr>
  </w:style>
  <w:style w:type="paragraph" w:styleId="Caption">
    <w:name w:val="caption"/>
    <w:basedOn w:val="Normal"/>
    <w:next w:val="Normal"/>
    <w:qFormat/>
    <w:rsid w:val="004C182A"/>
    <w:pPr>
      <w:spacing w:before="120" w:after="120"/>
    </w:pPr>
    <w:rPr>
      <w:rFonts w:eastAsia="SimSun"/>
      <w:b/>
      <w:snapToGrid/>
    </w:rPr>
  </w:style>
  <w:style w:type="paragraph" w:styleId="ListParagraph">
    <w:name w:val="List Paragraph"/>
    <w:basedOn w:val="Normal"/>
    <w:uiPriority w:val="34"/>
    <w:qFormat/>
    <w:rsid w:val="00960C17"/>
    <w:pPr>
      <w:ind w:left="720"/>
      <w:contextualSpacing/>
    </w:pPr>
  </w:style>
  <w:style w:type="paragraph" w:styleId="PlainText">
    <w:name w:val="Plain Text"/>
    <w:basedOn w:val="Normal"/>
    <w:link w:val="PlainTextChar"/>
    <w:rsid w:val="00796F09"/>
    <w:rPr>
      <w:rFonts w:ascii="Consolas" w:hAnsi="Consolas" w:cs="Consolas"/>
      <w:snapToGrid/>
      <w:sz w:val="21"/>
      <w:szCs w:val="21"/>
    </w:rPr>
  </w:style>
  <w:style w:type="character" w:customStyle="1" w:styleId="PlainTextChar">
    <w:name w:val="Plain Text Char"/>
    <w:link w:val="PlainText"/>
    <w:rsid w:val="00796F09"/>
    <w:rPr>
      <w:rFonts w:ascii="Consolas" w:hAnsi="Consolas" w:cs="Consolas"/>
      <w:kern w:val="28"/>
      <w:sz w:val="21"/>
      <w:szCs w:val="21"/>
    </w:rPr>
  </w:style>
  <w:style w:type="paragraph" w:styleId="NormalWeb">
    <w:name w:val="Normal (Web)"/>
    <w:basedOn w:val="Normal"/>
    <w:uiPriority w:val="99"/>
    <w:unhideWhenUsed/>
    <w:rsid w:val="00E940FD"/>
    <w:pPr>
      <w:spacing w:before="100" w:beforeAutospacing="1" w:after="100" w:afterAutospacing="1"/>
    </w:pPr>
    <w:rPr>
      <w:snapToGrid/>
      <w:sz w:val="24"/>
      <w:szCs w:val="24"/>
    </w:rPr>
  </w:style>
  <w:style w:type="character" w:customStyle="1" w:styleId="FootnoteTextCharChar1">
    <w:name w:val="Footnote Text Char Char1"/>
    <w:aliases w:val="Footnote Text Char Char Char Char Char Char1,Footnote Text Char Char Char Char1,Footnote Text Char1,Footnote Text Char1 Char Char Char Char1,Footnote Text Char1 Char Char1,Style 5 Char Char Char1,rrfootnote Char Char Char1"/>
    <w:locked/>
    <w:rsid w:val="001006B5"/>
  </w:style>
  <w:style w:type="character" w:styleId="Emphasis">
    <w:name w:val="Emphasis"/>
    <w:uiPriority w:val="20"/>
    <w:qFormat/>
    <w:rsid w:val="001006B5"/>
    <w:rPr>
      <w:i/>
      <w:iCs/>
    </w:rPr>
  </w:style>
  <w:style w:type="character" w:customStyle="1" w:styleId="UnresolvedMention">
    <w:name w:val="Unresolved Mention"/>
    <w:uiPriority w:val="99"/>
    <w:semiHidden/>
    <w:unhideWhenUsed/>
    <w:rsid w:val="00A87E80"/>
    <w:rPr>
      <w:color w:val="605E5C"/>
      <w:shd w:val="clear" w:color="auto" w:fill="E1DFDD"/>
    </w:rPr>
  </w:style>
  <w:style w:type="paragraph" w:styleId="BodyText">
    <w:name w:val="Body Text"/>
    <w:basedOn w:val="Normal"/>
    <w:link w:val="BodyTextChar"/>
    <w:uiPriority w:val="1"/>
    <w:qFormat/>
    <w:rsid w:val="00921828"/>
    <w:pPr>
      <w:ind w:left="1544" w:hanging="720"/>
    </w:pPr>
    <w:rPr>
      <w:rFonts w:ascii="Arial" w:eastAsia="Arial" w:hAnsi="Arial"/>
      <w:sz w:val="24"/>
      <w:szCs w:val="24"/>
    </w:rPr>
  </w:style>
  <w:style w:type="character" w:customStyle="1" w:styleId="BodyTextChar">
    <w:name w:val="Body Text Char"/>
    <w:link w:val="BodyText"/>
    <w:uiPriority w:val="1"/>
    <w:rsid w:val="00921828"/>
    <w:rPr>
      <w:rFonts w:ascii="Arial" w:eastAsia="Arial" w:hAnsi="Arial" w:cs="Times New Roman"/>
      <w:sz w:val="24"/>
      <w:szCs w:val="24"/>
    </w:rPr>
  </w:style>
  <w:style w:type="paragraph" w:styleId="BalloonText">
    <w:name w:val="Balloon Text"/>
    <w:basedOn w:val="Normal"/>
    <w:link w:val="BalloonTextChar"/>
    <w:rsid w:val="0025047F"/>
    <w:rPr>
      <w:rFonts w:ascii="Segoe UI" w:hAnsi="Segoe UI" w:cs="Segoe UI"/>
      <w:sz w:val="18"/>
      <w:szCs w:val="18"/>
    </w:rPr>
  </w:style>
  <w:style w:type="character" w:customStyle="1" w:styleId="BalloonTextChar">
    <w:name w:val="Balloon Text Char"/>
    <w:link w:val="BalloonText"/>
    <w:rsid w:val="0025047F"/>
    <w:rPr>
      <w:rFonts w:ascii="Segoe UI" w:eastAsia="Calibri" w:hAnsi="Segoe UI" w:cs="Segoe UI"/>
      <w:sz w:val="18"/>
      <w:szCs w:val="18"/>
    </w:rPr>
  </w:style>
  <w:style w:type="character" w:styleId="CommentReference">
    <w:name w:val="annotation reference"/>
    <w:uiPriority w:val="99"/>
    <w:rsid w:val="00582A65"/>
    <w:rPr>
      <w:sz w:val="16"/>
      <w:szCs w:val="16"/>
    </w:rPr>
  </w:style>
  <w:style w:type="paragraph" w:styleId="CommentText">
    <w:name w:val="annotation text"/>
    <w:basedOn w:val="Normal"/>
    <w:link w:val="CommentTextChar"/>
    <w:uiPriority w:val="99"/>
    <w:rsid w:val="00582A65"/>
    <w:rPr>
      <w:sz w:val="20"/>
    </w:rPr>
  </w:style>
  <w:style w:type="character" w:customStyle="1" w:styleId="CommentTextChar">
    <w:name w:val="Comment Text Char"/>
    <w:link w:val="CommentText"/>
    <w:uiPriority w:val="99"/>
    <w:rsid w:val="00582A65"/>
    <w:rPr>
      <w:rFonts w:ascii="Calibri" w:eastAsia="Calibri" w:hAnsi="Calibri" w:cs="Times New Roman"/>
    </w:rPr>
  </w:style>
  <w:style w:type="paragraph" w:styleId="CommentSubject">
    <w:name w:val="annotation subject"/>
    <w:basedOn w:val="CommentText"/>
    <w:next w:val="CommentText"/>
    <w:link w:val="CommentSubjectChar"/>
    <w:rsid w:val="00582A65"/>
    <w:rPr>
      <w:b/>
      <w:bCs/>
    </w:rPr>
  </w:style>
  <w:style w:type="character" w:customStyle="1" w:styleId="CommentSubjectChar">
    <w:name w:val="Comment Subject Char"/>
    <w:link w:val="CommentSubject"/>
    <w:rsid w:val="00582A65"/>
    <w:rPr>
      <w:rFonts w:ascii="Calibri" w:eastAsia="Calibri" w:hAnsi="Calibri" w:cs="Times New Roman"/>
      <w:b/>
      <w:bCs/>
    </w:rPr>
  </w:style>
  <w:style w:type="character" w:customStyle="1" w:styleId="cosearchterm">
    <w:name w:val="co_searchterm"/>
    <w:rsid w:val="00615F91"/>
  </w:style>
  <w:style w:type="character" w:styleId="Strong">
    <w:name w:val="Strong"/>
    <w:uiPriority w:val="22"/>
    <w:qFormat/>
    <w:rsid w:val="00463DF6"/>
    <w:rPr>
      <w:b/>
      <w:bCs/>
    </w:rPr>
  </w:style>
  <w:style w:type="character" w:customStyle="1" w:styleId="costarpage">
    <w:name w:val="co_starpage"/>
    <w:rsid w:val="00FA5E7F"/>
  </w:style>
  <w:style w:type="character" w:customStyle="1" w:styleId="markgui5yvd3s">
    <w:name w:val="markgui5yvd3s"/>
    <w:basedOn w:val="DefaultParagraphFont"/>
    <w:rsid w:val="00B930E0"/>
    <w:rPr>
      <w:rFonts w:cs="Times New Roman"/>
    </w:rPr>
  </w:style>
  <w:style w:type="character" w:styleId="FollowedHyperlink">
    <w:name w:val="FollowedHyperlink"/>
    <w:basedOn w:val="DefaultParagraphFont"/>
    <w:rsid w:val="000401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yperlink" Target="mailto:David.Janas@fcc.gov" TargetMode="External" /><Relationship Id="rId12" Type="http://schemas.openxmlformats.org/officeDocument/2006/relationships/hyperlink" Target="mailto:sblankenship@peacecom.net"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Scott.Radcliffe@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