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69810BEF">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2A45E8">
        <w:rPr>
          <w:rFonts w:ascii="Times New Roman" w:hAnsi="Times New Roman" w:cs="Times New Roman"/>
          <w:b/>
          <w:sz w:val="24"/>
          <w:szCs w:val="24"/>
        </w:rPr>
        <w:t>21-877</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6031C4" w14:paraId="02B71EAA" w14:textId="71092E8F">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6F2901" w:rsidRPr="00511023" w:rsidP="006031C4" w14:paraId="46200C0A" w14:textId="6022ED35">
      <w:pPr>
        <w:spacing w:after="0"/>
        <w:jc w:val="center"/>
        <w:rPr>
          <w:rFonts w:ascii="Times New Roman" w:hAnsi="Times New Roman" w:cs="Times New Roman"/>
          <w:b/>
        </w:rPr>
      </w:pPr>
      <w:r>
        <w:rPr>
          <w:rFonts w:ascii="Times New Roman" w:hAnsi="Times New Roman" w:cs="Times New Roman"/>
          <w:b/>
        </w:rPr>
        <w:t>Private Entity Robocall and Spoofing</w:t>
      </w:r>
    </w:p>
    <w:p w:rsidR="006031C4" w:rsidRPr="006031C4" w:rsidP="006031C4" w14:paraId="67E12F8E" w14:textId="77777777">
      <w:pPr>
        <w:spacing w:after="0"/>
        <w:jc w:val="center"/>
        <w:rPr>
          <w:rFonts w:ascii="Times New Roman" w:hAnsi="Times New Roman" w:cs="Times New Roman"/>
          <w:b/>
        </w:rPr>
      </w:pPr>
      <w:r w:rsidRPr="006031C4">
        <w:rPr>
          <w:rFonts w:ascii="Times New Roman" w:hAnsi="Times New Roman" w:cs="Times New Roman"/>
          <w:b/>
        </w:rPr>
        <w:t>Information Submission Portal</w:t>
      </w:r>
    </w:p>
    <w:p w:rsidR="006F2901" w:rsidRPr="006031C4" w:rsidP="006031C4" w14:paraId="3E93547C" w14:textId="788A2CAF">
      <w:pPr>
        <w:spacing w:after="0"/>
        <w:jc w:val="center"/>
        <w:rPr>
          <w:rFonts w:ascii="Times New Roman" w:hAnsi="Times New Roman" w:cs="Times New Roman"/>
          <w:b/>
        </w:rPr>
      </w:pPr>
      <w:r w:rsidRPr="006031C4">
        <w:rPr>
          <w:rFonts w:ascii="Times New Roman" w:hAnsi="Times New Roman" w:cs="Times New Roman"/>
          <w:b/>
        </w:rPr>
        <w:t xml:space="preserve">FCC </w:t>
      </w:r>
      <w:r w:rsidRPr="006031C4" w:rsidR="009A102F">
        <w:rPr>
          <w:rFonts w:ascii="Times New Roman" w:hAnsi="Times New Roman" w:cs="Times New Roman"/>
          <w:b/>
        </w:rPr>
        <w:t>21-75</w:t>
      </w:r>
    </w:p>
    <w:p w:rsidR="006F2901" w:rsidRPr="00511023" w:rsidP="006031C4" w14:paraId="351CE09B" w14:textId="41C912B7">
      <w:pPr>
        <w:spacing w:after="0"/>
        <w:jc w:val="center"/>
        <w:rPr>
          <w:rFonts w:ascii="Times New Roman" w:hAnsi="Times New Roman" w:cs="Times New Roman"/>
        </w:rPr>
      </w:pPr>
      <w:r>
        <w:rPr>
          <w:rFonts w:ascii="Times New Roman" w:hAnsi="Times New Roman" w:cs="Times New Roman"/>
          <w:b/>
        </w:rPr>
        <w:t>EB Docket No. 20-374</w:t>
      </w:r>
    </w:p>
    <w:p w:rsidR="006F2901" w:rsidRPr="00511023" w:rsidP="006031C4" w14:paraId="2FE15FB2" w14:textId="6A4B5F2E">
      <w:pPr>
        <w:spacing w:after="0"/>
        <w:jc w:val="center"/>
        <w:rPr>
          <w:rFonts w:ascii="Times New Roman" w:hAnsi="Times New Roman" w:cs="Times New Roman"/>
          <w:b/>
        </w:rPr>
      </w:pPr>
      <w:r w:rsidRPr="00511023">
        <w:rPr>
          <w:rFonts w:ascii="Times New Roman" w:hAnsi="Times New Roman" w:cs="Times New Roman"/>
          <w:b/>
        </w:rPr>
        <w:t>Released</w:t>
      </w:r>
      <w:r w:rsidR="00160B5A">
        <w:rPr>
          <w:rFonts w:ascii="Times New Roman" w:hAnsi="Times New Roman" w:cs="Times New Roman"/>
          <w:b/>
        </w:rPr>
        <w:t>:</w:t>
      </w:r>
      <w:r w:rsidRPr="00511023">
        <w:rPr>
          <w:rFonts w:ascii="Times New Roman" w:hAnsi="Times New Roman" w:cs="Times New Roman"/>
          <w:b/>
        </w:rPr>
        <w:t xml:space="preserve"> </w:t>
      </w:r>
      <w:r w:rsidR="007E5C49">
        <w:rPr>
          <w:rFonts w:ascii="Times New Roman" w:hAnsi="Times New Roman" w:cs="Times New Roman"/>
          <w:b/>
        </w:rPr>
        <w:t>Ju</w:t>
      </w:r>
      <w:r w:rsidR="006031C4">
        <w:rPr>
          <w:rFonts w:ascii="Times New Roman" w:hAnsi="Times New Roman" w:cs="Times New Roman"/>
          <w:b/>
        </w:rPr>
        <w:t>ne 17</w:t>
      </w:r>
      <w:r w:rsidR="00C37AC8">
        <w:rPr>
          <w:rFonts w:ascii="Times New Roman" w:hAnsi="Times New Roman" w:cs="Times New Roman"/>
          <w:b/>
        </w:rPr>
        <w:t xml:space="preserve">, </w:t>
      </w:r>
      <w:r w:rsidR="00FE54BA">
        <w:rPr>
          <w:rFonts w:ascii="Times New Roman" w:hAnsi="Times New Roman" w:cs="Times New Roman"/>
          <w:b/>
        </w:rPr>
        <w:t>2021</w:t>
      </w:r>
    </w:p>
    <w:p w:rsidR="00FE346F" w:rsidRPr="00511023" w:rsidP="000E4E16" w14:paraId="6742A8FC" w14:textId="77777777">
      <w:pPr>
        <w:spacing w:after="0"/>
        <w:rPr>
          <w:rFonts w:ascii="Times New Roman" w:hAnsi="Times New Roman" w:cs="Times New Roman"/>
          <w:b/>
        </w:rPr>
      </w:pPr>
    </w:p>
    <w:p w:rsidR="006F2901" w:rsidRPr="00511023" w:rsidP="00FE346F" w14:paraId="0359BFFD" w14:textId="4BF1CAD8">
      <w:pPr>
        <w:spacing w:after="0"/>
        <w:ind w:left="1080"/>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7329787A">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w:t>
      </w:r>
      <w:r w:rsidR="00FE54BA">
        <w:rPr>
          <w:rFonts w:ascii="Times New Roman" w:hAnsi="Times New Roman" w:cs="Times New Roman"/>
          <w:b/>
        </w:rPr>
        <w:t>,</w:t>
      </w:r>
      <w:r w:rsidRPr="00E2092F">
        <w:rPr>
          <w:rFonts w:ascii="Times New Roman" w:hAnsi="Times New Roman" w:cs="Times New Roman"/>
          <w:b/>
        </w:rPr>
        <w:t xml:space="preserve">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RPr="00406860" w:rsidP="00406860" w14:paraId="0B3562B8" w14:textId="07A53386">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1A18EB69" w14:textId="77F8FCEC">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C017BE">
        <w:rPr>
          <w:rFonts w:ascii="Times New Roman" w:hAnsi="Times New Roman" w:cs="Times New Roman"/>
          <w:b/>
        </w:rPr>
        <w:t>1</w:t>
      </w:r>
    </w:p>
    <w:p w:rsidR="00CD624E" w:rsidRPr="00C419A9" w:rsidP="00CD624E" w14:paraId="490BE852" w14:textId="260BD136">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C017BE">
        <w:rPr>
          <w:rFonts w:ascii="Times New Roman" w:hAnsi="Times New Roman" w:cs="Times New Roman"/>
          <w:b/>
        </w:rPr>
        <w:t>1</w:t>
      </w:r>
    </w:p>
    <w:p w:rsidR="00CD624E" w:rsidRPr="00C419A9" w:rsidP="00CD624E" w14:paraId="68DC6F13" w14:textId="2E65D89D">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C017BE">
        <w:rPr>
          <w:rFonts w:ascii="Times New Roman" w:hAnsi="Times New Roman" w:cs="Times New Roman"/>
          <w:b/>
        </w:rPr>
        <w:t>2</w:t>
      </w:r>
    </w:p>
    <w:p w:rsidR="00CD624E" w:rsidRPr="00C419A9" w:rsidP="00CD624E" w14:paraId="6B9E0B35" w14:textId="1433CA44">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C017BE">
        <w:rPr>
          <w:rFonts w:ascii="Times New Roman" w:hAnsi="Times New Roman" w:cs="Times New Roman"/>
          <w:b/>
        </w:rPr>
        <w:t>2</w:t>
      </w:r>
    </w:p>
    <w:p w:rsidR="00CD624E" w:rsidRPr="00C419A9" w:rsidP="00CD624E" w14:paraId="2920F242" w14:textId="21E35444">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C017BE">
        <w:rPr>
          <w:rFonts w:ascii="Times New Roman" w:hAnsi="Times New Roman" w:cs="Times New Roman"/>
          <w:b/>
        </w:rPr>
        <w:t>2</w:t>
      </w: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F1379B" w:rsidP="00E97A21" w14:paraId="3361F0B3" w14:textId="09597654">
      <w:pPr>
        <w:rPr>
          <w:rFonts w:ascii="Times New Roman" w:hAnsi="Times New Roman" w:cs="Times New Roman"/>
        </w:rPr>
      </w:pPr>
      <w:r w:rsidRPr="00511023">
        <w:rPr>
          <w:rFonts w:ascii="Times New Roman" w:hAnsi="Times New Roman" w:cs="Times New Roman"/>
        </w:rPr>
        <w:t xml:space="preserve">In this </w:t>
      </w:r>
      <w:r w:rsidRPr="00511023">
        <w:rPr>
          <w:rFonts w:ascii="Times New Roman" w:hAnsi="Times New Roman" w:cs="Times New Roman"/>
          <w:i/>
        </w:rPr>
        <w:t>Report and Order</w:t>
      </w:r>
      <w:r w:rsidRPr="00511023">
        <w:rPr>
          <w:rFonts w:ascii="Times New Roman" w:hAnsi="Times New Roman" w:cs="Times New Roman"/>
        </w:rPr>
        <w:t xml:space="preserve"> in </w:t>
      </w:r>
      <w:r w:rsidR="00406860">
        <w:rPr>
          <w:rFonts w:ascii="Times New Roman" w:hAnsi="Times New Roman" w:cs="Times New Roman"/>
        </w:rPr>
        <w:t>EB</w:t>
      </w:r>
      <w:r w:rsidRPr="00511023">
        <w:rPr>
          <w:rFonts w:ascii="Times New Roman" w:hAnsi="Times New Roman" w:cs="Times New Roman"/>
        </w:rPr>
        <w:t xml:space="preserve"> Docket No. </w:t>
      </w:r>
      <w:r w:rsidR="00406860">
        <w:rPr>
          <w:rFonts w:ascii="Times New Roman" w:hAnsi="Times New Roman" w:cs="Times New Roman"/>
        </w:rPr>
        <w:t>20-374</w:t>
      </w:r>
      <w:r w:rsidRPr="00511023">
        <w:rPr>
          <w:rFonts w:ascii="Times New Roman" w:hAnsi="Times New Roman" w:cs="Times New Roman"/>
        </w:rPr>
        <w:t xml:space="preserve">, the Commission adopted rules </w:t>
      </w:r>
      <w:r w:rsidR="00406860">
        <w:rPr>
          <w:rFonts w:ascii="Times New Roman" w:hAnsi="Times New Roman" w:cs="Times New Roman"/>
        </w:rPr>
        <w:t>to create an online portal for private entities to submit information about suspected robocall and spoofing v</w:t>
      </w:r>
      <w:r w:rsidR="00C50D96">
        <w:rPr>
          <w:rFonts w:ascii="Times New Roman" w:hAnsi="Times New Roman" w:cs="Times New Roman"/>
        </w:rPr>
        <w:t>iolations to the Enforcement Bu</w:t>
      </w:r>
      <w:r w:rsidR="00260068">
        <w:rPr>
          <w:rFonts w:ascii="Times New Roman" w:hAnsi="Times New Roman" w:cs="Times New Roman"/>
        </w:rPr>
        <w:t>reau</w:t>
      </w:r>
      <w:r w:rsidR="00C50D96">
        <w:rPr>
          <w:rFonts w:ascii="Times New Roman" w:hAnsi="Times New Roman" w:cs="Times New Roman"/>
        </w:rPr>
        <w:t xml:space="preserve"> (Bureau).  </w:t>
      </w:r>
      <w:r w:rsidRPr="00C50D96" w:rsidR="00C50D96">
        <w:rPr>
          <w:rFonts w:ascii="Times New Roman" w:hAnsi="Times New Roman" w:cs="Times New Roman"/>
        </w:rPr>
        <w:t>In the Pallone-Thune Telephone Robocall Abuse Criminal Enforcement and Deterrence Act (TRACED Act),  Congress directed the Commission to establish regulations to create a process that “streamlines the ways in which a private entity may voluntarily share with the Commission information relating to” a call or text message that violates prohibitions regarding robocalls or spoofing set forth section 227(b) and 227(e) of the Communications Act of 1934, as amended.</w:t>
      </w:r>
      <w:r w:rsidR="004C3053">
        <w:rPr>
          <w:rFonts w:ascii="Times New Roman" w:hAnsi="Times New Roman" w:cs="Times New Roman"/>
        </w:rPr>
        <w:t xml:space="preserve">  This portal will be available on the Commission’s website and will be monitored by the Enforcement Bureau (Bureau).</w:t>
      </w:r>
    </w:p>
    <w:p w:rsidR="00EF4B82" w:rsidRPr="00511023" w:rsidP="00864A02" w14:paraId="01CA2F04" w14:textId="7E79611E">
      <w:pPr>
        <w:rPr>
          <w:rFonts w:ascii="Times New Roman" w:hAnsi="Times New Roman" w:cs="Times New Roman"/>
        </w:rPr>
      </w:pPr>
      <w:r>
        <w:rPr>
          <w:rFonts w:ascii="Times New Roman" w:hAnsi="Times New Roman" w:cs="Times New Roman"/>
        </w:rPr>
        <w:t xml:space="preserve">The portal created by this </w:t>
      </w:r>
      <w:r>
        <w:rPr>
          <w:rFonts w:ascii="Times New Roman" w:hAnsi="Times New Roman" w:cs="Times New Roman"/>
          <w:i/>
          <w:iCs/>
        </w:rPr>
        <w:t>Report and Order</w:t>
      </w:r>
      <w:r>
        <w:rPr>
          <w:rFonts w:ascii="Times New Roman" w:hAnsi="Times New Roman" w:cs="Times New Roman"/>
        </w:rPr>
        <w:t xml:space="preserve"> will be particularly useful to </w:t>
      </w:r>
      <w:r w:rsidRPr="00726EB9" w:rsidR="00726EB9">
        <w:rPr>
          <w:rFonts w:ascii="Times New Roman" w:hAnsi="Times New Roman" w:cs="Times New Roman"/>
        </w:rPr>
        <w:t>corporation</w:t>
      </w:r>
      <w:r w:rsidR="00726EB9">
        <w:rPr>
          <w:rFonts w:ascii="Times New Roman" w:hAnsi="Times New Roman" w:cs="Times New Roman"/>
        </w:rPr>
        <w:t>s</w:t>
      </w:r>
      <w:r w:rsidRPr="00726EB9" w:rsidR="00726EB9">
        <w:rPr>
          <w:rFonts w:ascii="Times New Roman" w:hAnsi="Times New Roman" w:cs="Times New Roman"/>
        </w:rPr>
        <w:t xml:space="preserve"> or association</w:t>
      </w:r>
      <w:r w:rsidR="00726EB9">
        <w:rPr>
          <w:rFonts w:ascii="Times New Roman" w:hAnsi="Times New Roman" w:cs="Times New Roman"/>
        </w:rPr>
        <w:t>s</w:t>
      </w:r>
      <w:r w:rsidRPr="00726EB9" w:rsidR="00726EB9">
        <w:rPr>
          <w:rFonts w:ascii="Times New Roman" w:hAnsi="Times New Roman" w:cs="Times New Roman"/>
        </w:rPr>
        <w:t xml:space="preserve"> experiencing a deluge of robocalls overwhelming their internal phone network</w:t>
      </w:r>
      <w:r w:rsidR="00260068">
        <w:rPr>
          <w:rFonts w:ascii="Times New Roman" w:hAnsi="Times New Roman" w:cs="Times New Roman"/>
        </w:rPr>
        <w:t>; to</w:t>
      </w:r>
      <w:r w:rsidR="00726EB9">
        <w:rPr>
          <w:rFonts w:ascii="Times New Roman" w:hAnsi="Times New Roman" w:cs="Times New Roman"/>
        </w:rPr>
        <w:t xml:space="preserve"> private entities that have had their number spoofed</w:t>
      </w:r>
      <w:r w:rsidR="00260068">
        <w:rPr>
          <w:rFonts w:ascii="Times New Roman" w:hAnsi="Times New Roman" w:cs="Times New Roman"/>
        </w:rPr>
        <w:t>;</w:t>
      </w:r>
      <w:r w:rsidR="00726EB9">
        <w:rPr>
          <w:rFonts w:ascii="Times New Roman" w:hAnsi="Times New Roman" w:cs="Times New Roman"/>
        </w:rPr>
        <w:t xml:space="preserve"> or</w:t>
      </w:r>
      <w:r w:rsidRPr="00726EB9" w:rsidR="00726EB9">
        <w:rPr>
          <w:rFonts w:ascii="Times New Roman" w:hAnsi="Times New Roman" w:cs="Times New Roman"/>
        </w:rPr>
        <w:t xml:space="preserve"> </w:t>
      </w:r>
      <w:r w:rsidR="00260068">
        <w:rPr>
          <w:rFonts w:ascii="Times New Roman" w:hAnsi="Times New Roman" w:cs="Times New Roman"/>
        </w:rPr>
        <w:t xml:space="preserve">to </w:t>
      </w:r>
      <w:r w:rsidRPr="00726EB9" w:rsidR="00726EB9">
        <w:rPr>
          <w:rFonts w:ascii="Times New Roman" w:hAnsi="Times New Roman" w:cs="Times New Roman"/>
        </w:rPr>
        <w:t>a voice service provider that found evidence of illegal robocalls traversing its network.</w:t>
      </w:r>
      <w:r w:rsidR="00726EB9">
        <w:rPr>
          <w:rFonts w:ascii="Times New Roman" w:hAnsi="Times New Roman" w:cs="Times New Roman"/>
        </w:rPr>
        <w:t xml:space="preserve">  The Commission’s past robocall enforcement actions have benefited from such information from private entities.  In two enforcement actions, a medical paging company informed the Bureau that its phone lines were being bombarded by spoofed robocalls.  In a similar instance, a travel company provided information to the Bureau about robocalls that unlawfully used the company’s name in prerecorded voice messages sent to millions of Americans.</w:t>
      </w:r>
      <w:r w:rsidR="00864A02">
        <w:rPr>
          <w:rFonts w:ascii="Times New Roman" w:hAnsi="Times New Roman" w:cs="Times New Roman"/>
        </w:rPr>
        <w:t xml:space="preserve">  This portal will help private entities receive better relief from robocall and spoofing incidents while also furthering the Commission’s goal</w:t>
      </w:r>
      <w:r w:rsidR="00C66940">
        <w:rPr>
          <w:rFonts w:ascii="Times New Roman" w:hAnsi="Times New Roman" w:cs="Times New Roman"/>
        </w:rPr>
        <w:t xml:space="preserve">s in combatting </w:t>
      </w:r>
      <w:r w:rsidR="00864A02">
        <w:rPr>
          <w:rFonts w:ascii="Times New Roman" w:hAnsi="Times New Roman" w:cs="Times New Roman"/>
        </w:rPr>
        <w:t>illegal robocallers.</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DA673B" w:rsidP="00DA673B" w14:paraId="0B12357B" w14:textId="36762F87">
      <w:pPr>
        <w:rPr>
          <w:rFonts w:ascii="Times New Roman" w:hAnsi="Times New Roman" w:cs="Times New Roman"/>
        </w:rPr>
      </w:pPr>
      <w:r w:rsidRPr="00511023">
        <w:rPr>
          <w:rFonts w:ascii="Times New Roman" w:hAnsi="Times New Roman" w:cs="Times New Roman"/>
        </w:rPr>
        <w:t xml:space="preserve">The </w:t>
      </w:r>
      <w:r w:rsidRPr="00511023">
        <w:rPr>
          <w:rFonts w:ascii="Times New Roman" w:hAnsi="Times New Roman" w:cs="Times New Roman"/>
          <w:i/>
        </w:rPr>
        <w:t>Report and Order</w:t>
      </w:r>
      <w:r w:rsidRPr="00511023">
        <w:rPr>
          <w:rFonts w:ascii="Times New Roman" w:hAnsi="Times New Roman" w:cs="Times New Roman"/>
        </w:rPr>
        <w:t xml:space="preserve"> makes rule changes to</w:t>
      </w:r>
      <w:r w:rsidR="00627304">
        <w:rPr>
          <w:rFonts w:ascii="Times New Roman" w:hAnsi="Times New Roman" w:cs="Times New Roman"/>
        </w:rPr>
        <w:t xml:space="preserve"> the functions of the Bureau (47 CFR </w:t>
      </w:r>
      <w:r w:rsidRPr="00627304" w:rsidR="00627304">
        <w:rPr>
          <w:rFonts w:ascii="Times New Roman" w:hAnsi="Times New Roman" w:cs="Times New Roman"/>
        </w:rPr>
        <w:t>§</w:t>
      </w:r>
      <w:r w:rsidR="00627304">
        <w:rPr>
          <w:rFonts w:ascii="Times New Roman" w:hAnsi="Times New Roman" w:cs="Times New Roman"/>
        </w:rPr>
        <w:t xml:space="preserve"> 0.111) and adds sections to the rules for the submission of robocall and spoofing violations (47 CFR </w:t>
      </w:r>
      <w:r w:rsidRPr="00627304" w:rsidR="00627304">
        <w:rPr>
          <w:rFonts w:ascii="Times New Roman" w:hAnsi="Times New Roman" w:cs="Times New Roman"/>
        </w:rPr>
        <w:t>§§</w:t>
      </w:r>
      <w:r w:rsidR="00627304">
        <w:rPr>
          <w:rFonts w:ascii="Times New Roman" w:hAnsi="Times New Roman" w:cs="Times New Roman"/>
        </w:rPr>
        <w:t xml:space="preserve"> 64.1204, 64.1606).</w:t>
      </w:r>
    </w:p>
    <w:p w:rsidR="00627304" w:rsidRPr="00627304" w:rsidP="00DA673B" w14:paraId="6EADC948" w14:textId="4C162D70">
      <w:pPr>
        <w:rPr>
          <w:rFonts w:ascii="Times New Roman" w:hAnsi="Times New Roman" w:cs="Times New Roman"/>
          <w:i/>
          <w:iCs/>
        </w:rPr>
      </w:pPr>
      <w:r w:rsidRPr="00627304">
        <w:rPr>
          <w:rFonts w:ascii="Times New Roman" w:hAnsi="Times New Roman" w:cs="Times New Roman"/>
          <w:b/>
          <w:bCs/>
          <w:i/>
          <w:iCs/>
        </w:rPr>
        <w:t>Functions of the Bureau (47 CFR § 0.111)</w:t>
      </w:r>
    </w:p>
    <w:p w:rsidR="00627304" w:rsidP="00627304" w14:paraId="09DA093E" w14:textId="5F916414">
      <w:pPr>
        <w:pStyle w:val="ListParagraph"/>
        <w:numPr>
          <w:ilvl w:val="0"/>
          <w:numId w:val="15"/>
        </w:numPr>
        <w:rPr>
          <w:rFonts w:ascii="Times New Roman" w:hAnsi="Times New Roman" w:cs="Times New Roman"/>
        </w:rPr>
      </w:pPr>
      <w:r>
        <w:rPr>
          <w:rFonts w:ascii="Times New Roman" w:hAnsi="Times New Roman" w:cs="Times New Roman"/>
        </w:rPr>
        <w:t>The Bureau now has the authority to collect and review information received from private entities related to violations of the T</w:t>
      </w:r>
      <w:r w:rsidR="00FB581B">
        <w:rPr>
          <w:rFonts w:ascii="Times New Roman" w:hAnsi="Times New Roman" w:cs="Times New Roman"/>
        </w:rPr>
        <w:t>elephone Consumer Protection Act (TCPA)</w:t>
      </w:r>
      <w:r>
        <w:rPr>
          <w:rFonts w:ascii="Times New Roman" w:hAnsi="Times New Roman" w:cs="Times New Roman"/>
        </w:rPr>
        <w:t xml:space="preserve"> (47 CFR </w:t>
      </w:r>
      <w:r w:rsidRPr="00627304">
        <w:rPr>
          <w:rFonts w:ascii="Times New Roman" w:hAnsi="Times New Roman" w:cs="Times New Roman"/>
        </w:rPr>
        <w:t>§</w:t>
      </w:r>
      <w:r>
        <w:rPr>
          <w:rFonts w:ascii="Times New Roman" w:hAnsi="Times New Roman" w:cs="Times New Roman"/>
        </w:rPr>
        <w:t xml:space="preserve"> 1200(a)) and the Truth in Caller ID Act (47 CFR </w:t>
      </w:r>
      <w:r w:rsidRPr="00627304">
        <w:rPr>
          <w:rFonts w:ascii="Times New Roman" w:hAnsi="Times New Roman" w:cs="Times New Roman"/>
        </w:rPr>
        <w:t>§</w:t>
      </w:r>
      <w:r>
        <w:rPr>
          <w:rFonts w:ascii="Times New Roman" w:hAnsi="Times New Roman" w:cs="Times New Roman"/>
        </w:rPr>
        <w:t xml:space="preserve"> 64.1604).</w:t>
      </w:r>
    </w:p>
    <w:p w:rsidR="00627304" w:rsidP="00627304" w14:paraId="691AA88B" w14:textId="6F0A17EB">
      <w:pPr>
        <w:pStyle w:val="ListParagraph"/>
        <w:numPr>
          <w:ilvl w:val="0"/>
          <w:numId w:val="15"/>
        </w:numPr>
        <w:rPr>
          <w:rFonts w:ascii="Times New Roman" w:hAnsi="Times New Roman" w:cs="Times New Roman"/>
        </w:rPr>
      </w:pPr>
      <w:r>
        <w:rPr>
          <w:rFonts w:ascii="Times New Roman" w:hAnsi="Times New Roman" w:cs="Times New Roman"/>
        </w:rPr>
        <w:t>The Bureau will collect this information via an online web portal located on the Commission’s website.</w:t>
      </w:r>
      <w:r w:rsidRPr="00627304">
        <w:rPr>
          <w:rFonts w:ascii="Times New Roman" w:hAnsi="Times New Roman" w:cs="Times New Roman"/>
        </w:rPr>
        <w:t xml:space="preserve"> </w:t>
      </w:r>
    </w:p>
    <w:p w:rsidR="00936923" w:rsidP="00627304" w14:paraId="71449651" w14:textId="0DA74345">
      <w:pPr>
        <w:pStyle w:val="ListParagraph"/>
        <w:numPr>
          <w:ilvl w:val="0"/>
          <w:numId w:val="15"/>
        </w:numPr>
        <w:rPr>
          <w:rFonts w:ascii="Times New Roman" w:hAnsi="Times New Roman" w:cs="Times New Roman"/>
        </w:rPr>
      </w:pPr>
      <w:r>
        <w:rPr>
          <w:rFonts w:ascii="Times New Roman" w:hAnsi="Times New Roman" w:cs="Times New Roman"/>
        </w:rPr>
        <w:t xml:space="preserve">This portal </w:t>
      </w:r>
      <w:r w:rsidR="00C84EDD">
        <w:rPr>
          <w:rFonts w:ascii="Times New Roman" w:hAnsi="Times New Roman" w:cs="Times New Roman"/>
        </w:rPr>
        <w:t>is</w:t>
      </w:r>
      <w:r>
        <w:rPr>
          <w:rFonts w:ascii="Times New Roman" w:hAnsi="Times New Roman" w:cs="Times New Roman"/>
        </w:rPr>
        <w:t xml:space="preserve"> distinct from the informal complaint process managed by the Consumer and Governmental Affairs Bureau.  Private entities may continue to use the informal complaint process.</w:t>
      </w:r>
      <w:r w:rsidR="00C84EDD">
        <w:rPr>
          <w:rFonts w:ascii="Times New Roman" w:hAnsi="Times New Roman" w:cs="Times New Roman"/>
        </w:rPr>
        <w:t xml:space="preserve">  </w:t>
      </w:r>
    </w:p>
    <w:p w:rsidR="00936923" w:rsidP="00936923" w14:paraId="49B11EC9" w14:textId="4A5D9899">
      <w:pPr>
        <w:rPr>
          <w:rFonts w:ascii="Times New Roman" w:hAnsi="Times New Roman" w:cs="Times New Roman"/>
          <w:b/>
          <w:bCs/>
          <w:i/>
          <w:iCs/>
        </w:rPr>
      </w:pPr>
      <w:r>
        <w:rPr>
          <w:rFonts w:ascii="Times New Roman" w:hAnsi="Times New Roman" w:cs="Times New Roman"/>
          <w:b/>
          <w:bCs/>
          <w:i/>
          <w:iCs/>
        </w:rPr>
        <w:t xml:space="preserve">Private Entity Submission of Suspected Robocall and Spoofing Violations (47 CFR </w:t>
      </w:r>
      <w:r w:rsidRPr="00936923">
        <w:rPr>
          <w:rFonts w:ascii="Times New Roman" w:hAnsi="Times New Roman" w:cs="Times New Roman"/>
          <w:b/>
          <w:bCs/>
          <w:i/>
          <w:iCs/>
        </w:rPr>
        <w:t>§</w:t>
      </w:r>
      <w:r w:rsidRPr="004C3053" w:rsidR="004C3053">
        <w:rPr>
          <w:rFonts w:ascii="Times New Roman" w:hAnsi="Times New Roman" w:cs="Times New Roman"/>
          <w:b/>
          <w:bCs/>
          <w:i/>
          <w:iCs/>
        </w:rPr>
        <w:t>§</w:t>
      </w:r>
      <w:r w:rsidR="004C3053">
        <w:rPr>
          <w:rFonts w:ascii="Times New Roman" w:hAnsi="Times New Roman" w:cs="Times New Roman"/>
          <w:b/>
          <w:bCs/>
          <w:i/>
          <w:iCs/>
        </w:rPr>
        <w:t xml:space="preserve"> </w:t>
      </w:r>
      <w:r>
        <w:rPr>
          <w:rFonts w:ascii="Times New Roman" w:hAnsi="Times New Roman" w:cs="Times New Roman"/>
          <w:b/>
          <w:bCs/>
          <w:i/>
          <w:iCs/>
        </w:rPr>
        <w:t>64.1204; 64.1606)</w:t>
      </w:r>
    </w:p>
    <w:p w:rsidR="00716E02" w:rsidP="00936923" w14:paraId="303DA94E" w14:textId="7B3BF06E">
      <w:pPr>
        <w:pStyle w:val="ListParagraph"/>
        <w:numPr>
          <w:ilvl w:val="0"/>
          <w:numId w:val="16"/>
        </w:numPr>
        <w:rPr>
          <w:rFonts w:ascii="Times New Roman" w:hAnsi="Times New Roman" w:cs="Times New Roman"/>
        </w:rPr>
      </w:pPr>
      <w:r>
        <w:rPr>
          <w:rFonts w:ascii="Times New Roman" w:hAnsi="Times New Roman" w:cs="Times New Roman"/>
        </w:rPr>
        <w:t xml:space="preserve">The portal is </w:t>
      </w:r>
      <w:r w:rsidR="00CF7E2F">
        <w:rPr>
          <w:rFonts w:ascii="Times New Roman" w:hAnsi="Times New Roman" w:cs="Times New Roman"/>
        </w:rPr>
        <w:t>intended to be used by</w:t>
      </w:r>
      <w:r>
        <w:rPr>
          <w:rFonts w:ascii="Times New Roman" w:hAnsi="Times New Roman" w:cs="Times New Roman"/>
        </w:rPr>
        <w:t xml:space="preserve"> private entities.  The rules define private entity as “any entity other than a natural individual person or a public entity.</w:t>
      </w:r>
      <w:r w:rsidR="00260068">
        <w:rPr>
          <w:rFonts w:ascii="Times New Roman" w:hAnsi="Times New Roman" w:cs="Times New Roman"/>
        </w:rPr>
        <w:t>”</w:t>
      </w:r>
      <w:r w:rsidRPr="00716E02">
        <w:rPr>
          <w:rFonts w:ascii="Times New Roman" w:hAnsi="Times New Roman" w:cs="Times New Roman"/>
        </w:rPr>
        <w:t xml:space="preserve"> </w:t>
      </w:r>
      <w:r>
        <w:rPr>
          <w:rFonts w:ascii="Times New Roman" w:hAnsi="Times New Roman" w:cs="Times New Roman"/>
        </w:rPr>
        <w:t xml:space="preserve"> This definition excludes individual consumers who already can submit robocall and spoofing complaints to the Commission through the informal complaint process managed by the Consumer and Governmental Affairs Bureau.  </w:t>
      </w:r>
      <w:r w:rsidRPr="00716E02">
        <w:rPr>
          <w:rFonts w:ascii="Times New Roman" w:hAnsi="Times New Roman" w:cs="Times New Roman"/>
        </w:rPr>
        <w:t xml:space="preserve">If an individual consumer mistakenly files a complaint with the new portal, </w:t>
      </w:r>
      <w:r>
        <w:rPr>
          <w:rFonts w:ascii="Times New Roman" w:hAnsi="Times New Roman" w:cs="Times New Roman"/>
        </w:rPr>
        <w:t xml:space="preserve">however, </w:t>
      </w:r>
      <w:r w:rsidRPr="00716E02">
        <w:rPr>
          <w:rFonts w:ascii="Times New Roman" w:hAnsi="Times New Roman" w:cs="Times New Roman"/>
        </w:rPr>
        <w:t>the Bureau will forward the complaint to the Consumer and Governmental Affairs Bureau</w:t>
      </w:r>
      <w:r>
        <w:rPr>
          <w:rFonts w:ascii="Times New Roman" w:hAnsi="Times New Roman" w:cs="Times New Roman"/>
        </w:rPr>
        <w:t xml:space="preserve">.  The definition </w:t>
      </w:r>
      <w:r w:rsidR="00C66940">
        <w:rPr>
          <w:rFonts w:ascii="Times New Roman" w:hAnsi="Times New Roman" w:cs="Times New Roman"/>
        </w:rPr>
        <w:t xml:space="preserve">also </w:t>
      </w:r>
      <w:r>
        <w:rPr>
          <w:rFonts w:ascii="Times New Roman" w:hAnsi="Times New Roman" w:cs="Times New Roman"/>
        </w:rPr>
        <w:t xml:space="preserve">excludes public entities as the TRACED Act limits the portal to </w:t>
      </w:r>
      <w:r w:rsidRPr="00716E02">
        <w:rPr>
          <w:rFonts w:ascii="Times New Roman" w:hAnsi="Times New Roman" w:cs="Times New Roman"/>
        </w:rPr>
        <w:t>private</w:t>
      </w:r>
      <w:r>
        <w:rPr>
          <w:rFonts w:ascii="Times New Roman" w:hAnsi="Times New Roman" w:cs="Times New Roman"/>
        </w:rPr>
        <w:t xml:space="preserve"> entities.  A public entity means a governmental entity, such as a state government or one of its political subdivisions.</w:t>
      </w:r>
    </w:p>
    <w:p w:rsidR="009A61EC" w:rsidP="00CF7E2F" w14:paraId="3AA3064C" w14:textId="7A9FCBB2">
      <w:pPr>
        <w:pStyle w:val="ListParagraph"/>
        <w:numPr>
          <w:ilvl w:val="0"/>
          <w:numId w:val="16"/>
        </w:numPr>
        <w:rPr>
          <w:rFonts w:ascii="Times New Roman" w:hAnsi="Times New Roman" w:cs="Times New Roman"/>
        </w:rPr>
      </w:pPr>
      <w:r>
        <w:rPr>
          <w:rFonts w:ascii="Times New Roman" w:hAnsi="Times New Roman" w:cs="Times New Roman"/>
        </w:rPr>
        <w:t xml:space="preserve">The portal will </w:t>
      </w:r>
      <w:r w:rsidR="00C66940">
        <w:rPr>
          <w:rFonts w:ascii="Times New Roman" w:hAnsi="Times New Roman" w:cs="Times New Roman"/>
        </w:rPr>
        <w:t>request</w:t>
      </w:r>
      <w:r>
        <w:rPr>
          <w:rFonts w:ascii="Times New Roman" w:hAnsi="Times New Roman" w:cs="Times New Roman"/>
        </w:rPr>
        <w:t xml:space="preserve"> private entities to submit certain minimum information about the robocall or spoofing incident, such as </w:t>
      </w:r>
      <w:r w:rsidRPr="00AD76D9">
        <w:rPr>
          <w:rFonts w:ascii="Times New Roman" w:hAnsi="Times New Roman" w:cs="Times New Roman"/>
        </w:rPr>
        <w:t>the name of the reporting private entity, contact information, including at least one individual name and means of contacting the entity (e.g., a phone number), the caller ID information displayed, the phone number(s) called, the date(s) and time(s) of the relevant calls or texts, the name of the reporting private entity’s service provider, and a description of the problematic calls or texts.</w:t>
      </w:r>
      <w:r>
        <w:rPr>
          <w:rFonts w:ascii="Times New Roman" w:hAnsi="Times New Roman" w:cs="Times New Roman"/>
        </w:rPr>
        <w:t xml:space="preserve">  </w:t>
      </w:r>
    </w:p>
    <w:p w:rsidR="00C84EDD" w:rsidP="00CF7E2F" w14:paraId="2B75845A" w14:textId="396324A0">
      <w:pPr>
        <w:pStyle w:val="ListParagraph"/>
        <w:numPr>
          <w:ilvl w:val="0"/>
          <w:numId w:val="16"/>
        </w:numPr>
        <w:rPr>
          <w:rFonts w:ascii="Times New Roman" w:hAnsi="Times New Roman" w:cs="Times New Roman"/>
        </w:rPr>
      </w:pPr>
      <w:r>
        <w:rPr>
          <w:rFonts w:ascii="Times New Roman" w:hAnsi="Times New Roman" w:cs="Times New Roman"/>
        </w:rPr>
        <w:t xml:space="preserve">Bureau staff will review submitted information </w:t>
      </w:r>
      <w:r w:rsidR="00C66940">
        <w:rPr>
          <w:rFonts w:ascii="Times New Roman" w:hAnsi="Times New Roman" w:cs="Times New Roman"/>
        </w:rPr>
        <w:t xml:space="preserve">and </w:t>
      </w:r>
      <w:r>
        <w:rPr>
          <w:rFonts w:ascii="Times New Roman" w:hAnsi="Times New Roman" w:cs="Times New Roman"/>
        </w:rPr>
        <w:t xml:space="preserve">may use the information in investigations.  </w:t>
      </w:r>
      <w:r>
        <w:rPr>
          <w:rFonts w:ascii="Times New Roman" w:hAnsi="Times New Roman" w:cs="Times New Roman"/>
        </w:rPr>
        <w:t xml:space="preserve">Staff may follow-up with the private entity to obtain additional information.  Therefore, it is imperative that private entities provide accurate information and complete contact information for someone knowledgeable about the robocall or spoofing incident.  Submitting false information is a violation of Commission rules and may result in sanction. </w:t>
      </w:r>
    </w:p>
    <w:p w:rsidR="00CF7E2F" w:rsidRPr="00CF7E2F" w:rsidP="00CF7E2F" w14:paraId="11EAA945" w14:textId="647F7AE3">
      <w:pPr>
        <w:pStyle w:val="ListParagraph"/>
        <w:numPr>
          <w:ilvl w:val="0"/>
          <w:numId w:val="16"/>
        </w:numPr>
        <w:rPr>
          <w:rFonts w:ascii="Times New Roman" w:hAnsi="Times New Roman" w:cs="Times New Roman"/>
        </w:rPr>
      </w:pPr>
      <w:r>
        <w:rPr>
          <w:rFonts w:ascii="Times New Roman" w:hAnsi="Times New Roman" w:cs="Times New Roman"/>
        </w:rPr>
        <w:t>T</w:t>
      </w:r>
      <w:r>
        <w:rPr>
          <w:rFonts w:ascii="Times New Roman" w:hAnsi="Times New Roman" w:cs="Times New Roman"/>
        </w:rPr>
        <w:t>he Bureau may share submitted information with the Department of Justice, Federal Trade Commission, other federal agencies combatting robocalls, state attorney general offices, other law enforcement entities with which the Commission has information</w:t>
      </w:r>
      <w:r w:rsidR="00260068">
        <w:rPr>
          <w:rFonts w:ascii="Times New Roman" w:hAnsi="Times New Roman" w:cs="Times New Roman"/>
        </w:rPr>
        <w:t>-</w:t>
      </w:r>
      <w:r>
        <w:rPr>
          <w:rFonts w:ascii="Times New Roman" w:hAnsi="Times New Roman" w:cs="Times New Roman"/>
        </w:rPr>
        <w:t>sharing agreements, and the registered traceback consortium.</w:t>
      </w:r>
    </w:p>
    <w:p w:rsidR="00DE567B" w:rsidRPr="00511023" w:rsidP="00286EA8"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4749A4" w:rsidP="00511023" w14:paraId="21D3C485" w14:textId="77777777">
      <w:pPr>
        <w:spacing w:after="0"/>
        <w:rPr>
          <w:rFonts w:ascii="Times New Roman" w:hAnsi="Times New Roman" w:cs="Times New Roman"/>
          <w:color w:val="010101"/>
        </w:rPr>
      </w:pPr>
    </w:p>
    <w:p w:rsidR="001961AA" w:rsidRPr="00511023" w:rsidP="007E5C49" w14:paraId="1ED3D0C5" w14:textId="1495DB57">
      <w:pPr>
        <w:spacing w:after="0"/>
        <w:ind w:firstLine="720"/>
        <w:rPr>
          <w:rFonts w:ascii="Times New Roman" w:hAnsi="Times New Roman" w:cs="Times New Roman"/>
          <w:color w:val="010101"/>
        </w:rPr>
      </w:pPr>
      <w:r w:rsidRPr="00511023">
        <w:rPr>
          <w:rFonts w:ascii="Times New Roman" w:hAnsi="Times New Roman" w:cs="Times New Roman"/>
          <w:color w:val="010101"/>
        </w:rPr>
        <w:t xml:space="preserve">The Commission’s actions in the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sidR="000D790A">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r w:rsidR="00FB581B">
        <w:rPr>
          <w:rFonts w:ascii="Times New Roman" w:hAnsi="Times New Roman" w:cs="Times New Roman"/>
          <w:color w:val="010101"/>
        </w:rPr>
        <w:t xml:space="preserve">  Private entities </w:t>
      </w:r>
      <w:r w:rsidR="00260068">
        <w:rPr>
          <w:rFonts w:ascii="Times New Roman" w:hAnsi="Times New Roman" w:cs="Times New Roman"/>
          <w:color w:val="010101"/>
        </w:rPr>
        <w:t>should consider retaining</w:t>
      </w:r>
      <w:r w:rsidR="00FB581B">
        <w:rPr>
          <w:rFonts w:ascii="Times New Roman" w:hAnsi="Times New Roman" w:cs="Times New Roman"/>
          <w:color w:val="010101"/>
        </w:rPr>
        <w:t xml:space="preserve"> records of the suspected robocall or spoofing violations to assist Bureau staff with any subsequent investigation.</w:t>
      </w:r>
    </w:p>
    <w:p w:rsidR="005717FB" w:rsidP="007F0A80" w14:paraId="75B9B3E0" w14:textId="77777777">
      <w:pPr>
        <w:spacing w:after="0"/>
        <w:rPr>
          <w:rFonts w:ascii="Times New Roman" w:hAnsi="Times New Roman" w:cs="Times New Roman"/>
          <w:b/>
        </w:rPr>
      </w:pP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491F77" w:rsidP="007F0A80" w14:paraId="6176B903" w14:textId="77777777">
      <w:pPr>
        <w:spacing w:after="0"/>
        <w:rPr>
          <w:rFonts w:ascii="Times New Roman" w:hAnsi="Times New Roman" w:cs="Times New Roman"/>
          <w:b/>
        </w:rPr>
      </w:pPr>
    </w:p>
    <w:p w:rsidR="00AB1D1E" w:rsidRPr="00FB581B" w:rsidP="00FB581B" w14:paraId="33EBBABA" w14:textId="33CC12F4">
      <w:pPr>
        <w:pStyle w:val="ParaNum"/>
        <w:numPr>
          <w:ilvl w:val="0"/>
          <w:numId w:val="0"/>
        </w:numPr>
        <w:ind w:firstLine="720"/>
      </w:pPr>
      <w:r w:rsidRPr="00511023">
        <w:t>The following</w:t>
      </w:r>
      <w:r>
        <w:rPr>
          <w:b/>
        </w:rPr>
        <w:t xml:space="preserve"> </w:t>
      </w:r>
      <w:r>
        <w:t xml:space="preserve">rules in the </w:t>
      </w:r>
      <w:r w:rsidRPr="00EF5082">
        <w:rPr>
          <w:i/>
        </w:rPr>
        <w:t>Report and Order</w:t>
      </w:r>
      <w:r>
        <w:t xml:space="preserve"> </w:t>
      </w:r>
      <w:r w:rsidRPr="0084392B">
        <w:t>require approval by the Office of Management and Budget (OMB) u</w:t>
      </w:r>
      <w:r>
        <w:t xml:space="preserve">nder the Paperwork Reduction Act:  </w:t>
      </w:r>
      <w:r w:rsidR="00ED5EC2">
        <w:t xml:space="preserve">47 CFR </w:t>
      </w:r>
      <w:r w:rsidR="00B01E53">
        <w:t>0.111</w:t>
      </w:r>
      <w:r w:rsidR="00087BBD">
        <w:t xml:space="preserve">, </w:t>
      </w:r>
      <w:r>
        <w:t xml:space="preserve">47 CFR </w:t>
      </w:r>
      <w:r w:rsidR="00B01E53">
        <w:t>64.1204, 47 CFR 64</w:t>
      </w:r>
      <w:r>
        <w:t>.</w:t>
      </w:r>
      <w:r w:rsidR="00B01E53">
        <w:t>1606.</w:t>
      </w:r>
      <w:r w:rsidRPr="0084392B">
        <w:t xml:space="preserve"> </w:t>
      </w:r>
      <w:r>
        <w:t xml:space="preserve">These rules </w:t>
      </w:r>
      <w:r w:rsidRPr="0084392B">
        <w:t xml:space="preserve">shall become effective after the Commission publishes a notice in the Federal Register announcing </w:t>
      </w:r>
      <w:r>
        <w:t xml:space="preserve">OMB </w:t>
      </w:r>
      <w:r w:rsidRPr="0084392B">
        <w:t>approval and the relevant effective date.</w:t>
      </w:r>
    </w:p>
    <w:p w:rsidR="00C5062A" w:rsidRPr="00511023" w:rsidP="00286EA8" w14:paraId="79679D59" w14:textId="5FC232EB">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485B77" w:rsidP="00C5062A" w14:paraId="636038EB" w14:textId="77777777">
      <w:pPr>
        <w:spacing w:after="0"/>
        <w:rPr>
          <w:rFonts w:ascii="Times New Roman" w:hAnsi="Times New Roman" w:cs="Times New Roman"/>
          <w:b/>
        </w:rPr>
      </w:pPr>
    </w:p>
    <w:p w:rsidR="00C5062A" w:rsidP="00C5062A" w14:paraId="502FE2B9" w14:textId="058C82A6">
      <w:pPr>
        <w:spacing w:after="0"/>
        <w:rPr>
          <w:rFonts w:ascii="Times New Roman" w:hAnsi="Times New Roman" w:cs="Times New Roman"/>
          <w:b/>
        </w:rPr>
      </w:pPr>
      <w:r w:rsidRPr="00511023">
        <w:rPr>
          <w:rFonts w:ascii="Times New Roman" w:hAnsi="Times New Roman" w:cs="Times New Roman"/>
          <w:b/>
        </w:rPr>
        <w:t xml:space="preserve">A copy of the </w:t>
      </w:r>
      <w:r w:rsidR="00B01E53">
        <w:rPr>
          <w:rFonts w:ascii="Times New Roman" w:hAnsi="Times New Roman" w:cs="Times New Roman"/>
          <w:b/>
          <w:i/>
        </w:rPr>
        <w:t>Private Entity Robocall Portal Order</w:t>
      </w:r>
      <w:r w:rsidRPr="00511023">
        <w:rPr>
          <w:rFonts w:ascii="Times New Roman" w:hAnsi="Times New Roman" w:cs="Times New Roman"/>
          <w:b/>
        </w:rPr>
        <w:t xml:space="preserve"> is available at: </w:t>
      </w:r>
      <w:hyperlink r:id="rId7" w:history="1">
        <w:r w:rsidRPr="00B75E15" w:rsidR="00B01E53">
          <w:rPr>
            <w:rStyle w:val="Hyperlink"/>
            <w:rFonts w:ascii="Times New Roman" w:hAnsi="Times New Roman" w:cs="Times New Roman"/>
            <w:b/>
          </w:rPr>
          <w:t>https://docs.fcc.gov/public/attachments/FCC-21-75A1.pdf</w:t>
        </w:r>
      </w:hyperlink>
      <w:r w:rsidR="00B01E53">
        <w:rPr>
          <w:rFonts w:ascii="Times New Roman" w:hAnsi="Times New Roman" w:cs="Times New Roman"/>
          <w:b/>
        </w:rPr>
        <w:t xml:space="preserve">. </w:t>
      </w:r>
    </w:p>
    <w:p w:rsidR="002973BD" w:rsidRPr="00511023" w:rsidP="00C5062A" w14:paraId="5819B98F" w14:textId="77777777">
      <w:pPr>
        <w:spacing w:after="0"/>
        <w:rPr>
          <w:rFonts w:ascii="Times New Roman" w:hAnsi="Times New Roman" w:cs="Times New Roman"/>
          <w:b/>
        </w:rPr>
      </w:pPr>
    </w:p>
    <w:p w:rsidR="003149AB" w:rsidP="00C5062A" w14:paraId="154B48C1" w14:textId="399180DC">
      <w:pPr>
        <w:spacing w:after="0"/>
        <w:rPr>
          <w:rFonts w:ascii="Times New Roman" w:hAnsi="Times New Roman" w:cs="Times New Roman"/>
          <w:b/>
        </w:rPr>
      </w:pPr>
      <w:r w:rsidRPr="00511023">
        <w:rPr>
          <w:rFonts w:ascii="Times New Roman" w:hAnsi="Times New Roman" w:cs="Times New Roman"/>
          <w:b/>
        </w:rPr>
        <w:t xml:space="preserve">A copy of the Federal Register Summary of the </w:t>
      </w:r>
      <w:r w:rsidR="00233B90">
        <w:rPr>
          <w:rFonts w:ascii="Times New Roman" w:hAnsi="Times New Roman" w:cs="Times New Roman"/>
          <w:b/>
          <w:i/>
        </w:rPr>
        <w:t>[</w:t>
      </w:r>
      <w:r w:rsidRPr="00511023">
        <w:rPr>
          <w:rFonts w:ascii="Times New Roman" w:hAnsi="Times New Roman" w:cs="Times New Roman"/>
          <w:b/>
          <w:i/>
        </w:rPr>
        <w:t>Order</w:t>
      </w:r>
      <w:r w:rsidRPr="00233B90" w:rsidR="00233B90">
        <w:rPr>
          <w:rFonts w:ascii="Times New Roman" w:hAnsi="Times New Roman" w:cs="Times New Roman"/>
          <w:b/>
          <w:i/>
        </w:rPr>
        <w:t xml:space="preserve"> </w:t>
      </w:r>
      <w:r w:rsidR="00233B90">
        <w:rPr>
          <w:rFonts w:ascii="Times New Roman" w:hAnsi="Times New Roman" w:cs="Times New Roman"/>
          <w:b/>
          <w:i/>
        </w:rPr>
        <w:t>Short Name]</w:t>
      </w:r>
      <w:r w:rsidRPr="00511023">
        <w:rPr>
          <w:rFonts w:ascii="Times New Roman" w:hAnsi="Times New Roman" w:cs="Times New Roman"/>
          <w:b/>
        </w:rPr>
        <w:t xml:space="preserve"> is available at: </w:t>
      </w:r>
      <w:hyperlink r:id="rId8" w:history="1">
        <w:r w:rsidRPr="001D52D2" w:rsidR="00FC1D44">
          <w:rPr>
            <w:rStyle w:val="Hyperlink"/>
            <w:rFonts w:ascii="Times New Roman" w:hAnsi="Times New Roman" w:cs="Times New Roman"/>
            <w:b/>
          </w:rPr>
          <w:t>https://www.govinfo.gov/content/pkg/FR-2021-09-23/pdf/2021-14711.pdf</w:t>
        </w:r>
      </w:hyperlink>
      <w:r w:rsidR="005E48A9">
        <w:rPr>
          <w:rFonts w:ascii="Times New Roman" w:hAnsi="Times New Roman" w:cs="Times New Roman"/>
          <w:b/>
        </w:rPr>
        <w:t>.</w:t>
      </w:r>
    </w:p>
    <w:p w:rsidR="00FC1D44" w:rsidP="00C5062A" w14:paraId="7E5759D9" w14:textId="77777777">
      <w:pPr>
        <w:spacing w:after="0"/>
        <w:rPr>
          <w:rFonts w:ascii="Times New Roman" w:hAnsi="Times New Roman" w:cs="Times New Roman"/>
          <w:b/>
        </w:rPr>
      </w:pPr>
    </w:p>
    <w:p w:rsidR="003149AB" w:rsidP="00C5062A" w14:paraId="0432C9C4" w14:textId="77777777">
      <w:pPr>
        <w:spacing w:after="0"/>
        <w:rPr>
          <w:rFonts w:ascii="Times New Roman" w:hAnsi="Times New Roman" w:cs="Times New Roman"/>
          <w:b/>
        </w:rPr>
      </w:pPr>
    </w:p>
    <w:p w:rsidR="008F02BA" w:rsidRPr="00511023" w:rsidP="00C5062A" w14:paraId="64B9C807" w14:textId="77777777">
      <w:pPr>
        <w:spacing w:after="0"/>
        <w:rPr>
          <w:rFonts w:ascii="Times New Roman" w:hAnsi="Times New Roman" w:cs="Times New Roman"/>
          <w:b/>
        </w:rPr>
      </w:pPr>
    </w:p>
    <w:p w:rsidR="004008B8" w:rsidRPr="00511023" w:rsidP="00972776" w14:paraId="76D7AB80" w14:textId="77777777">
      <w:pPr>
        <w:spacing w:after="0"/>
        <w:rPr>
          <w:rFonts w:ascii="Times New Roman" w:hAnsi="Times New Roman" w:cs="Times New Roman"/>
          <w:b/>
        </w:rPr>
      </w:pP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height-percent:0;mso-width-percent:0;mso-wrap-edited:f;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94319975"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7034D3EB">
    <w:pPr>
      <w:jc w:val="center"/>
      <w:rPr>
        <w:sz w:val="24"/>
        <w:szCs w:val="24"/>
      </w:rPr>
    </w:pPr>
    <w:r>
      <w:rPr>
        <w:rFonts w:ascii="CG Times (W1)" w:hAnsi="CG Times (W1)"/>
        <w:sz w:val="24"/>
        <w:szCs w:val="24"/>
      </w:rPr>
      <w:t>September 28</w:t>
    </w:r>
    <w:r w:rsidRPr="003172B5">
      <w:rPr>
        <w:rFonts w:ascii="CG Times (W1)" w:hAnsi="CG Times (W1)"/>
        <w:sz w:val="24"/>
        <w:szCs w:val="24"/>
      </w:rPr>
      <w:t>, 20</w:t>
    </w:r>
    <w:r w:rsidR="00437713">
      <w:rPr>
        <w:rFonts w:ascii="CG Times (W1)" w:hAnsi="CG Times (W1)"/>
        <w:sz w:val="24"/>
        <w:szCs w:val="24"/>
      </w:rPr>
      <w:t>21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A121BC"/>
    <w:multiLevelType w:val="hybridMultilevel"/>
    <w:tmpl w:val="A784F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C5F29EC"/>
    <w:multiLevelType w:val="hybridMultilevel"/>
    <w:tmpl w:val="F8B24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3"/>
  </w:num>
  <w:num w:numId="5">
    <w:abstractNumId w:val="12"/>
  </w:num>
  <w:num w:numId="6">
    <w:abstractNumId w:val="5"/>
  </w:num>
  <w:num w:numId="7">
    <w:abstractNumId w:val="1"/>
  </w:num>
  <w:num w:numId="8">
    <w:abstractNumId w:val="11"/>
  </w:num>
  <w:num w:numId="9">
    <w:abstractNumId w:val="8"/>
  </w:num>
  <w:num w:numId="10">
    <w:abstractNumId w:val="2"/>
  </w:num>
  <w:num w:numId="11">
    <w:abstractNumId w:val="6"/>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3"/>
    </w:lvlOverride>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25AB0"/>
    <w:rsid w:val="000320CC"/>
    <w:rsid w:val="00034878"/>
    <w:rsid w:val="00045938"/>
    <w:rsid w:val="000601FD"/>
    <w:rsid w:val="00066CB4"/>
    <w:rsid w:val="00074CA4"/>
    <w:rsid w:val="00076623"/>
    <w:rsid w:val="00087BBD"/>
    <w:rsid w:val="0009430B"/>
    <w:rsid w:val="000B7E9D"/>
    <w:rsid w:val="000C1FA6"/>
    <w:rsid w:val="000D2F0F"/>
    <w:rsid w:val="000D790A"/>
    <w:rsid w:val="000E4E16"/>
    <w:rsid w:val="000F616D"/>
    <w:rsid w:val="000F7BE7"/>
    <w:rsid w:val="00115515"/>
    <w:rsid w:val="0011670B"/>
    <w:rsid w:val="00121A4A"/>
    <w:rsid w:val="00131CCC"/>
    <w:rsid w:val="001338B0"/>
    <w:rsid w:val="00133D08"/>
    <w:rsid w:val="00152909"/>
    <w:rsid w:val="001544BD"/>
    <w:rsid w:val="00160B5A"/>
    <w:rsid w:val="00173AB8"/>
    <w:rsid w:val="001743EF"/>
    <w:rsid w:val="001961AA"/>
    <w:rsid w:val="001A1EAC"/>
    <w:rsid w:val="001D52D2"/>
    <w:rsid w:val="001D6690"/>
    <w:rsid w:val="00230205"/>
    <w:rsid w:val="00233B90"/>
    <w:rsid w:val="00243CE9"/>
    <w:rsid w:val="00247E1B"/>
    <w:rsid w:val="00260068"/>
    <w:rsid w:val="00282849"/>
    <w:rsid w:val="00286EA8"/>
    <w:rsid w:val="00292357"/>
    <w:rsid w:val="002973BD"/>
    <w:rsid w:val="002A45E8"/>
    <w:rsid w:val="002A57BD"/>
    <w:rsid w:val="002A73FE"/>
    <w:rsid w:val="002B11B3"/>
    <w:rsid w:val="002B6FD0"/>
    <w:rsid w:val="002C1EA9"/>
    <w:rsid w:val="002D0DED"/>
    <w:rsid w:val="002F683E"/>
    <w:rsid w:val="002F7376"/>
    <w:rsid w:val="003017A1"/>
    <w:rsid w:val="003149AB"/>
    <w:rsid w:val="003172B5"/>
    <w:rsid w:val="00320D58"/>
    <w:rsid w:val="00330480"/>
    <w:rsid w:val="003322AF"/>
    <w:rsid w:val="00334EB4"/>
    <w:rsid w:val="003423E5"/>
    <w:rsid w:val="0034659A"/>
    <w:rsid w:val="00364D35"/>
    <w:rsid w:val="00367858"/>
    <w:rsid w:val="003733F4"/>
    <w:rsid w:val="003837F4"/>
    <w:rsid w:val="003D1B5B"/>
    <w:rsid w:val="003D226E"/>
    <w:rsid w:val="003E344A"/>
    <w:rsid w:val="003F1DFC"/>
    <w:rsid w:val="003F5CB7"/>
    <w:rsid w:val="004008B8"/>
    <w:rsid w:val="0040311E"/>
    <w:rsid w:val="00406860"/>
    <w:rsid w:val="004126D5"/>
    <w:rsid w:val="0041380C"/>
    <w:rsid w:val="00437713"/>
    <w:rsid w:val="00463A2A"/>
    <w:rsid w:val="004740BF"/>
    <w:rsid w:val="004749A4"/>
    <w:rsid w:val="00485B77"/>
    <w:rsid w:val="00491D54"/>
    <w:rsid w:val="00491F77"/>
    <w:rsid w:val="004A43BC"/>
    <w:rsid w:val="004B6491"/>
    <w:rsid w:val="004B7242"/>
    <w:rsid w:val="004C3053"/>
    <w:rsid w:val="004F3108"/>
    <w:rsid w:val="004F68F6"/>
    <w:rsid w:val="005008FB"/>
    <w:rsid w:val="0050544C"/>
    <w:rsid w:val="00511023"/>
    <w:rsid w:val="00514667"/>
    <w:rsid w:val="005275C1"/>
    <w:rsid w:val="00527F85"/>
    <w:rsid w:val="005316D9"/>
    <w:rsid w:val="005449FD"/>
    <w:rsid w:val="005717FB"/>
    <w:rsid w:val="005869BB"/>
    <w:rsid w:val="005B3852"/>
    <w:rsid w:val="005C1817"/>
    <w:rsid w:val="005E48A9"/>
    <w:rsid w:val="005E70B7"/>
    <w:rsid w:val="005F55D9"/>
    <w:rsid w:val="006031C4"/>
    <w:rsid w:val="00610B56"/>
    <w:rsid w:val="006175DB"/>
    <w:rsid w:val="00627304"/>
    <w:rsid w:val="00637613"/>
    <w:rsid w:val="006546FA"/>
    <w:rsid w:val="00657EA8"/>
    <w:rsid w:val="00677244"/>
    <w:rsid w:val="00683C2E"/>
    <w:rsid w:val="006A0193"/>
    <w:rsid w:val="006B4F31"/>
    <w:rsid w:val="006E50A3"/>
    <w:rsid w:val="006E542F"/>
    <w:rsid w:val="006F117F"/>
    <w:rsid w:val="006F2901"/>
    <w:rsid w:val="006F411B"/>
    <w:rsid w:val="00701319"/>
    <w:rsid w:val="00716724"/>
    <w:rsid w:val="00716E02"/>
    <w:rsid w:val="00726EB9"/>
    <w:rsid w:val="00734B5A"/>
    <w:rsid w:val="00735330"/>
    <w:rsid w:val="00740ED6"/>
    <w:rsid w:val="00765ABD"/>
    <w:rsid w:val="00791348"/>
    <w:rsid w:val="007E5C49"/>
    <w:rsid w:val="007E64DB"/>
    <w:rsid w:val="007F0A80"/>
    <w:rsid w:val="008104E2"/>
    <w:rsid w:val="008178D8"/>
    <w:rsid w:val="00821520"/>
    <w:rsid w:val="00831688"/>
    <w:rsid w:val="00834788"/>
    <w:rsid w:val="0084392B"/>
    <w:rsid w:val="008554F2"/>
    <w:rsid w:val="00864203"/>
    <w:rsid w:val="00864A02"/>
    <w:rsid w:val="008C0C79"/>
    <w:rsid w:val="008C3B06"/>
    <w:rsid w:val="008D4AA5"/>
    <w:rsid w:val="008E2841"/>
    <w:rsid w:val="008E768C"/>
    <w:rsid w:val="008F02BA"/>
    <w:rsid w:val="00906008"/>
    <w:rsid w:val="00926D1D"/>
    <w:rsid w:val="00932B2A"/>
    <w:rsid w:val="00936923"/>
    <w:rsid w:val="009464B8"/>
    <w:rsid w:val="0095028B"/>
    <w:rsid w:val="0095132F"/>
    <w:rsid w:val="00951C24"/>
    <w:rsid w:val="00972776"/>
    <w:rsid w:val="00972B46"/>
    <w:rsid w:val="009827ED"/>
    <w:rsid w:val="00996590"/>
    <w:rsid w:val="009A102F"/>
    <w:rsid w:val="009A61EC"/>
    <w:rsid w:val="009B3815"/>
    <w:rsid w:val="009B41FC"/>
    <w:rsid w:val="009C5AF7"/>
    <w:rsid w:val="009C7F6E"/>
    <w:rsid w:val="00A2154A"/>
    <w:rsid w:val="00A422B6"/>
    <w:rsid w:val="00A961ED"/>
    <w:rsid w:val="00AA34B7"/>
    <w:rsid w:val="00AA7D23"/>
    <w:rsid w:val="00AB1D1E"/>
    <w:rsid w:val="00AB1E95"/>
    <w:rsid w:val="00AC1A95"/>
    <w:rsid w:val="00AC5039"/>
    <w:rsid w:val="00AC6478"/>
    <w:rsid w:val="00AD0BD0"/>
    <w:rsid w:val="00AD76D9"/>
    <w:rsid w:val="00AD7A25"/>
    <w:rsid w:val="00AE3F2F"/>
    <w:rsid w:val="00B01E53"/>
    <w:rsid w:val="00B0585E"/>
    <w:rsid w:val="00B06D94"/>
    <w:rsid w:val="00B12C82"/>
    <w:rsid w:val="00B15ED8"/>
    <w:rsid w:val="00B47D0B"/>
    <w:rsid w:val="00B629FE"/>
    <w:rsid w:val="00B7401E"/>
    <w:rsid w:val="00B75E15"/>
    <w:rsid w:val="00B8024D"/>
    <w:rsid w:val="00B81F96"/>
    <w:rsid w:val="00B849ED"/>
    <w:rsid w:val="00BA1697"/>
    <w:rsid w:val="00BB1633"/>
    <w:rsid w:val="00BF51F0"/>
    <w:rsid w:val="00BF65BB"/>
    <w:rsid w:val="00C017BE"/>
    <w:rsid w:val="00C235FA"/>
    <w:rsid w:val="00C37AC8"/>
    <w:rsid w:val="00C419A9"/>
    <w:rsid w:val="00C47CEF"/>
    <w:rsid w:val="00C5062A"/>
    <w:rsid w:val="00C506D9"/>
    <w:rsid w:val="00C50D96"/>
    <w:rsid w:val="00C66940"/>
    <w:rsid w:val="00C67CA7"/>
    <w:rsid w:val="00C84EDD"/>
    <w:rsid w:val="00CC1EC9"/>
    <w:rsid w:val="00CC7874"/>
    <w:rsid w:val="00CD59E5"/>
    <w:rsid w:val="00CD624E"/>
    <w:rsid w:val="00CF7E2F"/>
    <w:rsid w:val="00D3573A"/>
    <w:rsid w:val="00D4618C"/>
    <w:rsid w:val="00D47DB5"/>
    <w:rsid w:val="00D92D5F"/>
    <w:rsid w:val="00DA51FF"/>
    <w:rsid w:val="00DA673B"/>
    <w:rsid w:val="00DA6B99"/>
    <w:rsid w:val="00DB4D1A"/>
    <w:rsid w:val="00DB784D"/>
    <w:rsid w:val="00DC5B9C"/>
    <w:rsid w:val="00DD2774"/>
    <w:rsid w:val="00DE567B"/>
    <w:rsid w:val="00DE653F"/>
    <w:rsid w:val="00E154FC"/>
    <w:rsid w:val="00E2092F"/>
    <w:rsid w:val="00E446F0"/>
    <w:rsid w:val="00E47D90"/>
    <w:rsid w:val="00E54C20"/>
    <w:rsid w:val="00E56A46"/>
    <w:rsid w:val="00E97A21"/>
    <w:rsid w:val="00EA4DD4"/>
    <w:rsid w:val="00EB64E6"/>
    <w:rsid w:val="00EC30F1"/>
    <w:rsid w:val="00EC723E"/>
    <w:rsid w:val="00ED5EC2"/>
    <w:rsid w:val="00ED7745"/>
    <w:rsid w:val="00EF2E8B"/>
    <w:rsid w:val="00EF4B82"/>
    <w:rsid w:val="00EF5082"/>
    <w:rsid w:val="00F0469C"/>
    <w:rsid w:val="00F1379B"/>
    <w:rsid w:val="00F25963"/>
    <w:rsid w:val="00F41273"/>
    <w:rsid w:val="00F426F6"/>
    <w:rsid w:val="00F4281B"/>
    <w:rsid w:val="00F445A1"/>
    <w:rsid w:val="00F4551F"/>
    <w:rsid w:val="00F75BD2"/>
    <w:rsid w:val="00FB581B"/>
    <w:rsid w:val="00FC1D44"/>
    <w:rsid w:val="00FD078B"/>
    <w:rsid w:val="00FE30EB"/>
    <w:rsid w:val="00FE346F"/>
    <w:rsid w:val="00FE54BA"/>
    <w:rsid w:val="00FE64B9"/>
    <w:rsid w:val="00FF2F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B0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21-75A1.pdf" TargetMode="External" /><Relationship Id="rId8" Type="http://schemas.openxmlformats.org/officeDocument/2006/relationships/hyperlink" Target="https://www.govinfo.gov/content/pkg/FR-2021-09-23/pdf/2021-14711.pdf" TargetMode="External" /><Relationship Id="rId9" Type="http://schemas.openxmlformats.org/officeDocument/2006/relationships/header" Target="head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