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86950" w:rsidRPr="003D274A" w:rsidP="009A10FF" w14:paraId="39382CD5" w14:textId="032D763D">
      <w:pPr>
        <w:jc w:val="center"/>
        <w:rPr>
          <w:b/>
        </w:rPr>
      </w:pPr>
      <w:r w:rsidRPr="003D274A">
        <w:rPr>
          <w:b/>
        </w:rPr>
        <w:t>Before the</w:t>
      </w:r>
    </w:p>
    <w:p w:rsidR="00286950" w:rsidRPr="003D274A" w:rsidP="009A10FF" w14:paraId="3B1CA844" w14:textId="77777777">
      <w:pPr>
        <w:pStyle w:val="StyleBoldCentered"/>
      </w:pPr>
      <w:r w:rsidRPr="003D274A">
        <w:t>F</w:t>
      </w:r>
      <w:r w:rsidRPr="003D274A">
        <w:rPr>
          <w:caps w:val="0"/>
        </w:rPr>
        <w:t>ederal Communications Commission</w:t>
      </w:r>
    </w:p>
    <w:p w:rsidR="00286950" w:rsidRPr="003D274A" w:rsidP="009A10FF" w14:paraId="55701E15" w14:textId="506E88FE">
      <w:pPr>
        <w:pStyle w:val="StyleBoldCentered"/>
      </w:pPr>
      <w:r w:rsidRPr="003D274A">
        <w:rPr>
          <w:caps w:val="0"/>
        </w:rPr>
        <w:t>Washington, DC 20554</w:t>
      </w:r>
    </w:p>
    <w:tbl>
      <w:tblPr>
        <w:tblW w:w="0" w:type="auto"/>
        <w:tblLayout w:type="fixed"/>
        <w:tblLook w:val="0000"/>
      </w:tblPr>
      <w:tblGrid>
        <w:gridCol w:w="4698"/>
        <w:gridCol w:w="630"/>
        <w:gridCol w:w="4248"/>
      </w:tblGrid>
      <w:tr w14:paraId="54CF2C6B" w14:textId="77777777" w:rsidTr="002E4F77">
        <w:tblPrEx>
          <w:tblW w:w="0" w:type="auto"/>
          <w:tblLayout w:type="fixed"/>
          <w:tblLook w:val="0000"/>
        </w:tblPrEx>
        <w:tc>
          <w:tcPr>
            <w:tcW w:w="4698" w:type="dxa"/>
          </w:tcPr>
          <w:p w:rsidR="00286950" w:rsidRPr="003D274A" w:rsidP="009A10FF" w14:paraId="58536F8A" w14:textId="77777777">
            <w:pPr>
              <w:tabs>
                <w:tab w:val="center" w:pos="4680"/>
              </w:tabs>
              <w:suppressAutoHyphens/>
              <w:rPr>
                <w:spacing w:val="-2"/>
              </w:rPr>
            </w:pPr>
          </w:p>
          <w:p w:rsidR="00286950" w:rsidRPr="003D274A" w:rsidP="009A10FF" w14:paraId="13EAEE02" w14:textId="77777777">
            <w:pPr>
              <w:tabs>
                <w:tab w:val="center" w:pos="4680"/>
              </w:tabs>
              <w:suppressAutoHyphens/>
              <w:rPr>
                <w:spacing w:val="-2"/>
              </w:rPr>
            </w:pPr>
            <w:r w:rsidRPr="003D274A">
              <w:rPr>
                <w:spacing w:val="-2"/>
              </w:rPr>
              <w:t>In the Matter of</w:t>
            </w:r>
          </w:p>
          <w:p w:rsidR="00286950" w:rsidRPr="003D274A" w:rsidP="009A10FF" w14:paraId="36B97348" w14:textId="77777777">
            <w:pPr>
              <w:tabs>
                <w:tab w:val="center" w:pos="4680"/>
              </w:tabs>
              <w:suppressAutoHyphens/>
              <w:rPr>
                <w:spacing w:val="-2"/>
              </w:rPr>
            </w:pPr>
          </w:p>
          <w:p w:rsidR="00286950" w:rsidRPr="003D274A" w:rsidP="009A10FF" w14:paraId="21C89DF8" w14:textId="0F3E65EB">
            <w:pPr>
              <w:tabs>
                <w:tab w:val="center" w:pos="4680"/>
              </w:tabs>
              <w:suppressAutoHyphens/>
              <w:rPr>
                <w:spacing w:val="-2"/>
              </w:rPr>
            </w:pPr>
            <w:r>
              <w:t>ClearSKY</w:t>
            </w:r>
            <w:r>
              <w:t xml:space="preserve"> Systems, Inc</w:t>
            </w:r>
            <w:r w:rsidR="000314BB">
              <w:t>.</w:t>
            </w:r>
          </w:p>
          <w:p w:rsidR="00286950" w:rsidRPr="003D274A" w:rsidP="009A10FF" w14:paraId="2860F2B6" w14:textId="562391DD">
            <w:pPr>
              <w:tabs>
                <w:tab w:val="center" w:pos="4680"/>
              </w:tabs>
              <w:suppressAutoHyphens/>
              <w:rPr>
                <w:spacing w:val="-2"/>
              </w:rPr>
            </w:pPr>
          </w:p>
          <w:p w:rsidR="00286950" w:rsidRPr="003D274A" w:rsidP="0063139F" w14:paraId="2A4BEBC3" w14:textId="3A7509DD">
            <w:pPr>
              <w:tabs>
                <w:tab w:val="center" w:pos="4680"/>
              </w:tabs>
              <w:suppressAutoHyphens/>
              <w:rPr>
                <w:spacing w:val="-2"/>
              </w:rPr>
            </w:pPr>
          </w:p>
        </w:tc>
        <w:tc>
          <w:tcPr>
            <w:tcW w:w="630" w:type="dxa"/>
          </w:tcPr>
          <w:p w:rsidR="00956880" w:rsidP="009A10FF" w14:paraId="02A85920" w14:textId="77777777">
            <w:pPr>
              <w:tabs>
                <w:tab w:val="center" w:pos="4680"/>
              </w:tabs>
              <w:suppressAutoHyphens/>
              <w:rPr>
                <w:b/>
                <w:spacing w:val="-2"/>
              </w:rPr>
            </w:pPr>
          </w:p>
          <w:p w:rsidR="00286950" w:rsidRPr="003D274A" w:rsidP="009A10FF" w14:paraId="3DA061CB" w14:textId="77777777">
            <w:pPr>
              <w:tabs>
                <w:tab w:val="center" w:pos="4680"/>
              </w:tabs>
              <w:suppressAutoHyphens/>
              <w:rPr>
                <w:b/>
                <w:spacing w:val="-2"/>
              </w:rPr>
            </w:pPr>
            <w:r w:rsidRPr="003D274A">
              <w:rPr>
                <w:b/>
                <w:spacing w:val="-2"/>
              </w:rPr>
              <w:t>)</w:t>
            </w:r>
          </w:p>
          <w:p w:rsidR="00286950" w:rsidRPr="003D274A" w:rsidP="009A10FF" w14:paraId="4CD48D4D" w14:textId="77777777">
            <w:pPr>
              <w:tabs>
                <w:tab w:val="center" w:pos="4680"/>
              </w:tabs>
              <w:suppressAutoHyphens/>
              <w:rPr>
                <w:b/>
                <w:spacing w:val="-2"/>
              </w:rPr>
            </w:pPr>
            <w:r w:rsidRPr="003D274A">
              <w:rPr>
                <w:b/>
                <w:spacing w:val="-2"/>
              </w:rPr>
              <w:t>)</w:t>
            </w:r>
          </w:p>
          <w:p w:rsidR="00286950" w:rsidRPr="003D274A" w:rsidP="009A10FF" w14:paraId="113D93AC" w14:textId="77777777">
            <w:pPr>
              <w:tabs>
                <w:tab w:val="center" w:pos="4680"/>
              </w:tabs>
              <w:suppressAutoHyphens/>
              <w:rPr>
                <w:b/>
                <w:spacing w:val="-2"/>
              </w:rPr>
            </w:pPr>
            <w:r w:rsidRPr="003D274A">
              <w:rPr>
                <w:b/>
                <w:spacing w:val="-2"/>
              </w:rPr>
              <w:t>)</w:t>
            </w:r>
          </w:p>
          <w:p w:rsidR="00286950" w:rsidRPr="003D274A" w:rsidP="009A10FF" w14:paraId="0256F904" w14:textId="77777777">
            <w:pPr>
              <w:tabs>
                <w:tab w:val="center" w:pos="4680"/>
              </w:tabs>
              <w:suppressAutoHyphens/>
              <w:rPr>
                <w:b/>
                <w:spacing w:val="-2"/>
              </w:rPr>
            </w:pPr>
            <w:r w:rsidRPr="003D274A">
              <w:rPr>
                <w:b/>
                <w:spacing w:val="-2"/>
              </w:rPr>
              <w:t>)</w:t>
            </w:r>
          </w:p>
          <w:p w:rsidR="00286950" w:rsidRPr="003D274A" w:rsidP="009A10FF" w14:paraId="5D9BC586" w14:textId="77777777">
            <w:pPr>
              <w:tabs>
                <w:tab w:val="center" w:pos="4680"/>
              </w:tabs>
              <w:suppressAutoHyphens/>
              <w:rPr>
                <w:b/>
                <w:spacing w:val="-2"/>
              </w:rPr>
            </w:pPr>
            <w:r w:rsidRPr="003D274A">
              <w:rPr>
                <w:b/>
                <w:spacing w:val="-2"/>
              </w:rPr>
              <w:t>)</w:t>
            </w:r>
          </w:p>
          <w:p w:rsidR="00286950" w:rsidRPr="003D274A" w:rsidP="009A10FF" w14:paraId="3BF592EE" w14:textId="77777777">
            <w:pPr>
              <w:tabs>
                <w:tab w:val="center" w:pos="4680"/>
              </w:tabs>
              <w:suppressAutoHyphens/>
              <w:rPr>
                <w:b/>
                <w:spacing w:val="-2"/>
              </w:rPr>
            </w:pPr>
            <w:r w:rsidRPr="003D274A">
              <w:rPr>
                <w:b/>
                <w:spacing w:val="-2"/>
              </w:rPr>
              <w:t>)</w:t>
            </w:r>
          </w:p>
          <w:p w:rsidR="00286950" w:rsidRPr="003D274A" w:rsidP="009A10FF" w14:paraId="7AA57746" w14:textId="2679785E">
            <w:pPr>
              <w:tabs>
                <w:tab w:val="center" w:pos="4680"/>
              </w:tabs>
              <w:suppressAutoHyphens/>
              <w:rPr>
                <w:b/>
                <w:spacing w:val="-2"/>
              </w:rPr>
            </w:pPr>
            <w:r w:rsidRPr="003D274A">
              <w:rPr>
                <w:b/>
                <w:spacing w:val="-2"/>
              </w:rPr>
              <w:t>)</w:t>
            </w:r>
            <w:r w:rsidRPr="003D274A">
              <w:rPr>
                <w:b/>
                <w:spacing w:val="-2"/>
              </w:rPr>
              <w:br/>
              <w:t>)</w:t>
            </w:r>
          </w:p>
        </w:tc>
        <w:tc>
          <w:tcPr>
            <w:tcW w:w="4248" w:type="dxa"/>
          </w:tcPr>
          <w:p w:rsidR="00286950" w:rsidRPr="003D274A" w:rsidP="009A10FF" w14:paraId="38DDC226" w14:textId="77777777">
            <w:pPr>
              <w:tabs>
                <w:tab w:val="center" w:pos="4680"/>
              </w:tabs>
              <w:suppressAutoHyphens/>
              <w:rPr>
                <w:spacing w:val="-2"/>
                <w:lang w:val="es-UY"/>
              </w:rPr>
            </w:pPr>
          </w:p>
          <w:p w:rsidR="00286950" w:rsidRPr="003D274A" w:rsidP="009A10FF" w14:paraId="2E6E0040" w14:textId="77777777">
            <w:pPr>
              <w:tabs>
                <w:tab w:val="center" w:pos="4680"/>
              </w:tabs>
              <w:suppressAutoHyphens/>
              <w:rPr>
                <w:spacing w:val="-2"/>
                <w:lang w:val="es-UY"/>
              </w:rPr>
            </w:pPr>
          </w:p>
          <w:p w:rsidR="00286950" w:rsidRPr="003D274A" w:rsidP="009A10FF" w14:paraId="4D0C65ED" w14:textId="77777777">
            <w:pPr>
              <w:tabs>
                <w:tab w:val="center" w:pos="4680"/>
              </w:tabs>
              <w:suppressAutoHyphens/>
              <w:rPr>
                <w:spacing w:val="-2"/>
                <w:lang w:val="es-UY"/>
              </w:rPr>
            </w:pPr>
          </w:p>
          <w:p w:rsidR="00286950" w:rsidRPr="000E0D86" w:rsidP="009A10FF" w14:paraId="6FAF044B" w14:textId="38B1D548">
            <w:pPr>
              <w:tabs>
                <w:tab w:val="center" w:pos="4680"/>
              </w:tabs>
              <w:suppressAutoHyphens/>
              <w:rPr>
                <w:lang w:val="es-UY"/>
              </w:rPr>
            </w:pPr>
            <w:r w:rsidRPr="000E0D86">
              <w:rPr>
                <w:lang w:val="es-UY"/>
              </w:rPr>
              <w:t xml:space="preserve">File No. </w:t>
            </w:r>
            <w:r w:rsidRPr="000E0D86" w:rsidR="00BA7AA5">
              <w:rPr>
                <w:lang w:val="es-UY"/>
              </w:rPr>
              <w:t>EB-IHD-20-</w:t>
            </w:r>
            <w:r w:rsidRPr="000E0D86" w:rsidR="000E0D86">
              <w:rPr>
                <w:lang w:val="es-UY"/>
              </w:rPr>
              <w:t>00031639</w:t>
            </w:r>
          </w:p>
          <w:p w:rsidR="008022EF" w:rsidRPr="00344261" w:rsidP="009A10FF" w14:paraId="48894359" w14:textId="101DFCA1">
            <w:pPr>
              <w:tabs>
                <w:tab w:val="center" w:pos="4680"/>
              </w:tabs>
              <w:suppressAutoHyphens/>
              <w:rPr>
                <w:spacing w:val="-2"/>
              </w:rPr>
            </w:pPr>
            <w:r w:rsidRPr="00344261">
              <w:rPr>
                <w:spacing w:val="-2"/>
                <w:lang w:val="es-UY"/>
              </w:rPr>
              <w:t>NAL</w:t>
            </w:r>
            <w:r w:rsidRPr="00344261">
              <w:rPr>
                <w:spacing w:val="-2"/>
                <w:lang w:val="es-UY"/>
              </w:rPr>
              <w:t>/</w:t>
            </w:r>
            <w:r w:rsidRPr="00344261">
              <w:rPr>
                <w:spacing w:val="-2"/>
                <w:lang w:val="es-UY"/>
              </w:rPr>
              <w:t>Acct</w:t>
            </w:r>
            <w:r w:rsidRPr="00344261">
              <w:rPr>
                <w:spacing w:val="-2"/>
                <w:lang w:val="es-UY"/>
              </w:rPr>
              <w:t xml:space="preserve">. No. </w:t>
            </w:r>
            <w:r w:rsidR="00344261">
              <w:rPr>
                <w:color w:val="222222"/>
                <w:shd w:val="clear" w:color="auto" w:fill="FFFFFF"/>
              </w:rPr>
              <w:t>202132080023</w:t>
            </w:r>
          </w:p>
          <w:p w:rsidR="008022EF" w:rsidP="009A10FF" w14:paraId="4B2AEB14" w14:textId="013700FC">
            <w:pPr>
              <w:tabs>
                <w:tab w:val="center" w:pos="4680"/>
              </w:tabs>
              <w:suppressAutoHyphens/>
              <w:rPr>
                <w:spacing w:val="-2"/>
                <w:lang w:val="es-UY"/>
              </w:rPr>
            </w:pPr>
            <w:r w:rsidRPr="0059757D">
              <w:rPr>
                <w:spacing w:val="-2"/>
                <w:lang w:val="es-UY"/>
              </w:rPr>
              <w:t xml:space="preserve">FRN No. </w:t>
            </w:r>
            <w:r w:rsidRPr="0059757D" w:rsidR="0059757D">
              <w:rPr>
                <w:spacing w:val="-2"/>
                <w:lang w:val="es-UY"/>
              </w:rPr>
              <w:t>0025446428</w:t>
            </w:r>
          </w:p>
          <w:p w:rsidR="00286950" w:rsidRPr="003D274A" w:rsidP="009A10FF" w14:paraId="2844B13A" w14:textId="50B42D60">
            <w:pPr>
              <w:tabs>
                <w:tab w:val="center" w:pos="4680"/>
              </w:tabs>
              <w:suppressAutoHyphens/>
              <w:rPr>
                <w:spacing w:val="-2"/>
                <w:lang w:val="es-UY"/>
              </w:rPr>
            </w:pPr>
          </w:p>
          <w:p w:rsidR="00286950" w:rsidRPr="003D274A" w:rsidP="009A10FF" w14:paraId="6E4FBAD6" w14:textId="77777777">
            <w:pPr>
              <w:tabs>
                <w:tab w:val="center" w:pos="4680"/>
              </w:tabs>
              <w:suppressAutoHyphens/>
              <w:rPr>
                <w:spacing w:val="-2"/>
                <w:lang w:val="es-UY"/>
              </w:rPr>
            </w:pPr>
          </w:p>
          <w:p w:rsidR="00286950" w:rsidRPr="003D274A" w:rsidP="009A10FF" w14:paraId="03BF8980" w14:textId="77777777">
            <w:pPr>
              <w:tabs>
                <w:tab w:val="center" w:pos="4680"/>
              </w:tabs>
              <w:suppressAutoHyphens/>
              <w:rPr>
                <w:spacing w:val="-2"/>
                <w:lang w:val="es-UY"/>
              </w:rPr>
            </w:pPr>
          </w:p>
          <w:p w:rsidR="00286950" w:rsidRPr="003D274A" w:rsidP="009A10FF" w14:paraId="3FD1AC38" w14:textId="77777777">
            <w:pPr>
              <w:pStyle w:val="TOAHeading"/>
              <w:tabs>
                <w:tab w:val="center" w:pos="4680"/>
                <w:tab w:val="clear" w:pos="9360"/>
              </w:tabs>
              <w:rPr>
                <w:spacing w:val="-2"/>
              </w:rPr>
            </w:pPr>
          </w:p>
          <w:p w:rsidR="00286950" w:rsidRPr="003D274A" w:rsidP="009A10FF" w14:paraId="69C8BB87" w14:textId="77777777">
            <w:pPr>
              <w:tabs>
                <w:tab w:val="center" w:pos="4680"/>
              </w:tabs>
              <w:suppressAutoHyphens/>
              <w:rPr>
                <w:spacing w:val="-2"/>
              </w:rPr>
            </w:pPr>
          </w:p>
        </w:tc>
      </w:tr>
    </w:tbl>
    <w:p w:rsidR="00286950" w:rsidRPr="00E670A0" w:rsidP="009A10FF" w14:paraId="1CA83A2C" w14:textId="77777777">
      <w:pPr>
        <w:pStyle w:val="StyleBoldCentered"/>
        <w:rPr>
          <w:rFonts w:ascii="Times New Roman" w:hAnsi="Times New Roman"/>
        </w:rPr>
      </w:pPr>
      <w:r w:rsidRPr="00E670A0">
        <w:rPr>
          <w:rFonts w:ascii="Times New Roman" w:hAnsi="Times New Roman"/>
        </w:rPr>
        <w:t>NOTICE OF APPARENT LIABILITY FOR FORFEITURE</w:t>
      </w:r>
    </w:p>
    <w:p w:rsidR="00286950" w:rsidRPr="00E670A0" w:rsidP="009A10FF" w14:paraId="7CCC5CB5" w14:textId="77777777">
      <w:pPr>
        <w:pStyle w:val="StyleBoldCentered"/>
        <w:rPr>
          <w:rFonts w:ascii="Times New Roman" w:hAnsi="Times New Roman"/>
        </w:rPr>
      </w:pPr>
    </w:p>
    <w:p w:rsidR="00286950" w:rsidRPr="00E670A0" w:rsidP="009A10FF" w14:paraId="470D8AD5" w14:textId="77777777">
      <w:pPr>
        <w:tabs>
          <w:tab w:val="left" w:pos="-720"/>
        </w:tabs>
        <w:suppressAutoHyphens/>
        <w:spacing w:line="227" w:lineRule="auto"/>
        <w:rPr>
          <w:spacing w:val="-2"/>
        </w:rPr>
      </w:pPr>
    </w:p>
    <w:p w:rsidR="00286950" w:rsidRPr="003D274A" w:rsidP="009A10FF" w14:paraId="6D93E99D" w14:textId="61E0F0B8">
      <w:pPr>
        <w:tabs>
          <w:tab w:val="left" w:pos="204"/>
          <w:tab w:val="left" w:pos="720"/>
          <w:tab w:val="left" w:pos="5760"/>
        </w:tabs>
        <w:suppressAutoHyphens/>
        <w:spacing w:line="227" w:lineRule="auto"/>
        <w:rPr>
          <w:spacing w:val="-2"/>
        </w:rPr>
      </w:pPr>
      <w:r w:rsidRPr="00E670A0">
        <w:rPr>
          <w:b/>
          <w:spacing w:val="-2"/>
        </w:rPr>
        <w:t xml:space="preserve">Adopted:  </w:t>
      </w:r>
      <w:r w:rsidRPr="00E670A0" w:rsidR="000726D1">
        <w:rPr>
          <w:b/>
          <w:spacing w:val="-2"/>
        </w:rPr>
        <w:t>February</w:t>
      </w:r>
      <w:r w:rsidRPr="00E670A0" w:rsidR="00542705">
        <w:rPr>
          <w:b/>
          <w:spacing w:val="-2"/>
        </w:rPr>
        <w:t xml:space="preserve"> </w:t>
      </w:r>
      <w:r w:rsidRPr="00E670A0" w:rsidR="00E670A0">
        <w:rPr>
          <w:b/>
          <w:spacing w:val="-2"/>
        </w:rPr>
        <w:t>25</w:t>
      </w:r>
      <w:r w:rsidRPr="00E670A0" w:rsidR="008022EF">
        <w:rPr>
          <w:b/>
          <w:spacing w:val="-2"/>
        </w:rPr>
        <w:t>, 202</w:t>
      </w:r>
      <w:r w:rsidRPr="00E670A0" w:rsidR="00542705">
        <w:rPr>
          <w:b/>
          <w:spacing w:val="-2"/>
        </w:rPr>
        <w:t>1</w:t>
      </w:r>
      <w:r w:rsidRPr="00E670A0">
        <w:rPr>
          <w:b/>
          <w:spacing w:val="-2"/>
        </w:rPr>
        <w:tab/>
      </w:r>
      <w:r w:rsidRPr="00E670A0">
        <w:rPr>
          <w:b/>
          <w:spacing w:val="-2"/>
        </w:rPr>
        <w:tab/>
        <w:t xml:space="preserve">Released: </w:t>
      </w:r>
      <w:r w:rsidRPr="00E670A0" w:rsidR="000726D1">
        <w:rPr>
          <w:b/>
          <w:spacing w:val="-2"/>
        </w:rPr>
        <w:t xml:space="preserve">February </w:t>
      </w:r>
      <w:r w:rsidRPr="00E670A0" w:rsidR="00E670A0">
        <w:rPr>
          <w:b/>
          <w:spacing w:val="-2"/>
        </w:rPr>
        <w:t>25</w:t>
      </w:r>
      <w:r w:rsidRPr="00E670A0" w:rsidR="00792AE0">
        <w:rPr>
          <w:b/>
          <w:spacing w:val="-2"/>
        </w:rPr>
        <w:t xml:space="preserve">, </w:t>
      </w:r>
      <w:r w:rsidRPr="00E670A0" w:rsidR="006E14F6">
        <w:rPr>
          <w:b/>
          <w:spacing w:val="-2"/>
        </w:rPr>
        <w:t>202</w:t>
      </w:r>
      <w:r w:rsidRPr="00E670A0" w:rsidR="00542705">
        <w:rPr>
          <w:b/>
          <w:spacing w:val="-2"/>
        </w:rPr>
        <w:t>1</w:t>
      </w:r>
    </w:p>
    <w:p w:rsidR="00286950" w:rsidRPr="003D274A" w:rsidP="009A10FF" w14:paraId="5E761CE0" w14:textId="77777777"/>
    <w:p w:rsidR="00286950" w:rsidRPr="003D274A" w:rsidP="009A10FF" w14:paraId="743EAC7E" w14:textId="77777777">
      <w:pPr>
        <w:rPr>
          <w:spacing w:val="-2"/>
        </w:rPr>
      </w:pPr>
      <w:r w:rsidRPr="003D274A">
        <w:t>By the Chief, Enforcement Bureau</w:t>
      </w:r>
      <w:r w:rsidRPr="003D274A">
        <w:rPr>
          <w:spacing w:val="-2"/>
        </w:rPr>
        <w:t>:</w:t>
      </w:r>
    </w:p>
    <w:p w:rsidR="00286950" w:rsidRPr="003D274A" w:rsidP="009A10FF" w14:paraId="236C45ED" w14:textId="77777777"/>
    <w:p w:rsidR="00286950" w:rsidRPr="003D274A" w:rsidP="009A10FF" w14:paraId="0BC35B29" w14:textId="77777777">
      <w:pPr>
        <w:pStyle w:val="Heading1"/>
        <w:rPr>
          <w:rFonts w:ascii="Times New Roman" w:hAnsi="Times New Roman"/>
        </w:rPr>
      </w:pPr>
      <w:r w:rsidRPr="003D274A">
        <w:rPr>
          <w:rFonts w:ascii="Times New Roman" w:hAnsi="Times New Roman"/>
        </w:rPr>
        <w:t>Introduction</w:t>
      </w:r>
    </w:p>
    <w:p w:rsidR="00286950" w:rsidRPr="003D274A" w:rsidP="006E3BA9" w14:paraId="608CE100" w14:textId="42075500">
      <w:pPr>
        <w:pStyle w:val="ParaNum"/>
        <w:widowControl/>
        <w:spacing w:after="240"/>
      </w:pPr>
      <w:r w:rsidRPr="003D274A">
        <w:rPr>
          <w:shd w:val="clear" w:color="auto" w:fill="FFFFFF"/>
        </w:rPr>
        <w:t>The Connect America Fund (CAF) Phase II (CAF-II)</w:t>
      </w:r>
      <w:r>
        <w:rPr>
          <w:rStyle w:val="FootnoteReference"/>
          <w:shd w:val="clear" w:color="auto" w:fill="FFFFFF"/>
        </w:rPr>
        <w:footnoteReference w:id="3"/>
      </w:r>
      <w:r w:rsidRPr="003D274A">
        <w:rPr>
          <w:shd w:val="clear" w:color="auto" w:fill="FFFFFF"/>
        </w:rPr>
        <w:t xml:space="preserve"> Auction (Auction 903) </w:t>
      </w:r>
      <w:r w:rsidRPr="003D274A">
        <w:t xml:space="preserve">was conducted to award financial support to service providers who committed to increasing broadband services in areas of great need.  The Federal Communications Commission (FCC or Commission) took steps to protect the integrity and proper functioning of Auction 903 by advising auction participants to diligently </w:t>
      </w:r>
      <w:r w:rsidR="009575A4">
        <w:t>observe</w:t>
      </w:r>
      <w:r w:rsidRPr="003D274A">
        <w:t xml:space="preserve"> all auction requirements and by establishing a </w:t>
      </w:r>
      <w:r w:rsidR="00165C10">
        <w:t xml:space="preserve">forfeiture </w:t>
      </w:r>
      <w:r w:rsidRPr="003D274A">
        <w:t xml:space="preserve">penalty for default.  </w:t>
      </w:r>
      <w:r w:rsidR="00930C26">
        <w:t>ClearSKY</w:t>
      </w:r>
      <w:r w:rsidR="00930C26">
        <w:t xml:space="preserve"> Systems, Inc</w:t>
      </w:r>
      <w:r w:rsidR="00AD34C0">
        <w:t>.</w:t>
      </w:r>
      <w:r w:rsidR="00BA11C3">
        <w:t xml:space="preserve"> </w:t>
      </w:r>
      <w:r w:rsidRPr="003D274A" w:rsidR="00BC1C47">
        <w:t>(</w:t>
      </w:r>
      <w:r w:rsidR="00930C26">
        <w:t>ClearSKY</w:t>
      </w:r>
      <w:r w:rsidRPr="003D274A">
        <w:t xml:space="preserve"> or Company)</w:t>
      </w:r>
      <w:bookmarkStart w:id="0" w:name="_Hlk15649741"/>
      <w:r>
        <w:rPr>
          <w:rStyle w:val="FootnoteReference"/>
        </w:rPr>
        <w:footnoteReference w:id="4"/>
      </w:r>
      <w:bookmarkEnd w:id="0"/>
      <w:r w:rsidRPr="003D274A" w:rsidR="007F6B9D">
        <w:t xml:space="preserve"> </w:t>
      </w:r>
      <w:r w:rsidRPr="003D274A">
        <w:t xml:space="preserve">was a winning bidder in Auction 903 but </w:t>
      </w:r>
      <w:r w:rsidR="009575A4">
        <w:t xml:space="preserve">defaulted on its bids by withdrawing </w:t>
      </w:r>
      <w:r w:rsidRPr="003D274A">
        <w:t>its application for support before receiving its award.  By defaulting on</w:t>
      </w:r>
      <w:r w:rsidRPr="003D274A" w:rsidR="00FE10A4">
        <w:t xml:space="preserve"> </w:t>
      </w:r>
      <w:r w:rsidR="00E03580">
        <w:t>all nine</w:t>
      </w:r>
      <w:r w:rsidRPr="003D274A" w:rsidR="00FE10A4">
        <w:t xml:space="preserve"> of</w:t>
      </w:r>
      <w:r w:rsidRPr="003D274A">
        <w:t xml:space="preserve"> </w:t>
      </w:r>
      <w:r w:rsidR="006E3BA9">
        <w:t>the</w:t>
      </w:r>
      <w:r w:rsidR="008E033D">
        <w:t xml:space="preserve"> </w:t>
      </w:r>
      <w:r w:rsidR="006E3BA9">
        <w:t>bids it was awarded</w:t>
      </w:r>
      <w:r w:rsidRPr="003D274A">
        <w:t xml:space="preserve">, the Company hindered the disbursement of funds that could have otherwise been productively used to increase broadband access to unserved or underserved areas.  </w:t>
      </w:r>
      <w:r w:rsidR="00E03580">
        <w:t xml:space="preserve">Furthermore, </w:t>
      </w:r>
      <w:r w:rsidR="00E03580">
        <w:t>ClearSKY</w:t>
      </w:r>
      <w:r w:rsidR="00E03580">
        <w:t xml:space="preserve"> </w:t>
      </w:r>
      <w:r w:rsidR="006E3BA9">
        <w:t xml:space="preserve">failed </w:t>
      </w:r>
      <w:r w:rsidR="00E03580">
        <w:t xml:space="preserve">to resolve </w:t>
      </w:r>
      <w:r w:rsidR="006E3BA9">
        <w:t xml:space="preserve">substantive </w:t>
      </w:r>
      <w:r w:rsidR="00E03580">
        <w:t>deficiencies in its long-form application</w:t>
      </w:r>
      <w:r w:rsidR="00856EFC">
        <w:t xml:space="preserve"> during the bid process</w:t>
      </w:r>
      <w:r w:rsidR="00D93EAD">
        <w:t xml:space="preserve">, and ultimately failed to submit </w:t>
      </w:r>
      <w:r w:rsidR="006E3BA9">
        <w:t xml:space="preserve">its </w:t>
      </w:r>
      <w:r w:rsidR="00D93EAD">
        <w:t>audited financial statements</w:t>
      </w:r>
      <w:r w:rsidR="006E3BA9">
        <w:t>,</w:t>
      </w:r>
      <w:r w:rsidR="00D93EAD">
        <w:t xml:space="preserve"> </w:t>
      </w:r>
      <w:r w:rsidR="006E3BA9">
        <w:t xml:space="preserve">which was a requirement of all winning bidders, despite numerous requests </w:t>
      </w:r>
      <w:r w:rsidR="00856EFC">
        <w:t xml:space="preserve">from </w:t>
      </w:r>
      <w:r w:rsidRPr="00315A31" w:rsidR="00856EFC">
        <w:t xml:space="preserve">the Commission’s Wireline Competition </w:t>
      </w:r>
      <w:r w:rsidRPr="00315A31" w:rsidR="009E200A">
        <w:t>B</w:t>
      </w:r>
      <w:r w:rsidRPr="00315A31" w:rsidR="00856EFC">
        <w:t>ureau (WCB)</w:t>
      </w:r>
      <w:r w:rsidRPr="00315A31" w:rsidR="00D93EAD">
        <w:t xml:space="preserve">. </w:t>
      </w:r>
      <w:r w:rsidRPr="00315A31" w:rsidR="00E03580">
        <w:t xml:space="preserve"> </w:t>
      </w:r>
      <w:r w:rsidRPr="00315A31">
        <w:t xml:space="preserve">Accordingly, we propose a </w:t>
      </w:r>
      <w:r w:rsidR="00165C10">
        <w:t>forfeiture</w:t>
      </w:r>
      <w:r w:rsidRPr="00315A31">
        <w:t xml:space="preserve"> of $</w:t>
      </w:r>
      <w:r w:rsidRPr="00315A31" w:rsidR="00D93EAD">
        <w:t>56</w:t>
      </w:r>
      <w:r w:rsidRPr="00315A31">
        <w:t>,</w:t>
      </w:r>
      <w:r w:rsidRPr="00315A31" w:rsidR="00D93EAD">
        <w:t>370.71</w:t>
      </w:r>
      <w:r w:rsidRPr="003D274A" w:rsidR="00FE10A4">
        <w:t xml:space="preserve"> </w:t>
      </w:r>
      <w:r w:rsidR="000314BB">
        <w:t xml:space="preserve">against </w:t>
      </w:r>
      <w:r w:rsidRPr="003D274A">
        <w:t xml:space="preserve">the Company for </w:t>
      </w:r>
      <w:r w:rsidR="00BC47C0">
        <w:t>its apparent violation</w:t>
      </w:r>
      <w:r w:rsidR="009D5A31">
        <w:t xml:space="preserve">s of </w:t>
      </w:r>
      <w:r w:rsidRPr="003D274A" w:rsidR="009D5A31">
        <w:t>section 1.21004(a) of the Commission’s rules and the procedures established specifically for Auction 903</w:t>
      </w:r>
      <w:r w:rsidR="00D16ED0">
        <w:t>.</w:t>
      </w:r>
    </w:p>
    <w:p w:rsidR="00286950" w:rsidRPr="003D274A" w:rsidP="00A01361" w14:paraId="17A0A42E" w14:textId="77777777">
      <w:pPr>
        <w:pStyle w:val="Heading1"/>
        <w:widowControl/>
        <w:tabs>
          <w:tab w:val="num" w:pos="1440"/>
        </w:tabs>
        <w:rPr>
          <w:rFonts w:ascii="Times New Roman" w:hAnsi="Times New Roman"/>
        </w:rPr>
      </w:pPr>
      <w:r w:rsidRPr="003D274A">
        <w:rPr>
          <w:rFonts w:ascii="Times New Roman" w:hAnsi="Times New Roman"/>
        </w:rPr>
        <w:t xml:space="preserve">Background  </w:t>
      </w:r>
    </w:p>
    <w:p w:rsidR="002E127C" w:rsidRPr="00CC37E9" w:rsidP="00A01361" w14:paraId="3628C1AF" w14:textId="6B957C33">
      <w:pPr>
        <w:pStyle w:val="ParaNum"/>
        <w:widowControl/>
        <w:rPr>
          <w:spacing w:val="-2"/>
        </w:rPr>
      </w:pPr>
      <w:r>
        <w:rPr>
          <w:i/>
          <w:iCs/>
        </w:rPr>
        <w:t>Legal Framework</w:t>
      </w:r>
      <w:r w:rsidRPr="001E4F2E" w:rsidR="001E4F2E">
        <w:t>.</w:t>
      </w:r>
      <w:r w:rsidR="001E4F2E">
        <w:t xml:space="preserve">  </w:t>
      </w:r>
      <w:r w:rsidRPr="003D274A" w:rsidR="001E4F2E">
        <w:rPr>
          <w:shd w:val="clear" w:color="auto" w:fill="FFFFFF"/>
        </w:rPr>
        <w:t>In February 2018</w:t>
      </w:r>
      <w:r w:rsidR="00C7194E">
        <w:rPr>
          <w:shd w:val="clear" w:color="auto" w:fill="FFFFFF"/>
        </w:rPr>
        <w:t>,</w:t>
      </w:r>
      <w:r w:rsidRPr="003D274A" w:rsidR="001E4F2E">
        <w:rPr>
          <w:shd w:val="clear" w:color="auto" w:fill="FFFFFF"/>
        </w:rPr>
        <w:t xml:space="preserve"> the Commission established a bidding process</w:t>
      </w:r>
      <w:r w:rsidR="00455F3D">
        <w:rPr>
          <w:shd w:val="clear" w:color="auto" w:fill="FFFFFF"/>
        </w:rPr>
        <w:t xml:space="preserve"> and deadlines</w:t>
      </w:r>
      <w:r w:rsidRPr="003D274A" w:rsidR="001E4F2E">
        <w:rPr>
          <w:shd w:val="clear" w:color="auto" w:fill="FFFFFF"/>
        </w:rPr>
        <w:t xml:space="preserve"> </w:t>
      </w:r>
      <w:r w:rsidR="001E4F2E">
        <w:rPr>
          <w:shd w:val="clear" w:color="auto" w:fill="FFFFFF"/>
        </w:rPr>
        <w:t>for Auction 903</w:t>
      </w:r>
      <w:r w:rsidRPr="003D274A" w:rsidR="001E4F2E">
        <w:rPr>
          <w:shd w:val="clear" w:color="auto" w:fill="FFFFFF"/>
        </w:rPr>
        <w:t>.</w:t>
      </w:r>
      <w:r>
        <w:rPr>
          <w:rStyle w:val="FootnoteReference"/>
          <w:shd w:val="clear" w:color="auto" w:fill="FFFFFF"/>
        </w:rPr>
        <w:footnoteReference w:id="5"/>
      </w:r>
      <w:r w:rsidRPr="003D274A" w:rsidR="001E4F2E">
        <w:rPr>
          <w:shd w:val="clear" w:color="auto" w:fill="FFFFFF"/>
        </w:rPr>
        <w:t xml:space="preserve">  </w:t>
      </w:r>
      <w:r w:rsidR="009575A4">
        <w:rPr>
          <w:shd w:val="clear" w:color="auto" w:fill="FFFFFF"/>
        </w:rPr>
        <w:t>The process required e</w:t>
      </w:r>
      <w:r w:rsidRPr="003D274A" w:rsidR="009A5532">
        <w:rPr>
          <w:shd w:val="clear" w:color="auto" w:fill="FFFFFF"/>
        </w:rPr>
        <w:t xml:space="preserve">ach bidder </w:t>
      </w:r>
      <w:r w:rsidR="009A5532">
        <w:rPr>
          <w:shd w:val="clear" w:color="auto" w:fill="FFFFFF"/>
        </w:rPr>
        <w:t xml:space="preserve">to </w:t>
      </w:r>
      <w:r w:rsidRPr="003D274A" w:rsidR="009A5532">
        <w:rPr>
          <w:shd w:val="clear" w:color="auto" w:fill="FFFFFF"/>
        </w:rPr>
        <w:t xml:space="preserve">file </w:t>
      </w:r>
      <w:r w:rsidR="009A5532">
        <w:rPr>
          <w:shd w:val="clear" w:color="auto" w:fill="FFFFFF"/>
        </w:rPr>
        <w:t xml:space="preserve">its </w:t>
      </w:r>
      <w:r w:rsidRPr="003D274A" w:rsidR="009A5532">
        <w:rPr>
          <w:shd w:val="clear" w:color="auto" w:fill="FFFFFF"/>
        </w:rPr>
        <w:t>FCC Form 183 (Short-Form Application) no later than March 30, 2018.</w:t>
      </w:r>
      <w:r>
        <w:rPr>
          <w:rStyle w:val="FootnoteReference"/>
          <w:shd w:val="clear" w:color="auto" w:fill="FFFFFF"/>
        </w:rPr>
        <w:footnoteReference w:id="6"/>
      </w:r>
      <w:r w:rsidRPr="003D274A" w:rsidR="009A5532">
        <w:rPr>
          <w:shd w:val="clear" w:color="auto" w:fill="FFFFFF"/>
        </w:rPr>
        <w:t xml:space="preserve">  </w:t>
      </w:r>
      <w:r w:rsidR="009A5532">
        <w:rPr>
          <w:shd w:val="clear" w:color="auto" w:fill="FFFFFF"/>
        </w:rPr>
        <w:t xml:space="preserve">Each bidder also had to </w:t>
      </w:r>
      <w:r w:rsidRPr="003D274A" w:rsidR="009A5532">
        <w:rPr>
          <w:shd w:val="clear" w:color="auto" w:fill="FFFFFF"/>
        </w:rPr>
        <w:t xml:space="preserve">provide </w:t>
      </w:r>
      <w:r w:rsidRPr="00CC37E9" w:rsidR="009A5532">
        <w:rPr>
          <w:shd w:val="clear" w:color="auto" w:fill="FFFFFF"/>
        </w:rPr>
        <w:t>information in its Short-</w:t>
      </w:r>
      <w:r w:rsidRPr="00CC37E9" w:rsidR="009A5532">
        <w:rPr>
          <w:shd w:val="clear" w:color="auto" w:fill="FFFFFF"/>
        </w:rPr>
        <w:t xml:space="preserve">Form Application that demonstrated its baseline financial qualifications and technical capabilities to establish </w:t>
      </w:r>
      <w:r w:rsidR="009575A4">
        <w:rPr>
          <w:shd w:val="clear" w:color="auto" w:fill="FFFFFF"/>
        </w:rPr>
        <w:t xml:space="preserve">its </w:t>
      </w:r>
      <w:r w:rsidRPr="00CC37E9" w:rsidR="009A5532">
        <w:rPr>
          <w:shd w:val="clear" w:color="auto" w:fill="FFFFFF"/>
        </w:rPr>
        <w:t>eligibility.</w:t>
      </w:r>
      <w:r>
        <w:rPr>
          <w:rStyle w:val="FootnoteReference"/>
          <w:shd w:val="clear" w:color="auto" w:fill="FFFFFF"/>
        </w:rPr>
        <w:footnoteReference w:id="7"/>
      </w:r>
      <w:r w:rsidRPr="00CC37E9" w:rsidR="009A5532">
        <w:rPr>
          <w:shd w:val="clear" w:color="auto" w:fill="FFFFFF"/>
        </w:rPr>
        <w:t xml:space="preserve"> </w:t>
      </w:r>
      <w:r w:rsidRPr="00CC37E9" w:rsidR="009A5532">
        <w:t xml:space="preserve"> Additionally, winning bidders were required to submit a post-auction application for support, FCC Form 683 (Long-Form Application), no later than October 15, 2018.</w:t>
      </w:r>
      <w:r>
        <w:rPr>
          <w:rStyle w:val="FootnoteReference"/>
        </w:rPr>
        <w:footnoteReference w:id="8"/>
      </w:r>
      <w:r w:rsidRPr="00CC37E9" w:rsidR="00B37B38">
        <w:t xml:space="preserve">  </w:t>
      </w:r>
      <w:r w:rsidRPr="00CC37E9" w:rsidR="001E4F2E">
        <w:rPr>
          <w:shd w:val="clear" w:color="auto" w:fill="FFFFFF"/>
        </w:rPr>
        <w:t xml:space="preserve">The Commission </w:t>
      </w:r>
      <w:r w:rsidRPr="00CC37E9" w:rsidR="00B52959">
        <w:rPr>
          <w:shd w:val="clear" w:color="auto" w:fill="FFFFFF"/>
        </w:rPr>
        <w:t>specified that</w:t>
      </w:r>
      <w:r w:rsidR="0095794F">
        <w:rPr>
          <w:shd w:val="clear" w:color="auto" w:fill="FFFFFF"/>
        </w:rPr>
        <w:t xml:space="preserve"> applicants </w:t>
      </w:r>
      <w:r w:rsidR="0046218F">
        <w:rPr>
          <w:shd w:val="clear" w:color="auto" w:fill="FFFFFF"/>
        </w:rPr>
        <w:t>would be subject to a forfeiture in the event of default before they were authorized to begin receiving support</w:t>
      </w:r>
      <w:r w:rsidRPr="00CC37E9" w:rsidR="003C79CF">
        <w:rPr>
          <w:shd w:val="clear" w:color="auto" w:fill="FFFFFF"/>
        </w:rPr>
        <w:t>:</w:t>
      </w:r>
      <w:r>
        <w:rPr>
          <w:rStyle w:val="FootnoteReference"/>
          <w:shd w:val="clear" w:color="auto" w:fill="FFFFFF"/>
        </w:rPr>
        <w:footnoteReference w:id="9"/>
      </w:r>
      <w:r w:rsidRPr="00CC37E9" w:rsidR="001E4F2E">
        <w:rPr>
          <w:shd w:val="clear" w:color="auto" w:fill="FFFFFF"/>
        </w:rPr>
        <w:t xml:space="preserve"> </w:t>
      </w:r>
    </w:p>
    <w:p w:rsidR="002E127C" w:rsidP="00C145FB" w14:paraId="7EA5B54A" w14:textId="184D60F3">
      <w:pPr>
        <w:pStyle w:val="ParaNum"/>
        <w:numPr>
          <w:ilvl w:val="0"/>
          <w:numId w:val="0"/>
        </w:numPr>
        <w:ind w:left="720" w:right="720"/>
        <w:rPr>
          <w:spacing w:val="-2"/>
        </w:rPr>
      </w:pPr>
      <w:r w:rsidRPr="003D274A">
        <w:rPr>
          <w:spacing w:val="-2"/>
        </w:rPr>
        <w:t>Any Auction 903 winning bidder or long-form applicant will be subject to a forfeiture in the event of a default before it is authorized to begin receiving support.  A winning bidder or long-form applicant will be considered in default and will be subject to forfeiture if it fails to timely file a long-form application, fails to meet the document submission deadlines, is found ineligible or unqualified to receive Phase II support by the Bureaus on delegated authority, and</w:t>
      </w:r>
      <w:r w:rsidR="008F42C3">
        <w:rPr>
          <w:spacing w:val="-2"/>
        </w:rPr>
        <w:t>/</w:t>
      </w:r>
      <w:r w:rsidRPr="003D274A">
        <w:rPr>
          <w:spacing w:val="-2"/>
        </w:rPr>
        <w:t>or otherwise defaults on its winning bids or is disqualified for any reason prior to the authorization of support.  Any such determination by the Bureaus shall be final, and a winning bidder or long</w:t>
      </w:r>
      <w:r w:rsidR="0095794F">
        <w:rPr>
          <w:spacing w:val="-2"/>
        </w:rPr>
        <w:t>-</w:t>
      </w:r>
      <w:r w:rsidRPr="003D274A">
        <w:rPr>
          <w:spacing w:val="-2"/>
        </w:rPr>
        <w:t xml:space="preserve">form applicant shall have no opportunity to cure through additional submissions, negotiations, or otherwise.  </w:t>
      </w:r>
      <w:r w:rsidRPr="003D274A">
        <w:rPr>
          <w:b/>
          <w:spacing w:val="-2"/>
        </w:rPr>
        <w:t>Agreeing to such payment in the event of a default is a condition for participating in the Phase II auction</w:t>
      </w:r>
      <w:r w:rsidRPr="003D274A">
        <w:rPr>
          <w:spacing w:val="-2"/>
        </w:rPr>
        <w:t>.</w:t>
      </w:r>
      <w:r>
        <w:rPr>
          <w:rStyle w:val="FootnoteReference"/>
          <w:spacing w:val="-2"/>
        </w:rPr>
        <w:footnoteReference w:id="10"/>
      </w:r>
    </w:p>
    <w:p w:rsidR="00D365EE" w:rsidRPr="004A79CA" w:rsidP="005401B9" w14:paraId="6AC5CEC3" w14:textId="058540E8">
      <w:pPr>
        <w:pStyle w:val="ParaNum"/>
        <w:widowControl/>
      </w:pPr>
      <w:r>
        <w:t>The Commission required e</w:t>
      </w:r>
      <w:r w:rsidR="008561AB">
        <w:t xml:space="preserve">ach bidder filing </w:t>
      </w:r>
      <w:r w:rsidR="0045684B">
        <w:t>l</w:t>
      </w:r>
      <w:r w:rsidR="00E91AE2">
        <w:t xml:space="preserve">ong-form </w:t>
      </w:r>
      <w:r w:rsidR="008561AB">
        <w:t xml:space="preserve">applications to </w:t>
      </w:r>
      <w:r>
        <w:t xml:space="preserve">submit </w:t>
      </w:r>
      <w:r w:rsidR="008561AB">
        <w:t xml:space="preserve">its </w:t>
      </w:r>
      <w:r>
        <w:t>audited financial statements to the Commission.</w:t>
      </w:r>
      <w:r>
        <w:rPr>
          <w:rStyle w:val="FootnoteReference"/>
        </w:rPr>
        <w:footnoteReference w:id="11"/>
      </w:r>
      <w:r w:rsidR="009045D0">
        <w:t xml:space="preserve"> </w:t>
      </w:r>
      <w:r w:rsidR="009A311C">
        <w:t xml:space="preserve"> When the Commission announced the closure of Auction 903 and its winning bidders on August 28, 2018, </w:t>
      </w:r>
      <w:r w:rsidR="00996862">
        <w:t xml:space="preserve">it made clear that </w:t>
      </w:r>
      <w:r w:rsidR="00913D80">
        <w:t>L</w:t>
      </w:r>
      <w:r w:rsidR="00996862">
        <w:t>ong-</w:t>
      </w:r>
      <w:r w:rsidR="00913D80">
        <w:t>F</w:t>
      </w:r>
      <w:r w:rsidR="00996862">
        <w:t>orm applicants must file “</w:t>
      </w:r>
      <w:r w:rsidRPr="00996862" w:rsidR="00996862">
        <w:t>financial statements from the prior fiscal year (i.e., 2017) that have been audited by an independent certified public accountant</w:t>
      </w:r>
      <w:r w:rsidR="00996862">
        <w:t>” by February 25, 2019.</w:t>
      </w:r>
      <w:r>
        <w:rPr>
          <w:rStyle w:val="FootnoteReference"/>
        </w:rPr>
        <w:footnoteReference w:id="12"/>
      </w:r>
      <w:r w:rsidR="00996862">
        <w:t xml:space="preserve"> </w:t>
      </w:r>
      <w:r w:rsidR="00724AC7">
        <w:t xml:space="preserve"> </w:t>
      </w:r>
      <w:r w:rsidR="00C60E68">
        <w:t xml:space="preserve">The Commission </w:t>
      </w:r>
      <w:r w:rsidR="00031B57">
        <w:t xml:space="preserve">established that </w:t>
      </w:r>
      <w:r w:rsidR="00913D80">
        <w:t>L</w:t>
      </w:r>
      <w:r w:rsidR="00031B57">
        <w:t>ong</w:t>
      </w:r>
      <w:r w:rsidR="00996862">
        <w:t>-</w:t>
      </w:r>
      <w:r w:rsidR="00913D80">
        <w:t>F</w:t>
      </w:r>
      <w:r w:rsidR="00996862">
        <w:t xml:space="preserve">orm applicants </w:t>
      </w:r>
      <w:r w:rsidR="006E3BA9">
        <w:t xml:space="preserve">who </w:t>
      </w:r>
      <w:r w:rsidR="00197502">
        <w:t xml:space="preserve">fail to timely submit </w:t>
      </w:r>
      <w:r w:rsidR="007F1789">
        <w:t xml:space="preserve">their </w:t>
      </w:r>
      <w:r w:rsidR="00197502">
        <w:t xml:space="preserve">audited financial </w:t>
      </w:r>
      <w:r w:rsidR="00125804">
        <w:t xml:space="preserve">statements </w:t>
      </w:r>
      <w:r w:rsidR="00197502">
        <w:t>may be subject to an additional</w:t>
      </w:r>
      <w:r w:rsidR="00996862">
        <w:t xml:space="preserve"> $50,000 </w:t>
      </w:r>
      <w:r w:rsidR="00197502">
        <w:t xml:space="preserve">base </w:t>
      </w:r>
      <w:r w:rsidR="00996862">
        <w:t xml:space="preserve">forfeiture penalty </w:t>
      </w:r>
      <w:r w:rsidR="00724AC7">
        <w:t>that is separate from and cumulative with any forfeiture penalties assessed for default.</w:t>
      </w:r>
      <w:r>
        <w:rPr>
          <w:rStyle w:val="FootnoteReference"/>
        </w:rPr>
        <w:footnoteReference w:id="13"/>
      </w:r>
      <w:r w:rsidR="00724AC7">
        <w:t xml:space="preserve"> </w:t>
      </w:r>
    </w:p>
    <w:p w:rsidR="001D3017" w:rsidP="009A10FF" w14:paraId="4E5C410D" w14:textId="6D59A34E">
      <w:pPr>
        <w:pStyle w:val="ParaNum"/>
        <w:widowControl/>
        <w:spacing w:after="240"/>
      </w:pPr>
      <w:r>
        <w:rPr>
          <w:i/>
          <w:iCs/>
          <w:shd w:val="clear" w:color="auto" w:fill="FFFFFF"/>
        </w:rPr>
        <w:t xml:space="preserve">Factual background. </w:t>
      </w:r>
      <w:r>
        <w:rPr>
          <w:shd w:val="clear" w:color="auto" w:fill="FFFFFF"/>
        </w:rPr>
        <w:t xml:space="preserve"> </w:t>
      </w:r>
      <w:r w:rsidR="005552E0">
        <w:t>ClearSKY</w:t>
      </w:r>
      <w:r w:rsidRPr="003D274A">
        <w:t xml:space="preserve"> is a</w:t>
      </w:r>
      <w:r w:rsidR="005552E0">
        <w:t>n Illinois</w:t>
      </w:r>
      <w:r w:rsidR="00B939CA">
        <w:t>-</w:t>
      </w:r>
      <w:r w:rsidR="005552E0">
        <w:t>based</w:t>
      </w:r>
      <w:r w:rsidR="00B939CA">
        <w:t xml:space="preserve"> Internet </w:t>
      </w:r>
      <w:r w:rsidR="008561AB">
        <w:t xml:space="preserve">service provider </w:t>
      </w:r>
      <w:r w:rsidR="00B939CA">
        <w:t>(ISP) that provides broadband packages for residential, business, and corporate purposes.</w:t>
      </w:r>
      <w:r>
        <w:rPr>
          <w:rStyle w:val="FootnoteReference"/>
        </w:rPr>
        <w:footnoteReference w:id="14"/>
      </w:r>
      <w:r w:rsidR="00B939CA">
        <w:t xml:space="preserve">  </w:t>
      </w:r>
      <w:r w:rsidR="00B939CA">
        <w:t>ClearSKY</w:t>
      </w:r>
      <w:r w:rsidR="00B939CA">
        <w:t xml:space="preserve"> has provided </w:t>
      </w:r>
      <w:r w:rsidR="00B939CA">
        <w:t xml:space="preserve">internet connectivity to rural Illinois areas since </w:t>
      </w:r>
      <w:r w:rsidR="002F01CE">
        <w:t>1999 and</w:t>
      </w:r>
      <w:r w:rsidR="003D7557">
        <w:t xml:space="preserve"> maintains its status as a </w:t>
      </w:r>
      <w:r w:rsidR="00125804">
        <w:t>locally owned</w:t>
      </w:r>
      <w:r w:rsidR="003D7557">
        <w:t xml:space="preserve"> and operated ISP.</w:t>
      </w:r>
      <w:r>
        <w:rPr>
          <w:rStyle w:val="FootnoteReference"/>
        </w:rPr>
        <w:footnoteReference w:id="15"/>
      </w:r>
      <w:r w:rsidR="003D7557">
        <w:t xml:space="preserve"> </w:t>
      </w:r>
    </w:p>
    <w:p w:rsidR="00286950" w:rsidRPr="003D274A" w:rsidP="009A10FF" w14:paraId="08C730C3" w14:textId="6A3D742E">
      <w:pPr>
        <w:pStyle w:val="ParaNum"/>
        <w:widowControl/>
        <w:spacing w:after="240"/>
      </w:pPr>
      <w:r>
        <w:rPr>
          <w:shd w:val="clear" w:color="auto" w:fill="FFFFFF"/>
        </w:rPr>
        <w:t>B</w:t>
      </w:r>
      <w:r w:rsidRPr="003D274A">
        <w:rPr>
          <w:shd w:val="clear" w:color="auto" w:fill="FFFFFF"/>
        </w:rPr>
        <w:t>etween July 24, 2018 and August 21, 2018,</w:t>
      </w:r>
      <w:r>
        <w:rPr>
          <w:shd w:val="clear" w:color="auto" w:fill="FFFFFF"/>
        </w:rPr>
        <w:t xml:space="preserve"> t</w:t>
      </w:r>
      <w:r w:rsidRPr="003D274A">
        <w:rPr>
          <w:shd w:val="clear" w:color="auto" w:fill="FFFFFF"/>
        </w:rPr>
        <w:t xml:space="preserve">he Commission conducted Auction 903 </w:t>
      </w:r>
      <w:r w:rsidRPr="003D274A">
        <w:rPr>
          <w:shd w:val="clear" w:color="auto" w:fill="FFFFFF"/>
        </w:rPr>
        <w:t>to allocate CAF-II monetary support to certain eligible areas</w:t>
      </w:r>
      <w:r>
        <w:rPr>
          <w:rStyle w:val="FootnoteReference"/>
          <w:shd w:val="clear" w:color="auto" w:fill="FFFFFF"/>
        </w:rPr>
        <w:footnoteReference w:id="16"/>
      </w:r>
      <w:r w:rsidRPr="003D274A">
        <w:rPr>
          <w:shd w:val="clear" w:color="auto" w:fill="FFFFFF"/>
        </w:rPr>
        <w:t xml:space="preserve"> across the United States.  </w:t>
      </w:r>
      <w:r w:rsidR="008561AB">
        <w:rPr>
          <w:shd w:val="clear" w:color="auto" w:fill="FFFFFF"/>
        </w:rPr>
        <w:t xml:space="preserve">In Auction 903, the Commission planned to </w:t>
      </w:r>
      <w:r w:rsidRPr="003D274A">
        <w:rPr>
          <w:shd w:val="clear" w:color="auto" w:fill="FFFFFF"/>
        </w:rPr>
        <w:t>award up to $198 million in annual support, a total of</w:t>
      </w:r>
      <w:r w:rsidR="00EF4AF4">
        <w:rPr>
          <w:shd w:val="clear" w:color="auto" w:fill="FFFFFF"/>
        </w:rPr>
        <w:t xml:space="preserve"> up to</w:t>
      </w:r>
      <w:r w:rsidRPr="003D274A">
        <w:rPr>
          <w:shd w:val="clear" w:color="auto" w:fill="FFFFFF"/>
        </w:rPr>
        <w:t xml:space="preserve"> $1.98 billion over ten years, in ongoing high-cost universal service support to service providers that committed to offering voice and broadband services in unserved areas.</w:t>
      </w:r>
      <w:r>
        <w:rPr>
          <w:rStyle w:val="FootnoteReference"/>
          <w:shd w:val="clear" w:color="auto" w:fill="FFFFFF"/>
        </w:rPr>
        <w:footnoteReference w:id="17"/>
      </w:r>
      <w:r w:rsidRPr="003D274A">
        <w:rPr>
          <w:shd w:val="clear" w:color="auto" w:fill="FFFFFF"/>
        </w:rPr>
        <w:t xml:space="preserve">  </w:t>
      </w:r>
      <w:r w:rsidRPr="003D274A" w:rsidR="009575A4">
        <w:rPr>
          <w:shd w:val="clear" w:color="auto" w:fill="FFFFFF"/>
        </w:rPr>
        <w:t>Auction 903 was intended to close the digital divide for all Americans, including those in the rural areas of our country.</w:t>
      </w:r>
      <w:r>
        <w:rPr>
          <w:rStyle w:val="FootnoteReference"/>
          <w:shd w:val="clear" w:color="auto" w:fill="FFFFFF"/>
        </w:rPr>
        <w:footnoteReference w:id="18"/>
      </w:r>
      <w:r w:rsidRPr="003D274A" w:rsidR="009575A4">
        <w:rPr>
          <w:shd w:val="clear" w:color="auto" w:fill="FFFFFF"/>
        </w:rPr>
        <w:t xml:space="preserve">  </w:t>
      </w:r>
      <w:r w:rsidRPr="003D274A" w:rsidR="006D29EF">
        <w:rPr>
          <w:shd w:val="clear" w:color="auto" w:fill="FFFFFF"/>
        </w:rPr>
        <w:t>After reviewing the Short-Form Applications, the Commission announced the applicants qualified to participate in Auction 903.</w:t>
      </w:r>
      <w:r>
        <w:rPr>
          <w:rStyle w:val="FootnoteReference"/>
          <w:shd w:val="clear" w:color="auto" w:fill="FFFFFF"/>
        </w:rPr>
        <w:footnoteReference w:id="19"/>
      </w:r>
      <w:r w:rsidRPr="003D274A" w:rsidR="006D29EF">
        <w:rPr>
          <w:shd w:val="clear" w:color="auto" w:fill="FFFFFF"/>
        </w:rPr>
        <w:t xml:space="preserve">  </w:t>
      </w:r>
    </w:p>
    <w:p w:rsidR="00E00B19" w:rsidP="00E00B19" w14:paraId="2067AD6C" w14:textId="2E7C19F7">
      <w:pPr>
        <w:pStyle w:val="ParaNum"/>
        <w:widowControl/>
        <w:spacing w:after="240"/>
      </w:pPr>
      <w:r w:rsidRPr="003D274A">
        <w:t>Once bidding began</w:t>
      </w:r>
      <w:r w:rsidR="005900F0">
        <w:t xml:space="preserve"> in </w:t>
      </w:r>
      <w:r w:rsidRPr="003D274A" w:rsidR="005900F0">
        <w:t>Auction 903</w:t>
      </w:r>
      <w:r w:rsidRPr="003D274A">
        <w:t>, the Commission conducted a multi-round, descending clock auction.</w:t>
      </w:r>
      <w:r>
        <w:rPr>
          <w:rStyle w:val="FootnoteReference"/>
        </w:rPr>
        <w:footnoteReference w:id="20"/>
      </w:r>
      <w:r>
        <w:t xml:space="preserve">  </w:t>
      </w:r>
      <w:r w:rsidRPr="003D274A" w:rsidR="00286950">
        <w:t>The minimum geographic areas established by the Commission for bidding in Auction 903 were Census Block Groups (CBGs) that contained one or more eligible census blocks, identified in a list released by the Commission’s Wireline Competition Bureau in December 2017.</w:t>
      </w:r>
      <w:r>
        <w:rPr>
          <w:rStyle w:val="FootnoteReference"/>
        </w:rPr>
        <w:footnoteReference w:id="21"/>
      </w:r>
      <w:r w:rsidRPr="003D274A" w:rsidR="00286950">
        <w:t xml:space="preserve">  </w:t>
      </w:r>
      <w:r w:rsidR="003428D1">
        <w:t>T</w:t>
      </w:r>
      <w:r w:rsidRPr="003D274A" w:rsidR="00286950">
        <w:t xml:space="preserve">he list of CBGs included </w:t>
      </w:r>
      <w:r w:rsidR="008514DC">
        <w:t>210,647</w:t>
      </w:r>
      <w:r w:rsidRPr="003D274A" w:rsidR="008D338E">
        <w:t xml:space="preserve"> </w:t>
      </w:r>
      <w:r w:rsidRPr="003D274A" w:rsidR="00286950">
        <w:t xml:space="preserve">eligible census blocks, located in </w:t>
      </w:r>
      <w:r w:rsidR="008514DC">
        <w:t>30,033</w:t>
      </w:r>
      <w:r w:rsidRPr="003D274A" w:rsidR="00286950">
        <w:t xml:space="preserve"> CBGs.</w:t>
      </w:r>
      <w:r>
        <w:rPr>
          <w:rStyle w:val="FootnoteReference"/>
        </w:rPr>
        <w:footnoteReference w:id="22"/>
      </w:r>
      <w:r w:rsidRPr="003D274A" w:rsidR="00286950">
        <w:t xml:space="preserve">  On August, 28, 2018, the Commission released a Public Notice identifying the 103 winning bidders who had won</w:t>
      </w:r>
      <w:r w:rsidRPr="006961EE" w:rsidR="00286950">
        <w:rPr>
          <w:shd w:val="clear" w:color="auto" w:fill="FFFFFF"/>
        </w:rPr>
        <w:t xml:space="preserve"> </w:t>
      </w:r>
      <w:r w:rsidRPr="003D274A" w:rsidR="00286950">
        <w:t>$1.488 billion in support over a ten-year period</w:t>
      </w:r>
      <w:r w:rsidRPr="006961EE" w:rsidR="00286950">
        <w:rPr>
          <w:shd w:val="clear" w:color="auto" w:fill="FFFFFF"/>
        </w:rPr>
        <w:t>.</w:t>
      </w:r>
      <w:r>
        <w:rPr>
          <w:rStyle w:val="FootnoteReference"/>
          <w:shd w:val="clear" w:color="auto" w:fill="FFFFFF"/>
        </w:rPr>
        <w:footnoteReference w:id="23"/>
      </w:r>
      <w:r w:rsidRPr="006961EE" w:rsidR="00286950">
        <w:rPr>
          <w:shd w:val="clear" w:color="auto" w:fill="FFFFFF"/>
        </w:rPr>
        <w:t xml:space="preserve">  </w:t>
      </w:r>
      <w:r w:rsidRPr="003D274A" w:rsidR="00286950">
        <w:t>Winning bidders were given the opportunity to assign some or all of their winning bids to related entities by September 14, 2018.</w:t>
      </w:r>
      <w:r>
        <w:rPr>
          <w:rStyle w:val="FootnoteReference"/>
        </w:rPr>
        <w:footnoteReference w:id="24"/>
      </w:r>
      <w:r w:rsidRPr="003D274A" w:rsidR="00286950">
        <w:t xml:space="preserve">  </w:t>
      </w:r>
    </w:p>
    <w:p w:rsidR="00087213" w:rsidP="00E00B19" w14:paraId="09D74408" w14:textId="201DD6F7">
      <w:pPr>
        <w:pStyle w:val="ParaNum"/>
        <w:widowControl/>
        <w:spacing w:after="240"/>
      </w:pPr>
      <w:r>
        <w:t>ClearSKY</w:t>
      </w:r>
      <w:r w:rsidRPr="003D274A" w:rsidR="00286950">
        <w:t xml:space="preserve"> </w:t>
      </w:r>
      <w:r w:rsidRPr="003D274A" w:rsidR="00744F36">
        <w:t xml:space="preserve">timely </w:t>
      </w:r>
      <w:r w:rsidRPr="003D274A" w:rsidR="00286950">
        <w:t xml:space="preserve">submitted </w:t>
      </w:r>
      <w:r w:rsidRPr="003D274A" w:rsidR="00E041BD">
        <w:t xml:space="preserve">its </w:t>
      </w:r>
      <w:r w:rsidRPr="003D274A" w:rsidR="00286950">
        <w:t>Short-Form Application to participate in Auction 903</w:t>
      </w:r>
      <w:r>
        <w:rPr>
          <w:rStyle w:val="FootnoteReference"/>
        </w:rPr>
        <w:footnoteReference w:id="25"/>
      </w:r>
      <w:r w:rsidRPr="003D274A" w:rsidR="00286950">
        <w:t xml:space="preserve"> and was a successful bidder, winning </w:t>
      </w:r>
      <w:r w:rsidRPr="003D274A" w:rsidR="00BB17EC">
        <w:t>$</w:t>
      </w:r>
      <w:r w:rsidR="00D454BE">
        <w:t>127</w:t>
      </w:r>
      <w:r w:rsidRPr="003D274A" w:rsidR="00022BCE">
        <w:t>,</w:t>
      </w:r>
      <w:r w:rsidR="00D454BE">
        <w:t>414</w:t>
      </w:r>
      <w:r w:rsidRPr="003D274A" w:rsidR="00022BCE">
        <w:t>.</w:t>
      </w:r>
      <w:r w:rsidR="00D454BE">
        <w:t>2</w:t>
      </w:r>
      <w:r w:rsidRPr="003D274A" w:rsidR="00022BCE">
        <w:t>0</w:t>
      </w:r>
      <w:r w:rsidRPr="003D274A" w:rsidR="00286950">
        <w:t xml:space="preserve"> of support for </w:t>
      </w:r>
      <w:r w:rsidR="005900F0">
        <w:t>nine</w:t>
      </w:r>
      <w:r w:rsidRPr="003D274A" w:rsidR="005900F0">
        <w:t xml:space="preserve"> </w:t>
      </w:r>
      <w:r w:rsidRPr="003D274A" w:rsidR="00286950">
        <w:t xml:space="preserve">CBGs covering </w:t>
      </w:r>
      <w:r w:rsidR="00D454BE">
        <w:t>207</w:t>
      </w:r>
      <w:r w:rsidRPr="003D274A" w:rsidR="00286950">
        <w:t xml:space="preserve"> locations in </w:t>
      </w:r>
      <w:r w:rsidR="00D454BE">
        <w:t>Illinois</w:t>
      </w:r>
      <w:r w:rsidRPr="003D274A" w:rsidR="00286950">
        <w:t>.</w:t>
      </w:r>
      <w:r>
        <w:rPr>
          <w:rStyle w:val="FootnoteReference"/>
        </w:rPr>
        <w:footnoteReference w:id="26"/>
      </w:r>
      <w:r w:rsidRPr="003D274A" w:rsidR="00286950">
        <w:t xml:space="preserve">  </w:t>
      </w:r>
      <w:r w:rsidR="000D0DB7">
        <w:t xml:space="preserve">All </w:t>
      </w:r>
      <w:r w:rsidR="00454C10">
        <w:t xml:space="preserve">winning </w:t>
      </w:r>
      <w:r w:rsidR="000D0DB7">
        <w:t xml:space="preserve">bidders were required to complete </w:t>
      </w:r>
      <w:r w:rsidR="00454C10">
        <w:t xml:space="preserve">a </w:t>
      </w:r>
      <w:r w:rsidR="00861C86">
        <w:t xml:space="preserve">Long-Form Application </w:t>
      </w:r>
      <w:r w:rsidR="000D0DB7">
        <w:t xml:space="preserve">using </w:t>
      </w:r>
      <w:r w:rsidR="00861C86">
        <w:t xml:space="preserve">an interactive online submission portal with </w:t>
      </w:r>
      <w:r w:rsidR="000D0DB7">
        <w:t xml:space="preserve">a number of </w:t>
      </w:r>
      <w:r w:rsidR="00861C86">
        <w:t>sequential filing windows</w:t>
      </w:r>
      <w:r w:rsidR="000D0DB7">
        <w:t xml:space="preserve">, each with a </w:t>
      </w:r>
      <w:r w:rsidR="00861C86">
        <w:t>corresponding deadline</w:t>
      </w:r>
      <w:r w:rsidR="000D0DB7">
        <w:t>,</w:t>
      </w:r>
      <w:r w:rsidR="00861C86">
        <w:t xml:space="preserve"> </w:t>
      </w:r>
      <w:r w:rsidR="00861C86">
        <w:t>for</w:t>
      </w:r>
      <w:r w:rsidR="00C12CFA">
        <w:t xml:space="preserve"> differing sets of information</w:t>
      </w:r>
      <w:r w:rsidR="0068142D">
        <w:t xml:space="preserve"> to</w:t>
      </w:r>
      <w:r w:rsidR="000D0DB7">
        <w:t>, among other things,</w:t>
      </w:r>
      <w:r w:rsidR="0068142D">
        <w:t xml:space="preserve"> verify financial reliability</w:t>
      </w:r>
      <w:r w:rsidR="00C12CFA">
        <w:t>.</w:t>
      </w:r>
      <w:r>
        <w:rPr>
          <w:rStyle w:val="FootnoteReference"/>
        </w:rPr>
        <w:footnoteReference w:id="27"/>
      </w:r>
      <w:r w:rsidR="00D75E4D">
        <w:t xml:space="preserve">  Once </w:t>
      </w:r>
      <w:r w:rsidR="00316451">
        <w:t>all</w:t>
      </w:r>
      <w:r w:rsidR="00D75E4D">
        <w:t xml:space="preserve"> </w:t>
      </w:r>
      <w:r w:rsidR="000D0DB7">
        <w:t xml:space="preserve">the filing  </w:t>
      </w:r>
      <w:r w:rsidR="00D75E4D">
        <w:t xml:space="preserve">deadlines </w:t>
      </w:r>
      <w:r w:rsidR="000D0DB7">
        <w:t>had passed, the Company’s Long-Form Application remained substantively incomplete.  T</w:t>
      </w:r>
      <w:r w:rsidR="008B75BA">
        <w:t>he Commission</w:t>
      </w:r>
      <w:r w:rsidR="000D0DB7">
        <w:t xml:space="preserve"> made subsequent </w:t>
      </w:r>
      <w:r w:rsidR="008B75BA">
        <w:t xml:space="preserve">requests </w:t>
      </w:r>
      <w:r w:rsidR="00454C10">
        <w:t xml:space="preserve">to </w:t>
      </w:r>
      <w:r w:rsidR="00454C10">
        <w:t>ClearSKY</w:t>
      </w:r>
      <w:r w:rsidR="00454C10">
        <w:t xml:space="preserve"> </w:t>
      </w:r>
      <w:r w:rsidR="008B75BA">
        <w:t xml:space="preserve">for </w:t>
      </w:r>
      <w:r w:rsidR="00D75E4D">
        <w:t xml:space="preserve">the </w:t>
      </w:r>
      <w:r w:rsidR="00454C10">
        <w:t xml:space="preserve">Company’s </w:t>
      </w:r>
      <w:r w:rsidR="00316451">
        <w:t>missing</w:t>
      </w:r>
      <w:r w:rsidR="0068142D">
        <w:t xml:space="preserve"> </w:t>
      </w:r>
      <w:r w:rsidR="00D75E4D">
        <w:t xml:space="preserve">information </w:t>
      </w:r>
      <w:r w:rsidR="000D0DB7">
        <w:t>without success</w:t>
      </w:r>
      <w:r w:rsidR="00D75E4D">
        <w:t xml:space="preserve">, </w:t>
      </w:r>
      <w:r w:rsidR="000D0DB7">
        <w:t xml:space="preserve">whereupon </w:t>
      </w:r>
      <w:r w:rsidR="00D75E4D">
        <w:t>WCB</w:t>
      </w:r>
      <w:r w:rsidR="00D75E4D">
        <w:t xml:space="preserve"> issued </w:t>
      </w:r>
      <w:r w:rsidR="00D75E4D">
        <w:t>ClearSKY</w:t>
      </w:r>
      <w:r w:rsidR="00D75E4D">
        <w:t xml:space="preserve"> a demand letter on January 27, 202</w:t>
      </w:r>
      <w:r w:rsidR="00316451">
        <w:t>0.</w:t>
      </w:r>
      <w:r>
        <w:rPr>
          <w:rStyle w:val="FootnoteReference"/>
        </w:rPr>
        <w:footnoteReference w:id="28"/>
      </w:r>
      <w:r w:rsidR="00316451">
        <w:t xml:space="preserve"> </w:t>
      </w:r>
      <w:r w:rsidR="008B75BA">
        <w:t xml:space="preserve"> The </w:t>
      </w:r>
      <w:r w:rsidR="00454C10">
        <w:t xml:space="preserve">Commission’s </w:t>
      </w:r>
      <w:r w:rsidR="008B75BA">
        <w:t xml:space="preserve">demand letter </w:t>
      </w:r>
      <w:r w:rsidR="00454C10">
        <w:t xml:space="preserve">restated each </w:t>
      </w:r>
      <w:r w:rsidR="008B75BA">
        <w:t>substantive</w:t>
      </w:r>
      <w:r w:rsidR="00D75E4D">
        <w:t xml:space="preserve"> </w:t>
      </w:r>
      <w:r w:rsidR="008B42CA">
        <w:t xml:space="preserve">informational </w:t>
      </w:r>
      <w:r w:rsidR="00D75E4D">
        <w:t>deficienc</w:t>
      </w:r>
      <w:r w:rsidR="00454C10">
        <w:t>y</w:t>
      </w:r>
      <w:r w:rsidR="00D75E4D">
        <w:t xml:space="preserve"> with the Company’s Long-Form </w:t>
      </w:r>
      <w:r w:rsidR="00316451">
        <w:t xml:space="preserve">Application and </w:t>
      </w:r>
      <w:r w:rsidR="008B75BA">
        <w:t xml:space="preserve">provided </w:t>
      </w:r>
      <w:r w:rsidR="00316451">
        <w:t xml:space="preserve">a </w:t>
      </w:r>
      <w:r w:rsidR="008B75BA">
        <w:t xml:space="preserve">new </w:t>
      </w:r>
      <w:r w:rsidR="00316451">
        <w:t xml:space="preserve">deadline of February 26, 2020, </w:t>
      </w:r>
      <w:r w:rsidR="008B75BA">
        <w:t xml:space="preserve">for </w:t>
      </w:r>
      <w:r w:rsidR="008B75BA">
        <w:t>ClearS</w:t>
      </w:r>
      <w:r w:rsidR="00454C10">
        <w:t>KY</w:t>
      </w:r>
      <w:r w:rsidR="008B75BA">
        <w:t xml:space="preserve"> </w:t>
      </w:r>
      <w:r w:rsidR="00316451">
        <w:t xml:space="preserve">to </w:t>
      </w:r>
      <w:r w:rsidR="008B75BA">
        <w:t xml:space="preserve">provide </w:t>
      </w:r>
      <w:r w:rsidR="00316451">
        <w:t>the</w:t>
      </w:r>
      <w:r w:rsidR="008B75BA">
        <w:t xml:space="preserve"> </w:t>
      </w:r>
      <w:r w:rsidR="00316451">
        <w:t xml:space="preserve">information </w:t>
      </w:r>
      <w:r w:rsidR="00454C10">
        <w:t xml:space="preserve">requested by the Commission </w:t>
      </w:r>
      <w:r w:rsidR="00316451">
        <w:t>or be deemed in default</w:t>
      </w:r>
      <w:r w:rsidR="008B75BA">
        <w:t xml:space="preserve"> pursuant to the terms of Auction 903</w:t>
      </w:r>
      <w:r w:rsidR="00D75E4D">
        <w:t>.</w:t>
      </w:r>
      <w:r>
        <w:rPr>
          <w:rStyle w:val="FootnoteReference"/>
        </w:rPr>
        <w:footnoteReference w:id="29"/>
      </w:r>
      <w:r w:rsidR="00316451">
        <w:t xml:space="preserve">  </w:t>
      </w:r>
      <w:r w:rsidR="008B75BA">
        <w:t xml:space="preserve">The </w:t>
      </w:r>
      <w:r w:rsidR="00454C10">
        <w:t xml:space="preserve">additional time granted by </w:t>
      </w:r>
      <w:r w:rsidR="00454C10">
        <w:t>WCB</w:t>
      </w:r>
      <w:r w:rsidR="00454C10">
        <w:t xml:space="preserve"> for </w:t>
      </w:r>
      <w:r w:rsidR="008B42CA">
        <w:t>ClearS</w:t>
      </w:r>
      <w:r w:rsidR="00454C10">
        <w:t>KY</w:t>
      </w:r>
      <w:r w:rsidR="008B42CA">
        <w:t xml:space="preserve"> to provide the required information and cure its default extended by a year the </w:t>
      </w:r>
      <w:r w:rsidR="00454C10">
        <w:t xml:space="preserve">original </w:t>
      </w:r>
      <w:r w:rsidR="008B42CA">
        <w:t xml:space="preserve">deadline for the Company to submit its </w:t>
      </w:r>
      <w:r w:rsidR="00316451">
        <w:t>audited financial statements</w:t>
      </w:r>
      <w:r w:rsidR="00BB1B51">
        <w:t>,</w:t>
      </w:r>
      <w:r w:rsidR="00316451">
        <w:t xml:space="preserve"> </w:t>
      </w:r>
      <w:r w:rsidR="000C64EC">
        <w:t>which</w:t>
      </w:r>
      <w:r w:rsidR="008B42CA">
        <w:t xml:space="preserve"> should have been filed on </w:t>
      </w:r>
      <w:r w:rsidR="00316451">
        <w:t>February 25, 2019.</w:t>
      </w:r>
      <w:r>
        <w:rPr>
          <w:rStyle w:val="FootnoteReference"/>
        </w:rPr>
        <w:footnoteReference w:id="30"/>
      </w:r>
    </w:p>
    <w:p w:rsidR="00286950" w:rsidRPr="003D274A" w:rsidP="00BC472F" w14:paraId="200A0379" w14:textId="33CC8072">
      <w:pPr>
        <w:pStyle w:val="ParaNum"/>
        <w:spacing w:after="240"/>
      </w:pPr>
      <w:r>
        <w:t xml:space="preserve">Contrary to </w:t>
      </w:r>
      <w:r w:rsidR="003C1E4F">
        <w:t xml:space="preserve">the </w:t>
      </w:r>
      <w:r>
        <w:t>certification in its short-form application, the Company never submitted audited financial statements to WCB</w:t>
      </w:r>
      <w:r w:rsidR="00924836">
        <w:t xml:space="preserve"> when required, or even later</w:t>
      </w:r>
      <w:r>
        <w:t>.  Instead, o</w:t>
      </w:r>
      <w:r w:rsidRPr="003D274A" w:rsidR="002F34EC">
        <w:t>n</w:t>
      </w:r>
      <w:r w:rsidRPr="003D274A" w:rsidR="00226F18">
        <w:t xml:space="preserve"> </w:t>
      </w:r>
      <w:r w:rsidR="00367BB9">
        <w:t>February 10</w:t>
      </w:r>
      <w:r w:rsidRPr="003D274A" w:rsidR="00226F18">
        <w:t>, 20</w:t>
      </w:r>
      <w:r w:rsidR="00367BB9">
        <w:t>20</w:t>
      </w:r>
      <w:r w:rsidRPr="003D274A" w:rsidR="00226F18">
        <w:t xml:space="preserve">, </w:t>
      </w:r>
      <w:r w:rsidR="00367BB9">
        <w:t>ClearSKY</w:t>
      </w:r>
      <w:r w:rsidRPr="003D274A" w:rsidR="00226F18">
        <w:t xml:space="preserve"> notified </w:t>
      </w:r>
      <w:r w:rsidR="00367BB9">
        <w:t>WCB</w:t>
      </w:r>
      <w:r w:rsidRPr="003D274A" w:rsidR="00226F18">
        <w:t xml:space="preserve"> that it would default on </w:t>
      </w:r>
      <w:r w:rsidR="005E7E99">
        <w:t>all nine</w:t>
      </w:r>
      <w:r w:rsidRPr="003D274A" w:rsidR="00226F18">
        <w:t xml:space="preserve"> of its winning bids</w:t>
      </w:r>
      <w:r w:rsidRPr="003D274A">
        <w:t>.</w:t>
      </w:r>
      <w:r>
        <w:rPr>
          <w:rStyle w:val="FootnoteReference"/>
        </w:rPr>
        <w:footnoteReference w:id="31"/>
      </w:r>
      <w:r w:rsidRPr="003D274A" w:rsidR="00427BEF">
        <w:t xml:space="preserve">  </w:t>
      </w:r>
      <w:r w:rsidRPr="003D274A">
        <w:t xml:space="preserve">The Company stated that </w:t>
      </w:r>
      <w:r w:rsidR="00CF45FD">
        <w:t xml:space="preserve">it was </w:t>
      </w:r>
      <w:r w:rsidR="00924836">
        <w:t>underbid</w:t>
      </w:r>
      <w:r w:rsidR="00CF45FD">
        <w:t xml:space="preserve"> on the service locations it desired most, and left only with “a few census blocks, on the edge of our area.”</w:t>
      </w:r>
      <w:r>
        <w:rPr>
          <w:rStyle w:val="FootnoteReference"/>
        </w:rPr>
        <w:footnoteReference w:id="32"/>
      </w:r>
      <w:r w:rsidR="00CF45FD">
        <w:t xml:space="preserve">  Despite bidding on these service locations, </w:t>
      </w:r>
      <w:r w:rsidR="00CF45FD">
        <w:t>ClearSKY</w:t>
      </w:r>
      <w:r w:rsidR="00CF45FD">
        <w:t xml:space="preserve"> </w:t>
      </w:r>
      <w:r w:rsidR="00E25097">
        <w:t xml:space="preserve">asserted that </w:t>
      </w:r>
      <w:r w:rsidR="00CF45FD">
        <w:t>it “should not be penalized” for only acquiring the “the blocks that nobody wanted.”</w:t>
      </w:r>
      <w:r>
        <w:rPr>
          <w:rStyle w:val="FootnoteReference"/>
        </w:rPr>
        <w:footnoteReference w:id="33"/>
      </w:r>
      <w:r w:rsidR="004207F0">
        <w:t xml:space="preserve">  </w:t>
      </w:r>
      <w:r w:rsidRPr="003D274A">
        <w:t xml:space="preserve">Upon receiving notification from the Company of its intent to default </w:t>
      </w:r>
      <w:r w:rsidR="00356C54">
        <w:t xml:space="preserve">on </w:t>
      </w:r>
      <w:r w:rsidR="00BC47C0">
        <w:t xml:space="preserve">all of its </w:t>
      </w:r>
      <w:r w:rsidR="00356C54">
        <w:t>bids</w:t>
      </w:r>
      <w:r w:rsidRPr="003D274A">
        <w:t>, WCB referred the Company to the Commission’s Enforcement Bureau for enforcement action.</w:t>
      </w:r>
      <w:r>
        <w:rPr>
          <w:rStyle w:val="FootnoteReference"/>
        </w:rPr>
        <w:footnoteReference w:id="34"/>
      </w:r>
    </w:p>
    <w:p w:rsidR="00286950" w:rsidRPr="003D274A" w:rsidP="009A10FF" w14:paraId="3B33EE9B" w14:textId="77777777">
      <w:pPr>
        <w:pStyle w:val="Heading1"/>
        <w:rPr>
          <w:rFonts w:ascii="Times New Roman" w:hAnsi="Times New Roman"/>
        </w:rPr>
      </w:pPr>
      <w:r w:rsidRPr="003D274A">
        <w:rPr>
          <w:rFonts w:ascii="Times New Roman" w:hAnsi="Times New Roman"/>
        </w:rPr>
        <w:t>Discussion</w:t>
      </w:r>
    </w:p>
    <w:p w:rsidR="00286950" w:rsidRPr="003D274A" w:rsidP="00B4474F" w14:paraId="0209A7A7" w14:textId="3F761EEF">
      <w:pPr>
        <w:pStyle w:val="ParaNum"/>
        <w:widowControl/>
        <w:rPr>
          <w:spacing w:val="-2"/>
        </w:rPr>
      </w:pPr>
      <w:r>
        <w:t xml:space="preserve">We find that the Company apparently willfully violated the Commission’s rules and orders governing Auction 903 when it defaulted </w:t>
      </w:r>
      <w:r w:rsidR="00087213">
        <w:t>on its bids by failing to fulfill its obligations</w:t>
      </w:r>
      <w:r w:rsidR="00E17874">
        <w:t xml:space="preserve"> </w:t>
      </w:r>
      <w:r w:rsidR="008B027A">
        <w:t xml:space="preserve">and when it failed to submit </w:t>
      </w:r>
      <w:r w:rsidR="00E17874">
        <w:t xml:space="preserve">the required </w:t>
      </w:r>
      <w:r w:rsidR="008B027A">
        <w:t xml:space="preserve">audited financial statements </w:t>
      </w:r>
      <w:r w:rsidR="00E17874">
        <w:t>the Company agreed to provide when it applied to bid in Auction 903</w:t>
      </w:r>
      <w:r>
        <w:t>.</w:t>
      </w:r>
      <w:r>
        <w:rPr>
          <w:rStyle w:val="FootnoteReference"/>
        </w:rPr>
        <w:footnoteReference w:id="35"/>
      </w:r>
      <w:r>
        <w:t xml:space="preserve"> </w:t>
      </w:r>
    </w:p>
    <w:p w:rsidR="00286950" w:rsidRPr="003D274A" w:rsidP="00B4474F" w14:paraId="6416F00E" w14:textId="00779112">
      <w:pPr>
        <w:pStyle w:val="ParaNum"/>
        <w:widowControl/>
        <w:spacing w:after="240"/>
      </w:pPr>
      <w:r w:rsidRPr="003D274A">
        <w:t>By withdrawing its application for support, the Company defaulted o</w:t>
      </w:r>
      <w:r w:rsidR="00BA7D10">
        <w:t xml:space="preserve">n all nine of </w:t>
      </w:r>
      <w:r w:rsidR="00A43044">
        <w:t>its win</w:t>
      </w:r>
      <w:r w:rsidRPr="003D274A">
        <w:t>ning bid</w:t>
      </w:r>
      <w:r w:rsidR="00A43044">
        <w:t>s</w:t>
      </w:r>
      <w:r w:rsidRPr="003D274A">
        <w:t xml:space="preserve"> for Auction 903</w:t>
      </w:r>
      <w:r w:rsidRPr="003D274A" w:rsidR="00171A22">
        <w:t xml:space="preserve"> </w:t>
      </w:r>
      <w:r w:rsidRPr="003D274A">
        <w:t>in</w:t>
      </w:r>
      <w:r w:rsidRPr="003D274A" w:rsidR="00514D9F">
        <w:t xml:space="preserve"> </w:t>
      </w:r>
      <w:r w:rsidR="00BC47C0">
        <w:t xml:space="preserve">apparent </w:t>
      </w:r>
      <w:r w:rsidRPr="003D274A">
        <w:t>violation of section 1.21004(a) of the Commission’s rules and the procedures established specifically for Auction 903.</w:t>
      </w:r>
      <w:r>
        <w:rPr>
          <w:rStyle w:val="FootnoteReference"/>
        </w:rPr>
        <w:footnoteReference w:id="36"/>
      </w:r>
      <w:r w:rsidRPr="003D274A">
        <w:t xml:space="preserve">  </w:t>
      </w:r>
      <w:r w:rsidRPr="003D274A" w:rsidR="008D490F">
        <w:t xml:space="preserve">That the Company defaulted for logistical </w:t>
      </w:r>
      <w:r w:rsidR="008D490F">
        <w:t xml:space="preserve">and/or financial </w:t>
      </w:r>
      <w:r w:rsidRPr="003D274A" w:rsidR="008D490F">
        <w:t>reasons does not absolve it from its default.</w:t>
      </w:r>
      <w:r>
        <w:rPr>
          <w:rStyle w:val="FootnoteReference"/>
        </w:rPr>
        <w:footnoteReference w:id="37"/>
      </w:r>
      <w:r w:rsidRPr="003D274A" w:rsidR="008D490F">
        <w:t xml:space="preserve">  </w:t>
      </w:r>
      <w:r w:rsidR="00AA099B">
        <w:t>A w</w:t>
      </w:r>
      <w:r w:rsidRPr="003D274A">
        <w:t>inning bidder of a Commission auction that, for any reason, is not subsequently authorized to receive support has defaulted on its bid and is liable for a default payment.</w:t>
      </w:r>
      <w:r>
        <w:rPr>
          <w:rStyle w:val="FootnoteReference"/>
        </w:rPr>
        <w:footnoteReference w:id="38"/>
      </w:r>
      <w:r w:rsidRPr="003D274A">
        <w:t xml:space="preserve">  In Auction 903, the Commission concluded that it would impose a </w:t>
      </w:r>
      <w:r w:rsidR="00A1195E">
        <w:t xml:space="preserve">measured forfeiture penalty directly </w:t>
      </w:r>
      <w:r w:rsidR="000E6281">
        <w:t>correlated</w:t>
      </w:r>
      <w:r w:rsidR="00A1195E">
        <w:t xml:space="preserve"> to a bidder’s awarded support </w:t>
      </w:r>
      <w:r w:rsidRPr="003D274A">
        <w:t>in lieu of a default payment.</w:t>
      </w:r>
      <w:r>
        <w:rPr>
          <w:rStyle w:val="FootnoteReference"/>
        </w:rPr>
        <w:footnoteReference w:id="39"/>
      </w:r>
      <w:r w:rsidRPr="003D274A">
        <w:t xml:space="preserve">  </w:t>
      </w:r>
      <w:r w:rsidR="008D490F">
        <w:t>Those</w:t>
      </w:r>
      <w:r w:rsidRPr="003D274A" w:rsidR="008D490F">
        <w:t xml:space="preserve"> </w:t>
      </w:r>
      <w:r w:rsidR="008D490F">
        <w:t>forfeiture penalties</w:t>
      </w:r>
      <w:r w:rsidRPr="003D274A" w:rsidR="008D490F">
        <w:t xml:space="preserve"> for default </w:t>
      </w:r>
      <w:r w:rsidR="008D490F">
        <w:t>were</w:t>
      </w:r>
      <w:r w:rsidRPr="003D274A" w:rsidR="008D490F">
        <w:t xml:space="preserve"> clearly stated in the </w:t>
      </w:r>
      <w:r w:rsidRPr="00A43044" w:rsidR="008D490F">
        <w:rPr>
          <w:i/>
          <w:iCs/>
          <w:shd w:val="clear" w:color="auto" w:fill="FFFFFF"/>
        </w:rPr>
        <w:t>Phase II Auctions Procedures Public Notice</w:t>
      </w:r>
      <w:r w:rsidRPr="003D274A" w:rsidR="008D490F">
        <w:t xml:space="preserve"> before bidding ever began, so the Company can reasonably be expected to have considered the </w:t>
      </w:r>
      <w:r w:rsidR="008D490F">
        <w:t>anticipated forfeiture</w:t>
      </w:r>
      <w:r w:rsidRPr="003D274A" w:rsidR="008D490F">
        <w:t xml:space="preserve"> penalty both in its decision to bid for support, and </w:t>
      </w:r>
      <w:r w:rsidR="007E1F0D">
        <w:t>in</w:t>
      </w:r>
      <w:r w:rsidRPr="003D274A" w:rsidR="008D490F">
        <w:t xml:space="preserve"> the decision to subsequently to default on its bid</w:t>
      </w:r>
      <w:r w:rsidR="008D490F">
        <w:t>s</w:t>
      </w:r>
      <w:r w:rsidRPr="003D274A" w:rsidR="008D490F">
        <w:t>.</w:t>
      </w:r>
      <w:r>
        <w:rPr>
          <w:rStyle w:val="FootnoteReference"/>
        </w:rPr>
        <w:footnoteReference w:id="40"/>
      </w:r>
      <w:r w:rsidRPr="003D274A">
        <w:t xml:space="preserve"> </w:t>
      </w:r>
    </w:p>
    <w:p w:rsidR="00286950" w:rsidP="009A10FF" w14:paraId="3DE1E294" w14:textId="44907839">
      <w:pPr>
        <w:pStyle w:val="ParaNum"/>
        <w:widowControl/>
        <w:spacing w:after="240"/>
      </w:pPr>
      <w:r w:rsidRPr="003D274A">
        <w:t xml:space="preserve">The Company’s failure to adhere to the established auction procedures was disruptive to the integrity and efficiency of the auctions process.  The Commission adopted the forfeiture policy for Auction 903 to </w:t>
      </w:r>
      <w:r w:rsidR="0094230E">
        <w:t>“</w:t>
      </w:r>
      <w:r w:rsidRPr="003D274A">
        <w:t>impress upon recipients the importance of being prepared to meet all</w:t>
      </w:r>
      <w:r w:rsidR="0094230E">
        <w:t xml:space="preserve"> of our</w:t>
      </w:r>
      <w:r w:rsidRPr="003D274A">
        <w:t xml:space="preserve"> requirements for the post-selection review process and to emphasize the requirement that </w:t>
      </w:r>
      <w:r w:rsidR="0094230E">
        <w:t>they</w:t>
      </w:r>
      <w:r w:rsidRPr="003D274A">
        <w:t xml:space="preserve"> conduct a due diligence review to ensure that they are qualified to participate in the</w:t>
      </w:r>
      <w:r w:rsidR="0094230E">
        <w:t xml:space="preserve"> Phase II competitive bidding process</w:t>
      </w:r>
      <w:r w:rsidRPr="003D274A">
        <w:t xml:space="preserve"> and meet its terms and conditions.”</w:t>
      </w:r>
      <w:r>
        <w:rPr>
          <w:rStyle w:val="FootnoteReference"/>
        </w:rPr>
        <w:footnoteReference w:id="41"/>
      </w:r>
      <w:r w:rsidRPr="003D274A">
        <w:t xml:space="preserve">  Therefore, participants were expected to plan diligently to fulfill the obligations undertaken in Auction 903, including planning for any difficulties or other contingencies that arose during the process.  </w:t>
      </w:r>
      <w:r w:rsidR="0094230E">
        <w:t xml:space="preserve">By defaulting, </w:t>
      </w:r>
      <w:r w:rsidR="00FC488B">
        <w:t xml:space="preserve">and imposing additional delay of almost a full year in failing to respond to the Commission’s request for the necessary information, </w:t>
      </w:r>
      <w:r w:rsidR="0094230E">
        <w:t>t</w:t>
      </w:r>
      <w:r w:rsidRPr="003D274A" w:rsidR="00AA099B">
        <w:t xml:space="preserve">he Company hindered the disbursement of funds that could have gone to another provider, and thereby further </w:t>
      </w:r>
      <w:r w:rsidR="00260152">
        <w:t xml:space="preserve">substantially </w:t>
      </w:r>
      <w:r w:rsidRPr="003D274A" w:rsidR="00AA099B">
        <w:t xml:space="preserve">delayed the advancements in broadband offerings </w:t>
      </w:r>
      <w:r w:rsidR="0045737B">
        <w:t>in the</w:t>
      </w:r>
      <w:r w:rsidR="00AA099B">
        <w:t xml:space="preserve"> nine </w:t>
      </w:r>
      <w:r w:rsidRPr="003D274A" w:rsidR="00AA099B">
        <w:t>CBG</w:t>
      </w:r>
      <w:r w:rsidR="00AA099B">
        <w:t>s</w:t>
      </w:r>
      <w:r w:rsidRPr="003D274A" w:rsidR="00AA099B">
        <w:t xml:space="preserve"> where it defaulted on </w:t>
      </w:r>
      <w:r w:rsidR="00AA099B">
        <w:t>its</w:t>
      </w:r>
      <w:r w:rsidRPr="003D274A" w:rsidR="00AA099B">
        <w:t xml:space="preserve"> winning bid</w:t>
      </w:r>
      <w:r w:rsidR="00AA099B">
        <w:t>s</w:t>
      </w:r>
      <w:r w:rsidR="0045737B">
        <w:t>.</w:t>
      </w:r>
      <w:r>
        <w:rPr>
          <w:rStyle w:val="FootnoteReference"/>
        </w:rPr>
        <w:footnoteReference w:id="42"/>
      </w:r>
      <w:r w:rsidR="0045737B">
        <w:t xml:space="preserve">  </w:t>
      </w:r>
      <w:r w:rsidRPr="003D274A">
        <w:t xml:space="preserve">Furthermore, defaulting on bids imposes a cost to the CAF-II in administrative time spent on reviewing the bid and awarding the support.  Likewise, default negatively impacts the residents of the corresponding CBG in lost opportunities and delays in launching </w:t>
      </w:r>
      <w:r w:rsidR="00FC488B">
        <w:t xml:space="preserve">broadband and </w:t>
      </w:r>
      <w:r w:rsidR="00A94F66">
        <w:t xml:space="preserve">voice </w:t>
      </w:r>
      <w:r w:rsidRPr="003D274A">
        <w:t>services</w:t>
      </w:r>
      <w:r w:rsidR="00FC488B">
        <w:t xml:space="preserve"> in areas that continue to lack such services</w:t>
      </w:r>
      <w:r w:rsidRPr="003D274A">
        <w:t xml:space="preserve">. </w:t>
      </w:r>
    </w:p>
    <w:p w:rsidR="00560C70" w:rsidP="009A10FF" w14:paraId="276A6726" w14:textId="10199D64">
      <w:pPr>
        <w:pStyle w:val="ParaNum"/>
        <w:widowControl/>
        <w:spacing w:after="240"/>
      </w:pPr>
      <w:r>
        <w:t xml:space="preserve">The </w:t>
      </w:r>
      <w:r w:rsidR="00A91432">
        <w:t xml:space="preserve">Company </w:t>
      </w:r>
      <w:r w:rsidR="00202D4A">
        <w:t xml:space="preserve">further </w:t>
      </w:r>
      <w:r w:rsidR="002D74C8">
        <w:t xml:space="preserve">disrupted the integrity and efficiency of the auction when it failed to submit audited financial statements </w:t>
      </w:r>
      <w:r w:rsidR="00202D4A">
        <w:t>with its Long-Form Application, resulting in a further apparent willful violation.</w:t>
      </w:r>
      <w:r>
        <w:rPr>
          <w:rStyle w:val="FootnoteReference"/>
        </w:rPr>
        <w:footnoteReference w:id="43"/>
      </w:r>
      <w:r w:rsidR="00202D4A">
        <w:t xml:space="preserve">  A Long-Form applicant that fails to submit its audited financial statements from the prior fiscal year is subject to an </w:t>
      </w:r>
      <w:r w:rsidR="00D14EC1">
        <w:t>additional</w:t>
      </w:r>
      <w:r w:rsidR="00202D4A">
        <w:t xml:space="preserve"> and distinct forfeiture penalty in addition to default.</w:t>
      </w:r>
      <w:r>
        <w:rPr>
          <w:rStyle w:val="FootnoteReference"/>
        </w:rPr>
        <w:footnoteReference w:id="44"/>
      </w:r>
      <w:r w:rsidR="00202D4A">
        <w:t xml:space="preserve">  </w:t>
      </w:r>
      <w:r w:rsidR="006B096C">
        <w:t xml:space="preserve">Despite  </w:t>
      </w:r>
      <w:r w:rsidR="006B096C">
        <w:t>WCB’s extension of the submission deadline to February 26, 2020,</w:t>
      </w:r>
      <w:r>
        <w:rPr>
          <w:rStyle w:val="FootnoteReference"/>
        </w:rPr>
        <w:footnoteReference w:id="45"/>
      </w:r>
      <w:r w:rsidR="006B096C">
        <w:t xml:space="preserve"> </w:t>
      </w:r>
      <w:r>
        <w:t>ClearSKY</w:t>
      </w:r>
      <w:r>
        <w:t xml:space="preserve"> </w:t>
      </w:r>
      <w:r w:rsidR="006B096C">
        <w:t>still failed to submit</w:t>
      </w:r>
      <w:r w:rsidR="00202D4A">
        <w:t xml:space="preserve"> </w:t>
      </w:r>
      <w:r w:rsidR="00FD3AAC">
        <w:t>audited financial statement</w:t>
      </w:r>
      <w:r w:rsidR="006B096C">
        <w:t>s</w:t>
      </w:r>
      <w:r w:rsidR="00FD3AAC">
        <w:t xml:space="preserve"> </w:t>
      </w:r>
      <w:r w:rsidR="006B096C">
        <w:t>to complete the Company’s Long-Form Application.</w:t>
      </w:r>
      <w:r>
        <w:rPr>
          <w:rStyle w:val="FootnoteReference"/>
        </w:rPr>
        <w:footnoteReference w:id="46"/>
      </w:r>
      <w:r w:rsidR="00FD3AAC">
        <w:t xml:space="preserve"> </w:t>
      </w:r>
    </w:p>
    <w:p w:rsidR="00516822" w:rsidP="00516822" w14:paraId="2BA9B7C4" w14:textId="43E85E17">
      <w:pPr>
        <w:pStyle w:val="ParaNum"/>
        <w:spacing w:after="240"/>
      </w:pPr>
      <w:r w:rsidRPr="003D274A">
        <w:t xml:space="preserve">Under </w:t>
      </w:r>
      <w:r>
        <w:t>s</w:t>
      </w:r>
      <w:r w:rsidRPr="003D274A">
        <w:t xml:space="preserve">ection 503(b)(1) of the Communications Act of 1934, as amended (the </w:t>
      </w:r>
      <w:r>
        <w:t>A</w:t>
      </w:r>
      <w:r w:rsidRPr="003D274A">
        <w:t>ct),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rPr>
        <w:footnoteReference w:id="47"/>
      </w:r>
      <w:r w:rsidRPr="003D274A">
        <w:t xml:space="preserve">  In order to impose such a forfeiture penalty, the Commission must issue a notice of apparent liability, the notice must be received, and the person against whom the notice has been issued must have an opportunity to show, in writing, why no such forfeiture penalty should be imposed.</w:t>
      </w:r>
      <w:r>
        <w:rPr>
          <w:rStyle w:val="FootnoteReference"/>
        </w:rPr>
        <w:footnoteReference w:id="48"/>
      </w:r>
      <w:r w:rsidRPr="003D274A">
        <w:t xml:space="preserve">  The Commission will then issue a forfeiture if it finds, by a preponderance of the evidence, that the person has willfully or repeatedly violated the Act or a Commission rule.</w:t>
      </w:r>
      <w:r>
        <w:rPr>
          <w:rStyle w:val="FootnoteReference"/>
        </w:rPr>
        <w:footnoteReference w:id="49"/>
      </w:r>
      <w:r w:rsidRPr="003D274A">
        <w:t xml:space="preserve"> </w:t>
      </w:r>
    </w:p>
    <w:p w:rsidR="00516822" w:rsidRPr="003D274A" w:rsidP="00516822" w14:paraId="28FBA3B6" w14:textId="5AB58A21">
      <w:pPr>
        <w:pStyle w:val="ParaNum"/>
        <w:spacing w:after="240"/>
      </w:pPr>
      <w:r w:rsidRPr="003D274A">
        <w:t xml:space="preserve">The Commission’s </w:t>
      </w:r>
      <w:r w:rsidRPr="003D274A">
        <w:rPr>
          <w:i/>
        </w:rPr>
        <w:t>Forfeiture Policy Statement</w:t>
      </w:r>
      <w:r>
        <w:rPr>
          <w:rStyle w:val="FootnoteReference"/>
        </w:rPr>
        <w:footnoteReference w:id="50"/>
      </w:r>
      <w:r w:rsidRPr="003D274A">
        <w:t xml:space="preserve"> specifies that the Commission shall impose a forfeiture based upon consideration of the factors enumerated in section 503(b)(2)(E) of the Act, 47 U.S.C. § 503(b)(2)(E), such as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51"/>
      </w:r>
      <w:r w:rsidRPr="003D274A">
        <w:t xml:space="preserve">  Moreover, section 312(f)(1) of the Act defines willful as “the conscious and deliberate commission or omission of such act, </w:t>
      </w:r>
      <w:r w:rsidRPr="003D274A">
        <w:rPr>
          <w:i/>
        </w:rPr>
        <w:t>irrespective of any intent</w:t>
      </w:r>
      <w:r w:rsidRPr="003D274A">
        <w:t xml:space="preserve"> to violate . . . any rule or regulation of the Commission . . . .”</w:t>
      </w:r>
      <w:r>
        <w:rPr>
          <w:rStyle w:val="FootnoteReference"/>
        </w:rPr>
        <w:footnoteReference w:id="52"/>
      </w:r>
      <w:r w:rsidRPr="003D274A">
        <w:t xml:space="preserve">  </w:t>
      </w:r>
    </w:p>
    <w:p w:rsidR="00286950" w:rsidRPr="003D274A" w:rsidP="009A10FF" w14:paraId="1DBE22CE" w14:textId="1ABACBDB">
      <w:pPr>
        <w:pStyle w:val="ParaNum"/>
        <w:widowControl/>
        <w:spacing w:after="240"/>
      </w:pPr>
      <w:r>
        <w:t>A monetary f</w:t>
      </w:r>
      <w:r w:rsidRPr="003D274A">
        <w:t xml:space="preserve">orfeiture </w:t>
      </w:r>
      <w:r w:rsidRPr="003D274A" w:rsidR="005115D3">
        <w:t>is warranted against the Company for its apparent willful violation of section 1.21004 of the Commission’s rules and the procedures established for Auction 903.</w:t>
      </w:r>
      <w:r w:rsidR="005115D3">
        <w:t xml:space="preserve">  </w:t>
      </w:r>
      <w:r w:rsidR="00A43A5B">
        <w:t>Here</w:t>
      </w:r>
      <w:r w:rsidRPr="003D274A">
        <w:t>, the Company agreed, prior to participating in Auction 903, to be subject to a forfeiture in the event of default</w:t>
      </w:r>
      <w:r w:rsidR="002C3BCF">
        <w:t xml:space="preserve">, or upon </w:t>
      </w:r>
      <w:r>
        <w:t xml:space="preserve">its failure </w:t>
      </w:r>
      <w:r w:rsidR="002C3BCF">
        <w:t>to satisfy the requirements of the</w:t>
      </w:r>
      <w:r w:rsidRPr="002C3BCF" w:rsidR="002C3BCF">
        <w:rPr>
          <w:i/>
        </w:rPr>
        <w:t xml:space="preserve"> </w:t>
      </w:r>
      <w:r w:rsidRPr="003D274A" w:rsidR="002C3BCF">
        <w:rPr>
          <w:i/>
        </w:rPr>
        <w:t>Phase II Auction Procedures Public Notice</w:t>
      </w:r>
      <w:r w:rsidRPr="003D274A">
        <w:t xml:space="preserve">.  Additionally, the Company was cautioned to carefully craft its plans to meet all auction requirements and to prepare for any complications that could occur.  In considering these factors as well as the procedures established for Auction 903 and the </w:t>
      </w:r>
      <w:r w:rsidRPr="003D274A">
        <w:rPr>
          <w:i/>
        </w:rPr>
        <w:t>Forfeiture Policy Statement</w:t>
      </w:r>
      <w:r w:rsidRPr="003D274A">
        <w:t xml:space="preserve">¸ we believe that a forfeiture is warranted against the Company for its apparent willful violation of </w:t>
      </w:r>
      <w:r w:rsidRPr="003D274A" w:rsidR="00ED09FD">
        <w:t>s</w:t>
      </w:r>
      <w:r w:rsidRPr="003D274A">
        <w:t>ection 1.21004 of the Commission’s rules and the procedures established for Auction 903.</w:t>
      </w:r>
    </w:p>
    <w:p w:rsidR="00286950" w:rsidRPr="003D274A" w:rsidP="001D462D" w14:paraId="224A06EA" w14:textId="1D9B2679">
      <w:pPr>
        <w:pStyle w:val="ParaNum"/>
        <w:widowControl/>
        <w:spacing w:after="240"/>
      </w:pPr>
      <w:r>
        <w:t xml:space="preserve">In </w:t>
      </w:r>
      <w:r w:rsidRPr="003D274A">
        <w:t xml:space="preserve">Auction 903, the Commission established a base forfeiture of $3,000 per violation in the event of an auction default, meaning there would be separate violation for each geographic unit </w:t>
      </w:r>
      <w:r w:rsidRPr="003D274A">
        <w:t>subject to a bid.</w:t>
      </w:r>
      <w:r>
        <w:rPr>
          <w:rStyle w:val="FootnoteReference"/>
        </w:rPr>
        <w:footnoteReference w:id="53"/>
      </w:r>
      <w:r w:rsidRPr="003D274A">
        <w:t xml:space="preserve">  The Commission deemed a $3,000 base forfeiture appropriate, explaining that it was equivalent to the base forfeiture usually imposed for failing to file required forms or information with the Commission, as the Commission would be prevented from assessing a winning bidder’s qualifications.  Acknowledging that not all defaults would relate to the failure to submit the required forms or information, the Commission nonetheless concluded that for administrative simplicity and to provide bidders with certainty as to the base forfeiture that would apply for all pre-authorization defaults, it was reasonable to subject all bidders to the same $3,000 base forfeiture per violation.</w:t>
      </w:r>
      <w:r w:rsidR="00472501">
        <w:t xml:space="preserve">  </w:t>
      </w:r>
      <w:r w:rsidRPr="003D274A" w:rsidR="00472501">
        <w:t xml:space="preserve">To prevent the </w:t>
      </w:r>
      <w:r w:rsidRPr="003D274A" w:rsidR="00472501">
        <w:rPr>
          <w:rStyle w:val="Hyperlink"/>
          <w:color w:val="auto"/>
          <w:u w:val="none"/>
          <w:shd w:val="clear" w:color="auto" w:fill="FFFFFF"/>
        </w:rPr>
        <w:t>base forfeiture amount from being disproportionate to the amount of a winning bidder’s bid,</w:t>
      </w:r>
      <w:r w:rsidR="00472501">
        <w:rPr>
          <w:rStyle w:val="Hyperlink"/>
          <w:color w:val="auto"/>
          <w:u w:val="none"/>
          <w:shd w:val="clear" w:color="auto" w:fill="FFFFFF"/>
        </w:rPr>
        <w:t xml:space="preserve"> however,</w:t>
      </w:r>
      <w:r w:rsidRPr="003D274A" w:rsidR="00472501">
        <w:rPr>
          <w:rStyle w:val="Hyperlink"/>
          <w:color w:val="auto"/>
          <w:u w:val="none"/>
          <w:shd w:val="clear" w:color="auto" w:fill="FFFFFF"/>
        </w:rPr>
        <w:t xml:space="preserve"> the Commission limited the total base forfeiture for Auction 903 to 5% of the bidder’s total assigned support for the CBG</w:t>
      </w:r>
      <w:r w:rsidR="00F32DCE">
        <w:rPr>
          <w:rStyle w:val="Hyperlink"/>
          <w:color w:val="auto"/>
          <w:u w:val="none"/>
          <w:shd w:val="clear" w:color="auto" w:fill="FFFFFF"/>
        </w:rPr>
        <w:t>s</w:t>
      </w:r>
      <w:r w:rsidRPr="003D274A" w:rsidR="00472501">
        <w:rPr>
          <w:rStyle w:val="Hyperlink"/>
          <w:color w:val="auto"/>
          <w:u w:val="none"/>
          <w:shd w:val="clear" w:color="auto" w:fill="FFFFFF"/>
        </w:rPr>
        <w:t xml:space="preserve"> in which it was defaulting.</w:t>
      </w:r>
      <w:r>
        <w:rPr>
          <w:rStyle w:val="FootnoteReference"/>
          <w:shd w:val="clear" w:color="auto" w:fill="FFFFFF"/>
        </w:rPr>
        <w:footnoteReference w:id="54"/>
      </w:r>
      <w:r w:rsidRPr="003D274A" w:rsidR="00472501">
        <w:rPr>
          <w:rStyle w:val="Hyperlink"/>
          <w:color w:val="auto"/>
          <w:u w:val="none"/>
          <w:shd w:val="clear" w:color="auto" w:fill="FFFFFF"/>
        </w:rPr>
        <w:t xml:space="preserve">  The Commission regarded</w:t>
      </w:r>
      <w:r w:rsidRPr="003D274A" w:rsidR="00472501">
        <w:t xml:space="preserve"> 5% of the total bid amount as not unduly punitive, while providing sufficient incentive for auction participants to diligently inform themselves of the obligations associated with participation in the auction.</w:t>
      </w:r>
      <w:r>
        <w:rPr>
          <w:rStyle w:val="FootnoteReference"/>
        </w:rPr>
        <w:footnoteReference w:id="55"/>
      </w:r>
    </w:p>
    <w:p w:rsidR="00286950" w:rsidP="00AF033A" w14:paraId="0CF7FCD4" w14:textId="0521F428">
      <w:pPr>
        <w:pStyle w:val="ParaNum"/>
        <w:widowControl/>
        <w:spacing w:after="240"/>
      </w:pPr>
      <w:r>
        <w:t xml:space="preserve">With regard to </w:t>
      </w:r>
      <w:r>
        <w:t>ClearSKY’s</w:t>
      </w:r>
      <w:r>
        <w:t xml:space="preserve"> default </w:t>
      </w:r>
      <w:r w:rsidRPr="00E3215D">
        <w:t xml:space="preserve">on </w:t>
      </w:r>
      <w:r>
        <w:t>nine</w:t>
      </w:r>
      <w:r w:rsidRPr="00E3215D">
        <w:t xml:space="preserve"> winning bid</w:t>
      </w:r>
      <w:r>
        <w:t xml:space="preserve">s, we find that the Company is </w:t>
      </w:r>
      <w:r w:rsidRPr="00E3215D">
        <w:t>apparently liable for a</w:t>
      </w:r>
      <w:r>
        <w:t xml:space="preserve"> base</w:t>
      </w:r>
      <w:r w:rsidRPr="00E3215D">
        <w:t xml:space="preserve"> forfeiture of</w:t>
      </w:r>
      <w:r>
        <w:t xml:space="preserve"> $6,370.7</w:t>
      </w:r>
      <w:r w:rsidR="00DE6B8B">
        <w:t>1</w:t>
      </w:r>
      <w:r w:rsidRPr="00E3215D">
        <w:t>.</w:t>
      </w:r>
      <w:r w:rsidR="00DE6B8B">
        <w:t xml:space="preserve">  Although </w:t>
      </w:r>
      <w:r w:rsidR="009D5A31">
        <w:t xml:space="preserve">the base forfeiture for such non-compliance is set at $3,000 per violation, </w:t>
      </w:r>
      <w:r w:rsidR="00CD679F">
        <w:t xml:space="preserve">resulting in a base forfeiture of $27,000 for </w:t>
      </w:r>
      <w:r w:rsidR="00CD679F">
        <w:t>ClearSKY’s</w:t>
      </w:r>
      <w:r w:rsidR="00CD679F">
        <w:t xml:space="preserve"> nine violations, as discussed above, the Commission limited the total base forfeiture to 5% of the </w:t>
      </w:r>
      <w:r w:rsidR="004C5429">
        <w:t xml:space="preserve">Company’s </w:t>
      </w:r>
      <w:r w:rsidR="00CD679F">
        <w:t>total assigned support in default for its CBGs.</w:t>
      </w:r>
      <w:r>
        <w:rPr>
          <w:rStyle w:val="FootnoteReference"/>
        </w:rPr>
        <w:footnoteReference w:id="56"/>
      </w:r>
      <w:r w:rsidR="00CD679F">
        <w:t xml:space="preserve">  In </w:t>
      </w:r>
      <w:r w:rsidR="00CD679F">
        <w:t>ClearSKY’s</w:t>
      </w:r>
      <w:r w:rsidR="00CD679F">
        <w:t xml:space="preserve"> case, </w:t>
      </w:r>
      <w:r w:rsidR="00DE6B8B">
        <w:t>t</w:t>
      </w:r>
      <w:r w:rsidRPr="003D274A">
        <w:t>he Company</w:t>
      </w:r>
      <w:r w:rsidR="00B078C7">
        <w:t>’s</w:t>
      </w:r>
      <w:r w:rsidRPr="003D274A">
        <w:t xml:space="preserve"> </w:t>
      </w:r>
      <w:r w:rsidR="00833C4A">
        <w:t xml:space="preserve">total support for </w:t>
      </w:r>
      <w:r w:rsidR="00CD679F">
        <w:t xml:space="preserve">all nine of its </w:t>
      </w:r>
      <w:r w:rsidR="00AC0646">
        <w:t>bi</w:t>
      </w:r>
      <w:r w:rsidR="00A43044">
        <w:t>d</w:t>
      </w:r>
      <w:r w:rsidR="00B078C7">
        <w:t>s</w:t>
      </w:r>
      <w:r w:rsidR="00AC0646">
        <w:t xml:space="preserve"> in default </w:t>
      </w:r>
      <w:r w:rsidR="00CD679F">
        <w:t xml:space="preserve">was </w:t>
      </w:r>
      <w:r w:rsidRPr="003D274A" w:rsidR="00560874">
        <w:t>$</w:t>
      </w:r>
      <w:r w:rsidR="00D93EAD">
        <w:t>127</w:t>
      </w:r>
      <w:r w:rsidR="00AC0646">
        <w:t>,</w:t>
      </w:r>
      <w:r w:rsidR="00D93EAD">
        <w:t>414</w:t>
      </w:r>
      <w:r w:rsidR="008A66EF">
        <w:t>.</w:t>
      </w:r>
      <w:r w:rsidR="00D93EAD">
        <w:t>2</w:t>
      </w:r>
      <w:r w:rsidR="008A66EF">
        <w:t>0</w:t>
      </w:r>
      <w:r w:rsidR="00CD679F">
        <w:t xml:space="preserve">, </w:t>
      </w:r>
      <w:r w:rsidR="00EC24BF">
        <w:t xml:space="preserve">and </w:t>
      </w:r>
      <w:r w:rsidR="00CD679F">
        <w:t xml:space="preserve">the 5% cap for the Company’s apparent forfeiture is </w:t>
      </w:r>
      <w:r w:rsidRPr="003D274A" w:rsidR="000246DE">
        <w:t>$</w:t>
      </w:r>
      <w:r w:rsidR="000246DE">
        <w:t>6</w:t>
      </w:r>
      <w:r w:rsidRPr="003D274A" w:rsidR="000246DE">
        <w:t>,</w:t>
      </w:r>
      <w:r w:rsidR="000246DE">
        <w:t>370.71.</w:t>
      </w:r>
      <w:r w:rsidR="00833C4A">
        <w:t xml:space="preserve">  </w:t>
      </w:r>
      <w:r w:rsidRPr="003D274A">
        <w:t xml:space="preserve">Thus, in accordance with the </w:t>
      </w:r>
      <w:r w:rsidRPr="00AC0646">
        <w:rPr>
          <w:i/>
          <w:iCs/>
        </w:rPr>
        <w:t>Auction 903 Procedures P</w:t>
      </w:r>
      <w:r w:rsidR="00AC0646">
        <w:rPr>
          <w:i/>
          <w:iCs/>
        </w:rPr>
        <w:t xml:space="preserve">ublic </w:t>
      </w:r>
      <w:r w:rsidRPr="00AC0646">
        <w:rPr>
          <w:i/>
          <w:iCs/>
        </w:rPr>
        <w:t>N</w:t>
      </w:r>
      <w:r w:rsidR="00AC0646">
        <w:rPr>
          <w:i/>
          <w:iCs/>
        </w:rPr>
        <w:t>otice</w:t>
      </w:r>
      <w:r w:rsidRPr="003D274A">
        <w:t xml:space="preserve">, </w:t>
      </w:r>
      <w:r w:rsidR="00D756D8">
        <w:t xml:space="preserve">we will limit the Company’s forfeiture </w:t>
      </w:r>
      <w:r w:rsidR="002917F6">
        <w:t xml:space="preserve">for defaulting on its nine winning bids </w:t>
      </w:r>
      <w:r w:rsidR="00D756D8">
        <w:t>to</w:t>
      </w:r>
      <w:r w:rsidR="00A43044">
        <w:t xml:space="preserve"> </w:t>
      </w:r>
      <w:r w:rsidRPr="003D274A">
        <w:t>$</w:t>
      </w:r>
      <w:r w:rsidR="00B078C7">
        <w:t>6</w:t>
      </w:r>
      <w:r w:rsidRPr="003D274A">
        <w:t>,</w:t>
      </w:r>
      <w:r w:rsidR="00B078C7">
        <w:t>370.71</w:t>
      </w:r>
      <w:r w:rsidR="000246DE">
        <w:t>.</w:t>
      </w:r>
    </w:p>
    <w:p w:rsidR="00B557CC" w:rsidRPr="003D274A" w:rsidP="009A10FF" w14:paraId="78B694BF" w14:textId="6870E6C8">
      <w:pPr>
        <w:pStyle w:val="ParaNum"/>
        <w:spacing w:after="240"/>
        <w:rPr>
          <w:rStyle w:val="Hyperlink"/>
          <w:color w:val="auto"/>
          <w:u w:val="none"/>
        </w:rPr>
      </w:pPr>
      <w:r>
        <w:t xml:space="preserve">In Auction 903, the Commission </w:t>
      </w:r>
      <w:r w:rsidR="004C5429">
        <w:t xml:space="preserve">also </w:t>
      </w:r>
      <w:r>
        <w:t xml:space="preserve">established a base forfeiture of $50,000 for </w:t>
      </w:r>
      <w:r w:rsidR="00EC24BF">
        <w:t>Long</w:t>
      </w:r>
      <w:r>
        <w:t>-</w:t>
      </w:r>
      <w:r w:rsidR="00EC24BF">
        <w:t xml:space="preserve">Form </w:t>
      </w:r>
      <w:r>
        <w:t>applicants who fail to submit audited financial statements to the Commission by the appropriate deadline.</w:t>
      </w:r>
      <w:r>
        <w:rPr>
          <w:rStyle w:val="FootnoteReference"/>
        </w:rPr>
        <w:footnoteReference w:id="57"/>
      </w:r>
      <w:r>
        <w:t xml:space="preserve">  </w:t>
      </w:r>
      <w:r w:rsidR="000B4F3D">
        <w:t>Unlike the penalties assigned for default, the size of this forfeiture is not connected to the bidder’s total amount of assigned support.</w:t>
      </w:r>
      <w:r>
        <w:rPr>
          <w:rStyle w:val="FootnoteReference"/>
        </w:rPr>
        <w:footnoteReference w:id="58"/>
      </w:r>
      <w:r w:rsidR="000B4F3D">
        <w:t xml:space="preserve">  </w:t>
      </w:r>
      <w:r>
        <w:t xml:space="preserve">Because </w:t>
      </w:r>
      <w:r>
        <w:t>ClearS</w:t>
      </w:r>
      <w:r w:rsidR="006D75C5">
        <w:t>KY</w:t>
      </w:r>
      <w:r>
        <w:t xml:space="preserve"> </w:t>
      </w:r>
      <w:r>
        <w:t xml:space="preserve">failed to submit audited financial statements to the Commission, we find </w:t>
      </w:r>
      <w:r w:rsidR="00CD679F">
        <w:t xml:space="preserve">that </w:t>
      </w:r>
      <w:r>
        <w:t xml:space="preserve">it </w:t>
      </w:r>
      <w:r w:rsidR="00CD679F">
        <w:t xml:space="preserve">is </w:t>
      </w:r>
      <w:r>
        <w:t xml:space="preserve">apparently liable for a base forfeiture of $50,000.  </w:t>
      </w:r>
    </w:p>
    <w:p w:rsidR="00391884" w:rsidRPr="003D274A" w:rsidP="00391884" w14:paraId="3A19FA08" w14:textId="54273C20">
      <w:pPr>
        <w:pStyle w:val="ParaNum"/>
        <w:widowControl/>
        <w:spacing w:after="240"/>
      </w:pPr>
      <w:r>
        <w:t>Finally, t</w:t>
      </w:r>
      <w:r w:rsidRPr="00921828">
        <w:t xml:space="preserve">he </w:t>
      </w:r>
      <w:r w:rsidRPr="00921828">
        <w:t xml:space="preserve">Commission may </w:t>
      </w:r>
      <w:r>
        <w:t xml:space="preserve">also </w:t>
      </w:r>
      <w:r w:rsidRPr="00921828">
        <w:t>adopt upward or downward adjustments to forfeitures when appropriate.</w:t>
      </w:r>
      <w:r>
        <w:rPr>
          <w:vertAlign w:val="superscript"/>
        </w:rPr>
        <w:footnoteReference w:id="59"/>
      </w:r>
      <w:r w:rsidRPr="00921828">
        <w:t xml:space="preserve">  Under </w:t>
      </w:r>
      <w:r>
        <w:t xml:space="preserve">section 1.80 of </w:t>
      </w:r>
      <w:r w:rsidRPr="00921828">
        <w:t xml:space="preserve">the </w:t>
      </w:r>
      <w:r>
        <w:t>Commission’s rules</w:t>
      </w:r>
      <w:r w:rsidRPr="00921828">
        <w:t>, we may adjust a forfeiture upward for egregious misconduct, ability to pay and relative disincentive, an intentional violation, substantial harm, prior violations of Commission requirements, substantial economic gain, or repeated or continuous violations.</w:t>
      </w:r>
      <w:bookmarkStart w:id="1" w:name="_Ref442436591"/>
      <w:r>
        <w:rPr>
          <w:rStyle w:val="FootnoteReference"/>
          <w:color w:val="000000"/>
        </w:rPr>
        <w:footnoteReference w:id="60"/>
      </w:r>
      <w:bookmarkEnd w:id="1"/>
      <w:r w:rsidRPr="00921828">
        <w:t xml:space="preserve">  We may adjust a forfeiture downward for a minor violation, good faith or voluntary disclosure, a history of overall compliance, or an inability to pay.</w:t>
      </w:r>
      <w:bookmarkStart w:id="2" w:name="_Ref442436610"/>
      <w:r>
        <w:rPr>
          <w:rStyle w:val="FootnoteReference"/>
        </w:rPr>
        <w:footnoteReference w:id="61"/>
      </w:r>
      <w:bookmarkEnd w:id="2"/>
      <w:r w:rsidRPr="00921828">
        <w:t xml:space="preserve">  The</w:t>
      </w:r>
      <w:r>
        <w:t xml:space="preserve"> forfeiture guidelines listed in section 1.80 of the</w:t>
      </w:r>
      <w:r w:rsidRPr="00921828">
        <w:t xml:space="preserve"> </w:t>
      </w:r>
      <w:r>
        <w:t>Commission’s rules</w:t>
      </w:r>
      <w:r w:rsidRPr="00921828">
        <w:t xml:space="preserve"> specifically “are intended as a guide for frequently recurring violations” and not “a complete or exhaustive list of violations.”</w:t>
      </w:r>
      <w:r>
        <w:rPr>
          <w:rStyle w:val="FootnoteReference"/>
        </w:rPr>
        <w:footnoteReference w:id="62"/>
      </w:r>
    </w:p>
    <w:p w:rsidR="00073978" w:rsidRPr="003D274A" w:rsidP="00AF033A" w14:paraId="64922AB0" w14:textId="0AAB3B14">
      <w:pPr>
        <w:pStyle w:val="ParaNum"/>
        <w:widowControl/>
        <w:spacing w:after="240"/>
      </w:pPr>
      <w:r>
        <w:rPr>
          <w:rStyle w:val="Hyperlink"/>
          <w:color w:val="auto"/>
          <w:u w:val="none"/>
          <w:shd w:val="clear" w:color="auto" w:fill="FFFFFF"/>
        </w:rPr>
        <w:t>A</w:t>
      </w:r>
      <w:r w:rsidRPr="003D274A" w:rsidR="00286950">
        <w:rPr>
          <w:rStyle w:val="Hyperlink"/>
          <w:color w:val="auto"/>
          <w:u w:val="none"/>
          <w:shd w:val="clear" w:color="auto" w:fill="FFFFFF"/>
        </w:rPr>
        <w:t xml:space="preserve">fter considering all the circumstances presented in the instant case, we conclude that a departure from the base forfeiture is not warranted here.  </w:t>
      </w:r>
      <w:r w:rsidRPr="003D274A" w:rsidR="00286950">
        <w:t xml:space="preserve">For Auction 903 defaults, the Commission allowed for adjustment of the total base forfeiture, upward or downward, based on the criteria set forth in the Commission’s forfeiture guidelines, </w:t>
      </w:r>
      <w:r w:rsidRPr="003D274A" w:rsidR="00286950">
        <w:rPr>
          <w:rStyle w:val="Hyperlink"/>
          <w:color w:val="auto"/>
          <w:u w:val="none"/>
          <w:shd w:val="clear" w:color="auto" w:fill="FFFFFF"/>
        </w:rPr>
        <w:t>notwithstanding the 5% limitation on base forfeitures as discussed above.</w:t>
      </w:r>
      <w:r>
        <w:rPr>
          <w:rStyle w:val="FootnoteReference"/>
          <w:shd w:val="clear" w:color="auto" w:fill="FFFFFF"/>
        </w:rPr>
        <w:footnoteReference w:id="63"/>
      </w:r>
      <w:r w:rsidRPr="003D274A" w:rsidR="00286950">
        <w:rPr>
          <w:rStyle w:val="Hyperlink"/>
          <w:color w:val="auto"/>
          <w:u w:val="none"/>
          <w:shd w:val="clear" w:color="auto" w:fill="FFFFFF"/>
        </w:rPr>
        <w:t xml:space="preserve">  </w:t>
      </w:r>
      <w:r w:rsidR="00EE66B5">
        <w:rPr>
          <w:rStyle w:val="Hyperlink"/>
          <w:color w:val="auto"/>
          <w:u w:val="none"/>
          <w:shd w:val="clear" w:color="auto" w:fill="FFFFFF"/>
        </w:rPr>
        <w:t xml:space="preserve">Upward or downward adjustments are similarly permitted to modify the total base forfeiture for </w:t>
      </w:r>
      <w:r w:rsidR="00913D80">
        <w:rPr>
          <w:rStyle w:val="Hyperlink"/>
          <w:color w:val="auto"/>
          <w:u w:val="none"/>
          <w:shd w:val="clear" w:color="auto" w:fill="FFFFFF"/>
        </w:rPr>
        <w:t>L</w:t>
      </w:r>
      <w:r w:rsidR="00EE66B5">
        <w:rPr>
          <w:rStyle w:val="Hyperlink"/>
          <w:color w:val="auto"/>
          <w:u w:val="none"/>
          <w:shd w:val="clear" w:color="auto" w:fill="FFFFFF"/>
        </w:rPr>
        <w:t>ong-</w:t>
      </w:r>
      <w:r w:rsidR="00913D80">
        <w:rPr>
          <w:rStyle w:val="Hyperlink"/>
          <w:color w:val="auto"/>
          <w:u w:val="none"/>
          <w:shd w:val="clear" w:color="auto" w:fill="FFFFFF"/>
        </w:rPr>
        <w:t>F</w:t>
      </w:r>
      <w:r w:rsidR="00EE66B5">
        <w:rPr>
          <w:rStyle w:val="Hyperlink"/>
          <w:color w:val="auto"/>
          <w:u w:val="none"/>
          <w:shd w:val="clear" w:color="auto" w:fill="FFFFFF"/>
        </w:rPr>
        <w:t>orm applicants’ failure to submit audited financial statements.</w:t>
      </w:r>
      <w:r>
        <w:rPr>
          <w:rStyle w:val="FootnoteReference"/>
          <w:shd w:val="clear" w:color="auto" w:fill="FFFFFF"/>
        </w:rPr>
        <w:footnoteReference w:id="64"/>
      </w:r>
      <w:r w:rsidR="00EE66B5">
        <w:rPr>
          <w:rStyle w:val="Hyperlink"/>
          <w:color w:val="auto"/>
          <w:u w:val="none"/>
          <w:shd w:val="clear" w:color="auto" w:fill="FFFFFF"/>
        </w:rPr>
        <w:t xml:space="preserve">  </w:t>
      </w:r>
      <w:r w:rsidRPr="003D274A" w:rsidR="00286950">
        <w:t>However, on balance, we find that there are no other factors present in the instant case that would justify a departure from the established base forfeiture</w:t>
      </w:r>
      <w:r w:rsidR="00EE66B5">
        <w:t>s</w:t>
      </w:r>
      <w:r w:rsidRPr="003D274A" w:rsidR="00286950">
        <w:t xml:space="preserve">.  Accordingly, we find that a forfeiture in the amount of </w:t>
      </w:r>
      <w:r w:rsidRPr="003D274A" w:rsidR="00EE66B5">
        <w:t>$</w:t>
      </w:r>
      <w:r w:rsidR="00EE66B5">
        <w:t>6</w:t>
      </w:r>
      <w:r w:rsidRPr="003D274A" w:rsidR="00EE66B5">
        <w:t>,</w:t>
      </w:r>
      <w:r w:rsidR="00EE66B5">
        <w:t xml:space="preserve">370.71 </w:t>
      </w:r>
      <w:r w:rsidRPr="003D274A" w:rsidR="00286950">
        <w:t>against the Company is appropriate here</w:t>
      </w:r>
      <w:r w:rsidR="00EE66B5">
        <w:t xml:space="preserve"> for their default on nine winning bids</w:t>
      </w:r>
      <w:r w:rsidR="005D1E0D">
        <w:t xml:space="preserve">.  </w:t>
      </w:r>
      <w:r w:rsidR="00D11ED4">
        <w:t>We</w:t>
      </w:r>
      <w:r w:rsidR="008455B5">
        <w:t xml:space="preserve"> </w:t>
      </w:r>
      <w:r w:rsidR="00435234">
        <w:t xml:space="preserve">also </w:t>
      </w:r>
      <w:r w:rsidR="008455B5">
        <w:t>find that a</w:t>
      </w:r>
      <w:r w:rsidR="006940AF">
        <w:t>n additional</w:t>
      </w:r>
      <w:r w:rsidR="008455B5">
        <w:t xml:space="preserve"> forfeiture in the amount of $50,000 against the Company is </w:t>
      </w:r>
      <w:r w:rsidR="00EE5655">
        <w:t xml:space="preserve">warranted </w:t>
      </w:r>
      <w:r w:rsidR="008455B5">
        <w:t xml:space="preserve">here </w:t>
      </w:r>
      <w:r w:rsidR="00D11ED4">
        <w:t>because of its</w:t>
      </w:r>
      <w:r w:rsidR="008455B5">
        <w:t xml:space="preserve"> failure to timely submit audited financial statements to the Commission.  </w:t>
      </w:r>
      <w:r w:rsidR="00EE5655">
        <w:t>Therefore, i</w:t>
      </w:r>
      <w:r w:rsidR="008455B5">
        <w:t xml:space="preserve">n sum we </w:t>
      </w:r>
      <w:r w:rsidR="00980ADC">
        <w:t>propose</w:t>
      </w:r>
      <w:r w:rsidR="008455B5">
        <w:t xml:space="preserve"> a cumulative forfeiture in the amount of $56,370.71</w:t>
      </w:r>
      <w:r w:rsidR="007113BF">
        <w:t xml:space="preserve"> against </w:t>
      </w:r>
      <w:r w:rsidR="0087440B">
        <w:t>ClearSKY</w:t>
      </w:r>
      <w:r w:rsidR="007113BF">
        <w:t>.</w:t>
      </w:r>
    </w:p>
    <w:p w:rsidR="00286950" w:rsidRPr="003D274A" w:rsidP="00A01361" w14:paraId="5B009125" w14:textId="77777777">
      <w:pPr>
        <w:pStyle w:val="Heading1"/>
        <w:widowControl/>
        <w:rPr>
          <w:rFonts w:ascii="Times New Roman" w:hAnsi="Times New Roman"/>
        </w:rPr>
      </w:pPr>
      <w:r w:rsidRPr="003D274A">
        <w:rPr>
          <w:rFonts w:ascii="Times New Roman" w:hAnsi="Times New Roman"/>
        </w:rPr>
        <w:t>ordering clauses</w:t>
      </w:r>
    </w:p>
    <w:p w:rsidR="008D3573" w:rsidRPr="003D274A" w:rsidP="008A1271" w14:paraId="7261A9DE" w14:textId="27D1FECB">
      <w:pPr>
        <w:pStyle w:val="ParaNum"/>
        <w:widowControl/>
        <w:spacing w:after="240"/>
      </w:pPr>
      <w:r w:rsidRPr="003D274A">
        <w:rPr>
          <w:b/>
        </w:rPr>
        <w:t>ACCORDINGLY, IT IS ORDERED</w:t>
      </w:r>
      <w:r w:rsidRPr="003D274A">
        <w:t xml:space="preserve">, pursuant to </w:t>
      </w:r>
      <w:r w:rsidRPr="003D274A" w:rsidR="00ED09FD">
        <w:t>s</w:t>
      </w:r>
      <w:r w:rsidRPr="003D274A">
        <w:t>ection 503(b) of the Communications Act</w:t>
      </w:r>
      <w:r>
        <w:rPr>
          <w:rStyle w:val="FootnoteReference"/>
        </w:rPr>
        <w:footnoteReference w:id="65"/>
      </w:r>
      <w:r w:rsidRPr="003D274A">
        <w:t xml:space="preserve"> and </w:t>
      </w:r>
      <w:r w:rsidR="005722C2">
        <w:t>s</w:t>
      </w:r>
      <w:r w:rsidRPr="003D274A">
        <w:t>ection 1.80 of the Commission’s rules,</w:t>
      </w:r>
      <w:r>
        <w:rPr>
          <w:rStyle w:val="FootnoteReference"/>
        </w:rPr>
        <w:footnoteReference w:id="66"/>
      </w:r>
      <w:r w:rsidRPr="003D274A">
        <w:t xml:space="preserve"> that </w:t>
      </w:r>
      <w:r w:rsidR="00403D74">
        <w:t>ClearSKY</w:t>
      </w:r>
      <w:r w:rsidR="00403D74">
        <w:t xml:space="preserve"> Systems, Inc</w:t>
      </w:r>
      <w:r w:rsidR="00EC24BF">
        <w:t>.</w:t>
      </w:r>
      <w:r w:rsidR="0079744A">
        <w:t xml:space="preserve"> </w:t>
      </w:r>
      <w:r w:rsidRPr="003D274A">
        <w:t xml:space="preserve">is hereby </w:t>
      </w:r>
      <w:r w:rsidRPr="003D274A">
        <w:rPr>
          <w:b/>
        </w:rPr>
        <w:t>NOTIFIED</w:t>
      </w:r>
      <w:r w:rsidRPr="003D274A">
        <w:t xml:space="preserve"> of its </w:t>
      </w:r>
      <w:r w:rsidRPr="003D274A">
        <w:rPr>
          <w:b/>
        </w:rPr>
        <w:t>APPARENT LIABILITY FOR FORFEITURE</w:t>
      </w:r>
      <w:r w:rsidRPr="003D274A">
        <w:t xml:space="preserve"> in the amount of </w:t>
      </w:r>
      <w:r w:rsidR="007113BF">
        <w:t>fifty-six thousand, three hundred and seventy dollars and seventy one cents ($56,370.</w:t>
      </w:r>
      <w:r w:rsidRPr="007113BF" w:rsidR="007113BF">
        <w:t>71</w:t>
      </w:r>
      <w:r w:rsidRPr="005401B9">
        <w:t>)</w:t>
      </w:r>
      <w:r w:rsidRPr="007113BF">
        <w:rPr>
          <w:b/>
        </w:rPr>
        <w:t xml:space="preserve"> </w:t>
      </w:r>
      <w:r w:rsidRPr="007113BF">
        <w:t>for</w:t>
      </w:r>
      <w:r w:rsidRPr="003D274A">
        <w:t xml:space="preserve"> its willful violation of </w:t>
      </w:r>
      <w:r w:rsidRPr="003D274A" w:rsidR="00ED09FD">
        <w:t>s</w:t>
      </w:r>
      <w:r w:rsidRPr="003D274A">
        <w:t>ection 1.210</w:t>
      </w:r>
      <w:r w:rsidRPr="003D274A">
        <w:t>04(</w:t>
      </w:r>
      <w:r w:rsidR="00522A90">
        <w:t>a</w:t>
      </w:r>
      <w:r w:rsidRPr="003D274A">
        <w:t>)</w:t>
      </w:r>
      <w:r w:rsidRPr="003D274A" w:rsidR="00F607D8">
        <w:t xml:space="preserve"> </w:t>
      </w:r>
      <w:r w:rsidRPr="003D274A">
        <w:t>of the Commission’s rules,</w:t>
      </w:r>
      <w:r>
        <w:rPr>
          <w:rStyle w:val="FootnoteReference"/>
        </w:rPr>
        <w:footnoteReference w:id="67"/>
      </w:r>
      <w:r w:rsidRPr="003D274A">
        <w:t xml:space="preserve"> and</w:t>
      </w:r>
      <w:r w:rsidRPr="003D274A">
        <w:t xml:space="preserve"> the procedures established specifically for Auction 903 in </w:t>
      </w:r>
      <w:r w:rsidRPr="003D274A" w:rsidR="005E74D3">
        <w:t xml:space="preserve">the </w:t>
      </w:r>
      <w:r w:rsidRPr="003D274A">
        <w:rPr>
          <w:i/>
        </w:rPr>
        <w:t>Phase II Auction Procedures Public Notice</w:t>
      </w:r>
      <w:r w:rsidRPr="003D274A" w:rsidR="005E74D3">
        <w:rPr>
          <w:i/>
        </w:rPr>
        <w:t>.</w:t>
      </w:r>
    </w:p>
    <w:p w:rsidR="00AB3FD0" w:rsidRPr="003D274A" w:rsidP="008A1271" w14:paraId="0B45F1FF" w14:textId="3FF5F3BE">
      <w:pPr>
        <w:pStyle w:val="ParaNum"/>
        <w:widowControl/>
        <w:spacing w:after="240"/>
        <w:rPr>
          <w:spacing w:val="-2"/>
        </w:rPr>
      </w:pPr>
      <w:bookmarkStart w:id="3" w:name="_Hlk10453498"/>
      <w:r w:rsidRPr="003D274A">
        <w:rPr>
          <w:b/>
        </w:rPr>
        <w:t>IT IS FURTHER ORDERED</w:t>
      </w:r>
      <w:r w:rsidRPr="003D274A">
        <w:t xml:space="preserve">, pursuant to </w:t>
      </w:r>
      <w:r w:rsidRPr="003D274A" w:rsidR="00ED09FD">
        <w:t>s</w:t>
      </w:r>
      <w:r w:rsidRPr="003D274A">
        <w:t>ection 1.80 of the Commission’s rules,</w:t>
      </w:r>
      <w:r>
        <w:rPr>
          <w:rStyle w:val="FootnoteReference"/>
        </w:rPr>
        <w:footnoteReference w:id="68"/>
      </w:r>
      <w:r w:rsidRPr="003D274A">
        <w:t xml:space="preserve"> that within thirty (30) calendar days of the release date of this Notice</w:t>
      </w:r>
      <w:r w:rsidRPr="003D274A" w:rsidR="00096A3C">
        <w:t>,</w:t>
      </w:r>
      <w:r w:rsidRPr="003D274A">
        <w:t xml:space="preserve"> </w:t>
      </w:r>
      <w:r w:rsidR="00403D74">
        <w:t>ClearSKY</w:t>
      </w:r>
      <w:r w:rsidR="00403D74">
        <w:t xml:space="preserve"> Systems, Inc</w:t>
      </w:r>
      <w:r w:rsidR="00EC24BF">
        <w:t>.</w:t>
      </w:r>
      <w:r w:rsidR="0079744A">
        <w:t xml:space="preserve"> </w:t>
      </w:r>
      <w:r w:rsidRPr="003D274A">
        <w:rPr>
          <w:b/>
        </w:rPr>
        <w:t>SHALL</w:t>
      </w:r>
      <w:r w:rsidRPr="003D274A">
        <w:t xml:space="preserve"> </w:t>
      </w:r>
      <w:r w:rsidRPr="003D274A">
        <w:rPr>
          <w:b/>
        </w:rPr>
        <w:t>PAY</w:t>
      </w:r>
      <w:r w:rsidRPr="003D274A">
        <w:t xml:space="preserve"> the full amount of the proposed forfeiture or </w:t>
      </w:r>
      <w:r w:rsidRPr="003D274A">
        <w:rPr>
          <w:b/>
        </w:rPr>
        <w:t>SHALL</w:t>
      </w:r>
      <w:r w:rsidRPr="003D274A">
        <w:t xml:space="preserve"> </w:t>
      </w:r>
      <w:r w:rsidRPr="003D274A">
        <w:rPr>
          <w:b/>
        </w:rPr>
        <w:t>FILE</w:t>
      </w:r>
      <w:r w:rsidRPr="003D274A">
        <w:t xml:space="preserve"> a written statement seeking reduction or cancellation of the proposed forfeiture</w:t>
      </w:r>
      <w:r w:rsidRPr="003D274A">
        <w:t xml:space="preserve"> consistent with paragraph </w:t>
      </w:r>
      <w:r w:rsidRPr="003D274A" w:rsidR="00261A48">
        <w:t>2</w:t>
      </w:r>
      <w:r w:rsidR="00B13DF8">
        <w:t>5</w:t>
      </w:r>
      <w:r w:rsidRPr="003D274A">
        <w:t xml:space="preserve"> below.</w:t>
      </w:r>
    </w:p>
    <w:p w:rsidR="00AB3FD0" w:rsidRPr="003D274A" w:rsidP="001D462D" w14:paraId="15616F53" w14:textId="5994887A">
      <w:pPr>
        <w:pStyle w:val="ParaNum"/>
        <w:widowControl/>
        <w:spacing w:after="240"/>
        <w:rPr>
          <w:spacing w:val="-2"/>
        </w:rPr>
      </w:pPr>
      <w:r>
        <w:t>ClearSKY</w:t>
      </w:r>
      <w:r>
        <w:t xml:space="preserve"> Systems, Inc</w:t>
      </w:r>
      <w:r w:rsidR="00EC24BF">
        <w:t>.</w:t>
      </w:r>
      <w:r w:rsidRPr="003D274A">
        <w:t xml:space="preserve"> shall send electronic notification of payment to Jeffrey Gee</w:t>
      </w:r>
      <w:r w:rsidRPr="003D274A" w:rsidR="00D94F60">
        <w:t xml:space="preserve">, </w:t>
      </w:r>
      <w:r>
        <w:t>Kalun Lee</w:t>
      </w:r>
      <w:r w:rsidRPr="003D274A">
        <w:t>,</w:t>
      </w:r>
      <w:r>
        <w:t xml:space="preserve"> Rizwan Chowdhry</w:t>
      </w:r>
      <w:r w:rsidR="00AC416C">
        <w:t>,</w:t>
      </w:r>
      <w:r w:rsidRPr="003D274A" w:rsidR="00D94F60">
        <w:t xml:space="preserve"> and Ryan McDonald of the</w:t>
      </w:r>
      <w:r w:rsidRPr="003D274A">
        <w:t xml:space="preserve"> Enforcement Bureau, Federal Communications Commission, at </w:t>
      </w:r>
      <w:hyperlink r:id="rId5" w:history="1">
        <w:r w:rsidRPr="005401B9" w:rsidR="003D274A">
          <w:rPr>
            <w:rStyle w:val="Hyperlink"/>
          </w:rPr>
          <w:t>Jeffrey.Gee@fcc.gov</w:t>
        </w:r>
      </w:hyperlink>
      <w:r w:rsidRPr="003D274A" w:rsidR="00D94F60">
        <w:t xml:space="preserve">, </w:t>
      </w:r>
      <w:r w:rsidRPr="005401B9">
        <w:rPr>
          <w:rStyle w:val="Hyperlink"/>
        </w:rPr>
        <w:t>Kalun.Lee@fcc.gov</w:t>
      </w:r>
      <w:r w:rsidRPr="003D274A" w:rsidR="00D94F60">
        <w:t xml:space="preserve">, </w:t>
      </w:r>
      <w:r w:rsidRPr="005401B9">
        <w:rPr>
          <w:rStyle w:val="Hyperlink"/>
        </w:rPr>
        <w:t>Rizwan.Chowdhry@fcc.gov</w:t>
      </w:r>
      <w:r>
        <w:t xml:space="preserve">, </w:t>
      </w:r>
      <w:r w:rsidRPr="003D274A" w:rsidR="00D94F60">
        <w:t xml:space="preserve">and </w:t>
      </w:r>
      <w:hyperlink r:id="rId6" w:history="1">
        <w:r w:rsidRPr="005401B9" w:rsidR="003D274A">
          <w:rPr>
            <w:rStyle w:val="Hyperlink"/>
          </w:rPr>
          <w:t>Ryan.McDonald@fcc.gov</w:t>
        </w:r>
      </w:hyperlink>
      <w:r w:rsidRPr="003D274A" w:rsidR="00F14AEB">
        <w:t>,</w:t>
      </w:r>
      <w:r w:rsidRPr="003D274A">
        <w:t xml:space="preserve"> on the date said payment is made.  Payment of the forfeiture must be made by </w:t>
      </w:r>
      <w:r w:rsidRPr="003D274A" w:rsidR="00096A3C">
        <w:t xml:space="preserve">wire transfer, </w:t>
      </w:r>
      <w:r w:rsidRPr="003D274A">
        <w:t xml:space="preserve">credit card, </w:t>
      </w:r>
      <w:r w:rsidRPr="003D274A" w:rsidR="00096A3C">
        <w:t xml:space="preserve">or </w:t>
      </w:r>
      <w:r w:rsidRPr="003D274A">
        <w:t>ACH (Automated Clearing House) debit from a bank account using the Commission’s Fee Filer (the Commission’s online payment system)</w:t>
      </w:r>
      <w:r w:rsidRPr="003D274A" w:rsidR="00096A3C">
        <w:t>.</w:t>
      </w:r>
      <w:r>
        <w:rPr>
          <w:rStyle w:val="FootnoteReference"/>
        </w:rPr>
        <w:footnoteReference w:id="69"/>
      </w:r>
      <w:r w:rsidRPr="003D274A">
        <w:t xml:space="preserve">  The Commission no longer accepts forfeiture payments by check or money order.  Below are instructions that payors should follow based on the form of payment selected:</w:t>
      </w:r>
      <w:r>
        <w:rPr>
          <w:vertAlign w:val="superscript"/>
        </w:rPr>
        <w:footnoteReference w:id="70"/>
      </w:r>
      <w:r w:rsidRPr="003D274A">
        <w:tab/>
      </w:r>
    </w:p>
    <w:p w:rsidR="00073978" w:rsidP="009A10FF" w14:paraId="649979B4" w14:textId="13DC0C9D">
      <w:pPr>
        <w:numPr>
          <w:ilvl w:val="0"/>
          <w:numId w:val="5"/>
        </w:numPr>
        <w:spacing w:after="240"/>
      </w:pPr>
      <w:r w:rsidRPr="003D274A">
        <w:t xml:space="preserve">Payment by wire transfer must be made to ABA Number 021030004, receiving bank TREAS/NYC, and Account Number 27000001.  A completed Form 159 must be faxed to the Federal Communications Commission at 202-418-2843 or </w:t>
      </w:r>
      <w:r w:rsidR="000726D1">
        <w:t>e-mail</w:t>
      </w:r>
      <w:r w:rsidRPr="003D274A">
        <w:t xml:space="preserve">ed to </w:t>
      </w:r>
      <w:hyperlink r:id="rId7" w:history="1">
        <w:r w:rsidRPr="005401B9" w:rsidR="003D274A">
          <w:rPr>
            <w:rStyle w:val="Hyperlink"/>
          </w:rPr>
          <w:t>RROGWireFaxes@fcc.gov</w:t>
        </w:r>
      </w:hyperlink>
      <w:r w:rsidRPr="003D274A">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71"/>
      </w:r>
      <w:r w:rsidRPr="003D274A">
        <w:t xml:space="preserve">  For additional detail and wire transfer instructions, go to </w:t>
      </w:r>
      <w:hyperlink r:id="rId8" w:history="1">
        <w:r w:rsidRPr="005401B9">
          <w:rPr>
            <w:rStyle w:val="Hyperlink"/>
            <w:rFonts w:eastAsiaTheme="minorHAnsi"/>
          </w:rPr>
          <w:t>https://www.fcc.gov/licensing-databases/fees/wire-transfer</w:t>
        </w:r>
      </w:hyperlink>
      <w:r w:rsidRPr="003D274A">
        <w:t>.</w:t>
      </w:r>
    </w:p>
    <w:p w:rsidR="00AB3FD0" w:rsidRPr="003D274A" w:rsidP="00A01361" w14:paraId="37537704" w14:textId="35143DF4">
      <w:pPr>
        <w:widowControl/>
        <w:numPr>
          <w:ilvl w:val="0"/>
          <w:numId w:val="5"/>
        </w:numPr>
        <w:spacing w:after="240"/>
      </w:pPr>
      <w:r w:rsidRPr="003D274A">
        <w:t xml:space="preserve">Payment by credit card must be made by using the Commission’s Fee Filer website at </w:t>
      </w:r>
      <w:hyperlink r:id="rId9" w:history="1">
        <w:r w:rsidRPr="005401B9">
          <w:rPr>
            <w:rStyle w:val="Hyperlink"/>
          </w:rPr>
          <w:t>https://apps.fcc.gov/FeeFiler/login.cfm</w:t>
        </w:r>
      </w:hyperlink>
      <w:r w:rsidRPr="003D274A">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AB3FD0" w:rsidRPr="003D274A" w:rsidP="009A10FF" w14:paraId="1809A215" w14:textId="39CB0AB4">
      <w:pPr>
        <w:numPr>
          <w:ilvl w:val="0"/>
          <w:numId w:val="4"/>
        </w:numPr>
        <w:spacing w:after="240"/>
        <w:rPr>
          <w:b/>
        </w:rPr>
      </w:pPr>
      <w:r w:rsidRPr="003D274A">
        <w:t xml:space="preserve">Payment by ACH must be made by using the Commission’s Fee Filer website at </w:t>
      </w:r>
      <w:hyperlink r:id="rId9" w:history="1">
        <w:r w:rsidRPr="005401B9">
          <w:rPr>
            <w:rStyle w:val="Hyperlink"/>
            <w:rFonts w:eastAsiaTheme="minorHAnsi"/>
          </w:rPr>
          <w:t>https://apps.fcc.gov/FeeFiler/login.cfm</w:t>
        </w:r>
      </w:hyperlink>
      <w:r w:rsidRPr="003D274A">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B3FD0" w:rsidRPr="003D274A" w:rsidP="009A10FF" w14:paraId="449BBA00" w14:textId="09E792F8">
      <w:pPr>
        <w:pStyle w:val="ParaNum"/>
        <w:spacing w:after="240"/>
      </w:pPr>
      <w:r w:rsidRPr="003D274A">
        <w:t>Any request for making full payment over time under an installment plan should be sent to:  Chief Financial Officer—Financial Operations, Federal Communications Commission,</w:t>
      </w:r>
      <w:r w:rsidR="005B4274">
        <w:t xml:space="preserve"> </w:t>
      </w:r>
      <w:r w:rsidRPr="005B4274" w:rsidR="005B4274">
        <w:t>45 L Street</w:t>
      </w:r>
      <w:r w:rsidR="008B42CA">
        <w:t>,</w:t>
      </w:r>
      <w:r w:rsidRPr="005B4274" w:rsidR="005B4274">
        <w:t xml:space="preserve"> </w:t>
      </w:r>
      <w:r w:rsidRPr="005B4274" w:rsidR="005B4274">
        <w:t>NENE, Washington, DC 20554</w:t>
      </w:r>
      <w:r w:rsidRPr="003D274A">
        <w:t>.</w:t>
      </w:r>
      <w:r>
        <w:rPr>
          <w:rStyle w:val="FootnoteReference"/>
        </w:rPr>
        <w:footnoteReference w:id="72"/>
      </w:r>
      <w:r w:rsidRPr="003D274A">
        <w:t xml:space="preserve">  Questions regarding payment procedures should be directed to the Financial Operations Group Help Desk by phone, 1-877-480-3201, or by </w:t>
      </w:r>
      <w:r w:rsidR="000726D1">
        <w:t>e-mail</w:t>
      </w:r>
      <w:r w:rsidRPr="003D274A">
        <w:t xml:space="preserve">, </w:t>
      </w:r>
      <w:hyperlink r:id="rId10" w:history="1">
        <w:r w:rsidRPr="005401B9" w:rsidR="003D274A">
          <w:rPr>
            <w:rStyle w:val="Hyperlink"/>
          </w:rPr>
          <w:t>ARINQUIRIES@fcc.gov</w:t>
        </w:r>
      </w:hyperlink>
      <w:r w:rsidRPr="003D274A">
        <w:t>.</w:t>
      </w:r>
    </w:p>
    <w:p w:rsidR="00AB3FD0" w:rsidRPr="003D274A" w:rsidP="009A10FF" w14:paraId="253B5896" w14:textId="4C9AF6CD">
      <w:pPr>
        <w:pStyle w:val="ParaNum"/>
        <w:spacing w:after="240"/>
      </w:pPr>
      <w:r w:rsidRPr="003D274A">
        <w:t xml:space="preserve">The written statement seeking reduction or cancellation of the proposed forfeiture, if any, must include a detailed factual statement supported by appropriate documentation and affidavits pursuant to </w:t>
      </w:r>
      <w:r w:rsidR="005722C2">
        <w:t>s</w:t>
      </w:r>
      <w:r w:rsidRPr="003D274A">
        <w:t xml:space="preserve">ections 1.16 and 1.80(f)(3) of the </w:t>
      </w:r>
      <w:r w:rsidRPr="003D274A" w:rsidR="007E35F9">
        <w:t>r</w:t>
      </w:r>
      <w:r w:rsidRPr="003D274A">
        <w:t>ules.</w:t>
      </w:r>
      <w:r>
        <w:rPr>
          <w:vertAlign w:val="superscript"/>
        </w:rPr>
        <w:footnoteReference w:id="73"/>
      </w:r>
      <w:r w:rsidRPr="003D274A">
        <w:t xml:space="preserve">  </w:t>
      </w:r>
      <w:r w:rsidR="007113BF">
        <w:t xml:space="preserve">The written statement must be mailed to Jeffrey J. Gee, Chief, Investigations and Hearings Division, Enforcement Bureau, Federal Communications Commission, </w:t>
      </w:r>
      <w:r w:rsidRPr="005B4274" w:rsidR="005B4274">
        <w:t>45 L Street</w:t>
      </w:r>
      <w:r w:rsidR="008B42CA">
        <w:t>,</w:t>
      </w:r>
      <w:r w:rsidRPr="005B4274" w:rsidR="005B4274">
        <w:t xml:space="preserve"> NE, Washington, DC 20554</w:t>
      </w:r>
      <w:r w:rsidR="007113BF">
        <w:t xml:space="preserve">, and must include the NAL account number referenced in the caption. </w:t>
      </w:r>
      <w:r w:rsidRPr="003D274A">
        <w:t xml:space="preserve">The statement must also be </w:t>
      </w:r>
      <w:r w:rsidR="000726D1">
        <w:t>e-mail</w:t>
      </w:r>
      <w:r w:rsidRPr="003D274A">
        <w:t xml:space="preserve">ed to </w:t>
      </w:r>
      <w:r w:rsidRPr="003D274A" w:rsidR="000469F1">
        <w:t xml:space="preserve">Jeffrey Gee, </w:t>
      </w:r>
      <w:r w:rsidR="00B86B68">
        <w:t>Kalun Lee, Rizwan Chowdhry</w:t>
      </w:r>
      <w:r w:rsidRPr="003D274A" w:rsidR="000469F1">
        <w:t xml:space="preserve">, and Ryan McDonald of the Enforcement Bureau, Federal Communications Commission, at </w:t>
      </w:r>
      <w:hyperlink r:id="rId5" w:history="1">
        <w:r w:rsidRPr="005401B9" w:rsidR="00B86B68">
          <w:rPr>
            <w:rStyle w:val="Hyperlink"/>
          </w:rPr>
          <w:t>Jeffrey.Gee@fcc.gov</w:t>
        </w:r>
      </w:hyperlink>
      <w:r w:rsidRPr="003D274A" w:rsidR="00B86B68">
        <w:t xml:space="preserve">, </w:t>
      </w:r>
      <w:r w:rsidRPr="005401B9" w:rsidR="00B86B68">
        <w:rPr>
          <w:rStyle w:val="Hyperlink"/>
        </w:rPr>
        <w:t>Kalun.Lee@fcc.gov</w:t>
      </w:r>
      <w:r w:rsidRPr="003D274A" w:rsidR="00B86B68">
        <w:t xml:space="preserve">, </w:t>
      </w:r>
      <w:r w:rsidRPr="005401B9" w:rsidR="00B86B68">
        <w:rPr>
          <w:rStyle w:val="Hyperlink"/>
        </w:rPr>
        <w:t>Rizwan.Chowdhry@fcc.gov</w:t>
      </w:r>
      <w:r w:rsidR="00B86B68">
        <w:t xml:space="preserve">, </w:t>
      </w:r>
      <w:r w:rsidRPr="003D274A" w:rsidR="00B86B68">
        <w:t xml:space="preserve">and </w:t>
      </w:r>
      <w:hyperlink r:id="rId6" w:history="1">
        <w:r w:rsidRPr="005401B9" w:rsidR="00B86B68">
          <w:rPr>
            <w:rStyle w:val="Hyperlink"/>
          </w:rPr>
          <w:t>Ryan.McDonald@fcc.gov</w:t>
        </w:r>
      </w:hyperlink>
      <w:r w:rsidRPr="003D274A" w:rsidR="00254387">
        <w:t>.</w:t>
      </w:r>
      <w:r w:rsidR="00B86B68">
        <w:t xml:space="preserve"> </w:t>
      </w:r>
      <w:r w:rsidR="00883606">
        <w:t xml:space="preserve"> Until further notice</w:t>
      </w:r>
      <w:r w:rsidR="00B67B62">
        <w:t>, the Commission will not accept any hand or messenger delivered filings.</w:t>
      </w:r>
    </w:p>
    <w:p w:rsidR="009A10FF" w:rsidP="000F1E27" w14:paraId="2185ED39" w14:textId="793D7BC1">
      <w:pPr>
        <w:pStyle w:val="ParaNum"/>
        <w:spacing w:after="240"/>
      </w:pPr>
      <w:r w:rsidRPr="00EF5115">
        <w:t>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practices; or (3) some other reliable and objective documentation that accurately reflects the petitioner’s current financial status.</w:t>
      </w:r>
      <w:r>
        <w:rPr>
          <w:vertAlign w:val="superscript"/>
        </w:rPr>
        <w:footnoteReference w:id="74"/>
      </w:r>
      <w:r w:rsidRPr="00EF5115">
        <w:t xml:space="preserve">  Any claim of inability to pay must specifically identify the basis for the claim by reference to the financial documentation.  Inability to pay, however, is only one of several factors that the Commission will consider in determining the appropriate forfeiture, and we retain the discretion to decline reducing or canceling the forfeiture if other prongs of 47 U.S.C. § 503(b)(2)(E) support that result.</w:t>
      </w:r>
      <w:r>
        <w:rPr>
          <w:vertAlign w:val="superscript"/>
        </w:rPr>
        <w:footnoteReference w:id="75"/>
      </w:r>
    </w:p>
    <w:bookmarkEnd w:id="3"/>
    <w:p w:rsidR="00286950" w:rsidRPr="0079744A" w:rsidP="009A10FF" w14:paraId="5B3EB0F8" w14:textId="5F26A5A2">
      <w:pPr>
        <w:pStyle w:val="ParaNum"/>
        <w:widowControl/>
        <w:rPr>
          <w:rStyle w:val="Strong"/>
          <w:b w:val="0"/>
          <w:bCs w:val="0"/>
        </w:rPr>
      </w:pPr>
      <w:r w:rsidRPr="0079744A">
        <w:rPr>
          <w:b/>
        </w:rPr>
        <w:t>IT IS FURTHER ORDERED</w:t>
      </w:r>
      <w:r w:rsidRPr="0079744A">
        <w:t xml:space="preserve"> that </w:t>
      </w:r>
      <w:r w:rsidR="00C90823">
        <w:t>a</w:t>
      </w:r>
      <w:r w:rsidR="00044B79">
        <w:t xml:space="preserve"> copy of </w:t>
      </w:r>
      <w:r w:rsidR="00C90823">
        <w:t>this</w:t>
      </w:r>
      <w:r w:rsidR="00044B79">
        <w:t xml:space="preserve"> Notice of Apparent Liability for Forfeiture shall be sent, by </w:t>
      </w:r>
      <w:r w:rsidRPr="00EF5115" w:rsidR="00EF5115">
        <w:t>first class mail and certified mail, return receipt requested</w:t>
      </w:r>
      <w:r w:rsidR="00044B79">
        <w:t xml:space="preserve">, to </w:t>
      </w:r>
      <w:r w:rsidR="0086258D">
        <w:rPr>
          <w:rStyle w:val="Strong"/>
          <w:b w:val="0"/>
        </w:rPr>
        <w:t>Donna Olson</w:t>
      </w:r>
      <w:r w:rsidR="00044B79">
        <w:rPr>
          <w:rStyle w:val="Strong"/>
          <w:b w:val="0"/>
        </w:rPr>
        <w:t>,</w:t>
      </w:r>
      <w:r w:rsidR="009C20B5">
        <w:rPr>
          <w:rStyle w:val="Strong"/>
          <w:b w:val="0"/>
        </w:rPr>
        <w:t xml:space="preserve"> President,</w:t>
      </w:r>
      <w:r w:rsidR="00504342">
        <w:rPr>
          <w:rStyle w:val="Strong"/>
          <w:b w:val="0"/>
        </w:rPr>
        <w:t xml:space="preserve"> </w:t>
      </w:r>
      <w:r w:rsidR="0086258D">
        <w:rPr>
          <w:rStyle w:val="Strong"/>
          <w:b w:val="0"/>
        </w:rPr>
        <w:t>ClearSKY</w:t>
      </w:r>
      <w:r w:rsidR="0086258D">
        <w:rPr>
          <w:rStyle w:val="Strong"/>
          <w:b w:val="0"/>
        </w:rPr>
        <w:t xml:space="preserve"> Systems, Inc</w:t>
      </w:r>
      <w:r w:rsidR="00EC24BF">
        <w:rPr>
          <w:rStyle w:val="Strong"/>
          <w:b w:val="0"/>
        </w:rPr>
        <w:t>.</w:t>
      </w:r>
      <w:r w:rsidR="0086258D">
        <w:rPr>
          <w:rStyle w:val="Strong"/>
          <w:b w:val="0"/>
        </w:rPr>
        <w:t xml:space="preserve">, </w:t>
      </w:r>
      <w:r w:rsidRPr="0086258D" w:rsidR="0086258D">
        <w:rPr>
          <w:rStyle w:val="Strong"/>
          <w:b w:val="0"/>
        </w:rPr>
        <w:t>7095 W</w:t>
      </w:r>
      <w:r w:rsidR="0054372C">
        <w:rPr>
          <w:rStyle w:val="Strong"/>
          <w:b w:val="0"/>
        </w:rPr>
        <w:t>.</w:t>
      </w:r>
      <w:r w:rsidRPr="0086258D" w:rsidR="0086258D">
        <w:rPr>
          <w:rStyle w:val="Strong"/>
          <w:b w:val="0"/>
        </w:rPr>
        <w:t xml:space="preserve"> </w:t>
      </w:r>
      <w:r w:rsidRPr="0086258D" w:rsidR="0086258D">
        <w:rPr>
          <w:rStyle w:val="Strong"/>
          <w:b w:val="0"/>
        </w:rPr>
        <w:t>Waupecan</w:t>
      </w:r>
      <w:r w:rsidRPr="0086258D" w:rsidR="0086258D">
        <w:rPr>
          <w:rStyle w:val="Strong"/>
          <w:b w:val="0"/>
        </w:rPr>
        <w:t xml:space="preserve"> Rd</w:t>
      </w:r>
      <w:r w:rsidR="0086258D">
        <w:rPr>
          <w:rStyle w:val="Strong"/>
          <w:b w:val="0"/>
        </w:rPr>
        <w:t>.,</w:t>
      </w:r>
      <w:r w:rsidRPr="0086258D" w:rsidR="0086258D">
        <w:rPr>
          <w:rStyle w:val="Strong"/>
          <w:b w:val="0"/>
        </w:rPr>
        <w:t xml:space="preserve"> Verona, IL 60479</w:t>
      </w:r>
      <w:r w:rsidRPr="0079744A" w:rsidR="00AF70C1">
        <w:rPr>
          <w:rStyle w:val="Strong"/>
          <w:b w:val="0"/>
        </w:rPr>
        <w:t>.</w:t>
      </w:r>
    </w:p>
    <w:p w:rsidR="00F16686" w:rsidRPr="0079744A" w:rsidP="005401B9" w14:paraId="4A2F7157" w14:textId="77777777"/>
    <w:p w:rsidR="00F16686" w:rsidRPr="003D274A" w:rsidP="005401B9" w14:paraId="6114C960" w14:textId="77777777"/>
    <w:p w:rsidR="00286950" w:rsidRPr="003D274A" w:rsidP="009A10FF" w14:paraId="0F17F8E2" w14:textId="191BF864">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FEDERAL COMMUNICATIONS COMMISSION</w:t>
      </w:r>
    </w:p>
    <w:p w:rsidR="00286950" w:rsidRPr="003D274A" w:rsidP="009A10FF" w14:paraId="28DF2453" w14:textId="3EBDE9BA">
      <w:pPr>
        <w:tabs>
          <w:tab w:val="left" w:pos="-720"/>
        </w:tabs>
        <w:suppressAutoHyphens/>
        <w:spacing w:line="240" w:lineRule="atLeast"/>
        <w:jc w:val="both"/>
      </w:pPr>
    </w:p>
    <w:p w:rsidR="00F16686" w:rsidRPr="003D274A" w:rsidP="009A10FF" w14:paraId="16BC6BE6" w14:textId="13553304">
      <w:pPr>
        <w:tabs>
          <w:tab w:val="left" w:pos="-720"/>
        </w:tabs>
        <w:suppressAutoHyphens/>
        <w:spacing w:line="240" w:lineRule="atLeast"/>
        <w:jc w:val="both"/>
      </w:pPr>
    </w:p>
    <w:p w:rsidR="00F16686" w:rsidRPr="003D274A" w:rsidP="009A10FF" w14:paraId="4692EA08" w14:textId="0D291CFC">
      <w:pPr>
        <w:tabs>
          <w:tab w:val="left" w:pos="-720"/>
        </w:tabs>
        <w:suppressAutoHyphens/>
        <w:spacing w:line="240" w:lineRule="atLeast"/>
        <w:jc w:val="both"/>
      </w:pPr>
    </w:p>
    <w:p w:rsidR="00EF5115" w:rsidRPr="003D274A" w:rsidP="009A10FF" w14:paraId="02C766CC" w14:textId="77777777">
      <w:pPr>
        <w:tabs>
          <w:tab w:val="left" w:pos="-720"/>
        </w:tabs>
        <w:suppressAutoHyphens/>
        <w:spacing w:line="240" w:lineRule="atLeast"/>
        <w:jc w:val="both"/>
      </w:pPr>
    </w:p>
    <w:p w:rsidR="00F16686" w:rsidRPr="003D274A" w:rsidP="009A10FF" w14:paraId="7D49AE7C" w14:textId="5C28E9CA">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________________________</w:t>
      </w:r>
    </w:p>
    <w:p w:rsidR="00286950" w:rsidRPr="003D274A" w:rsidP="009A10FF" w14:paraId="13814CE9" w14:textId="77777777">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 xml:space="preserve">Rosemary C. Harold </w:t>
      </w:r>
    </w:p>
    <w:p w:rsidR="00C213B1" w:rsidRPr="003D274A" w:rsidP="009A10FF" w14:paraId="3403CFD8" w14:textId="2B7701C1">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 xml:space="preserve">Chief </w:t>
      </w:r>
    </w:p>
    <w:p w:rsidR="00286950" w:rsidRPr="003D274A" w:rsidP="009A10FF" w14:paraId="6270486E" w14:textId="200374F4">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r>
      <w:r w:rsidRPr="003D274A">
        <w:t xml:space="preserve">Enforcement Bureau </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9796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7EB2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D3DE1" w:rsidP="005401B9" w14:paraId="2109F704" w14:textId="0E6BD4A9">
    <w:pPr>
      <w:pStyle w:val="Footer"/>
      <w:jc w:val="center"/>
    </w:pPr>
    <w:r w:rsidRPr="002D3DE1">
      <w:fldChar w:fldCharType="begin"/>
    </w:r>
    <w:r w:rsidRPr="002D3DE1">
      <w:instrText xml:space="preserve"> PAGE   \* MERGEFORMAT </w:instrText>
    </w:r>
    <w:r w:rsidRPr="002D3DE1">
      <w:fldChar w:fldCharType="separate"/>
    </w:r>
    <w:r w:rsidRPr="002D3DE1">
      <w:rPr>
        <w:noProof/>
      </w:rPr>
      <w:t>2</w:t>
    </w:r>
    <w:r w:rsidRPr="002D3DE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D3DE1" w14:paraId="30172D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1B12" w:rsidP="00286950" w14:paraId="477B25C2" w14:textId="77777777">
      <w:r>
        <w:separator/>
      </w:r>
    </w:p>
  </w:footnote>
  <w:footnote w:type="continuationSeparator" w:id="1">
    <w:p w:rsidR="00931B12" w:rsidP="00286950" w14:paraId="5512587B" w14:textId="77777777">
      <w:r>
        <w:continuationSeparator/>
      </w:r>
    </w:p>
  </w:footnote>
  <w:footnote w:type="continuationNotice" w:id="2">
    <w:p w:rsidR="00931B12" w14:paraId="17FD6CD2" w14:textId="77777777"/>
  </w:footnote>
  <w:footnote w:id="3">
    <w:p w:rsidR="00286950" w:rsidRPr="003D274A" w:rsidP="00286950" w14:paraId="41436CEF" w14:textId="77777777">
      <w:pPr>
        <w:pStyle w:val="FootnoteText"/>
      </w:pPr>
      <w:r w:rsidRPr="003D274A">
        <w:rPr>
          <w:rStyle w:val="FootnoteReference"/>
          <w:rFonts w:eastAsia="Calibri"/>
        </w:rPr>
        <w:footnoteRef/>
      </w:r>
      <w:r w:rsidRPr="003D274A">
        <w:t xml:space="preserve"> </w:t>
      </w:r>
      <w:r w:rsidRPr="003D274A">
        <w:rPr>
          <w:shd w:val="clear" w:color="auto" w:fill="FFFFFF"/>
        </w:rPr>
        <w:t>The Connect America Fund Phase II is part of the Commission’s reform and modernization of its universal service support programs.</w:t>
      </w:r>
    </w:p>
  </w:footnote>
  <w:footnote w:id="4">
    <w:p w:rsidR="007F6B9D" w:rsidRPr="003D274A" w:rsidP="007F6B9D" w14:paraId="38BEC667" w14:textId="60316612">
      <w:pPr>
        <w:pStyle w:val="FootnoteText"/>
      </w:pPr>
      <w:r w:rsidRPr="003D274A">
        <w:rPr>
          <w:rStyle w:val="FootnoteReference"/>
          <w:rFonts w:eastAsia="Calibri"/>
        </w:rPr>
        <w:footnoteRef/>
      </w:r>
      <w:r w:rsidRPr="003D274A">
        <w:t xml:space="preserve"> Any entity that is a “Small Business Concern” as defined in the Small Business Act (Pub. L. 85-536, as amended) may avail itself of rights set forth in that Act, including rights set forth in 15 U.S.C. </w:t>
      </w:r>
      <w:r w:rsidRPr="003D274A" w:rsidR="00056D73">
        <w:t>§</w:t>
      </w:r>
      <w:r w:rsidRPr="003D274A">
        <w:t xml:space="preserve"> 657, “Oversight of Regulatory Enforcement,” in addition to other rights set forth herein.</w:t>
      </w:r>
    </w:p>
  </w:footnote>
  <w:footnote w:id="5">
    <w:p w:rsidR="001E4F2E" w:rsidRPr="003D274A" w:rsidP="001E4F2E" w14:paraId="35213723" w14:textId="38226F0C">
      <w:pPr>
        <w:pStyle w:val="FootnoteText"/>
      </w:pPr>
      <w:r w:rsidRPr="003D274A">
        <w:rPr>
          <w:rStyle w:val="FootnoteReference"/>
        </w:rPr>
        <w:footnoteRef/>
      </w:r>
      <w:r w:rsidRPr="003D274A">
        <w:t xml:space="preserve"> </w:t>
      </w:r>
      <w:r w:rsidRPr="003D274A" w:rsidR="0013651D">
        <w:rPr>
          <w:i/>
        </w:rPr>
        <w:t>Connect America Fund Phase II Auction Scheduled for July 24, 2018 Notice and Filing Requirements and Other Procedures for Auction 903</w:t>
      </w:r>
      <w:r w:rsidRPr="003D274A" w:rsidR="0013651D">
        <w:t xml:space="preserve">, </w:t>
      </w:r>
      <w:r w:rsidRPr="003D274A" w:rsidR="0013651D">
        <w:rPr>
          <w:shd w:val="clear" w:color="auto" w:fill="FFFFFF"/>
        </w:rPr>
        <w:t xml:space="preserve">Public Notice, </w:t>
      </w:r>
      <w:r w:rsidRPr="003D274A" w:rsidR="0013651D">
        <w:rPr>
          <w:bdr w:val="none" w:sz="0" w:space="0" w:color="auto" w:frame="1"/>
          <w:shd w:val="clear" w:color="auto" w:fill="FFFFFF"/>
        </w:rPr>
        <w:t>AU Docket No. 17-182, WC Docket No. 10-90</w:t>
      </w:r>
      <w:r w:rsidRPr="003D274A" w:rsidR="0013651D">
        <w:rPr>
          <w:shd w:val="clear" w:color="auto" w:fill="FFFFFF"/>
        </w:rPr>
        <w:t xml:space="preserve">, 33 FCC Rcd </w:t>
      </w:r>
      <w:r w:rsidR="0027506A">
        <w:rPr>
          <w:shd w:val="clear" w:color="auto" w:fill="FFFFFF"/>
        </w:rPr>
        <w:t>1428,</w:t>
      </w:r>
      <w:r w:rsidRPr="003D274A" w:rsidR="0013651D">
        <w:rPr>
          <w:shd w:val="clear" w:color="auto" w:fill="FFFFFF"/>
        </w:rPr>
        <w:t>14</w:t>
      </w:r>
      <w:r w:rsidR="0013651D">
        <w:rPr>
          <w:shd w:val="clear" w:color="auto" w:fill="FFFFFF"/>
        </w:rPr>
        <w:t>32</w:t>
      </w:r>
      <w:r w:rsidRPr="003D274A" w:rsidR="0013651D">
        <w:rPr>
          <w:shd w:val="clear" w:color="auto" w:fill="FFFFFF"/>
        </w:rPr>
        <w:t xml:space="preserve">, </w:t>
      </w:r>
      <w:r w:rsidRPr="003D274A" w:rsidR="0013651D">
        <w:t>para. 1</w:t>
      </w:r>
      <w:r w:rsidR="0013651D">
        <w:t>0</w:t>
      </w:r>
      <w:r w:rsidRPr="003D274A" w:rsidR="0013651D">
        <w:t xml:space="preserve"> </w:t>
      </w:r>
      <w:r w:rsidRPr="003D274A" w:rsidR="0013651D">
        <w:rPr>
          <w:shd w:val="clear" w:color="auto" w:fill="FFFFFF"/>
        </w:rPr>
        <w:t>(</w:t>
      </w:r>
      <w:r w:rsidRPr="003D274A" w:rsidR="0013651D">
        <w:rPr>
          <w:rStyle w:val="cosearchterm"/>
          <w:bCs/>
          <w:bdr w:val="none" w:sz="0" w:space="0" w:color="auto" w:frame="1"/>
        </w:rPr>
        <w:t xml:space="preserve">2018) </w:t>
      </w:r>
      <w:r w:rsidRPr="003D274A" w:rsidR="0013651D">
        <w:t>(</w:t>
      </w:r>
      <w:r w:rsidRPr="003D274A" w:rsidR="0013651D">
        <w:rPr>
          <w:i/>
        </w:rPr>
        <w:t>Phase II Auction Procedures Public Notice</w:t>
      </w:r>
      <w:r w:rsidRPr="005401B9" w:rsidR="0013651D">
        <w:t>)</w:t>
      </w:r>
      <w:r w:rsidRPr="0013651D" w:rsidR="0013651D">
        <w:rPr>
          <w:i/>
          <w:iCs/>
        </w:rPr>
        <w:t>.</w:t>
      </w:r>
    </w:p>
  </w:footnote>
  <w:footnote w:id="6">
    <w:p w:rsidR="009A5532" w:rsidRPr="003D274A" w:rsidP="009A5532" w14:paraId="69E54A05" w14:textId="08E23144">
      <w:pPr>
        <w:pStyle w:val="FootnoteText"/>
      </w:pPr>
      <w:r w:rsidRPr="003D274A">
        <w:rPr>
          <w:rStyle w:val="FootnoteReference"/>
        </w:rPr>
        <w:footnoteRef/>
      </w:r>
      <w:r w:rsidRPr="003D274A">
        <w:t xml:space="preserve"> </w:t>
      </w:r>
      <w:r>
        <w:rPr>
          <w:i/>
        </w:rPr>
        <w:t>Id</w:t>
      </w:r>
      <w:r w:rsidRPr="003D274A">
        <w:rPr>
          <w:shd w:val="clear" w:color="auto" w:fill="FFFFFF"/>
        </w:rPr>
        <w:t>.</w:t>
      </w:r>
    </w:p>
  </w:footnote>
  <w:footnote w:id="7">
    <w:p w:rsidR="009A5532" w:rsidRPr="003D274A" w:rsidP="009A5532" w14:paraId="1C5580C1" w14:textId="77777777">
      <w:pPr>
        <w:pStyle w:val="FootnoteText"/>
      </w:pPr>
      <w:r w:rsidRPr="003D274A">
        <w:rPr>
          <w:rStyle w:val="FootnoteReference"/>
          <w:rFonts w:eastAsia="Calibri"/>
        </w:rPr>
        <w:footnoteRef/>
      </w:r>
      <w:r w:rsidRPr="003D274A">
        <w:t xml:space="preserve"> </w:t>
      </w:r>
      <w:r w:rsidRPr="003D274A">
        <w:rPr>
          <w:i/>
        </w:rPr>
        <w:t>Id.</w:t>
      </w:r>
      <w:r w:rsidRPr="003D274A">
        <w:rPr>
          <w:shd w:val="clear" w:color="auto" w:fill="FFFFFF"/>
        </w:rPr>
        <w:t xml:space="preserve"> at 1438-9,</w:t>
      </w:r>
      <w:r w:rsidRPr="003D274A">
        <w:t xml:space="preserve"> para. 21.</w:t>
      </w:r>
    </w:p>
  </w:footnote>
  <w:footnote w:id="8">
    <w:p w:rsidR="009A5532" w:rsidRPr="006D6F97" w:rsidP="009A5532" w14:paraId="4CB0DA34" w14:textId="7D884FA0">
      <w:pPr>
        <w:pStyle w:val="FootnoteText"/>
      </w:pPr>
      <w:r w:rsidRPr="006D6F97">
        <w:rPr>
          <w:rStyle w:val="FootnoteReference"/>
          <w:rFonts w:eastAsia="Calibri"/>
        </w:rPr>
        <w:footnoteRef/>
      </w:r>
      <w:r w:rsidRPr="006D6F97">
        <w:t xml:space="preserve"> </w:t>
      </w:r>
      <w:r w:rsidR="00103D04">
        <w:rPr>
          <w:i/>
          <w:iCs/>
        </w:rPr>
        <w:t>See id.</w:t>
      </w:r>
      <w:r w:rsidR="00103D04">
        <w:t xml:space="preserve"> at 1438, para. 20.</w:t>
      </w:r>
      <w:r w:rsidR="00D65C38">
        <w:t xml:space="preserve">  </w:t>
      </w:r>
      <w:r w:rsidR="00D65C38">
        <w:rPr>
          <w:i/>
          <w:iCs/>
        </w:rPr>
        <w:t xml:space="preserve">See also </w:t>
      </w:r>
      <w:r w:rsidRPr="00996862" w:rsidR="00CD05C3">
        <w:rPr>
          <w:i/>
          <w:iCs/>
        </w:rPr>
        <w:t>Connect America Fund Phase II Auction (Auction 903) Closes Winning Bidders Announced FCC Form 683 Due October 15, 2018</w:t>
      </w:r>
      <w:r w:rsidR="00CD05C3">
        <w:t>, Public Notice, AU Docket 17-182, WC Docket 10-90, 33 FCC Rcd 8257, para. 2 (2018) (</w:t>
      </w:r>
      <w:r w:rsidR="00CD05C3">
        <w:rPr>
          <w:i/>
          <w:iCs/>
        </w:rPr>
        <w:t>Auction 903 Closing Public Notice</w:t>
      </w:r>
      <w:r w:rsidR="00CD05C3">
        <w:t xml:space="preserve">). </w:t>
      </w:r>
      <w:r w:rsidR="00103D04">
        <w:t xml:space="preserve"> </w:t>
      </w:r>
      <w:r w:rsidRPr="006D6F97">
        <w:rPr>
          <w:shd w:val="clear" w:color="auto" w:fill="FFFFFF"/>
        </w:rPr>
        <w:t>Additionally, letter of credit commitment letters, and detailed technology and system design descriptions were due November 5, 2018.</w:t>
      </w:r>
      <w:r w:rsidR="00CD05C3">
        <w:rPr>
          <w:shd w:val="clear" w:color="auto" w:fill="FFFFFF"/>
        </w:rPr>
        <w:t xml:space="preserve">  </w:t>
      </w:r>
      <w:r w:rsidR="00CD05C3">
        <w:rPr>
          <w:i/>
          <w:iCs/>
          <w:shd w:val="clear" w:color="auto" w:fill="FFFFFF"/>
        </w:rPr>
        <w:t xml:space="preserve">See </w:t>
      </w:r>
      <w:r w:rsidR="00CD05C3">
        <w:rPr>
          <w:i/>
          <w:iCs/>
        </w:rPr>
        <w:t>Auction 903 Closing Public Notice</w:t>
      </w:r>
      <w:r w:rsidR="00CD05C3">
        <w:t xml:space="preserve">, 33 FCC Rcd at 8263, para. 16.  </w:t>
      </w:r>
      <w:r w:rsidRPr="006D6F97">
        <w:rPr>
          <w:shd w:val="clear" w:color="auto" w:fill="FFFFFF"/>
        </w:rPr>
        <w:t>Winning bidders were also required to produce Eligible Telecommunications Carrier designations from state governments and certification letters by February 25, 2019.</w:t>
      </w:r>
      <w:r w:rsidR="00CD05C3">
        <w:rPr>
          <w:shd w:val="clear" w:color="auto" w:fill="FFFFFF"/>
        </w:rPr>
        <w:t xml:space="preserve">  </w:t>
      </w:r>
      <w:r w:rsidR="00CD05C3">
        <w:rPr>
          <w:i/>
          <w:iCs/>
          <w:shd w:val="clear" w:color="auto" w:fill="FFFFFF"/>
        </w:rPr>
        <w:t>See id</w:t>
      </w:r>
      <w:r w:rsidR="00CD05C3">
        <w:rPr>
          <w:shd w:val="clear" w:color="auto" w:fill="FFFFFF"/>
        </w:rPr>
        <w:t>.</w:t>
      </w:r>
      <w:r w:rsidRPr="006D6F97">
        <w:rPr>
          <w:shd w:val="clear" w:color="auto" w:fill="FFFFFF"/>
        </w:rPr>
        <w:t xml:space="preserve">  </w:t>
      </w:r>
    </w:p>
  </w:footnote>
  <w:footnote w:id="9">
    <w:p w:rsidR="001E4F2E" w:rsidRPr="003D274A" w:rsidP="001E4F2E" w14:paraId="5E96F136" w14:textId="1D6ABA24">
      <w:pPr>
        <w:pStyle w:val="FootnoteText"/>
      </w:pPr>
      <w:r w:rsidRPr="003D274A">
        <w:rPr>
          <w:rStyle w:val="FootnoteReference"/>
          <w:rFonts w:eastAsia="Calibri"/>
        </w:rPr>
        <w:footnoteRef/>
      </w:r>
      <w:r w:rsidRPr="003D274A">
        <w:t xml:space="preserve"> </w:t>
      </w:r>
      <w:r w:rsidRPr="003D274A">
        <w:rPr>
          <w:i/>
        </w:rPr>
        <w:t>Connect America Fund et al.</w:t>
      </w:r>
      <w:r w:rsidRPr="003D274A">
        <w:t>, Report and Order and Further Notice of Proposed Rulemaking, 31 FCC Rcd 5949, 6000, para. 143 (2016), (</w:t>
      </w:r>
      <w:r w:rsidRPr="003D274A">
        <w:rPr>
          <w:i/>
        </w:rPr>
        <w:t>Phase II Auction Order and/or FNPRM</w:t>
      </w:r>
      <w:r w:rsidRPr="003D274A">
        <w:t>)</w:t>
      </w:r>
      <w:r w:rsidR="00BE0A0A">
        <w:t xml:space="preserve">. </w:t>
      </w:r>
      <w:r w:rsidR="00BE0A0A">
        <w:rPr>
          <w:i/>
          <w:iCs/>
        </w:rPr>
        <w:t>See also</w:t>
      </w:r>
      <w:r w:rsidRPr="003D274A">
        <w:t xml:space="preserve"> </w:t>
      </w:r>
      <w:r w:rsidRPr="003D274A">
        <w:rPr>
          <w:i/>
        </w:rPr>
        <w:t xml:space="preserve">Phase II Auction Procedures Public Notice, </w:t>
      </w:r>
      <w:r w:rsidRPr="003D274A">
        <w:rPr>
          <w:shd w:val="clear" w:color="auto" w:fill="FFFFFF"/>
        </w:rPr>
        <w:t>33 FCC Rcd at 1471-2,</w:t>
      </w:r>
      <w:r w:rsidRPr="003D274A">
        <w:t xml:space="preserve"> paras. 111-119</w:t>
      </w:r>
      <w:r w:rsidR="00BE0A0A">
        <w:t xml:space="preserve"> (stating that applicants are required to conduct their own due diligence and certify they were capable of meeting CAF-II obligations)</w:t>
      </w:r>
      <w:r w:rsidRPr="003D274A">
        <w:t xml:space="preserve">. </w:t>
      </w:r>
    </w:p>
  </w:footnote>
  <w:footnote w:id="10">
    <w:p w:rsidR="002E127C" w:rsidRPr="003D274A" w:rsidP="002E127C" w14:paraId="5D9AC6D6" w14:textId="6D71CD02">
      <w:pPr>
        <w:pStyle w:val="FootnoteText"/>
      </w:pPr>
      <w:r w:rsidRPr="003D274A">
        <w:rPr>
          <w:rStyle w:val="FootnoteReference"/>
          <w:rFonts w:eastAsia="Calibri"/>
        </w:rPr>
        <w:footnoteRef/>
      </w:r>
      <w:r w:rsidRPr="003D274A">
        <w:t xml:space="preserve"> </w:t>
      </w:r>
      <w:r w:rsidRPr="003D274A">
        <w:rPr>
          <w:i/>
        </w:rPr>
        <w:t xml:space="preserve">Phase II Auction Procedures Public Notice, </w:t>
      </w:r>
      <w:r w:rsidRPr="003D274A">
        <w:rPr>
          <w:shd w:val="clear" w:color="auto" w:fill="FFFFFF"/>
        </w:rPr>
        <w:t>33 FCC Rcd at 1520</w:t>
      </w:r>
      <w:r w:rsidR="0095794F">
        <w:rPr>
          <w:shd w:val="clear" w:color="auto" w:fill="FFFFFF"/>
        </w:rPr>
        <w:t>-21</w:t>
      </w:r>
      <w:r w:rsidRPr="003D274A">
        <w:rPr>
          <w:shd w:val="clear" w:color="auto" w:fill="FFFFFF"/>
        </w:rPr>
        <w:t>,</w:t>
      </w:r>
      <w:r w:rsidRPr="003D274A">
        <w:t xml:space="preserve"> para. 314</w:t>
      </w:r>
      <w:r w:rsidR="0095794F">
        <w:t xml:space="preserve"> (emphasis added)</w:t>
      </w:r>
      <w:r w:rsidR="008F42C3">
        <w:t>.</w:t>
      </w:r>
    </w:p>
  </w:footnote>
  <w:footnote w:id="11">
    <w:p w:rsidR="009045D0" w:rsidRPr="009045D0" w14:paraId="5ECE7AF1" w14:textId="061B3B51">
      <w:pPr>
        <w:pStyle w:val="FootnoteText"/>
      </w:pPr>
      <w:r>
        <w:rPr>
          <w:rStyle w:val="FootnoteReference"/>
        </w:rPr>
        <w:footnoteRef/>
      </w:r>
      <w:r>
        <w:t xml:space="preserve"> </w:t>
      </w:r>
      <w:r>
        <w:rPr>
          <w:i/>
          <w:iCs/>
        </w:rPr>
        <w:t>Id.</w:t>
      </w:r>
      <w:r>
        <w:t xml:space="preserve"> at 1519-20, para. 311. </w:t>
      </w:r>
    </w:p>
  </w:footnote>
  <w:footnote w:id="12">
    <w:p w:rsidR="00996862" w:rsidRPr="00996862" w14:paraId="3C53AC69" w14:textId="771B7E93">
      <w:pPr>
        <w:pStyle w:val="FootnoteText"/>
      </w:pPr>
      <w:r>
        <w:rPr>
          <w:rStyle w:val="FootnoteReference"/>
        </w:rPr>
        <w:footnoteRef/>
      </w:r>
      <w:r w:rsidRPr="001D462D">
        <w:t xml:space="preserve"> </w:t>
      </w:r>
      <w:r w:rsidR="00CD05C3">
        <w:rPr>
          <w:i/>
          <w:iCs/>
        </w:rPr>
        <w:t>Auction 903 Closing Public Notice</w:t>
      </w:r>
      <w:r w:rsidR="00CD05C3">
        <w:t xml:space="preserve">, 33 FCC </w:t>
      </w:r>
      <w:r w:rsidR="00CD05C3">
        <w:t>Rcd</w:t>
      </w:r>
      <w:r w:rsidR="00CD05C3">
        <w:t xml:space="preserve"> at 8263, para. 16..  </w:t>
      </w:r>
    </w:p>
  </w:footnote>
  <w:footnote w:id="13">
    <w:p w:rsidR="00724AC7" w:rsidRPr="00724AC7" w14:paraId="656CBB29" w14:textId="65B4FB8A">
      <w:pPr>
        <w:pStyle w:val="FootnoteText"/>
      </w:pPr>
      <w:r>
        <w:rPr>
          <w:rStyle w:val="FootnoteReference"/>
        </w:rPr>
        <w:footnoteRef/>
      </w:r>
      <w:r>
        <w:t xml:space="preserve">  </w:t>
      </w:r>
      <w:r w:rsidRPr="001D462D" w:rsidR="00A37018">
        <w:rPr>
          <w:i/>
        </w:rPr>
        <w:t>Phase II Auction Order and/or FNPRM</w:t>
      </w:r>
      <w:r w:rsidRPr="00792AE0" w:rsidR="00A37018">
        <w:t>, 31 FCC Rcd at 6000, para. 143, n.303 (“We note that above we adopt a separate forfeiture that will apply only to entities that have demonstrated that they have two years’ operating history and that certify they will submit their audited financials in their long-form application and then subsequ</w:t>
      </w:r>
      <w:r w:rsidRPr="00E65451" w:rsidR="00A37018">
        <w:t xml:space="preserve">ently default by not submitting their audited financials. </w:t>
      </w:r>
      <w:r w:rsidRPr="00E65451" w:rsidR="008B75BA">
        <w:t xml:space="preserve"> </w:t>
      </w:r>
      <w:r w:rsidRPr="00E65451" w:rsidR="00A37018">
        <w:rPr>
          <w:i/>
        </w:rPr>
        <w:t>See</w:t>
      </w:r>
      <w:r w:rsidRPr="001D03A8" w:rsidR="00A37018">
        <w:t xml:space="preserve"> </w:t>
      </w:r>
      <w:r w:rsidRPr="005401B9" w:rsidR="00A37018">
        <w:rPr>
          <w:i/>
        </w:rPr>
        <w:t>supra</w:t>
      </w:r>
      <w:r w:rsidRPr="001D462D" w:rsidR="00A37018">
        <w:t xml:space="preserve"> Section VI.B.1 (Short</w:t>
      </w:r>
      <w:r w:rsidRPr="00792AE0" w:rsidR="00656BE1">
        <w:t xml:space="preserve"> </w:t>
      </w:r>
      <w:r w:rsidRPr="00792AE0" w:rsidR="00A37018">
        <w:t>Form Applications Process). We conclude that a different forfeiture is appropriate under those circumstances given that we will be relying on the certifications of e</w:t>
      </w:r>
      <w:r w:rsidRPr="00E65451" w:rsidR="00A37018">
        <w:t xml:space="preserve">ntities that they will be submitting their financial information during the long-form stage in qualifying them to participate in the auction.”). </w:t>
      </w:r>
      <w:r w:rsidRPr="00166F99" w:rsidR="008B75BA">
        <w:t xml:space="preserve"> </w:t>
      </w:r>
      <w:r w:rsidRPr="00171CA7" w:rsidR="00A37018">
        <w:rPr>
          <w:i/>
        </w:rPr>
        <w:t xml:space="preserve">See </w:t>
      </w:r>
      <w:r w:rsidRPr="00171CA7">
        <w:rPr>
          <w:i/>
        </w:rPr>
        <w:t>Connect America Fund Phase II Auction Support for 150 Winning Bids Ready to b</w:t>
      </w:r>
      <w:r w:rsidRPr="005D1E0D">
        <w:rPr>
          <w:i/>
        </w:rPr>
        <w:t>e Authorized; Listed Auction 903 Long-Form Appli</w:t>
      </w:r>
      <w:r w:rsidRPr="005401B9">
        <w:rPr>
          <w:i/>
        </w:rPr>
        <w:t xml:space="preserve">cations Must Submit Letters of Credit and Legal Counsel’s Opinion Letters by Thursday, March 19, 2020, </w:t>
      </w:r>
      <w:r w:rsidRPr="005401B9">
        <w:t xml:space="preserve">Public Notice, </w:t>
      </w:r>
      <w:r w:rsidRPr="00D331C3" w:rsidR="00D331C3">
        <w:t xml:space="preserve">35 FCC </w:t>
      </w:r>
      <w:r w:rsidRPr="00D331C3" w:rsidR="00D331C3">
        <w:t>Rcd</w:t>
      </w:r>
      <w:r w:rsidRPr="00D331C3" w:rsidR="00D331C3">
        <w:t xml:space="preserve"> 1911</w:t>
      </w:r>
      <w:r w:rsidR="00D331C3">
        <w:t>, 1912</w:t>
      </w:r>
      <w:r w:rsidRPr="00792AE0" w:rsidR="005064F3">
        <w:t xml:space="preserve"> </w:t>
      </w:r>
      <w:r w:rsidRPr="00792AE0">
        <w:t>(</w:t>
      </w:r>
      <w:r w:rsidRPr="00E65451" w:rsidR="005064F3">
        <w:t>WCB</w:t>
      </w:r>
      <w:r w:rsidRPr="00E65451" w:rsidR="005064F3">
        <w:t xml:space="preserve"> </w:t>
      </w:r>
      <w:r w:rsidRPr="005401B9" w:rsidR="005064F3">
        <w:t>2020)</w:t>
      </w:r>
      <w:r w:rsidRPr="005401B9">
        <w:t xml:space="preserve"> (</w:t>
      </w:r>
      <w:r w:rsidRPr="005401B9">
        <w:rPr>
          <w:i/>
        </w:rPr>
        <w:t>Auction 903 Authorization &amp; Default Public Notice</w:t>
      </w:r>
      <w:r w:rsidRPr="005401B9">
        <w:t>)</w:t>
      </w:r>
      <w:r w:rsidRPr="001D462D">
        <w:t>.</w:t>
      </w:r>
    </w:p>
  </w:footnote>
  <w:footnote w:id="14">
    <w:p w:rsidR="00B939CA" w:rsidRPr="00B939CA" w14:paraId="17CF7C02" w14:textId="42D08409">
      <w:pPr>
        <w:pStyle w:val="FootnoteText"/>
      </w:pPr>
      <w:r>
        <w:rPr>
          <w:rStyle w:val="FootnoteReference"/>
        </w:rPr>
        <w:footnoteRef/>
      </w:r>
      <w:r>
        <w:t xml:space="preserve"> </w:t>
      </w:r>
      <w:r>
        <w:rPr>
          <w:i/>
          <w:iCs/>
        </w:rPr>
        <w:t>See</w:t>
      </w:r>
      <w:r>
        <w:t xml:space="preserve"> </w:t>
      </w:r>
      <w:r>
        <w:t>ClearSKY</w:t>
      </w:r>
      <w:r>
        <w:t xml:space="preserve">, </w:t>
      </w:r>
      <w:r>
        <w:rPr>
          <w:i/>
          <w:iCs/>
        </w:rPr>
        <w:t>About Us</w:t>
      </w:r>
      <w:r>
        <w:t xml:space="preserve">, </w:t>
      </w:r>
      <w:r w:rsidRPr="005401B9">
        <w:rPr>
          <w:rStyle w:val="Hyperlink"/>
          <w:kern w:val="28"/>
        </w:rPr>
        <w:t>https://csky.net/about-us-3/</w:t>
      </w:r>
      <w:r>
        <w:t xml:space="preserve"> (last visited </w:t>
      </w:r>
      <w:r w:rsidR="0029728B">
        <w:t>Feb</w:t>
      </w:r>
      <w:r>
        <w:t xml:space="preserve">. </w:t>
      </w:r>
      <w:r w:rsidR="0029728B">
        <w:t>23</w:t>
      </w:r>
      <w:r>
        <w:t>, 2020).</w:t>
      </w:r>
    </w:p>
  </w:footnote>
  <w:footnote w:id="15">
    <w:p w:rsidR="003D7557" w:rsidRPr="003D7557" w14:paraId="7426FECF" w14:textId="6EB4E64E">
      <w:pPr>
        <w:pStyle w:val="FootnoteText"/>
      </w:pPr>
      <w:r>
        <w:rPr>
          <w:rStyle w:val="FootnoteReference"/>
        </w:rPr>
        <w:footnoteRef/>
      </w:r>
      <w:r>
        <w:t xml:space="preserve">  </w:t>
      </w:r>
      <w:r>
        <w:rPr>
          <w:i/>
          <w:iCs/>
        </w:rPr>
        <w:t xml:space="preserve">See </w:t>
      </w:r>
      <w:r>
        <w:t>ClearSKY</w:t>
      </w:r>
      <w:r>
        <w:t xml:space="preserve">, </w:t>
      </w:r>
      <w:r>
        <w:rPr>
          <w:i/>
          <w:iCs/>
        </w:rPr>
        <w:t>Home</w:t>
      </w:r>
      <w:r>
        <w:t xml:space="preserve">, </w:t>
      </w:r>
      <w:r w:rsidRPr="005401B9">
        <w:rPr>
          <w:rStyle w:val="Hyperlink"/>
          <w:kern w:val="28"/>
        </w:rPr>
        <w:t>https://csky.net/</w:t>
      </w:r>
      <w:r>
        <w:t xml:space="preserve"> (last visited </w:t>
      </w:r>
      <w:r w:rsidR="0029728B">
        <w:t>Feb</w:t>
      </w:r>
      <w:r>
        <w:t xml:space="preserve">. </w:t>
      </w:r>
      <w:r w:rsidR="0029728B">
        <w:t>23</w:t>
      </w:r>
      <w:r>
        <w:t xml:space="preserve">, 2020). </w:t>
      </w:r>
    </w:p>
  </w:footnote>
  <w:footnote w:id="16">
    <w:p w:rsidR="00286950" w:rsidRPr="00AC0646" w:rsidP="00286950" w14:paraId="52B6EA7C" w14:textId="307B817B">
      <w:pPr>
        <w:pStyle w:val="FootnoteText"/>
      </w:pPr>
      <w:r w:rsidRPr="003D274A">
        <w:rPr>
          <w:rStyle w:val="FootnoteReference"/>
          <w:rFonts w:eastAsia="Calibri"/>
        </w:rPr>
        <w:footnoteRef/>
      </w:r>
      <w:r w:rsidRPr="003D274A">
        <w:t xml:space="preserve"> </w:t>
      </w:r>
      <w:r w:rsidR="001C009F">
        <w:rPr>
          <w:i/>
          <w:iCs/>
        </w:rPr>
        <w:t>See Auction 903 Closing Public Notice</w:t>
      </w:r>
      <w:r w:rsidR="001C009F">
        <w:t>, 33 FCC Rcd at 8257, para. 1.</w:t>
      </w:r>
      <w:r w:rsidRPr="003177F3" w:rsidR="001C009F">
        <w:rPr>
          <w:i/>
        </w:rPr>
        <w:t xml:space="preserve"> </w:t>
      </w:r>
      <w:r w:rsidR="001C009F">
        <w:rPr>
          <w:i/>
        </w:rPr>
        <w:t xml:space="preserve">See also </w:t>
      </w:r>
      <w:r w:rsidRPr="003D274A" w:rsidR="001C009F">
        <w:rPr>
          <w:i/>
        </w:rPr>
        <w:t>Phase II Auction Procedures Public Notice</w:t>
      </w:r>
      <w:r w:rsidR="001C009F">
        <w:rPr>
          <w:iCs/>
        </w:rPr>
        <w:t>, 33 FCC Rcd at 1432, para. 1.</w:t>
      </w:r>
      <w:r w:rsidR="001C009F">
        <w:rPr>
          <w:i/>
        </w:rPr>
        <w:t xml:space="preserve"> </w:t>
      </w:r>
      <w:r w:rsidR="008B75BA">
        <w:rPr>
          <w:i/>
        </w:rPr>
        <w:t xml:space="preserve"> </w:t>
      </w:r>
      <w:r w:rsidRPr="003177F3" w:rsidR="00AC0646">
        <w:rPr>
          <w:i/>
        </w:rPr>
        <w:t>See</w:t>
      </w:r>
      <w:r w:rsidR="001C009F">
        <w:rPr>
          <w:i/>
        </w:rPr>
        <w:t xml:space="preserve"> also</w:t>
      </w:r>
      <w:r w:rsidRPr="003177F3" w:rsidR="00AC0646">
        <w:rPr>
          <w:i/>
        </w:rPr>
        <w:t xml:space="preserve"> Wireline Competition Bureau Releases List and Map of Eligible Census Blocks for the Connect America Fund Phase II Auction (Auction 903)</w:t>
      </w:r>
      <w:r w:rsidRPr="003177F3" w:rsidR="00AC0646">
        <w:t xml:space="preserve">, </w:t>
      </w:r>
      <w:r w:rsidRPr="003177F3" w:rsidR="00AC0646">
        <w:rPr>
          <w:bdr w:val="none" w:sz="0" w:space="0" w:color="auto" w:frame="1"/>
          <w:shd w:val="clear" w:color="auto" w:fill="FFFFFF"/>
        </w:rPr>
        <w:t xml:space="preserve">AU Docket No. 17-182, WC Docket No. 10-90, </w:t>
      </w:r>
      <w:r w:rsidRPr="003177F3" w:rsidR="00AC0646">
        <w:t>Public Notice, 32 FCC Rcd 10381 (WCB 2017) (</w:t>
      </w:r>
      <w:r w:rsidRPr="003177F3" w:rsidR="00AC0646">
        <w:rPr>
          <w:i/>
        </w:rPr>
        <w:t xml:space="preserve">Eligible Census </w:t>
      </w:r>
      <w:r w:rsidRPr="00AC0646" w:rsidR="00AC0646">
        <w:rPr>
          <w:i/>
        </w:rPr>
        <w:t>Block List Public Notice</w:t>
      </w:r>
      <w:r w:rsidRPr="00AC0646" w:rsidR="00AC0646">
        <w:t>)</w:t>
      </w:r>
      <w:r w:rsidRPr="00AC0646" w:rsidR="00AC0646">
        <w:rPr>
          <w:i/>
        </w:rPr>
        <w:t>.</w:t>
      </w:r>
      <w:r w:rsidRPr="00AC0646" w:rsidR="00AC0646">
        <w:t xml:space="preserve">  </w:t>
      </w:r>
      <w:r w:rsidRPr="00AC0646" w:rsidR="00AC0646">
        <w:rPr>
          <w:szCs w:val="22"/>
        </w:rPr>
        <w:t xml:space="preserve">The list of census blocks can be found at </w:t>
      </w:r>
      <w:hyperlink r:id="rId1" w:history="1">
        <w:r w:rsidRPr="005401B9" w:rsidR="00AC0646">
          <w:rPr>
            <w:rStyle w:val="Hyperlink"/>
            <w:kern w:val="28"/>
          </w:rPr>
          <w:t>https://www.fcc.gov/files/caf2auctionpublishblockcsv</w:t>
        </w:r>
      </w:hyperlink>
      <w:r w:rsidRPr="00AC0646" w:rsidR="00AC0646">
        <w:rPr>
          <w:szCs w:val="22"/>
        </w:rPr>
        <w:t xml:space="preserve">. </w:t>
      </w:r>
    </w:p>
  </w:footnote>
  <w:footnote w:id="17">
    <w:p w:rsidR="00286950" w:rsidRPr="003D274A" w:rsidP="00286950" w14:paraId="4E4E72D5" w14:textId="61ED8102">
      <w:pPr>
        <w:pStyle w:val="FootnoteText"/>
      </w:pPr>
      <w:r w:rsidRPr="003D274A">
        <w:rPr>
          <w:rStyle w:val="FootnoteReference"/>
          <w:rFonts w:eastAsia="Calibri"/>
        </w:rPr>
        <w:footnoteRef/>
      </w:r>
      <w:r w:rsidRPr="003D274A">
        <w:t xml:space="preserve"> </w:t>
      </w:r>
      <w:r w:rsidRPr="003D274A" w:rsidR="007F6D32">
        <w:rPr>
          <w:i/>
        </w:rPr>
        <w:t>Phase II Auction Procedures Public Notice</w:t>
      </w:r>
      <w:r w:rsidRPr="003D274A" w:rsidR="005A3F82">
        <w:rPr>
          <w:shd w:val="clear" w:color="auto" w:fill="FFFFFF"/>
        </w:rPr>
        <w:t xml:space="preserve">, </w:t>
      </w:r>
      <w:r w:rsidRPr="003D274A">
        <w:rPr>
          <w:shd w:val="clear" w:color="auto" w:fill="FFFFFF"/>
        </w:rPr>
        <w:t>33 FCC Rcd 1428</w:t>
      </w:r>
      <w:r w:rsidRPr="003D274A" w:rsidR="005A3F82">
        <w:rPr>
          <w:shd w:val="clear" w:color="auto" w:fill="FFFFFF"/>
        </w:rPr>
        <w:t>,</w:t>
      </w:r>
      <w:r w:rsidRPr="003D274A">
        <w:rPr>
          <w:shd w:val="clear" w:color="auto" w:fill="FFFFFF"/>
        </w:rPr>
        <w:t xml:space="preserve"> </w:t>
      </w:r>
      <w:r w:rsidRPr="003D274A">
        <w:t xml:space="preserve">para. 1 </w:t>
      </w:r>
      <w:r w:rsidRPr="003D274A" w:rsidR="005A3F82">
        <w:rPr>
          <w:shd w:val="clear" w:color="auto" w:fill="FFFFFF"/>
        </w:rPr>
        <w:t>(</w:t>
      </w:r>
      <w:r w:rsidRPr="003D274A" w:rsidR="005A3F82">
        <w:rPr>
          <w:rStyle w:val="cosearchterm"/>
          <w:bCs/>
          <w:bdr w:val="none" w:sz="0" w:space="0" w:color="auto" w:frame="1"/>
        </w:rPr>
        <w:t>2018)</w:t>
      </w:r>
      <w:r w:rsidR="007F6D32">
        <w:rPr>
          <w:rStyle w:val="cosearchterm"/>
          <w:bCs/>
          <w:bdr w:val="none" w:sz="0" w:space="0" w:color="auto" w:frame="1"/>
        </w:rPr>
        <w:t>.</w:t>
      </w:r>
    </w:p>
  </w:footnote>
  <w:footnote w:id="18">
    <w:p w:rsidR="009575A4" w:rsidRPr="003D274A" w:rsidP="009575A4" w14:paraId="2A06E53D" w14:textId="77777777">
      <w:pPr>
        <w:pStyle w:val="FootnoteText"/>
      </w:pPr>
      <w:r w:rsidRPr="003D274A">
        <w:rPr>
          <w:rStyle w:val="FootnoteReference"/>
          <w:rFonts w:eastAsia="Calibri"/>
        </w:rPr>
        <w:footnoteRef/>
      </w:r>
      <w:r w:rsidRPr="003D274A">
        <w:t xml:space="preserve"> </w:t>
      </w:r>
      <w:r w:rsidRPr="003D274A">
        <w:rPr>
          <w:i/>
        </w:rPr>
        <w:t>Id</w:t>
      </w:r>
      <w:r w:rsidRPr="003D274A">
        <w:t>.</w:t>
      </w:r>
      <w:r w:rsidRPr="003D274A">
        <w:rPr>
          <w:shd w:val="clear" w:color="auto" w:fill="FFFFFF"/>
        </w:rPr>
        <w:t xml:space="preserve"> at 1428, paras.</w:t>
      </w:r>
      <w:r w:rsidRPr="003D274A">
        <w:t xml:space="preserve"> 1-2.</w:t>
      </w:r>
    </w:p>
  </w:footnote>
  <w:footnote w:id="19">
    <w:p w:rsidR="006D29EF" w:rsidRPr="003D274A" w:rsidP="006D29EF" w14:paraId="1B100C67" w14:textId="77777777">
      <w:pPr>
        <w:pStyle w:val="FootnoteText"/>
      </w:pPr>
      <w:r w:rsidRPr="003D274A">
        <w:rPr>
          <w:rStyle w:val="FootnoteReference"/>
          <w:rFonts w:eastAsia="Calibri"/>
        </w:rPr>
        <w:footnoteRef/>
      </w:r>
      <w:r w:rsidRPr="003D274A">
        <w:t xml:space="preserve"> </w:t>
      </w:r>
      <w:r w:rsidRPr="003D274A">
        <w:rPr>
          <w:i/>
        </w:rPr>
        <w:t>See</w:t>
      </w:r>
      <w:r w:rsidRPr="003D274A">
        <w:t xml:space="preserve"> </w:t>
      </w:r>
      <w:r w:rsidRPr="003D274A">
        <w:rPr>
          <w:i/>
        </w:rPr>
        <w:t>220 Applicants Qualified to Bid in the Connect America Fund Phase II Auction (Auction 903)</w:t>
      </w:r>
      <w:r w:rsidRPr="003D274A">
        <w:t xml:space="preserve">, </w:t>
      </w:r>
      <w:r w:rsidRPr="003D274A">
        <w:rPr>
          <w:i/>
        </w:rPr>
        <w:t xml:space="preserve">Bidding to Begin on July 24, 2018, </w:t>
      </w:r>
      <w:r w:rsidRPr="003D274A">
        <w:t>Public Notice, AU Docket No. 17-182, WC Docket No. 10-90, 33 FCC Rcd 6171, 6176, paras. 27-28 (2018) (</w:t>
      </w:r>
      <w:r w:rsidRPr="003D274A">
        <w:rPr>
          <w:i/>
        </w:rPr>
        <w:t>Qualified Bidders Public Notice</w:t>
      </w:r>
      <w:r w:rsidRPr="003D274A">
        <w:t>).</w:t>
      </w:r>
    </w:p>
  </w:footnote>
  <w:footnote w:id="20">
    <w:p w:rsidR="00180801" w:rsidRPr="003D274A" w:rsidP="00180801" w14:paraId="797C64A0" w14:textId="77777777">
      <w:pPr>
        <w:pStyle w:val="FootnoteText"/>
      </w:pPr>
      <w:r w:rsidRPr="003D274A">
        <w:rPr>
          <w:rStyle w:val="FootnoteReference"/>
          <w:rFonts w:eastAsia="Calibri"/>
        </w:rPr>
        <w:footnoteRef/>
      </w:r>
      <w:r w:rsidRPr="003D274A">
        <w:t xml:space="preserve"> </w:t>
      </w:r>
      <w:r w:rsidRPr="003D274A">
        <w:rPr>
          <w:i/>
        </w:rPr>
        <w:t xml:space="preserve">Phase II Auction Procedures Public Notice, </w:t>
      </w:r>
      <w:r w:rsidRPr="003D274A">
        <w:rPr>
          <w:shd w:val="clear" w:color="auto" w:fill="FFFFFF"/>
        </w:rPr>
        <w:t>33 FCC Rcd at 1493,</w:t>
      </w:r>
      <w:r w:rsidRPr="003D274A">
        <w:t xml:space="preserve"> para 199.</w:t>
      </w:r>
    </w:p>
  </w:footnote>
  <w:footnote w:id="21">
    <w:p w:rsidR="00286950" w:rsidRPr="00AC0646" w:rsidP="00286950" w14:paraId="11F9A1EF" w14:textId="6D877074">
      <w:pPr>
        <w:pStyle w:val="FootnoteText"/>
      </w:pPr>
      <w:r w:rsidRPr="003D274A">
        <w:rPr>
          <w:rStyle w:val="FootnoteReference"/>
          <w:rFonts w:eastAsia="Calibri"/>
        </w:rPr>
        <w:footnoteRef/>
      </w:r>
      <w:r w:rsidRPr="003D274A">
        <w:t xml:space="preserve"> </w:t>
      </w:r>
      <w:r w:rsidRPr="003177F3" w:rsidR="00AC0646">
        <w:rPr>
          <w:i/>
        </w:rPr>
        <w:t xml:space="preserve">See Eligible Census Block List Public Notice, </w:t>
      </w:r>
      <w:r w:rsidRPr="003177F3" w:rsidR="00AC0646">
        <w:t>32 FCC Rcd at 10381.</w:t>
      </w:r>
    </w:p>
  </w:footnote>
  <w:footnote w:id="22">
    <w:p w:rsidR="00286950" w:rsidRPr="003D274A" w:rsidP="00286950" w14:paraId="30C5FFE1" w14:textId="15B17665">
      <w:pPr>
        <w:pStyle w:val="FootnoteText"/>
      </w:pPr>
      <w:r w:rsidRPr="003D274A">
        <w:rPr>
          <w:rStyle w:val="FootnoteReference"/>
          <w:rFonts w:eastAsia="Calibri"/>
        </w:rPr>
        <w:footnoteRef/>
      </w:r>
      <w:r w:rsidRPr="003D274A">
        <w:t xml:space="preserve"> </w:t>
      </w:r>
      <w:r w:rsidR="008D338E">
        <w:rPr>
          <w:i/>
        </w:rPr>
        <w:t>Revised List and Map of Eligible Census Blocks for the Connect America Fund Phase II Auction (Auction 903)</w:t>
      </w:r>
      <w:r w:rsidR="008D338E">
        <w:rPr>
          <w:iCs/>
        </w:rPr>
        <w:t>, AU Docket No. 17-182, WC Docket No. 10-90, Public Notice, 33 FCC Rcd 1166</w:t>
      </w:r>
      <w:r w:rsidR="003428D1">
        <w:rPr>
          <w:iCs/>
        </w:rPr>
        <w:t xml:space="preserve"> (2018)</w:t>
      </w:r>
      <w:r w:rsidR="006E3BA9">
        <w:rPr>
          <w:iCs/>
        </w:rPr>
        <w:t>.</w:t>
      </w:r>
    </w:p>
  </w:footnote>
  <w:footnote w:id="23">
    <w:p w:rsidR="00286950" w:rsidRPr="006D6F97" w:rsidP="00286950" w14:paraId="36F61B1A" w14:textId="61FE779F">
      <w:pPr>
        <w:pStyle w:val="FootnoteText"/>
      </w:pPr>
      <w:r w:rsidRPr="003D274A">
        <w:rPr>
          <w:rStyle w:val="FootnoteReference"/>
          <w:rFonts w:eastAsia="Calibri"/>
        </w:rPr>
        <w:footnoteRef/>
      </w:r>
      <w:r w:rsidRPr="003D274A">
        <w:t xml:space="preserve"> </w:t>
      </w:r>
      <w:r w:rsidRPr="003D274A">
        <w:rPr>
          <w:i/>
        </w:rPr>
        <w:t xml:space="preserve">See </w:t>
      </w:r>
      <w:r w:rsidRPr="003D274A">
        <w:rPr>
          <w:rStyle w:val="cosearchterm"/>
          <w:bCs/>
          <w:i/>
          <w:iCs/>
          <w:bdr w:val="none" w:sz="0" w:space="0" w:color="auto" w:frame="1"/>
          <w:shd w:val="clear" w:color="auto" w:fill="FFFFFF"/>
        </w:rPr>
        <w:t>Connect</w:t>
      </w:r>
      <w:r w:rsidRPr="003D274A">
        <w:rPr>
          <w:rStyle w:val="Emphasis"/>
          <w:bdr w:val="none" w:sz="0" w:space="0" w:color="auto" w:frame="1"/>
          <w:shd w:val="clear" w:color="auto" w:fill="FFFFFF"/>
        </w:rPr>
        <w:t xml:space="preserve"> </w:t>
      </w:r>
      <w:r w:rsidRPr="003D274A">
        <w:rPr>
          <w:rStyle w:val="cosearchterm"/>
          <w:bCs/>
          <w:i/>
          <w:iCs/>
          <w:bdr w:val="none" w:sz="0" w:space="0" w:color="auto" w:frame="1"/>
          <w:shd w:val="clear" w:color="auto" w:fill="FFFFFF"/>
        </w:rPr>
        <w:t>America</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Fund</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Phase</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II</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Auction</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Auction</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903</w:t>
      </w:r>
      <w:r w:rsidRPr="003D274A">
        <w:rPr>
          <w:rStyle w:val="Emphasis"/>
          <w:bdr w:val="none" w:sz="0" w:space="0" w:color="auto" w:frame="1"/>
          <w:shd w:val="clear" w:color="auto" w:fill="FFFFFF"/>
        </w:rPr>
        <w:t>) Closes; </w:t>
      </w:r>
      <w:r w:rsidRPr="003D274A">
        <w:rPr>
          <w:rStyle w:val="cosearchterm"/>
          <w:bCs/>
          <w:i/>
          <w:iCs/>
          <w:bdr w:val="none" w:sz="0" w:space="0" w:color="auto" w:frame="1"/>
          <w:shd w:val="clear" w:color="auto" w:fill="FFFFFF"/>
        </w:rPr>
        <w:t>Winning</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Bidders</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Announced</w:t>
      </w:r>
      <w:r w:rsidRPr="003D274A">
        <w:rPr>
          <w:rStyle w:val="Emphasis"/>
          <w:bdr w:val="none" w:sz="0" w:space="0" w:color="auto" w:frame="1"/>
          <w:shd w:val="clear" w:color="auto" w:fill="FFFFFF"/>
        </w:rPr>
        <w:t>; FCC Form 683 Due October 15, 2018</w:t>
      </w:r>
      <w:r w:rsidRPr="006D6F97">
        <w:rPr>
          <w:bdr w:val="none" w:sz="0" w:space="0" w:color="auto" w:frame="1"/>
          <w:shd w:val="clear" w:color="auto" w:fill="FFFFFF"/>
        </w:rPr>
        <w:t xml:space="preserve">, Public Notice, </w:t>
      </w:r>
      <w:r w:rsidRPr="006D6F97" w:rsidR="005A3F82">
        <w:t xml:space="preserve">AU Docket No. 17-182, WC Docket No. 10-90, </w:t>
      </w:r>
      <w:r w:rsidRPr="006D6F97">
        <w:rPr>
          <w:bdr w:val="none" w:sz="0" w:space="0" w:color="auto" w:frame="1"/>
          <w:shd w:val="clear" w:color="auto" w:fill="FFFFFF"/>
        </w:rPr>
        <w:t>33 FCC Rcd 8257 (2018)</w:t>
      </w:r>
      <w:r w:rsidRPr="006D6F97">
        <w:rPr>
          <w:shd w:val="clear" w:color="auto" w:fill="FFFFFF"/>
        </w:rPr>
        <w:t xml:space="preserve"> (</w:t>
      </w:r>
      <w:r w:rsidRPr="006D6F97">
        <w:rPr>
          <w:rStyle w:val="cosearchterm"/>
          <w:bCs/>
          <w:i/>
          <w:iCs/>
          <w:bdr w:val="none" w:sz="0" w:space="0" w:color="auto" w:frame="1"/>
          <w:shd w:val="clear" w:color="auto" w:fill="FFFFFF"/>
        </w:rPr>
        <w:t xml:space="preserve">Auction 903 </w:t>
      </w:r>
      <w:r w:rsidRPr="006D6F97">
        <w:rPr>
          <w:rStyle w:val="Emphasis"/>
          <w:bdr w:val="none" w:sz="0" w:space="0" w:color="auto" w:frame="1"/>
          <w:shd w:val="clear" w:color="auto" w:fill="FFFFFF"/>
        </w:rPr>
        <w:t>Closing Public Notice</w:t>
      </w:r>
      <w:r w:rsidRPr="006D6F97">
        <w:rPr>
          <w:rStyle w:val="Emphasis"/>
          <w:i w:val="0"/>
          <w:bdr w:val="none" w:sz="0" w:space="0" w:color="auto" w:frame="1"/>
          <w:shd w:val="clear" w:color="auto" w:fill="FFFFFF"/>
        </w:rPr>
        <w:t>).</w:t>
      </w:r>
    </w:p>
  </w:footnote>
  <w:footnote w:id="24">
    <w:p w:rsidR="00286950" w:rsidRPr="006D6F97" w:rsidP="00286950" w14:paraId="1A7A8F69" w14:textId="52CC11EE">
      <w:pPr>
        <w:pStyle w:val="FootnoteText"/>
      </w:pPr>
      <w:r w:rsidRPr="006D6F97">
        <w:rPr>
          <w:rStyle w:val="FootnoteReference"/>
          <w:rFonts w:eastAsia="Calibri"/>
        </w:rPr>
        <w:footnoteRef/>
      </w:r>
      <w:r w:rsidRPr="006D6F97">
        <w:t xml:space="preserve"> </w:t>
      </w:r>
      <w:r w:rsidRPr="006D6F97" w:rsidR="005A3F82">
        <w:rPr>
          <w:rStyle w:val="cosearchterm"/>
          <w:bCs/>
          <w:i/>
          <w:iCs/>
          <w:bdr w:val="none" w:sz="0" w:space="0" w:color="auto" w:frame="1"/>
          <w:shd w:val="clear" w:color="auto" w:fill="FFFFFF"/>
        </w:rPr>
        <w:t xml:space="preserve">Id. </w:t>
      </w:r>
      <w:r w:rsidRPr="006D6F97" w:rsidR="005A3F82">
        <w:rPr>
          <w:rStyle w:val="cosearchterm"/>
          <w:bCs/>
          <w:iCs/>
          <w:bdr w:val="none" w:sz="0" w:space="0" w:color="auto" w:frame="1"/>
          <w:shd w:val="clear" w:color="auto" w:fill="FFFFFF"/>
        </w:rPr>
        <w:t>at</w:t>
      </w:r>
      <w:r w:rsidRPr="006D6F97">
        <w:rPr>
          <w:rStyle w:val="Emphasis"/>
          <w:i w:val="0"/>
          <w:bdr w:val="none" w:sz="0" w:space="0" w:color="auto" w:frame="1"/>
          <w:shd w:val="clear" w:color="auto" w:fill="FFFFFF"/>
        </w:rPr>
        <w:t xml:space="preserve"> 8259-60, paras. 9-13.</w:t>
      </w:r>
    </w:p>
  </w:footnote>
  <w:footnote w:id="25">
    <w:p w:rsidR="00286950" w:rsidRPr="006D6F97" w:rsidP="00286950" w14:paraId="26B15D8D" w14:textId="2DD526EE">
      <w:pPr>
        <w:pStyle w:val="FootnoteText"/>
      </w:pPr>
      <w:r w:rsidRPr="006D6F97">
        <w:rPr>
          <w:rStyle w:val="FootnoteReference"/>
          <w:rFonts w:eastAsia="Calibri"/>
        </w:rPr>
        <w:footnoteRef/>
      </w:r>
      <w:r w:rsidRPr="006D6F97">
        <w:t xml:space="preserve"> </w:t>
      </w:r>
      <w:r w:rsidRPr="006D6F97">
        <w:rPr>
          <w:i/>
        </w:rPr>
        <w:t>See</w:t>
      </w:r>
      <w:r w:rsidRPr="006D6F97" w:rsidR="006D5023">
        <w:rPr>
          <w:i/>
        </w:rPr>
        <w:t xml:space="preserve"> Qualified Bidders Public Notice</w:t>
      </w:r>
      <w:r w:rsidRPr="006D6F97" w:rsidR="006D5023">
        <w:rPr>
          <w:iCs/>
        </w:rPr>
        <w:t xml:space="preserve">, 33 FCC </w:t>
      </w:r>
      <w:r w:rsidR="0050091B">
        <w:rPr>
          <w:iCs/>
        </w:rPr>
        <w:t>Rcd at</w:t>
      </w:r>
      <w:r w:rsidR="00F65E57">
        <w:rPr>
          <w:iCs/>
        </w:rPr>
        <w:t xml:space="preserve"> </w:t>
      </w:r>
      <w:r w:rsidRPr="006D6F97" w:rsidR="006D5023">
        <w:rPr>
          <w:iCs/>
        </w:rPr>
        <w:t>6184-95 (Attach. A: Qualified Bidders sorted by applicant name)</w:t>
      </w:r>
      <w:r w:rsidRPr="006D6F97">
        <w:t>.</w:t>
      </w:r>
    </w:p>
  </w:footnote>
  <w:footnote w:id="26">
    <w:p w:rsidR="000F5369" w:rsidRPr="00E70FF5" w14:paraId="10BD1761" w14:textId="1713AB91">
      <w:pPr>
        <w:pStyle w:val="FootnoteText"/>
      </w:pPr>
      <w:r>
        <w:rPr>
          <w:rStyle w:val="FootnoteReference"/>
        </w:rPr>
        <w:footnoteRef/>
      </w:r>
      <w:r>
        <w:t xml:space="preserve"> </w:t>
      </w:r>
      <w:r w:rsidRPr="006D6F97" w:rsidR="00E70FF5">
        <w:rPr>
          <w:rStyle w:val="cosearchterm"/>
          <w:bCs/>
          <w:i/>
          <w:iCs/>
          <w:bdr w:val="none" w:sz="0" w:space="0" w:color="auto" w:frame="1"/>
          <w:shd w:val="clear" w:color="auto" w:fill="FFFFFF"/>
        </w:rPr>
        <w:t xml:space="preserve">Auction 903 </w:t>
      </w:r>
      <w:r w:rsidRPr="006D6F97" w:rsidR="00E70FF5">
        <w:rPr>
          <w:rStyle w:val="Emphasis"/>
          <w:bdr w:val="none" w:sz="0" w:space="0" w:color="auto" w:frame="1"/>
          <w:shd w:val="clear" w:color="auto" w:fill="FFFFFF"/>
        </w:rPr>
        <w:t>Closing Public Notice</w:t>
      </w:r>
      <w:r w:rsidR="00E70FF5">
        <w:rPr>
          <w:rStyle w:val="Emphasis"/>
          <w:i w:val="0"/>
          <w:iCs w:val="0"/>
          <w:bdr w:val="none" w:sz="0" w:space="0" w:color="auto" w:frame="1"/>
          <w:shd w:val="clear" w:color="auto" w:fill="FFFFFF"/>
        </w:rPr>
        <w:t xml:space="preserve">, 33 FCC Rcd 8257 (Attach. A: Winning Bidders Summary). </w:t>
      </w:r>
    </w:p>
  </w:footnote>
  <w:footnote w:id="27">
    <w:p w:rsidR="00C12CFA" w14:paraId="118B61A8" w14:textId="5010E445">
      <w:pPr>
        <w:pStyle w:val="FootnoteText"/>
      </w:pPr>
      <w:r>
        <w:rPr>
          <w:rStyle w:val="FootnoteReference"/>
        </w:rPr>
        <w:footnoteRef/>
      </w:r>
      <w:r>
        <w:t xml:space="preserve"> </w:t>
      </w:r>
      <w:r w:rsidRPr="006D6F97" w:rsidR="00FE7C1B">
        <w:rPr>
          <w:rStyle w:val="cosearchterm"/>
          <w:bCs/>
          <w:i/>
          <w:iCs/>
          <w:bdr w:val="none" w:sz="0" w:space="0" w:color="auto" w:frame="1"/>
          <w:shd w:val="clear" w:color="auto" w:fill="FFFFFF"/>
        </w:rPr>
        <w:t xml:space="preserve">Auction 903 </w:t>
      </w:r>
      <w:r w:rsidRPr="006D6F97" w:rsidR="00FE7C1B">
        <w:rPr>
          <w:rStyle w:val="Emphasis"/>
          <w:bdr w:val="none" w:sz="0" w:space="0" w:color="auto" w:frame="1"/>
          <w:shd w:val="clear" w:color="auto" w:fill="FFFFFF"/>
        </w:rPr>
        <w:t xml:space="preserve">Closing </w:t>
      </w:r>
      <w:r w:rsidRPr="0068142D" w:rsidR="00FE7C1B">
        <w:rPr>
          <w:rStyle w:val="Emphasis"/>
          <w:bdr w:val="none" w:sz="0" w:space="0" w:color="auto" w:frame="1"/>
          <w:shd w:val="clear" w:color="auto" w:fill="FFFFFF"/>
        </w:rPr>
        <w:t>Public Notice</w:t>
      </w:r>
      <w:r w:rsidRPr="00962DD9" w:rsidR="00FE7C1B">
        <w:t xml:space="preserve">, </w:t>
      </w:r>
      <w:r w:rsidRPr="006D6F97" w:rsidR="00161831">
        <w:rPr>
          <w:bdr w:val="none" w:sz="0" w:space="0" w:color="auto" w:frame="1"/>
          <w:shd w:val="clear" w:color="auto" w:fill="FFFFFF"/>
        </w:rPr>
        <w:t xml:space="preserve">33 FCC Rcd </w:t>
      </w:r>
      <w:r w:rsidR="00161831">
        <w:rPr>
          <w:bdr w:val="none" w:sz="0" w:space="0" w:color="auto" w:frame="1"/>
          <w:shd w:val="clear" w:color="auto" w:fill="FFFFFF"/>
        </w:rPr>
        <w:t xml:space="preserve">at 8290-91, </w:t>
      </w:r>
      <w:r w:rsidRPr="00962DD9" w:rsidR="00FE7C1B">
        <w:t xml:space="preserve">Attach C, </w:t>
      </w:r>
      <w:r w:rsidRPr="0068142D" w:rsidR="00FE7C1B">
        <w:t>FCC Form 683: Application for Connect America Fund Phase II Auction Support – Instructions</w:t>
      </w:r>
      <w:r w:rsidRPr="00962DD9" w:rsidR="00FE7C1B">
        <w:t xml:space="preserve"> at 4-6</w:t>
      </w:r>
      <w:r w:rsidRPr="0068142D">
        <w:t xml:space="preserve"> (explaining</w:t>
      </w:r>
      <w:r>
        <w:t xml:space="preserve"> what is due sequentially on October 15, 2018, on November 5, 2018, and on February 25, 2019). </w:t>
      </w:r>
    </w:p>
  </w:footnote>
  <w:footnote w:id="28">
    <w:p w:rsidR="00316451" w14:paraId="579913A0" w14:textId="329A2A37">
      <w:pPr>
        <w:pStyle w:val="FootnoteText"/>
      </w:pPr>
      <w:r>
        <w:rPr>
          <w:rStyle w:val="FootnoteReference"/>
        </w:rPr>
        <w:footnoteRef/>
      </w:r>
      <w:r>
        <w:t xml:space="preserve"> </w:t>
      </w:r>
      <w:r w:rsidRPr="006D6F97" w:rsidR="00662916">
        <w:rPr>
          <w:i/>
          <w:iCs/>
        </w:rPr>
        <w:t xml:space="preserve">See </w:t>
      </w:r>
      <w:r w:rsidRPr="006D6F97" w:rsidR="00662916">
        <w:t xml:space="preserve">Letter from Kris Monteith, Chief, Wireline Competition Bureau, Federal Communications Commission, to Matthew </w:t>
      </w:r>
      <w:r w:rsidRPr="006D6F97" w:rsidR="00662916">
        <w:t>Goluba</w:t>
      </w:r>
      <w:r w:rsidRPr="006D6F97" w:rsidR="00662916">
        <w:t xml:space="preserve">, </w:t>
      </w:r>
      <w:r w:rsidRPr="006D6F97" w:rsidR="00662916">
        <w:t>ClearSKY</w:t>
      </w:r>
      <w:r w:rsidRPr="006D6F97" w:rsidR="00662916">
        <w:t xml:space="preserve"> Systems, Inc, 1 (Jan. 27, 2020) (</w:t>
      </w:r>
      <w:r w:rsidRPr="006D6F97" w:rsidR="00662916">
        <w:rPr>
          <w:i/>
          <w:iCs/>
        </w:rPr>
        <w:t>Demand Letter</w:t>
      </w:r>
      <w:r w:rsidRPr="006D6F97" w:rsidR="00662916">
        <w:t>)</w:t>
      </w:r>
      <w:r w:rsidR="00662916">
        <w:t>.</w:t>
      </w:r>
    </w:p>
  </w:footnote>
  <w:footnote w:id="29">
    <w:p w:rsidR="00316451" w:rsidRPr="0068142D" w14:paraId="04DEBCE8" w14:textId="39F0F0A5">
      <w:pPr>
        <w:pStyle w:val="FootnoteText"/>
      </w:pPr>
      <w:r>
        <w:rPr>
          <w:rStyle w:val="FootnoteReference"/>
        </w:rPr>
        <w:footnoteRef/>
      </w:r>
      <w:r>
        <w:t xml:space="preserve"> </w:t>
      </w:r>
      <w:r>
        <w:rPr>
          <w:i/>
          <w:iCs/>
        </w:rPr>
        <w:t>See id</w:t>
      </w:r>
      <w:r>
        <w:t>. (</w:t>
      </w:r>
      <w:r w:rsidRPr="006D6F97">
        <w:rPr>
          <w:snapToGrid w:val="0"/>
        </w:rPr>
        <w:t>explaining that “</w:t>
      </w:r>
      <w:r w:rsidRPr="006D6F97">
        <w:t>ClearSKY’s</w:t>
      </w:r>
      <w:r w:rsidRPr="006D6F97">
        <w:t xml:space="preserve"> long-form application still requires: 1) documentation demonstrating it has obtained an Eligible Telecommunications Carrier designation for the eligible census blocks covered by the winning bids and a petition for waiver of the deadline for submitting this documentation, 2) a description of the estimated project costs for all facilities that are required to complete the project and more information regarding how the project will be funded, 3) one year of audited financial statements, 4) a detailed network diagram that is certified by a professional engineer and a description of that engineer’s qualifications if the engineer does not have a Professional Engineer license, 5) a detailed description of the technology and system design, 6) more</w:t>
      </w:r>
      <w:r>
        <w:rPr>
          <w:rFonts w:eastAsiaTheme="minorHAnsi"/>
          <w:sz w:val="21"/>
          <w:szCs w:val="21"/>
        </w:rPr>
        <w:t xml:space="preserve"> </w:t>
      </w:r>
      <w:r w:rsidRPr="006D6F97">
        <w:t xml:space="preserve">information in the spectrum access attachment regarding </w:t>
      </w:r>
      <w:r w:rsidRPr="006D6F97">
        <w:t>ClearSKY’s</w:t>
      </w:r>
      <w:r w:rsidRPr="006D6F97">
        <w:t xml:space="preserve"> 3650-3700 MHz license and its plans for when the Part 90 rules sunset, and 7) a letter of credit commitment letter that meets the Auction 903 requirements, among other things.”).</w:t>
      </w:r>
    </w:p>
  </w:footnote>
  <w:footnote w:id="30">
    <w:p w:rsidR="00316451" w:rsidRPr="00AF30E8" w:rsidP="00316451" w14:paraId="62C9E7B6" w14:textId="5C4E3C8E">
      <w:pPr>
        <w:pStyle w:val="FootnoteText"/>
      </w:pPr>
      <w:r>
        <w:rPr>
          <w:rStyle w:val="FootnoteReference"/>
        </w:rPr>
        <w:footnoteRef/>
      </w:r>
      <w:r>
        <w:t xml:space="preserve"> </w:t>
      </w:r>
      <w:r>
        <w:rPr>
          <w:i/>
          <w:iCs/>
        </w:rPr>
        <w:t xml:space="preserve">See </w:t>
      </w:r>
      <w:r w:rsidR="00C47B26">
        <w:rPr>
          <w:i/>
          <w:iCs/>
        </w:rPr>
        <w:t>i</w:t>
      </w:r>
      <w:r>
        <w:rPr>
          <w:i/>
          <w:iCs/>
        </w:rPr>
        <w:t>d</w:t>
      </w:r>
      <w:r>
        <w:t xml:space="preserve">. </w:t>
      </w:r>
      <w:r>
        <w:rPr>
          <w:i/>
          <w:iCs/>
        </w:rPr>
        <w:t>See</w:t>
      </w:r>
      <w:r>
        <w:t xml:space="preserve"> </w:t>
      </w:r>
      <w:r w:rsidRPr="005347AC">
        <w:rPr>
          <w:i/>
          <w:iCs/>
        </w:rPr>
        <w:t>also</w:t>
      </w:r>
      <w:r>
        <w:rPr>
          <w:i/>
          <w:iCs/>
        </w:rPr>
        <w:t xml:space="preserve"> Auction 903 Closing Public Notice</w:t>
      </w:r>
      <w:r>
        <w:t xml:space="preserve">, 33 FCC Rcd at 8263, para. 16. </w:t>
      </w:r>
    </w:p>
  </w:footnote>
  <w:footnote w:id="31">
    <w:p w:rsidR="00286950" w:rsidRPr="003D274A" w:rsidP="00286950" w14:paraId="7D5EBE10" w14:textId="090D3539">
      <w:pPr>
        <w:pStyle w:val="FootnoteText"/>
      </w:pPr>
      <w:r w:rsidRPr="003D274A">
        <w:rPr>
          <w:rStyle w:val="FootnoteReference"/>
          <w:rFonts w:eastAsia="Calibri"/>
        </w:rPr>
        <w:footnoteRef/>
      </w:r>
      <w:r w:rsidRPr="003D274A">
        <w:t xml:space="preserve"> </w:t>
      </w:r>
      <w:r w:rsidRPr="003D274A" w:rsidR="00E665F3">
        <w:t>Letter</w:t>
      </w:r>
      <w:r w:rsidRPr="003D274A">
        <w:t xml:space="preserve"> from </w:t>
      </w:r>
      <w:r w:rsidR="00367BB9">
        <w:t>Donna Olson</w:t>
      </w:r>
      <w:r w:rsidRPr="003D274A">
        <w:t xml:space="preserve">, </w:t>
      </w:r>
      <w:r w:rsidR="00367BB9">
        <w:t xml:space="preserve">President, </w:t>
      </w:r>
      <w:r w:rsidR="00367BB9">
        <w:t>ClearSKY</w:t>
      </w:r>
      <w:r w:rsidR="00367BB9">
        <w:t xml:space="preserve"> Sys. Inc</w:t>
      </w:r>
      <w:r w:rsidRPr="003D274A">
        <w:t xml:space="preserve">, to </w:t>
      </w:r>
      <w:r w:rsidR="00367BB9">
        <w:t xml:space="preserve">Heidi Lankau, Wireline Competition Bureau, </w:t>
      </w:r>
      <w:r w:rsidRPr="003D274A" w:rsidR="00E665F3">
        <w:t>Federal</w:t>
      </w:r>
      <w:r w:rsidRPr="003D274A">
        <w:t xml:space="preserve"> Communications Commission, </w:t>
      </w:r>
      <w:r w:rsidRPr="003D274A" w:rsidR="00B36DCF">
        <w:t>(</w:t>
      </w:r>
      <w:r w:rsidR="00367BB9">
        <w:t>Feb</w:t>
      </w:r>
      <w:r w:rsidRPr="003D274A" w:rsidR="00E665F3">
        <w:t xml:space="preserve">. </w:t>
      </w:r>
      <w:r w:rsidR="00367BB9">
        <w:t>10</w:t>
      </w:r>
      <w:r w:rsidRPr="003D274A" w:rsidR="00E665F3">
        <w:t>, 20</w:t>
      </w:r>
      <w:r w:rsidR="00367BB9">
        <w:t>20</w:t>
      </w:r>
      <w:r w:rsidRPr="003D274A" w:rsidR="00B36DCF">
        <w:t>)</w:t>
      </w:r>
      <w:r w:rsidR="00CF45FD">
        <w:t xml:space="preserve"> (</w:t>
      </w:r>
      <w:r w:rsidR="00CF45FD">
        <w:rPr>
          <w:i/>
          <w:iCs/>
        </w:rPr>
        <w:t>ClearSKY</w:t>
      </w:r>
      <w:r w:rsidR="00CF45FD">
        <w:rPr>
          <w:i/>
          <w:iCs/>
        </w:rPr>
        <w:t xml:space="preserve"> Default Letter</w:t>
      </w:r>
      <w:r w:rsidR="00CF45FD">
        <w:t>)</w:t>
      </w:r>
      <w:r w:rsidR="00B84B34">
        <w:t xml:space="preserve"> (requesting that WCB consider “releasing us from this obligation.”).</w:t>
      </w:r>
    </w:p>
  </w:footnote>
  <w:footnote w:id="32">
    <w:p w:rsidR="00CF45FD" w:rsidRPr="00CF45FD" w14:paraId="3388B6E0" w14:textId="0161ABB0">
      <w:pPr>
        <w:pStyle w:val="FootnoteText"/>
      </w:pPr>
      <w:r>
        <w:rPr>
          <w:rStyle w:val="FootnoteReference"/>
        </w:rPr>
        <w:footnoteRef/>
      </w:r>
      <w:r>
        <w:t xml:space="preserve"> </w:t>
      </w:r>
      <w:r>
        <w:rPr>
          <w:i/>
          <w:iCs/>
        </w:rPr>
        <w:t>Id</w:t>
      </w:r>
      <w:r>
        <w:t>.</w:t>
      </w:r>
    </w:p>
  </w:footnote>
  <w:footnote w:id="33">
    <w:p w:rsidR="00CF45FD" w:rsidRPr="00CF45FD" w14:paraId="3FDED66D" w14:textId="058F2F98">
      <w:pPr>
        <w:pStyle w:val="FootnoteText"/>
      </w:pPr>
      <w:r>
        <w:rPr>
          <w:rStyle w:val="FootnoteReference"/>
        </w:rPr>
        <w:footnoteRef/>
      </w:r>
      <w:r>
        <w:t xml:space="preserve"> </w:t>
      </w:r>
      <w:r>
        <w:rPr>
          <w:i/>
          <w:iCs/>
        </w:rPr>
        <w:t>Id</w:t>
      </w:r>
      <w:r>
        <w:t>.</w:t>
      </w:r>
    </w:p>
  </w:footnote>
  <w:footnote w:id="34">
    <w:p w:rsidR="00286950" w:rsidRPr="004207F0" w:rsidP="004207F0" w14:paraId="23903F6F" w14:textId="15DB7676">
      <w:pPr>
        <w:pStyle w:val="FootnoteText"/>
      </w:pPr>
      <w:r w:rsidRPr="003D274A">
        <w:rPr>
          <w:rStyle w:val="FootnoteReference"/>
        </w:rPr>
        <w:footnoteRef/>
      </w:r>
      <w:r w:rsidRPr="003D274A">
        <w:t xml:space="preserve"> </w:t>
      </w:r>
      <w:r w:rsidRPr="003D274A">
        <w:rPr>
          <w:i/>
        </w:rPr>
        <w:t xml:space="preserve">See </w:t>
      </w:r>
      <w:r w:rsidRPr="003D274A" w:rsidR="004207F0">
        <w:rPr>
          <w:i/>
        </w:rPr>
        <w:t>Auction 903 Authorization &amp; Default Public Notice</w:t>
      </w:r>
      <w:r w:rsidR="004207F0">
        <w:rPr>
          <w:iCs/>
        </w:rPr>
        <w:t xml:space="preserve">, </w:t>
      </w:r>
      <w:r w:rsidRPr="00D331C3" w:rsidR="00EF2EF2">
        <w:t xml:space="preserve">35 FCC </w:t>
      </w:r>
      <w:r w:rsidRPr="00D331C3" w:rsidR="00EF2EF2">
        <w:t>Rcd</w:t>
      </w:r>
      <w:r w:rsidRPr="00D331C3" w:rsidR="00EF2EF2">
        <w:t xml:space="preserve"> </w:t>
      </w:r>
      <w:r w:rsidR="00EF2EF2">
        <w:t>at</w:t>
      </w:r>
      <w:r w:rsidR="00EF2EF2">
        <w:t xml:space="preserve"> 191</w:t>
      </w:r>
      <w:r w:rsidR="00EF2EF2">
        <w:t>3</w:t>
      </w:r>
      <w:r w:rsidR="00533BEC">
        <w:t xml:space="preserve"> </w:t>
      </w:r>
    </w:p>
  </w:footnote>
  <w:footnote w:id="35">
    <w:p w:rsidR="00E17874" w:rsidRPr="00E00B19" w14:paraId="3BFE2763" w14:textId="14932A2B">
      <w:pPr>
        <w:pStyle w:val="FootnoteText"/>
        <w:rPr>
          <w:iCs/>
        </w:rPr>
      </w:pPr>
      <w:r>
        <w:rPr>
          <w:rStyle w:val="FootnoteReference"/>
        </w:rPr>
        <w:footnoteRef/>
      </w:r>
      <w:r>
        <w:t xml:space="preserve"> </w:t>
      </w:r>
      <w:r w:rsidR="00E00B19">
        <w:rPr>
          <w:i/>
        </w:rPr>
        <w:t>Id</w:t>
      </w:r>
      <w:r w:rsidR="00E00B19">
        <w:rPr>
          <w:iCs/>
        </w:rPr>
        <w:t>.</w:t>
      </w:r>
    </w:p>
  </w:footnote>
  <w:footnote w:id="36">
    <w:p w:rsidR="00286950" w:rsidRPr="003D274A" w:rsidP="00286950" w14:paraId="2EC342F9" w14:textId="1FB0B358">
      <w:pPr>
        <w:pStyle w:val="FootnoteText"/>
      </w:pPr>
      <w:r w:rsidRPr="003D274A">
        <w:rPr>
          <w:rStyle w:val="FootnoteReference"/>
          <w:rFonts w:eastAsia="Calibri"/>
        </w:rPr>
        <w:footnoteRef/>
      </w:r>
      <w:r w:rsidRPr="003D274A">
        <w:t xml:space="preserve"> </w:t>
      </w:r>
      <w:r w:rsidR="00AF6144">
        <w:t xml:space="preserve">47 CFR § 1.21004; </w:t>
      </w:r>
      <w:r w:rsidRPr="003D274A">
        <w:rPr>
          <w:i/>
        </w:rPr>
        <w:t xml:space="preserve">Phase II Auction Procedures Public Notice, </w:t>
      </w:r>
      <w:r w:rsidRPr="003D274A">
        <w:rPr>
          <w:shd w:val="clear" w:color="auto" w:fill="FFFFFF"/>
        </w:rPr>
        <w:t>33 FCC Rcd at 1520-22,</w:t>
      </w:r>
      <w:r w:rsidRPr="003D274A">
        <w:t xml:space="preserve"> paras. 314-31</w:t>
      </w:r>
      <w:r w:rsidRPr="003D274A" w:rsidR="00FF58AF">
        <w:t>6</w:t>
      </w:r>
      <w:r w:rsidRPr="003D274A">
        <w:t>.</w:t>
      </w:r>
    </w:p>
  </w:footnote>
  <w:footnote w:id="37">
    <w:p w:rsidR="008D490F" w:rsidRPr="00CD12F8" w:rsidP="008D490F" w14:paraId="6E5B41F3" w14:textId="3F213F89">
      <w:pPr>
        <w:pStyle w:val="FootnoteText"/>
      </w:pPr>
      <w:r>
        <w:rPr>
          <w:rStyle w:val="FootnoteReference"/>
        </w:rPr>
        <w:footnoteRef/>
      </w:r>
      <w:r>
        <w:t xml:space="preserve"> </w:t>
      </w:r>
      <w:r>
        <w:rPr>
          <w:i/>
          <w:iCs/>
        </w:rPr>
        <w:t>ClearSKY</w:t>
      </w:r>
      <w:r>
        <w:rPr>
          <w:i/>
          <w:iCs/>
        </w:rPr>
        <w:t xml:space="preserve"> Default Letter</w:t>
      </w:r>
      <w:r>
        <w:t xml:space="preserve"> (</w:t>
      </w:r>
      <w:r w:rsidR="00A1195E">
        <w:t>ClearSKY</w:t>
      </w:r>
      <w:r w:rsidR="00A1195E">
        <w:t xml:space="preserve"> </w:t>
      </w:r>
      <w:r w:rsidR="004B6144">
        <w:t xml:space="preserve">requested </w:t>
      </w:r>
      <w:r w:rsidR="009A0E8C">
        <w:t>“</w:t>
      </w:r>
      <w:r w:rsidRPr="009A0E8C" w:rsidR="009A0E8C">
        <w:t>consideration in releasing us from this obligation</w:t>
      </w:r>
      <w:r w:rsidR="009A0E8C">
        <w:t>” because it was outbid in its most desired CBGs and only won bids in the “</w:t>
      </w:r>
      <w:r w:rsidRPr="009A0E8C" w:rsidR="009A0E8C">
        <w:t>blocks that nobody wanted</w:t>
      </w:r>
      <w:r w:rsidR="000E0D86">
        <w:t>.”</w:t>
      </w:r>
      <w:r w:rsidR="00025553">
        <w:t>).</w:t>
      </w:r>
    </w:p>
  </w:footnote>
  <w:footnote w:id="38">
    <w:p w:rsidR="00286950" w:rsidRPr="003D274A" w:rsidP="00286950" w14:paraId="13ED044E" w14:textId="77777777">
      <w:pPr>
        <w:pStyle w:val="FootnoteText"/>
      </w:pPr>
      <w:r w:rsidRPr="003D274A">
        <w:rPr>
          <w:rStyle w:val="FootnoteReference"/>
          <w:rFonts w:eastAsia="Calibri"/>
        </w:rPr>
        <w:footnoteRef/>
      </w:r>
      <w:r w:rsidRPr="003D274A">
        <w:t xml:space="preserve"> 47 CFR § 1.21004.</w:t>
      </w:r>
    </w:p>
  </w:footnote>
  <w:footnote w:id="39">
    <w:p w:rsidR="00286950" w:rsidRPr="003D274A" w:rsidP="00286950" w14:paraId="06CAE082" w14:textId="1B8CABF5">
      <w:pPr>
        <w:tabs>
          <w:tab w:val="center" w:pos="4680"/>
        </w:tabs>
        <w:suppressAutoHyphens/>
        <w:rPr>
          <w:i/>
          <w:iCs/>
          <w:sz w:val="20"/>
        </w:rPr>
      </w:pPr>
      <w:r w:rsidRPr="003D274A">
        <w:rPr>
          <w:rStyle w:val="FootnoteReference"/>
        </w:rPr>
        <w:footnoteRef/>
      </w:r>
      <w:r w:rsidRPr="003D274A">
        <w:t xml:space="preserve"> </w:t>
      </w:r>
      <w:r w:rsidRPr="003D274A">
        <w:rPr>
          <w:i/>
          <w:sz w:val="20"/>
        </w:rPr>
        <w:t>Phase II Auction Order</w:t>
      </w:r>
      <w:r w:rsidRPr="003D274A">
        <w:rPr>
          <w:sz w:val="20"/>
        </w:rPr>
        <w:t>, 31 FCC Rcd</w:t>
      </w:r>
      <w:r w:rsidRPr="003D274A">
        <w:rPr>
          <w:i/>
          <w:sz w:val="20"/>
        </w:rPr>
        <w:t xml:space="preserve"> </w:t>
      </w:r>
      <w:r w:rsidRPr="003D274A">
        <w:rPr>
          <w:sz w:val="20"/>
        </w:rPr>
        <w:t xml:space="preserve">at 6000, para. 143; </w:t>
      </w:r>
      <w:r w:rsidRPr="003D274A">
        <w:rPr>
          <w:i/>
          <w:sz w:val="20"/>
        </w:rPr>
        <w:t>Phase II Auction Procedures Public Notice</w:t>
      </w:r>
      <w:r w:rsidRPr="003D274A">
        <w:rPr>
          <w:sz w:val="20"/>
        </w:rPr>
        <w:t>, 33 FCC Rcd at 1521, para. 315.</w:t>
      </w:r>
    </w:p>
    <w:p w:rsidR="00286950" w:rsidRPr="003D274A" w:rsidP="00286950" w14:paraId="3013893C" w14:textId="77777777">
      <w:pPr>
        <w:tabs>
          <w:tab w:val="center" w:pos="4680"/>
        </w:tabs>
        <w:suppressAutoHyphens/>
        <w:rPr>
          <w:spacing w:val="-2"/>
          <w:sz w:val="20"/>
        </w:rPr>
      </w:pPr>
    </w:p>
  </w:footnote>
  <w:footnote w:id="40">
    <w:p w:rsidR="001171AC" w:rsidRPr="003D274A" w14:paraId="47FFBE54" w14:textId="21B0DBA7">
      <w:pPr>
        <w:pStyle w:val="FootnoteText"/>
        <w:rPr>
          <w:i/>
        </w:rPr>
      </w:pPr>
      <w:r w:rsidRPr="003D274A">
        <w:rPr>
          <w:rStyle w:val="FootnoteReference"/>
        </w:rPr>
        <w:footnoteRef/>
      </w:r>
      <w:r w:rsidRPr="003D274A" w:rsidR="00003D29">
        <w:rPr>
          <w:i/>
        </w:rPr>
        <w:t>Phase II Auction Procedures Public Notice</w:t>
      </w:r>
      <w:r w:rsidRPr="003D274A" w:rsidR="00003D29">
        <w:t xml:space="preserve">, 33 FCC </w:t>
      </w:r>
      <w:r w:rsidRPr="00003D29" w:rsidR="00003D29">
        <w:rPr>
          <w:iCs/>
        </w:rPr>
        <w:t>Rcd</w:t>
      </w:r>
      <w:r w:rsidR="00003D29">
        <w:rPr>
          <w:iCs/>
        </w:rPr>
        <w:t xml:space="preserve"> </w:t>
      </w:r>
      <w:r w:rsidRPr="00003D29">
        <w:rPr>
          <w:iCs/>
        </w:rPr>
        <w:t>at</w:t>
      </w:r>
      <w:r w:rsidRPr="003D274A">
        <w:t xml:space="preserve"> 1521, para. 314.</w:t>
      </w:r>
    </w:p>
  </w:footnote>
  <w:footnote w:id="41">
    <w:p w:rsidR="008B148E" w:rsidRPr="003D274A" w14:paraId="1C7CC3BB" w14:textId="78561658">
      <w:pPr>
        <w:pStyle w:val="FootnoteText"/>
      </w:pPr>
      <w:r w:rsidRPr="003D274A">
        <w:rPr>
          <w:rStyle w:val="FootnoteReference"/>
        </w:rPr>
        <w:footnoteRef/>
      </w:r>
      <w:r w:rsidRPr="003D274A">
        <w:t xml:space="preserve"> </w:t>
      </w:r>
      <w:r w:rsidRPr="003D274A">
        <w:rPr>
          <w:i/>
        </w:rPr>
        <w:t>Phase II Auction Order</w:t>
      </w:r>
      <w:r w:rsidRPr="003D274A">
        <w:t>, 31 FCC Rcd</w:t>
      </w:r>
      <w:r w:rsidRPr="003D274A">
        <w:rPr>
          <w:i/>
        </w:rPr>
        <w:t xml:space="preserve"> </w:t>
      </w:r>
      <w:r w:rsidRPr="003D274A">
        <w:t>at 6001, para. 145.</w:t>
      </w:r>
    </w:p>
  </w:footnote>
  <w:footnote w:id="42">
    <w:p w:rsidR="00FC2990" w:rsidRPr="007E625D" w14:paraId="7E60891B" w14:textId="7D8DCA5E">
      <w:pPr>
        <w:pStyle w:val="FootnoteText"/>
        <w:rPr>
          <w:iCs/>
        </w:rPr>
      </w:pPr>
      <w:r>
        <w:rPr>
          <w:rStyle w:val="FootnoteReference"/>
        </w:rPr>
        <w:footnoteRef/>
      </w:r>
      <w:r>
        <w:t xml:space="preserve"> </w:t>
      </w:r>
      <w:r w:rsidR="007E625D">
        <w:t xml:space="preserve">Winnings bidders that default cost the Commission a tremendous amount of resources because – in order to preserve the integrity of the auction process – the defaulted license must be completely re-auctioned (which substantially delays the provision of service to the residents inside areas of default). </w:t>
      </w:r>
      <w:r w:rsidR="007E625D">
        <w:rPr>
          <w:i/>
          <w:iCs/>
        </w:rPr>
        <w:t xml:space="preserve">See </w:t>
      </w:r>
      <w:r w:rsidRPr="003D274A" w:rsidR="007E625D">
        <w:rPr>
          <w:i/>
        </w:rPr>
        <w:t>Qualified Bidders Public Notice</w:t>
      </w:r>
      <w:r w:rsidR="007E625D">
        <w:rPr>
          <w:iCs/>
        </w:rPr>
        <w:t xml:space="preserve">, </w:t>
      </w:r>
      <w:r w:rsidRPr="003D274A" w:rsidR="007E625D">
        <w:rPr>
          <w:shd w:val="clear" w:color="auto" w:fill="FFFFFF"/>
        </w:rPr>
        <w:t xml:space="preserve">33 FCC Rcd </w:t>
      </w:r>
      <w:r w:rsidR="007E625D">
        <w:rPr>
          <w:shd w:val="clear" w:color="auto" w:fill="FFFFFF"/>
        </w:rPr>
        <w:t>at 1521, para. 316.</w:t>
      </w:r>
    </w:p>
  </w:footnote>
  <w:footnote w:id="43">
    <w:p w:rsidR="00202D4A" w14:paraId="18C781D3" w14:textId="3344BB7C">
      <w:pPr>
        <w:pStyle w:val="FootnoteText"/>
      </w:pPr>
      <w:r>
        <w:rPr>
          <w:rStyle w:val="FootnoteReference"/>
        </w:rPr>
        <w:footnoteRef/>
      </w:r>
      <w:r>
        <w:t xml:space="preserve"> </w:t>
      </w:r>
      <w:r>
        <w:rPr>
          <w:i/>
          <w:iCs/>
        </w:rPr>
        <w:t>See Demand Letter</w:t>
      </w:r>
      <w:r>
        <w:t xml:space="preserve"> at 1.</w:t>
      </w:r>
    </w:p>
  </w:footnote>
  <w:footnote w:id="44">
    <w:p w:rsidR="00202D4A" w:rsidRPr="00D97E07" w:rsidP="00202D4A" w14:paraId="6D12D1B4" w14:textId="68530BCE">
      <w:pPr>
        <w:pStyle w:val="FootnoteText"/>
        <w:rPr>
          <w:iCs/>
        </w:rPr>
      </w:pPr>
      <w:r>
        <w:rPr>
          <w:rStyle w:val="FootnoteReference"/>
        </w:rPr>
        <w:footnoteRef/>
      </w:r>
      <w:r>
        <w:t xml:space="preserve"> </w:t>
      </w:r>
      <w:r w:rsidRPr="003D274A">
        <w:rPr>
          <w:i/>
        </w:rPr>
        <w:t>Auction 903 Authorization &amp; Default Public Notice</w:t>
      </w:r>
      <w:r>
        <w:rPr>
          <w:iCs/>
        </w:rPr>
        <w:t xml:space="preserve"> at *2</w:t>
      </w:r>
      <w:r w:rsidR="00FD3AAC">
        <w:rPr>
          <w:iCs/>
        </w:rPr>
        <w:t xml:space="preserve"> (</w:t>
      </w:r>
      <w:r w:rsidR="00B175D8">
        <w:rPr>
          <w:iCs/>
        </w:rPr>
        <w:t>n</w:t>
      </w:r>
      <w:r w:rsidR="00D97E07">
        <w:rPr>
          <w:iCs/>
        </w:rPr>
        <w:t>oting</w:t>
      </w:r>
      <w:r w:rsidR="00FD3AAC">
        <w:rPr>
          <w:iCs/>
        </w:rPr>
        <w:t xml:space="preserve"> that Long-Form applicants </w:t>
      </w:r>
      <w:r w:rsidR="00D97E07">
        <w:rPr>
          <w:iCs/>
        </w:rPr>
        <w:t xml:space="preserve">that fail to submit </w:t>
      </w:r>
      <w:r w:rsidRPr="00D97E07" w:rsidR="00D97E07">
        <w:rPr>
          <w:iCs/>
        </w:rPr>
        <w:t>audited financial statements as required by the February 25, 2019 deadlin</w:t>
      </w:r>
      <w:r w:rsidR="00D97E07">
        <w:rPr>
          <w:iCs/>
        </w:rPr>
        <w:t>e are subject to a $50,000 forfeiture.); s</w:t>
      </w:r>
      <w:r w:rsidR="00D97E07">
        <w:rPr>
          <w:i/>
        </w:rPr>
        <w:t>ee also</w:t>
      </w:r>
      <w:r w:rsidR="00D97E07">
        <w:rPr>
          <w:iCs/>
        </w:rPr>
        <w:t xml:space="preserve"> </w:t>
      </w:r>
      <w:r w:rsidRPr="00D97E07" w:rsidR="00D97E07">
        <w:rPr>
          <w:i/>
          <w:iCs/>
        </w:rPr>
        <w:t>Phase II Auction Order</w:t>
      </w:r>
      <w:r w:rsidR="00D97E07">
        <w:t>, 31 FCC Rcd at 5984-85, para. 104-05; see</w:t>
      </w:r>
      <w:r w:rsidR="00D97E07">
        <w:rPr>
          <w:i/>
          <w:iCs/>
        </w:rPr>
        <w:t xml:space="preserve"> also </w:t>
      </w:r>
      <w:r w:rsidRPr="003D274A" w:rsidR="00D97E07">
        <w:rPr>
          <w:i/>
        </w:rPr>
        <w:t>Phase II Auction Procedures Public Notice</w:t>
      </w:r>
      <w:r w:rsidR="00D97E07">
        <w:t xml:space="preserve">, 33 FCC Rcd at 1519-20, para. 311. </w:t>
      </w:r>
    </w:p>
  </w:footnote>
  <w:footnote w:id="45">
    <w:p w:rsidR="006B096C" w:rsidRPr="00D14EC1" w14:paraId="4C97518A" w14:textId="64C6045C">
      <w:pPr>
        <w:pStyle w:val="FootnoteText"/>
      </w:pPr>
      <w:r>
        <w:rPr>
          <w:rStyle w:val="FootnoteReference"/>
        </w:rPr>
        <w:footnoteRef/>
      </w:r>
      <w:r>
        <w:t xml:space="preserve"> </w:t>
      </w:r>
      <w:r w:rsidR="00D14EC1">
        <w:rPr>
          <w:i/>
          <w:iCs/>
        </w:rPr>
        <w:t xml:space="preserve">See Demand Letter </w:t>
      </w:r>
      <w:r w:rsidR="00D14EC1">
        <w:t xml:space="preserve">at 1 (explaining that the </w:t>
      </w:r>
      <w:r w:rsidR="00D14EC1">
        <w:t>ClearSKY</w:t>
      </w:r>
      <w:r w:rsidR="00D14EC1">
        <w:t xml:space="preserve"> “has significant </w:t>
      </w:r>
      <w:r w:rsidR="00E70028">
        <w:t xml:space="preserve">deficiencies” including the absence of “one year of audited financial statements” that “must be uploaded and submitted to </w:t>
      </w:r>
      <w:r w:rsidR="00E70028">
        <w:t>ClearSKY’s</w:t>
      </w:r>
      <w:r w:rsidR="00E70028">
        <w:t xml:space="preserve"> [Long-Form application] </w:t>
      </w:r>
      <w:r w:rsidR="00A458A2">
        <w:t xml:space="preserve">prior to 6:00 p.m. ET on Wednesday, February 26, 2020.”). </w:t>
      </w:r>
      <w:r w:rsidR="00D14EC1">
        <w:t xml:space="preserve"> </w:t>
      </w:r>
    </w:p>
  </w:footnote>
  <w:footnote w:id="46">
    <w:p w:rsidR="006B096C" w:rsidRPr="00D14EC1" w14:paraId="2562D49F" w14:textId="14B09C72">
      <w:pPr>
        <w:pStyle w:val="FootnoteText"/>
      </w:pPr>
      <w:r>
        <w:rPr>
          <w:rStyle w:val="FootnoteReference"/>
        </w:rPr>
        <w:footnoteRef/>
      </w:r>
      <w:r>
        <w:t xml:space="preserve"> </w:t>
      </w:r>
      <w:r w:rsidR="00D14EC1">
        <w:rPr>
          <w:i/>
          <w:iCs/>
        </w:rPr>
        <w:t xml:space="preserve">See </w:t>
      </w:r>
      <w:r w:rsidR="00D14EC1">
        <w:rPr>
          <w:i/>
          <w:iCs/>
        </w:rPr>
        <w:t>ClearSKY</w:t>
      </w:r>
      <w:r w:rsidR="00D14EC1">
        <w:rPr>
          <w:i/>
          <w:iCs/>
        </w:rPr>
        <w:t xml:space="preserve"> Default Letter</w:t>
      </w:r>
      <w:r w:rsidR="00D14EC1">
        <w:t xml:space="preserve"> </w:t>
      </w:r>
      <w:r w:rsidR="00B175D8">
        <w:t xml:space="preserve">(explaining that the Company does not want to be responsible for “the blocks that nobody wanted,” and that </w:t>
      </w:r>
      <w:r w:rsidR="00B175D8">
        <w:t>ClearSKY</w:t>
      </w:r>
      <w:r w:rsidR="00B175D8">
        <w:t xml:space="preserve"> requested to be released from bidder obligations instead of satisfying its duty to cure its long-form application and to serve its winning bid locations.).</w:t>
      </w:r>
    </w:p>
  </w:footnote>
  <w:footnote w:id="47">
    <w:p w:rsidR="00516822" w:rsidRPr="003D274A" w:rsidP="00516822" w14:paraId="7A9FDC58" w14:textId="3AEDDF87">
      <w:pPr>
        <w:pStyle w:val="FootnoteText"/>
      </w:pPr>
      <w:r w:rsidRPr="003D274A">
        <w:rPr>
          <w:rStyle w:val="FootnoteReference"/>
          <w:rFonts w:eastAsia="Calibri"/>
        </w:rPr>
        <w:footnoteRef/>
      </w:r>
      <w:r w:rsidRPr="003D274A">
        <w:t xml:space="preserve"> </w:t>
      </w:r>
      <w:r w:rsidRPr="003D274A">
        <w:rPr>
          <w:i/>
        </w:rPr>
        <w:t xml:space="preserve">See </w:t>
      </w:r>
      <w:r w:rsidRPr="003D274A">
        <w:t>47 U.S.C. § 503(b)(1)(B); 47 CFR § 1.80(a)(1)</w:t>
      </w:r>
      <w:r w:rsidR="00B636A0">
        <w:t>.</w:t>
      </w:r>
      <w:r w:rsidRPr="003D274A">
        <w:t xml:space="preserve">      </w:t>
      </w:r>
    </w:p>
  </w:footnote>
  <w:footnote w:id="48">
    <w:p w:rsidR="00516822" w:rsidRPr="003D274A" w:rsidP="00516822" w14:paraId="61D50B9C" w14:textId="0BFAB5BD">
      <w:pPr>
        <w:pStyle w:val="FootnoteText"/>
      </w:pPr>
      <w:r w:rsidRPr="003D274A">
        <w:rPr>
          <w:rStyle w:val="FootnoteReference"/>
          <w:rFonts w:eastAsia="Calibri"/>
        </w:rPr>
        <w:footnoteRef/>
      </w:r>
      <w:r w:rsidRPr="003D274A">
        <w:t xml:space="preserve"> </w:t>
      </w:r>
      <w:r w:rsidRPr="003D274A">
        <w:rPr>
          <w:i/>
        </w:rPr>
        <w:t xml:space="preserve">See </w:t>
      </w:r>
      <w:r w:rsidRPr="003D274A">
        <w:t>47 U.S.C. § 503(b)</w:t>
      </w:r>
      <w:r w:rsidR="000E5066">
        <w:t>(4)</w:t>
      </w:r>
      <w:r w:rsidRPr="003D274A">
        <w:t>; 47 CFR § 1.80(f).</w:t>
      </w:r>
    </w:p>
  </w:footnote>
  <w:footnote w:id="49">
    <w:p w:rsidR="00516822" w:rsidRPr="003D274A" w:rsidP="00516822" w14:paraId="452B5263" w14:textId="77777777">
      <w:pPr>
        <w:pStyle w:val="FootnoteText"/>
      </w:pPr>
      <w:r w:rsidRPr="003D274A">
        <w:rPr>
          <w:rStyle w:val="FootnoteReference"/>
          <w:rFonts w:eastAsia="Calibri"/>
        </w:rPr>
        <w:footnoteRef/>
      </w:r>
      <w:r w:rsidRPr="003D274A">
        <w:t xml:space="preserve"> </w:t>
      </w:r>
      <w:r w:rsidRPr="003D274A">
        <w:rPr>
          <w:i/>
        </w:rPr>
        <w:t xml:space="preserve">See, e.g., SBC Communications, Inc., </w:t>
      </w:r>
      <w:r w:rsidRPr="003D274A">
        <w:t xml:space="preserve">Forfeiture Order, 17 FCC Rcd 7589, 7591, para. 4 (2002) (forfeiture paid). </w:t>
      </w:r>
    </w:p>
  </w:footnote>
  <w:footnote w:id="50">
    <w:p w:rsidR="00516822" w:rsidRPr="003D274A" w:rsidP="00516822" w14:paraId="2A047D54" w14:textId="77777777">
      <w:pPr>
        <w:pStyle w:val="FootnoteText"/>
      </w:pPr>
      <w:r w:rsidRPr="003D274A">
        <w:rPr>
          <w:rStyle w:val="FootnoteReference"/>
          <w:rFonts w:eastAsia="Calibri"/>
        </w:rPr>
        <w:footnoteRef/>
      </w:r>
      <w:r w:rsidRPr="003D274A">
        <w:rPr>
          <w:i/>
        </w:rPr>
        <w:t xml:space="preserve"> The Commission’s Forfeiture Policy Statement and Amendment of Section 1.80 of the Rules to Incorporate the Forfeiture Guidelines</w:t>
      </w:r>
      <w:r w:rsidRPr="003D274A">
        <w:t xml:space="preserve">, 12 FCC Rcd 17,087, 17,113 (1997), </w:t>
      </w:r>
      <w:r w:rsidRPr="003D274A">
        <w:rPr>
          <w:i/>
        </w:rPr>
        <w:t>recons. denied</w:t>
      </w:r>
      <w:r w:rsidRPr="003D274A">
        <w:t xml:space="preserve"> 15</w:t>
      </w:r>
      <w:r>
        <w:t xml:space="preserve"> </w:t>
      </w:r>
      <w:r w:rsidRPr="003D274A">
        <w:t>FCC Rcd 303 (1999) (</w:t>
      </w:r>
      <w:r w:rsidRPr="003D274A">
        <w:rPr>
          <w:i/>
        </w:rPr>
        <w:t>Forfeiture Policy Statement</w:t>
      </w:r>
      <w:r w:rsidRPr="003D274A">
        <w:t>);</w:t>
      </w:r>
      <w:r w:rsidRPr="003D274A">
        <w:rPr>
          <w:i/>
        </w:rPr>
        <w:t xml:space="preserve"> </w:t>
      </w:r>
      <w:r w:rsidRPr="003D274A">
        <w:t xml:space="preserve">47 CFR § 1.80(b).  </w:t>
      </w:r>
    </w:p>
  </w:footnote>
  <w:footnote w:id="51">
    <w:p w:rsidR="00516822" w:rsidRPr="003D274A" w:rsidP="00516822" w14:paraId="0948BF6F" w14:textId="77777777">
      <w:pPr>
        <w:pStyle w:val="FootnoteText"/>
      </w:pPr>
      <w:r w:rsidRPr="003D274A">
        <w:rPr>
          <w:rStyle w:val="FootnoteReference"/>
          <w:rFonts w:eastAsia="Calibri"/>
        </w:rPr>
        <w:footnoteRef/>
      </w:r>
      <w:r w:rsidRPr="003D274A">
        <w:t xml:space="preserve"> </w:t>
      </w:r>
      <w:r w:rsidRPr="003D274A">
        <w:rPr>
          <w:i/>
        </w:rPr>
        <w:t xml:space="preserve">Forfeiture Policy Statement, </w:t>
      </w:r>
      <w:r w:rsidRPr="003D274A">
        <w:t>12 FCC Rcd</w:t>
      </w:r>
      <w:r w:rsidRPr="003D274A">
        <w:rPr>
          <w:i/>
        </w:rPr>
        <w:t xml:space="preserve"> </w:t>
      </w:r>
      <w:r w:rsidRPr="003D274A">
        <w:t>at 17,100-101, para. 27.</w:t>
      </w:r>
    </w:p>
  </w:footnote>
  <w:footnote w:id="52">
    <w:p w:rsidR="00516822" w:rsidRPr="003D274A" w:rsidP="00516822" w14:paraId="46E4B67A" w14:textId="5417AB53">
      <w:pPr>
        <w:pStyle w:val="FootnoteText"/>
      </w:pPr>
      <w:r w:rsidRPr="003D274A">
        <w:rPr>
          <w:rStyle w:val="FootnoteReference"/>
          <w:rFonts w:eastAsia="Calibri"/>
        </w:rPr>
        <w:footnoteRef/>
      </w:r>
      <w:r w:rsidRPr="003D274A">
        <w:t xml:space="preserve"> 47 U.S.C. § 312(f)(1) (emphasis added).  The legislative history to </w:t>
      </w:r>
      <w:r w:rsidR="00D84B8F">
        <w:t>s</w:t>
      </w:r>
      <w:r w:rsidRPr="003D274A">
        <w:t xml:space="preserve">ection 312(f)(1) of the Act clarifies that this definition of willful applies to both </w:t>
      </w:r>
      <w:r>
        <w:t>s</w:t>
      </w:r>
      <w:r w:rsidRPr="003D274A">
        <w:t>ections 312 and 503(b) of the Act, H.R. Rep. No. 97-765, 97</w:t>
      </w:r>
      <w:r w:rsidRPr="003D274A">
        <w:rPr>
          <w:vertAlign w:val="superscript"/>
        </w:rPr>
        <w:t>th</w:t>
      </w:r>
      <w:r w:rsidRPr="003D274A">
        <w:t xml:space="preserve"> Cong. 2d Sess. 51 (1982), and the Commission has so interpreted the term in the </w:t>
      </w:r>
      <w:r>
        <w:t>s</w:t>
      </w:r>
      <w:r w:rsidRPr="003D274A">
        <w:t xml:space="preserve">ection 503(b) context.  </w:t>
      </w:r>
      <w:r w:rsidRPr="003D274A">
        <w:rPr>
          <w:i/>
        </w:rPr>
        <w:t>See, e.g., Southern California Broadcasting Co.</w:t>
      </w:r>
      <w:r w:rsidRPr="003D274A">
        <w:t>, Memorandum Opinion and Order, 6 FCC Rcd 4387, 4388 (1991).</w:t>
      </w:r>
    </w:p>
  </w:footnote>
  <w:footnote w:id="53">
    <w:p w:rsidR="00286950" w:rsidRPr="003D274A" w:rsidP="00286950" w14:paraId="6B58D1B6" w14:textId="00EC4B03">
      <w:pPr>
        <w:pStyle w:val="FootnoteText"/>
      </w:pPr>
      <w:r w:rsidRPr="003D274A">
        <w:rPr>
          <w:rStyle w:val="FootnoteReference"/>
          <w:rFonts w:eastAsia="Calibri"/>
        </w:rPr>
        <w:footnoteRef/>
      </w:r>
      <w:r w:rsidRPr="003D274A">
        <w:t xml:space="preserve"> </w:t>
      </w:r>
      <w:r w:rsidRPr="003A7F16" w:rsidR="003A7F16">
        <w:rPr>
          <w:i/>
        </w:rPr>
        <w:t xml:space="preserve"> </w:t>
      </w:r>
      <w:r w:rsidRPr="003D274A" w:rsidR="003A7F16">
        <w:rPr>
          <w:i/>
        </w:rPr>
        <w:t>Phase II Auction Order</w:t>
      </w:r>
      <w:r w:rsidRPr="003D274A" w:rsidR="003A7F16">
        <w:t>, 31 FCC Rcd at 6000-01, para. 144</w:t>
      </w:r>
      <w:r w:rsidR="003A7F16">
        <w:t>.</w:t>
      </w:r>
    </w:p>
  </w:footnote>
  <w:footnote w:id="54">
    <w:p w:rsidR="00472501" w:rsidRPr="00BA2C98" w:rsidP="00472501" w14:paraId="046FFE13" w14:textId="309B14B9">
      <w:pPr>
        <w:pStyle w:val="FootnoteText"/>
      </w:pPr>
      <w:r w:rsidRPr="003D274A">
        <w:rPr>
          <w:rStyle w:val="FootnoteReference"/>
          <w:rFonts w:eastAsia="Calibri"/>
        </w:rPr>
        <w:footnoteRef/>
      </w:r>
      <w:r w:rsidRPr="003D274A">
        <w:t xml:space="preserve"> </w:t>
      </w:r>
      <w:r w:rsidRPr="003D274A">
        <w:rPr>
          <w:i/>
        </w:rPr>
        <w:t>Phase II Auction Order</w:t>
      </w:r>
      <w:r w:rsidRPr="003D274A">
        <w:t xml:space="preserve">, 31 FCC Rcd at 6000-01, para. 144; </w:t>
      </w:r>
      <w:r w:rsidRPr="003D274A">
        <w:rPr>
          <w:i/>
        </w:rPr>
        <w:t>Phase II Auction Procedures Public Notice</w:t>
      </w:r>
      <w:r w:rsidRPr="003D274A">
        <w:t>, 33 FCC Rcd at 1521, para. 315.  This would occur in situations where the dollar amount associated with the bid is low.  For example, assume Bidder A’s winning bid includes 100 CBGs for $100,000 over the 10-year support term.  We may impose a</w:t>
      </w:r>
      <w:r w:rsidR="00F32DCE">
        <w:t xml:space="preserve"> total</w:t>
      </w:r>
      <w:r w:rsidRPr="003D274A">
        <w:t xml:space="preserve"> base forfeiture of $5,000 (5% of $100,000) because otherwise the base forfeiture would be $300,000 ($3,000 x 100 CBGs), which is three times the entire bid amount.  In contrast, if Bidder B’s winning bid includes 100 CBGs for $7,000,000 over the support term, we may impose a</w:t>
      </w:r>
      <w:r w:rsidR="00F32DCE">
        <w:t xml:space="preserve"> total</w:t>
      </w:r>
      <w:r w:rsidRPr="003D274A">
        <w:t xml:space="preserve"> base forfeiture of $300,000 ($3,000 x 100 CBGs), which is 4.3% of the total bid.</w:t>
      </w:r>
      <w:r w:rsidR="00BA2C98">
        <w:t xml:space="preserve"> </w:t>
      </w:r>
      <w:r w:rsidR="00BA2C98">
        <w:rPr>
          <w:i/>
          <w:iCs/>
        </w:rPr>
        <w:t>See Phase II Auction Order</w:t>
      </w:r>
      <w:r w:rsidR="00BA2C98">
        <w:t>, 31 FCC Rcd at 6000-01, para. 144 n.305.</w:t>
      </w:r>
    </w:p>
  </w:footnote>
  <w:footnote w:id="55">
    <w:p w:rsidR="00472501" w:rsidRPr="003D274A" w:rsidP="00472501" w14:paraId="5772C770" w14:textId="691B693A">
      <w:pPr>
        <w:pStyle w:val="FootnoteText"/>
      </w:pPr>
      <w:r w:rsidRPr="003D274A">
        <w:rPr>
          <w:rStyle w:val="FootnoteReference"/>
          <w:rFonts w:eastAsia="Calibri"/>
        </w:rPr>
        <w:footnoteRef/>
      </w:r>
      <w:r w:rsidRPr="003D274A">
        <w:t xml:space="preserve"> </w:t>
      </w:r>
      <w:r w:rsidR="00BA2C98">
        <w:rPr>
          <w:i/>
          <w:iCs/>
        </w:rPr>
        <w:t>Phase II Auction Order</w:t>
      </w:r>
      <w:r w:rsidR="00BA2C98">
        <w:t>, 31 FCC Rcd at 6000-01, para. 144.</w:t>
      </w:r>
      <w:r w:rsidR="00BA2C98">
        <w:rPr>
          <w:i/>
          <w:iCs/>
        </w:rPr>
        <w:t xml:space="preserve"> </w:t>
      </w:r>
      <w:r w:rsidR="002E3B4D">
        <w:rPr>
          <w:i/>
          <w:iCs/>
        </w:rPr>
        <w:t xml:space="preserve">See also </w:t>
      </w:r>
      <w:r w:rsidRPr="003D274A">
        <w:rPr>
          <w:i/>
        </w:rPr>
        <w:t>Mobility Fund Phase I Auction Procedures Public Notice</w:t>
      </w:r>
      <w:r w:rsidRPr="003D274A">
        <w:t xml:space="preserve">, 27 FCC Rcd at 4777, para. 187; </w:t>
      </w:r>
      <w:r w:rsidRPr="003D274A">
        <w:rPr>
          <w:i/>
        </w:rPr>
        <w:t>Tribal Mobility Fund Phase I Auction Procedures Public Notice</w:t>
      </w:r>
      <w:r w:rsidRPr="003D274A">
        <w:t xml:space="preserve">, 28 FCC Rcd at 11692, para. 214. </w:t>
      </w:r>
    </w:p>
  </w:footnote>
  <w:footnote w:id="56">
    <w:p w:rsidR="00CD679F" w14:paraId="0CAFF167" w14:textId="5936A0CC">
      <w:pPr>
        <w:pStyle w:val="FootnoteText"/>
      </w:pPr>
      <w:r>
        <w:rPr>
          <w:rStyle w:val="FootnoteReference"/>
        </w:rPr>
        <w:footnoteRef/>
      </w:r>
      <w:r>
        <w:t xml:space="preserve"> </w:t>
      </w:r>
      <w:r w:rsidRPr="003D274A" w:rsidR="00CF7228">
        <w:rPr>
          <w:i/>
        </w:rPr>
        <w:t>Phase II Auction Order</w:t>
      </w:r>
      <w:r w:rsidRPr="003D274A" w:rsidR="00CF7228">
        <w:t>, 31 FCC Rcd at 6000-01, para. 144</w:t>
      </w:r>
      <w:r w:rsidR="00CF7228">
        <w:t>.</w:t>
      </w:r>
    </w:p>
  </w:footnote>
  <w:footnote w:id="57">
    <w:p w:rsidR="00650000" w:rsidP="00650000" w14:paraId="2C7BA114" w14:textId="18091FAF">
      <w:pPr>
        <w:pStyle w:val="FootnoteText"/>
      </w:pPr>
      <w:r>
        <w:rPr>
          <w:rStyle w:val="FootnoteReference"/>
        </w:rPr>
        <w:footnoteRef/>
      </w:r>
      <w:r>
        <w:t xml:space="preserve"> </w:t>
      </w:r>
      <w:r w:rsidR="001D5659">
        <w:rPr>
          <w:i/>
          <w:iCs/>
        </w:rPr>
        <w:t>Phase II Auction Order</w:t>
      </w:r>
      <w:r w:rsidR="001D5659">
        <w:t xml:space="preserve">, 31 FCC Rcd at 45984-85, para. 104; </w:t>
      </w:r>
      <w:r w:rsidRPr="003D274A">
        <w:rPr>
          <w:i/>
        </w:rPr>
        <w:t xml:space="preserve">Phase II Auction Procedures Public Notice, </w:t>
      </w:r>
      <w:r w:rsidRPr="003D274A">
        <w:rPr>
          <w:shd w:val="clear" w:color="auto" w:fill="FFFFFF"/>
        </w:rPr>
        <w:t>33 FCC Rcd at 15</w:t>
      </w:r>
      <w:r>
        <w:rPr>
          <w:shd w:val="clear" w:color="auto" w:fill="FFFFFF"/>
        </w:rPr>
        <w:t>19</w:t>
      </w:r>
      <w:r w:rsidRPr="003D274A">
        <w:rPr>
          <w:shd w:val="clear" w:color="auto" w:fill="FFFFFF"/>
        </w:rPr>
        <w:t>,</w:t>
      </w:r>
      <w:r w:rsidRPr="003D274A">
        <w:t xml:space="preserve"> para. 3</w:t>
      </w:r>
      <w:r>
        <w:t>11.</w:t>
      </w:r>
    </w:p>
  </w:footnote>
  <w:footnote w:id="58">
    <w:p w:rsidR="000B4F3D" w:rsidRPr="00A45E8E" w:rsidP="000B4F3D" w14:paraId="01742458" w14:textId="2B14768E">
      <w:pPr>
        <w:pStyle w:val="FootnoteText"/>
      </w:pPr>
      <w:r>
        <w:rPr>
          <w:rStyle w:val="FootnoteReference"/>
        </w:rPr>
        <w:footnoteRef/>
      </w:r>
      <w:r>
        <w:t xml:space="preserve"> </w:t>
      </w:r>
      <w:r>
        <w:rPr>
          <w:i/>
          <w:iCs/>
        </w:rPr>
        <w:t xml:space="preserve">See </w:t>
      </w:r>
      <w:r w:rsidRPr="003D274A" w:rsidR="001D5659">
        <w:rPr>
          <w:i/>
        </w:rPr>
        <w:t xml:space="preserve">Phase II Auction Procedures Public Notice, </w:t>
      </w:r>
      <w:r w:rsidRPr="003D274A" w:rsidR="001D5659">
        <w:rPr>
          <w:shd w:val="clear" w:color="auto" w:fill="FFFFFF"/>
        </w:rPr>
        <w:t>33 FCC Rcd at 15</w:t>
      </w:r>
      <w:r w:rsidR="001D5659">
        <w:rPr>
          <w:shd w:val="clear" w:color="auto" w:fill="FFFFFF"/>
        </w:rPr>
        <w:t>19</w:t>
      </w:r>
      <w:r w:rsidRPr="003D274A" w:rsidR="001D5659">
        <w:rPr>
          <w:shd w:val="clear" w:color="auto" w:fill="FFFFFF"/>
        </w:rPr>
        <w:t>,</w:t>
      </w:r>
      <w:r w:rsidRPr="003D274A" w:rsidR="001D5659">
        <w:t xml:space="preserve"> para. 3</w:t>
      </w:r>
      <w:r w:rsidR="001D5659">
        <w:t>11</w:t>
      </w:r>
      <w:r>
        <w:t xml:space="preserve"> (</w:t>
      </w:r>
      <w:r w:rsidR="003C1273">
        <w:t xml:space="preserve">noting that “any long form </w:t>
      </w:r>
      <w:r w:rsidRPr="001D462D" w:rsidR="003C1273">
        <w:t>applicant</w:t>
      </w:r>
      <w:r w:rsidR="003C1273">
        <w:t>…will be subject to a base forfeiture of $50,000, which will be</w:t>
      </w:r>
      <w:r>
        <w:t xml:space="preserve"> subject</w:t>
      </w:r>
      <w:r w:rsidR="003C1273">
        <w:t xml:space="preserve"> to adjustment</w:t>
      </w:r>
      <w:r>
        <w:t xml:space="preserve"> upward or downward </w:t>
      </w:r>
      <w:r w:rsidR="003C1273">
        <w:t>as appropriate””</w:t>
      </w:r>
      <w:r w:rsidR="0001600C">
        <w:t xml:space="preserve"> </w:t>
      </w:r>
      <w:r w:rsidR="003C1273">
        <w:t>(emphasis added)</w:t>
      </w:r>
      <w:r>
        <w:t xml:space="preserve">).  </w:t>
      </w:r>
      <w:r>
        <w:rPr>
          <w:i/>
          <w:iCs/>
        </w:rPr>
        <w:t>See also</w:t>
      </w:r>
      <w:r>
        <w:t xml:space="preserve"> </w:t>
      </w:r>
      <w:r w:rsidRPr="003D274A">
        <w:rPr>
          <w:i/>
        </w:rPr>
        <w:t>Phase II Auction Order and/or FNPRM</w:t>
      </w:r>
      <w:r>
        <w:t>,</w:t>
      </w:r>
      <w:r w:rsidR="009B1E8F">
        <w:t xml:space="preserve"> </w:t>
      </w:r>
      <w:r w:rsidR="002610D0">
        <w:t>33 FCC Rcd at 5984-85, paras. 104-105 &amp; n.206</w:t>
      </w:r>
      <w:r>
        <w:t xml:space="preserve"> (</w:t>
      </w:r>
      <w:r w:rsidR="002610D0">
        <w:t xml:space="preserve">noting that the $50,000 base forfeiture was “large enough to create an incentive for bidders to take their obligation to get audited financial statements seriously,” and that </w:t>
      </w:r>
      <w:r>
        <w:t>“</w:t>
      </w:r>
      <w:r w:rsidR="002610D0">
        <w:t>[the] forfeiture will be applied per defaulting entity rather than per bid or minimum geographic unit.”</w:t>
      </w:r>
      <w:r>
        <w:t>).</w:t>
      </w:r>
    </w:p>
  </w:footnote>
  <w:footnote w:id="59">
    <w:p w:rsidR="00391884" w:rsidRPr="00015C81" w:rsidP="00391884" w14:paraId="575F12EB" w14:textId="77777777">
      <w:pPr>
        <w:pStyle w:val="FootnoteText"/>
        <w:widowControl w:val="0"/>
      </w:pPr>
      <w:r w:rsidRPr="00C32E6A">
        <w:rPr>
          <w:rStyle w:val="FootnoteReference"/>
        </w:rPr>
        <w:footnoteRef/>
      </w:r>
      <w:r w:rsidRPr="00C32E6A">
        <w:t xml:space="preserve"> </w:t>
      </w:r>
      <w:r w:rsidRPr="00015C81">
        <w:rPr>
          <w:i/>
        </w:rPr>
        <w:t xml:space="preserve">See </w:t>
      </w:r>
      <w:r w:rsidRPr="00C32E6A">
        <w:rPr>
          <w:i/>
        </w:rPr>
        <w:t>Comm</w:t>
      </w:r>
      <w:r w:rsidRPr="00AF35C9">
        <w:rPr>
          <w:i/>
        </w:rPr>
        <w:t>ission</w:t>
      </w:r>
      <w:r w:rsidRPr="00635BC7">
        <w:rPr>
          <w:i/>
        </w:rPr>
        <w:t>’</w:t>
      </w:r>
      <w:r w:rsidRPr="006D00E3">
        <w:rPr>
          <w:i/>
        </w:rPr>
        <w:t xml:space="preserve">s </w:t>
      </w:r>
      <w:r w:rsidRPr="00015C81">
        <w:rPr>
          <w:i/>
        </w:rPr>
        <w:t>Forfeiture Policy Statement &amp; Amendment of Section 1.80 of the Rules to Incorporate the Forfeiture Guidelines</w:t>
      </w:r>
      <w:r w:rsidRPr="00015C81">
        <w:t>, Report and Order, 12 FCC Rcd 17087, 17110, para. 53 (1997) (citing 47 U.S.C. § 503(b)(2)(E)) (</w:t>
      </w:r>
      <w:r w:rsidRPr="00015C81">
        <w:rPr>
          <w:i/>
        </w:rPr>
        <w:t>1997</w:t>
      </w:r>
      <w:r w:rsidRPr="00015C81">
        <w:t xml:space="preserve"> </w:t>
      </w:r>
      <w:r w:rsidRPr="00015C81">
        <w:rPr>
          <w:i/>
        </w:rPr>
        <w:t>Forfeiture Guidelines</w:t>
      </w:r>
      <w:r w:rsidRPr="00015C81">
        <w:t xml:space="preserve">), </w:t>
      </w:r>
      <w:r w:rsidRPr="00015C81">
        <w:rPr>
          <w:i/>
        </w:rPr>
        <w:t>recon. denied</w:t>
      </w:r>
      <w:r w:rsidRPr="00015C81">
        <w:t>, Memorandum Opinion and Order, 15 FCC Rcd 303 (1999).</w:t>
      </w:r>
    </w:p>
  </w:footnote>
  <w:footnote w:id="60">
    <w:p w:rsidR="00391884" w:rsidRPr="00015C81" w:rsidP="00391884" w14:paraId="7565B056" w14:textId="77777777">
      <w:pPr>
        <w:pStyle w:val="FootnoteText"/>
      </w:pPr>
      <w:r w:rsidRPr="00015C81">
        <w:rPr>
          <w:rStyle w:val="FootnoteReference"/>
        </w:rPr>
        <w:footnoteRef/>
      </w:r>
      <w:r w:rsidRPr="00015C81">
        <w:t xml:space="preserve"> 47 CFR § 1.80(b)(</w:t>
      </w:r>
      <w:r>
        <w:t>9</w:t>
      </w:r>
      <w:r w:rsidRPr="00015C81">
        <w:t>), Note to paragraph (b)(</w:t>
      </w:r>
      <w:r>
        <w:t>9</w:t>
      </w:r>
      <w:r w:rsidRPr="00015C81">
        <w:t xml:space="preserve">).  </w:t>
      </w:r>
      <w:r w:rsidRPr="00015C81">
        <w:rPr>
          <w:i/>
        </w:rPr>
        <w:t>See also 1997</w:t>
      </w:r>
      <w:r w:rsidRPr="00015C81">
        <w:t xml:space="preserve"> </w:t>
      </w:r>
      <w:r w:rsidRPr="00015C81">
        <w:rPr>
          <w:i/>
        </w:rPr>
        <w:t>Forfeiture Guidelines</w:t>
      </w:r>
      <w:r w:rsidRPr="00015C81">
        <w:t>, 12 FCC Rcd at 17098–99, para. 22 (1997) (noting that “[a]</w:t>
      </w:r>
      <w:r w:rsidRPr="00015C81">
        <w:t>lthough</w:t>
      </w:r>
      <w:r w:rsidRPr="00015C81">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C32E6A">
        <w:t xml:space="preserve">  </w:t>
      </w:r>
    </w:p>
  </w:footnote>
  <w:footnote w:id="61">
    <w:p w:rsidR="00391884" w:rsidRPr="00C32E6A" w:rsidP="00391884" w14:paraId="592AD3D1" w14:textId="77777777">
      <w:pPr>
        <w:pStyle w:val="FootnoteText"/>
      </w:pPr>
      <w:r w:rsidRPr="00C32E6A">
        <w:rPr>
          <w:rStyle w:val="FootnoteReference"/>
        </w:rPr>
        <w:footnoteRef/>
      </w:r>
      <w:r w:rsidRPr="00C32E6A">
        <w:t xml:space="preserve"> </w:t>
      </w:r>
      <w:r w:rsidRPr="00015C81">
        <w:t>47 CFR § 1.80(b)(</w:t>
      </w:r>
      <w:r>
        <w:t>9</w:t>
      </w:r>
      <w:r w:rsidRPr="00015C81">
        <w:t>), Note to paragraph (b)(</w:t>
      </w:r>
      <w:r>
        <w:t>9</w:t>
      </w:r>
      <w:r w:rsidRPr="00015C81">
        <w:t>).</w:t>
      </w:r>
    </w:p>
  </w:footnote>
  <w:footnote w:id="62">
    <w:p w:rsidR="00391884" w:rsidRPr="006D00E3" w:rsidP="00391884" w14:paraId="5B0CED70" w14:textId="77777777">
      <w:pPr>
        <w:pStyle w:val="FootnoteText"/>
        <w:widowControl w:val="0"/>
      </w:pPr>
      <w:r w:rsidRPr="00C32E6A">
        <w:rPr>
          <w:rStyle w:val="FootnoteReference"/>
        </w:rPr>
        <w:footnoteRef/>
      </w:r>
      <w:r w:rsidRPr="00C32E6A">
        <w:t xml:space="preserve"> </w:t>
      </w:r>
      <w:r w:rsidRPr="00AF35C9">
        <w:rPr>
          <w:i/>
        </w:rPr>
        <w:t>1997</w:t>
      </w:r>
      <w:r w:rsidRPr="00635BC7">
        <w:t xml:space="preserve"> </w:t>
      </w:r>
      <w:r w:rsidRPr="00015C81">
        <w:rPr>
          <w:i/>
        </w:rPr>
        <w:t>Forfeiture Guidelines</w:t>
      </w:r>
      <w:r w:rsidRPr="00C32E6A">
        <w:t>, 12 F</w:t>
      </w:r>
      <w:r w:rsidRPr="00AF35C9">
        <w:t>CC Rcd</w:t>
      </w:r>
      <w:r w:rsidRPr="00635BC7">
        <w:t xml:space="preserve"> at 17109-10, para. 53.</w:t>
      </w:r>
    </w:p>
  </w:footnote>
  <w:footnote w:id="63">
    <w:p w:rsidR="00286950" w:rsidRPr="003D274A" w:rsidP="00286950" w14:paraId="4AC0E410" w14:textId="77777777">
      <w:pPr>
        <w:pStyle w:val="FootnoteText"/>
      </w:pPr>
      <w:r w:rsidRPr="003D274A">
        <w:rPr>
          <w:rStyle w:val="FootnoteReference"/>
          <w:rFonts w:eastAsia="Calibri"/>
        </w:rPr>
        <w:footnoteRef/>
      </w:r>
      <w:r w:rsidRPr="003D274A">
        <w:t xml:space="preserve"> </w:t>
      </w:r>
      <w:r w:rsidRPr="003D274A">
        <w:rPr>
          <w:i/>
        </w:rPr>
        <w:t>See</w:t>
      </w:r>
      <w:r w:rsidRPr="003D274A">
        <w:t xml:space="preserve"> 47 U.S.C. § 503(b)(2)(B); 47 CFR § 1.80(b)(8), note to paragraph (b)(8); </w:t>
      </w:r>
      <w:r w:rsidRPr="003D274A">
        <w:rPr>
          <w:i/>
        </w:rPr>
        <w:t>Phase II Auction Order</w:t>
      </w:r>
      <w:r w:rsidRPr="003D274A">
        <w:t xml:space="preserve">, 31 FCC Rcd at 6000-01, para. 143; </w:t>
      </w:r>
      <w:r w:rsidRPr="003D274A">
        <w:rPr>
          <w:i/>
        </w:rPr>
        <w:t>Phase II Auction Procedures Public Notice</w:t>
      </w:r>
      <w:r w:rsidRPr="003D274A">
        <w:t>, 33 FCC Rcd at 1521, para. 315.</w:t>
      </w:r>
    </w:p>
  </w:footnote>
  <w:footnote w:id="64">
    <w:p w:rsidR="00EE66B5" w14:paraId="49634ADF" w14:textId="1E0BB948">
      <w:pPr>
        <w:pStyle w:val="FootnoteText"/>
      </w:pPr>
      <w:r>
        <w:rPr>
          <w:rStyle w:val="FootnoteReference"/>
        </w:rPr>
        <w:footnoteRef/>
      </w:r>
      <w:r>
        <w:t xml:space="preserve"> </w:t>
      </w:r>
      <w:r w:rsidRPr="003D274A">
        <w:rPr>
          <w:i/>
        </w:rPr>
        <w:t xml:space="preserve">Phase II Auction Procedures Public Notice, </w:t>
      </w:r>
      <w:r w:rsidRPr="003D274A">
        <w:rPr>
          <w:shd w:val="clear" w:color="auto" w:fill="FFFFFF"/>
        </w:rPr>
        <w:t>33 FCC Rcd at 15</w:t>
      </w:r>
      <w:r>
        <w:rPr>
          <w:shd w:val="clear" w:color="auto" w:fill="FFFFFF"/>
        </w:rPr>
        <w:t>19</w:t>
      </w:r>
      <w:r w:rsidRPr="003D274A">
        <w:rPr>
          <w:shd w:val="clear" w:color="auto" w:fill="FFFFFF"/>
        </w:rPr>
        <w:t>,</w:t>
      </w:r>
      <w:r w:rsidRPr="003D274A">
        <w:t xml:space="preserve"> para. 3</w:t>
      </w:r>
      <w:r>
        <w:t>11.</w:t>
      </w:r>
    </w:p>
  </w:footnote>
  <w:footnote w:id="65">
    <w:p w:rsidR="007E35F9" w:rsidRPr="003D274A" w14:paraId="645C4ECE" w14:textId="02A44212">
      <w:pPr>
        <w:pStyle w:val="FootnoteText"/>
      </w:pPr>
      <w:r w:rsidRPr="003D274A">
        <w:rPr>
          <w:rStyle w:val="FootnoteReference"/>
        </w:rPr>
        <w:footnoteRef/>
      </w:r>
      <w:r w:rsidRPr="003D274A">
        <w:t xml:space="preserve"> 47 U.S.C. § 503(b).</w:t>
      </w:r>
    </w:p>
  </w:footnote>
  <w:footnote w:id="66">
    <w:p w:rsidR="007E35F9" w:rsidRPr="003D274A" w14:paraId="0C36CD16" w14:textId="708EADBC">
      <w:pPr>
        <w:pStyle w:val="FootnoteText"/>
      </w:pPr>
      <w:r w:rsidRPr="003D274A">
        <w:rPr>
          <w:rStyle w:val="FootnoteReference"/>
        </w:rPr>
        <w:footnoteRef/>
      </w:r>
      <w:r w:rsidRPr="003D274A">
        <w:t xml:space="preserve"> 47 CFR § 1.80.</w:t>
      </w:r>
    </w:p>
  </w:footnote>
  <w:footnote w:id="67">
    <w:p w:rsidR="00096A3C" w:rsidRPr="003D274A" w14:paraId="2C8107F8" w14:textId="4C027373">
      <w:pPr>
        <w:pStyle w:val="FootnoteText"/>
      </w:pPr>
      <w:r w:rsidRPr="003D274A">
        <w:rPr>
          <w:rStyle w:val="FootnoteReference"/>
        </w:rPr>
        <w:footnoteRef/>
      </w:r>
      <w:r w:rsidRPr="003D274A">
        <w:t xml:space="preserve"> 47 CFR § 1.21004(</w:t>
      </w:r>
      <w:r w:rsidR="00522A90">
        <w:t>a</w:t>
      </w:r>
      <w:r w:rsidRPr="003D274A">
        <w:t>).</w:t>
      </w:r>
    </w:p>
  </w:footnote>
  <w:footnote w:id="68">
    <w:p w:rsidR="00096A3C" w:rsidRPr="003D274A" w14:paraId="02770414" w14:textId="0084E704">
      <w:pPr>
        <w:pStyle w:val="FootnoteText"/>
      </w:pPr>
      <w:r w:rsidRPr="003D274A">
        <w:rPr>
          <w:rStyle w:val="FootnoteReference"/>
        </w:rPr>
        <w:footnoteRef/>
      </w:r>
      <w:r w:rsidRPr="003D274A">
        <w:t xml:space="preserve"> 47 CFR § 1.80.</w:t>
      </w:r>
    </w:p>
  </w:footnote>
  <w:footnote w:id="69">
    <w:p w:rsidR="00AB3FD0" w:rsidRPr="003D274A" w:rsidP="00AB3FD0" w14:paraId="63D2A5C8" w14:textId="77777777">
      <w:pPr>
        <w:pStyle w:val="FootnoteText"/>
      </w:pPr>
      <w:r w:rsidRPr="003D274A">
        <w:rPr>
          <w:rStyle w:val="FootnoteReference"/>
        </w:rPr>
        <w:footnoteRef/>
      </w:r>
      <w:r w:rsidRPr="003D274A">
        <w:t xml:space="preserve"> Payments made using the Commission’s Fee Filer system do not require the submission of an FCC Form 159.</w:t>
      </w:r>
    </w:p>
  </w:footnote>
  <w:footnote w:id="70">
    <w:p w:rsidR="00AB3FD0" w:rsidRPr="003D274A" w:rsidP="00AB3FD0" w14:paraId="232ECAB1" w14:textId="4B14F289">
      <w:pPr>
        <w:pStyle w:val="FootnoteText"/>
        <w:rPr>
          <w:sz w:val="22"/>
          <w:szCs w:val="22"/>
        </w:rPr>
      </w:pPr>
      <w:r w:rsidRPr="003D274A">
        <w:rPr>
          <w:rStyle w:val="FootnoteReference"/>
        </w:rPr>
        <w:footnoteRef/>
      </w:r>
      <w:r w:rsidRPr="003D274A">
        <w:t xml:space="preserve"> For questions regarding payment procedures, please contact the Financial Operations Group Help Desk by phone at 1-877-480-3201 (option #6), or by </w:t>
      </w:r>
      <w:r w:rsidR="000726D1">
        <w:t>e-mail</w:t>
      </w:r>
      <w:r w:rsidRPr="003D274A">
        <w:t xml:space="preserve"> at </w:t>
      </w:r>
      <w:hyperlink r:id="rId2" w:history="1">
        <w:r w:rsidRPr="005401B9">
          <w:rPr>
            <w:rStyle w:val="Hyperlink"/>
            <w:kern w:val="28"/>
          </w:rPr>
          <w:t>ARINQUIRIES@fcc.gov</w:t>
        </w:r>
      </w:hyperlink>
      <w:r w:rsidRPr="003D274A">
        <w:t>.</w:t>
      </w:r>
    </w:p>
  </w:footnote>
  <w:footnote w:id="71">
    <w:p w:rsidR="00AB3FD0" w:rsidRPr="003D274A" w:rsidP="00AB3FD0" w14:paraId="5522A464" w14:textId="77777777">
      <w:pPr>
        <w:pStyle w:val="FootnoteText"/>
      </w:pPr>
      <w:r w:rsidRPr="003D274A">
        <w:rPr>
          <w:rStyle w:val="FootnoteReference"/>
        </w:rPr>
        <w:footnoteRef/>
      </w:r>
      <w:r w:rsidRPr="003D274A">
        <w:t xml:space="preserve"> Instructions for completing the form may be obtained at </w:t>
      </w:r>
      <w:hyperlink r:id="rId3" w:history="1">
        <w:r w:rsidRPr="005401B9">
          <w:rPr>
            <w:rStyle w:val="Hyperlink"/>
            <w:kern w:val="28"/>
          </w:rPr>
          <w:t>http://www.fcc.gov/Forms/Form159/159.pdf</w:t>
        </w:r>
      </w:hyperlink>
      <w:r w:rsidRPr="003D274A">
        <w:t xml:space="preserve">. </w:t>
      </w:r>
    </w:p>
  </w:footnote>
  <w:footnote w:id="72">
    <w:p w:rsidR="00AB3FD0" w:rsidRPr="003D274A" w:rsidP="00AB3FD0" w14:paraId="2D098418" w14:textId="77777777">
      <w:pPr>
        <w:pStyle w:val="FootnoteText"/>
      </w:pPr>
      <w:r w:rsidRPr="003D274A">
        <w:rPr>
          <w:rStyle w:val="FootnoteReference"/>
        </w:rPr>
        <w:footnoteRef/>
      </w:r>
      <w:r w:rsidRPr="003D274A">
        <w:t xml:space="preserve"> </w:t>
      </w:r>
      <w:r w:rsidRPr="003D274A">
        <w:rPr>
          <w:i/>
        </w:rPr>
        <w:t>See</w:t>
      </w:r>
      <w:r w:rsidRPr="003D274A">
        <w:t xml:space="preserve"> 47 CFR § 1.1914.</w:t>
      </w:r>
    </w:p>
  </w:footnote>
  <w:footnote w:id="73">
    <w:p w:rsidR="00AB3FD0" w:rsidRPr="003D274A" w:rsidP="00AB3FD0" w14:paraId="611D588B" w14:textId="77777777">
      <w:pPr>
        <w:pStyle w:val="FootnoteText"/>
      </w:pPr>
      <w:r w:rsidRPr="003D274A">
        <w:rPr>
          <w:rStyle w:val="FootnoteReference"/>
        </w:rPr>
        <w:footnoteRef/>
      </w:r>
      <w:r w:rsidRPr="003D274A">
        <w:t xml:space="preserve"> 47 CFR §§ 1.16, 1.80(f)(3).</w:t>
      </w:r>
    </w:p>
  </w:footnote>
  <w:footnote w:id="74">
    <w:p w:rsidR="00EF5115" w:rsidP="00EF5115" w14:paraId="2497B54D" w14:textId="77777777">
      <w:pPr>
        <w:pStyle w:val="FootnoteText"/>
      </w:pPr>
      <w:r>
        <w:rPr>
          <w:rStyle w:val="FootnoteReference"/>
        </w:rPr>
        <w:footnoteRef/>
      </w:r>
      <w:r>
        <w:t xml:space="preserve"> </w:t>
      </w:r>
      <w:r w:rsidRPr="009A58BC">
        <w:t>47 U.S.C. § 503(b)(2)(E).</w:t>
      </w:r>
    </w:p>
  </w:footnote>
  <w:footnote w:id="75">
    <w:p w:rsidR="00EF5115" w:rsidP="00EF5115" w14:paraId="6B1319DF"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w:t>
      </w:r>
      <w:r>
        <w:rPr>
          <w:i/>
          <w:iCs/>
          <w:snapToGrid w:val="0"/>
        </w:rPr>
        <w:t xml:space="preserve">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24EA8" w14:paraId="0572C14A" w14:textId="0DFBE9AF">
    <w:pPr>
      <w:pStyle w:val="Header"/>
    </w:pPr>
    <w:r>
      <w:tab/>
      <w:t>Federal Communications Commission</w:t>
    </w:r>
    <w:r>
      <w:tab/>
    </w:r>
    <w:bookmarkStart w:id="4" w:name="_Hlk15301506"/>
    <w:r>
      <w:t>DA</w:t>
    </w:r>
    <w:bookmarkEnd w:id="4"/>
    <w:r w:rsidR="0038527B">
      <w:t xml:space="preserve"> 2</w:t>
    </w:r>
    <w:r w:rsidR="000726D1">
      <w:t>1</w:t>
    </w:r>
    <w:r w:rsidR="00D77585">
      <w:t>-89</w:t>
    </w:r>
  </w:p>
  <w:p w:rsidR="00D25FB5" w:rsidP="005401B9" w14:paraId="78C78C4C" w14:textId="1440A0F7">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35545" w:rsidP="00224EA8" w14:paraId="7EF955EE" w14:textId="06AE3A42">
    <w:pPr>
      <w:pStyle w:val="Header"/>
    </w:pPr>
    <w:r w:rsidRPr="00224EA8">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224EA8">
      <w:tab/>
      <w:t>Federal Communications Commission</w:t>
    </w:r>
    <w:r w:rsidRPr="00224EA8">
      <w:tab/>
    </w:r>
    <w:r>
      <w:t>DA</w:t>
    </w:r>
    <w:r w:rsidR="00443B31">
      <w:t xml:space="preserve"> </w:t>
    </w:r>
    <w:r w:rsidR="000726D1">
      <w:t>21</w:t>
    </w:r>
    <w:r w:rsidR="00D77585">
      <w:t>-89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6D3F9A"/>
    <w:multiLevelType w:val="hybridMultilevel"/>
    <w:tmpl w:val="5FBE71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7"/>
  </w:num>
  <w:num w:numId="2">
    <w:abstractNumId w:val="4"/>
  </w:num>
  <w:num w:numId="3">
    <w:abstractNumId w:val="8"/>
  </w:num>
  <w:num w:numId="4">
    <w:abstractNumId w:val="6"/>
  </w:num>
  <w:num w:numId="5">
    <w:abstractNumId w:val="1"/>
  </w:num>
  <w:num w:numId="6">
    <w:abstractNumId w:val="9"/>
  </w:num>
  <w:num w:numId="7">
    <w:abstractNumId w:val="7"/>
  </w:num>
  <w:num w:numId="8">
    <w:abstractNumId w:val="7"/>
  </w:num>
  <w:num w:numId="9">
    <w:abstractNumId w:val="7"/>
  </w:num>
  <w:num w:numId="10">
    <w:abstractNumId w:val="7"/>
  </w:num>
  <w:num w:numId="11">
    <w:abstractNumId w:val="7"/>
  </w:num>
  <w:num w:numId="12">
    <w:abstractNumId w:val="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DateAndTime/>
  <w:proofState w:spelling="clean" w:grammar="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0"/>
    <w:rsid w:val="00001F09"/>
    <w:rsid w:val="00003D29"/>
    <w:rsid w:val="00011CA2"/>
    <w:rsid w:val="00013D9F"/>
    <w:rsid w:val="00015C81"/>
    <w:rsid w:val="00015D39"/>
    <w:rsid w:val="0001600C"/>
    <w:rsid w:val="000218A8"/>
    <w:rsid w:val="00022BCE"/>
    <w:rsid w:val="000246DE"/>
    <w:rsid w:val="0002545D"/>
    <w:rsid w:val="00025553"/>
    <w:rsid w:val="00027529"/>
    <w:rsid w:val="000302A1"/>
    <w:rsid w:val="00030879"/>
    <w:rsid w:val="000314BB"/>
    <w:rsid w:val="00031B57"/>
    <w:rsid w:val="00044B79"/>
    <w:rsid w:val="00045BC4"/>
    <w:rsid w:val="000469F1"/>
    <w:rsid w:val="0004717C"/>
    <w:rsid w:val="000504EB"/>
    <w:rsid w:val="0005189D"/>
    <w:rsid w:val="000555AF"/>
    <w:rsid w:val="000559F2"/>
    <w:rsid w:val="00056D73"/>
    <w:rsid w:val="00060B9A"/>
    <w:rsid w:val="000708BD"/>
    <w:rsid w:val="000726D1"/>
    <w:rsid w:val="00073978"/>
    <w:rsid w:val="000742D4"/>
    <w:rsid w:val="00077625"/>
    <w:rsid w:val="00087213"/>
    <w:rsid w:val="000903D7"/>
    <w:rsid w:val="00090AEA"/>
    <w:rsid w:val="00090BC1"/>
    <w:rsid w:val="00094BAA"/>
    <w:rsid w:val="00096A3C"/>
    <w:rsid w:val="000A0663"/>
    <w:rsid w:val="000A3EF1"/>
    <w:rsid w:val="000A50F6"/>
    <w:rsid w:val="000A51D8"/>
    <w:rsid w:val="000B160A"/>
    <w:rsid w:val="000B1822"/>
    <w:rsid w:val="000B4F3D"/>
    <w:rsid w:val="000C349B"/>
    <w:rsid w:val="000C64BB"/>
    <w:rsid w:val="000C64EC"/>
    <w:rsid w:val="000D0DB7"/>
    <w:rsid w:val="000D11BD"/>
    <w:rsid w:val="000D6CCD"/>
    <w:rsid w:val="000D73ED"/>
    <w:rsid w:val="000E0D86"/>
    <w:rsid w:val="000E5066"/>
    <w:rsid w:val="000E6281"/>
    <w:rsid w:val="000E75D2"/>
    <w:rsid w:val="000F16B2"/>
    <w:rsid w:val="000F1E27"/>
    <w:rsid w:val="000F472C"/>
    <w:rsid w:val="000F5369"/>
    <w:rsid w:val="000F582A"/>
    <w:rsid w:val="00100472"/>
    <w:rsid w:val="00103D04"/>
    <w:rsid w:val="00104228"/>
    <w:rsid w:val="00112608"/>
    <w:rsid w:val="001171AC"/>
    <w:rsid w:val="00122EFD"/>
    <w:rsid w:val="00125804"/>
    <w:rsid w:val="0013651D"/>
    <w:rsid w:val="00145E7B"/>
    <w:rsid w:val="00156236"/>
    <w:rsid w:val="00161831"/>
    <w:rsid w:val="00165C10"/>
    <w:rsid w:val="00166F99"/>
    <w:rsid w:val="00171A22"/>
    <w:rsid w:val="00171CA7"/>
    <w:rsid w:val="00173D69"/>
    <w:rsid w:val="0017528D"/>
    <w:rsid w:val="00175C41"/>
    <w:rsid w:val="00180801"/>
    <w:rsid w:val="00186BB5"/>
    <w:rsid w:val="00191878"/>
    <w:rsid w:val="00197502"/>
    <w:rsid w:val="001A1202"/>
    <w:rsid w:val="001A2DA4"/>
    <w:rsid w:val="001B29DB"/>
    <w:rsid w:val="001B4446"/>
    <w:rsid w:val="001B46AB"/>
    <w:rsid w:val="001B58A4"/>
    <w:rsid w:val="001B5BBD"/>
    <w:rsid w:val="001B5DBB"/>
    <w:rsid w:val="001C009F"/>
    <w:rsid w:val="001D03A8"/>
    <w:rsid w:val="001D0994"/>
    <w:rsid w:val="001D3017"/>
    <w:rsid w:val="001D462D"/>
    <w:rsid w:val="001D5659"/>
    <w:rsid w:val="001E4F2E"/>
    <w:rsid w:val="001F301E"/>
    <w:rsid w:val="001F4660"/>
    <w:rsid w:val="00202055"/>
    <w:rsid w:val="002023BC"/>
    <w:rsid w:val="00202D4A"/>
    <w:rsid w:val="00206E78"/>
    <w:rsid w:val="00214DE9"/>
    <w:rsid w:val="00220268"/>
    <w:rsid w:val="00223989"/>
    <w:rsid w:val="00224EA8"/>
    <w:rsid w:val="00226F18"/>
    <w:rsid w:val="0023279E"/>
    <w:rsid w:val="002374BD"/>
    <w:rsid w:val="00246A7A"/>
    <w:rsid w:val="00254387"/>
    <w:rsid w:val="002546CB"/>
    <w:rsid w:val="00260152"/>
    <w:rsid w:val="002610D0"/>
    <w:rsid w:val="00261A48"/>
    <w:rsid w:val="00272769"/>
    <w:rsid w:val="0027506A"/>
    <w:rsid w:val="00284E72"/>
    <w:rsid w:val="00286950"/>
    <w:rsid w:val="00287642"/>
    <w:rsid w:val="002917F6"/>
    <w:rsid w:val="00292C4B"/>
    <w:rsid w:val="00294D1D"/>
    <w:rsid w:val="0029728B"/>
    <w:rsid w:val="00297383"/>
    <w:rsid w:val="002A0E2F"/>
    <w:rsid w:val="002A14EE"/>
    <w:rsid w:val="002A434D"/>
    <w:rsid w:val="002A7B51"/>
    <w:rsid w:val="002B149E"/>
    <w:rsid w:val="002B1E79"/>
    <w:rsid w:val="002B2F1E"/>
    <w:rsid w:val="002B7424"/>
    <w:rsid w:val="002C00D2"/>
    <w:rsid w:val="002C2D34"/>
    <w:rsid w:val="002C3BCF"/>
    <w:rsid w:val="002C3FE4"/>
    <w:rsid w:val="002C4EE4"/>
    <w:rsid w:val="002D3DE1"/>
    <w:rsid w:val="002D74C8"/>
    <w:rsid w:val="002D77F1"/>
    <w:rsid w:val="002E127C"/>
    <w:rsid w:val="002E3B4D"/>
    <w:rsid w:val="002E6B2B"/>
    <w:rsid w:val="002F01CE"/>
    <w:rsid w:val="002F34EC"/>
    <w:rsid w:val="0030466B"/>
    <w:rsid w:val="003047AE"/>
    <w:rsid w:val="00304CF1"/>
    <w:rsid w:val="00315A31"/>
    <w:rsid w:val="00316009"/>
    <w:rsid w:val="00316451"/>
    <w:rsid w:val="003177F3"/>
    <w:rsid w:val="00321EF4"/>
    <w:rsid w:val="00334615"/>
    <w:rsid w:val="00334E78"/>
    <w:rsid w:val="00335010"/>
    <w:rsid w:val="0033514C"/>
    <w:rsid w:val="00336A6F"/>
    <w:rsid w:val="003377CF"/>
    <w:rsid w:val="00340540"/>
    <w:rsid w:val="00341030"/>
    <w:rsid w:val="003428D1"/>
    <w:rsid w:val="00342EF6"/>
    <w:rsid w:val="00344261"/>
    <w:rsid w:val="00352689"/>
    <w:rsid w:val="00352757"/>
    <w:rsid w:val="00354F56"/>
    <w:rsid w:val="00356C54"/>
    <w:rsid w:val="00360A74"/>
    <w:rsid w:val="00367BB9"/>
    <w:rsid w:val="003732A5"/>
    <w:rsid w:val="00373DFA"/>
    <w:rsid w:val="00374681"/>
    <w:rsid w:val="00374FD7"/>
    <w:rsid w:val="00376349"/>
    <w:rsid w:val="00380D33"/>
    <w:rsid w:val="00382FDE"/>
    <w:rsid w:val="00383E54"/>
    <w:rsid w:val="0038527B"/>
    <w:rsid w:val="003861E5"/>
    <w:rsid w:val="00391884"/>
    <w:rsid w:val="003965E1"/>
    <w:rsid w:val="003A0D1C"/>
    <w:rsid w:val="003A280D"/>
    <w:rsid w:val="003A7BAB"/>
    <w:rsid w:val="003A7F16"/>
    <w:rsid w:val="003C0786"/>
    <w:rsid w:val="003C1273"/>
    <w:rsid w:val="003C1E4F"/>
    <w:rsid w:val="003C355F"/>
    <w:rsid w:val="003C62AE"/>
    <w:rsid w:val="003C79CF"/>
    <w:rsid w:val="003D0C99"/>
    <w:rsid w:val="003D274A"/>
    <w:rsid w:val="003D428D"/>
    <w:rsid w:val="003D4728"/>
    <w:rsid w:val="003D6319"/>
    <w:rsid w:val="003D7557"/>
    <w:rsid w:val="003E4E93"/>
    <w:rsid w:val="003F555B"/>
    <w:rsid w:val="003F61F1"/>
    <w:rsid w:val="004016BC"/>
    <w:rsid w:val="00403D74"/>
    <w:rsid w:val="00416025"/>
    <w:rsid w:val="00416362"/>
    <w:rsid w:val="004207F0"/>
    <w:rsid w:val="00420E0F"/>
    <w:rsid w:val="0042512C"/>
    <w:rsid w:val="00427BEF"/>
    <w:rsid w:val="00430767"/>
    <w:rsid w:val="004350EF"/>
    <w:rsid w:val="00435234"/>
    <w:rsid w:val="00435545"/>
    <w:rsid w:val="00443B31"/>
    <w:rsid w:val="00444009"/>
    <w:rsid w:val="00451B75"/>
    <w:rsid w:val="00451D74"/>
    <w:rsid w:val="00454C10"/>
    <w:rsid w:val="00455F3D"/>
    <w:rsid w:val="0045684B"/>
    <w:rsid w:val="0045737B"/>
    <w:rsid w:val="0046218F"/>
    <w:rsid w:val="00472501"/>
    <w:rsid w:val="00473658"/>
    <w:rsid w:val="00475EFB"/>
    <w:rsid w:val="004811CD"/>
    <w:rsid w:val="00483B48"/>
    <w:rsid w:val="00485618"/>
    <w:rsid w:val="0048642D"/>
    <w:rsid w:val="00495673"/>
    <w:rsid w:val="004961E1"/>
    <w:rsid w:val="004A3F29"/>
    <w:rsid w:val="004A5726"/>
    <w:rsid w:val="004A79CA"/>
    <w:rsid w:val="004B1218"/>
    <w:rsid w:val="004B2307"/>
    <w:rsid w:val="004B53C1"/>
    <w:rsid w:val="004B6144"/>
    <w:rsid w:val="004C1A3D"/>
    <w:rsid w:val="004C5429"/>
    <w:rsid w:val="004C60ED"/>
    <w:rsid w:val="004D5B9A"/>
    <w:rsid w:val="004E2DD9"/>
    <w:rsid w:val="004F1474"/>
    <w:rsid w:val="004F2F55"/>
    <w:rsid w:val="004F45FA"/>
    <w:rsid w:val="004F4886"/>
    <w:rsid w:val="004F520F"/>
    <w:rsid w:val="004F572D"/>
    <w:rsid w:val="004F5948"/>
    <w:rsid w:val="004F5BB8"/>
    <w:rsid w:val="004F6F2D"/>
    <w:rsid w:val="0050091B"/>
    <w:rsid w:val="00504342"/>
    <w:rsid w:val="0050576B"/>
    <w:rsid w:val="005064F3"/>
    <w:rsid w:val="005077EE"/>
    <w:rsid w:val="00510ADB"/>
    <w:rsid w:val="00510B99"/>
    <w:rsid w:val="005115D3"/>
    <w:rsid w:val="00514D9F"/>
    <w:rsid w:val="00516822"/>
    <w:rsid w:val="00517C02"/>
    <w:rsid w:val="00517F6F"/>
    <w:rsid w:val="0052280D"/>
    <w:rsid w:val="00522A90"/>
    <w:rsid w:val="00533BEC"/>
    <w:rsid w:val="005347AC"/>
    <w:rsid w:val="00536D1C"/>
    <w:rsid w:val="005401B9"/>
    <w:rsid w:val="005424EA"/>
    <w:rsid w:val="00542705"/>
    <w:rsid w:val="0054372C"/>
    <w:rsid w:val="0054690F"/>
    <w:rsid w:val="00546AF5"/>
    <w:rsid w:val="00550004"/>
    <w:rsid w:val="005507DF"/>
    <w:rsid w:val="00550F3B"/>
    <w:rsid w:val="00551D7C"/>
    <w:rsid w:val="00552742"/>
    <w:rsid w:val="005552E0"/>
    <w:rsid w:val="0055614C"/>
    <w:rsid w:val="00560874"/>
    <w:rsid w:val="00560BB3"/>
    <w:rsid w:val="00560C70"/>
    <w:rsid w:val="005627FB"/>
    <w:rsid w:val="005722C2"/>
    <w:rsid w:val="005724EA"/>
    <w:rsid w:val="005725B5"/>
    <w:rsid w:val="00573301"/>
    <w:rsid w:val="0057379D"/>
    <w:rsid w:val="005813F8"/>
    <w:rsid w:val="0058520D"/>
    <w:rsid w:val="005900F0"/>
    <w:rsid w:val="00593E5E"/>
    <w:rsid w:val="00595B4E"/>
    <w:rsid w:val="0059757D"/>
    <w:rsid w:val="005A3F82"/>
    <w:rsid w:val="005B4274"/>
    <w:rsid w:val="005B7301"/>
    <w:rsid w:val="005C18ED"/>
    <w:rsid w:val="005C25FE"/>
    <w:rsid w:val="005C6CEA"/>
    <w:rsid w:val="005D13EA"/>
    <w:rsid w:val="005D1E0D"/>
    <w:rsid w:val="005D4C4A"/>
    <w:rsid w:val="005E4F9B"/>
    <w:rsid w:val="005E58FB"/>
    <w:rsid w:val="005E74D3"/>
    <w:rsid w:val="005E7E99"/>
    <w:rsid w:val="00601017"/>
    <w:rsid w:val="006016BE"/>
    <w:rsid w:val="006022A7"/>
    <w:rsid w:val="00610CFF"/>
    <w:rsid w:val="006210FA"/>
    <w:rsid w:val="00624D5A"/>
    <w:rsid w:val="0063139F"/>
    <w:rsid w:val="00633F22"/>
    <w:rsid w:val="00635BC7"/>
    <w:rsid w:val="00642A36"/>
    <w:rsid w:val="00647D01"/>
    <w:rsid w:val="00650000"/>
    <w:rsid w:val="006525D8"/>
    <w:rsid w:val="00652D59"/>
    <w:rsid w:val="00653B2D"/>
    <w:rsid w:val="00656549"/>
    <w:rsid w:val="00656BE1"/>
    <w:rsid w:val="00662916"/>
    <w:rsid w:val="0066446D"/>
    <w:rsid w:val="00677F5A"/>
    <w:rsid w:val="0068142D"/>
    <w:rsid w:val="006862C7"/>
    <w:rsid w:val="0068736F"/>
    <w:rsid w:val="0069215A"/>
    <w:rsid w:val="00692FBC"/>
    <w:rsid w:val="006933EF"/>
    <w:rsid w:val="006940AF"/>
    <w:rsid w:val="006961EE"/>
    <w:rsid w:val="006B096C"/>
    <w:rsid w:val="006B0AB1"/>
    <w:rsid w:val="006B11CD"/>
    <w:rsid w:val="006C4EBA"/>
    <w:rsid w:val="006D00E3"/>
    <w:rsid w:val="006D29EF"/>
    <w:rsid w:val="006D43F6"/>
    <w:rsid w:val="006D4B1B"/>
    <w:rsid w:val="006D5023"/>
    <w:rsid w:val="006D6F97"/>
    <w:rsid w:val="006D75C5"/>
    <w:rsid w:val="006E14F6"/>
    <w:rsid w:val="006E30B4"/>
    <w:rsid w:val="006E3BA9"/>
    <w:rsid w:val="006E3CEC"/>
    <w:rsid w:val="006F61A5"/>
    <w:rsid w:val="006F65EA"/>
    <w:rsid w:val="00700AE3"/>
    <w:rsid w:val="007113BF"/>
    <w:rsid w:val="00712117"/>
    <w:rsid w:val="00712626"/>
    <w:rsid w:val="00714512"/>
    <w:rsid w:val="00715BEF"/>
    <w:rsid w:val="00716999"/>
    <w:rsid w:val="00724AC7"/>
    <w:rsid w:val="00731E3A"/>
    <w:rsid w:val="007334B1"/>
    <w:rsid w:val="00735A7C"/>
    <w:rsid w:val="00744F36"/>
    <w:rsid w:val="007604BF"/>
    <w:rsid w:val="007635A6"/>
    <w:rsid w:val="00764B9D"/>
    <w:rsid w:val="007705CB"/>
    <w:rsid w:val="00776C3C"/>
    <w:rsid w:val="007916BC"/>
    <w:rsid w:val="00792AE0"/>
    <w:rsid w:val="00793FBC"/>
    <w:rsid w:val="0079744A"/>
    <w:rsid w:val="007A08DE"/>
    <w:rsid w:val="007C2FF2"/>
    <w:rsid w:val="007C5DB8"/>
    <w:rsid w:val="007D123B"/>
    <w:rsid w:val="007D3ED4"/>
    <w:rsid w:val="007D4010"/>
    <w:rsid w:val="007E1F0D"/>
    <w:rsid w:val="007E35F9"/>
    <w:rsid w:val="007E625D"/>
    <w:rsid w:val="007F0B3D"/>
    <w:rsid w:val="007F1789"/>
    <w:rsid w:val="007F6B9D"/>
    <w:rsid w:val="007F6D32"/>
    <w:rsid w:val="008022EF"/>
    <w:rsid w:val="00803943"/>
    <w:rsid w:val="00807A78"/>
    <w:rsid w:val="0081214B"/>
    <w:rsid w:val="0081431C"/>
    <w:rsid w:val="00823AFB"/>
    <w:rsid w:val="00833C4A"/>
    <w:rsid w:val="00836767"/>
    <w:rsid w:val="008414AF"/>
    <w:rsid w:val="008455B5"/>
    <w:rsid w:val="008471C0"/>
    <w:rsid w:val="008514DC"/>
    <w:rsid w:val="0085455C"/>
    <w:rsid w:val="008546C1"/>
    <w:rsid w:val="008561AB"/>
    <w:rsid w:val="00856EFC"/>
    <w:rsid w:val="008612E3"/>
    <w:rsid w:val="00861C86"/>
    <w:rsid w:val="0086258D"/>
    <w:rsid w:val="00862E1E"/>
    <w:rsid w:val="00866171"/>
    <w:rsid w:val="00866630"/>
    <w:rsid w:val="00870ED6"/>
    <w:rsid w:val="00871E52"/>
    <w:rsid w:val="0087423C"/>
    <w:rsid w:val="0087440B"/>
    <w:rsid w:val="008749D2"/>
    <w:rsid w:val="00875695"/>
    <w:rsid w:val="00876186"/>
    <w:rsid w:val="00877875"/>
    <w:rsid w:val="0088013F"/>
    <w:rsid w:val="00883606"/>
    <w:rsid w:val="0088552C"/>
    <w:rsid w:val="00890DE0"/>
    <w:rsid w:val="00893127"/>
    <w:rsid w:val="00893728"/>
    <w:rsid w:val="008A1271"/>
    <w:rsid w:val="008A2092"/>
    <w:rsid w:val="008A5284"/>
    <w:rsid w:val="008A66EF"/>
    <w:rsid w:val="008B027A"/>
    <w:rsid w:val="008B148E"/>
    <w:rsid w:val="008B219F"/>
    <w:rsid w:val="008B2CCE"/>
    <w:rsid w:val="008B42CA"/>
    <w:rsid w:val="008B5DB6"/>
    <w:rsid w:val="008B75BA"/>
    <w:rsid w:val="008B7DB2"/>
    <w:rsid w:val="008D1A5D"/>
    <w:rsid w:val="008D1ECB"/>
    <w:rsid w:val="008D305D"/>
    <w:rsid w:val="008D3149"/>
    <w:rsid w:val="008D338E"/>
    <w:rsid w:val="008D3573"/>
    <w:rsid w:val="008D490F"/>
    <w:rsid w:val="008D7A2A"/>
    <w:rsid w:val="008E033D"/>
    <w:rsid w:val="008E66C5"/>
    <w:rsid w:val="008F42C3"/>
    <w:rsid w:val="008F4DD6"/>
    <w:rsid w:val="009032F5"/>
    <w:rsid w:val="00903E02"/>
    <w:rsid w:val="00903ED8"/>
    <w:rsid w:val="009045D0"/>
    <w:rsid w:val="00913D80"/>
    <w:rsid w:val="00914F0C"/>
    <w:rsid w:val="00916EC2"/>
    <w:rsid w:val="00920F0D"/>
    <w:rsid w:val="00921828"/>
    <w:rsid w:val="00924836"/>
    <w:rsid w:val="00925895"/>
    <w:rsid w:val="00930C26"/>
    <w:rsid w:val="00931B12"/>
    <w:rsid w:val="0094230E"/>
    <w:rsid w:val="00943CD7"/>
    <w:rsid w:val="00952115"/>
    <w:rsid w:val="00952E13"/>
    <w:rsid w:val="00956880"/>
    <w:rsid w:val="009575A4"/>
    <w:rsid w:val="0095794F"/>
    <w:rsid w:val="00960E31"/>
    <w:rsid w:val="00960E47"/>
    <w:rsid w:val="00962DD9"/>
    <w:rsid w:val="00965464"/>
    <w:rsid w:val="00967137"/>
    <w:rsid w:val="00967360"/>
    <w:rsid w:val="0097071E"/>
    <w:rsid w:val="00970B6E"/>
    <w:rsid w:val="00972065"/>
    <w:rsid w:val="009809DB"/>
    <w:rsid w:val="00980ADC"/>
    <w:rsid w:val="009861A2"/>
    <w:rsid w:val="00996862"/>
    <w:rsid w:val="009A0E8C"/>
    <w:rsid w:val="009A10FF"/>
    <w:rsid w:val="009A311C"/>
    <w:rsid w:val="009A328F"/>
    <w:rsid w:val="009A5532"/>
    <w:rsid w:val="009A58BC"/>
    <w:rsid w:val="009B1E8F"/>
    <w:rsid w:val="009B63A0"/>
    <w:rsid w:val="009C20B5"/>
    <w:rsid w:val="009C7FBF"/>
    <w:rsid w:val="009D5A31"/>
    <w:rsid w:val="009D6713"/>
    <w:rsid w:val="009E200A"/>
    <w:rsid w:val="009E53DE"/>
    <w:rsid w:val="009E56E6"/>
    <w:rsid w:val="009F2849"/>
    <w:rsid w:val="009F30B2"/>
    <w:rsid w:val="009F3D72"/>
    <w:rsid w:val="009F4359"/>
    <w:rsid w:val="009F6277"/>
    <w:rsid w:val="00A01361"/>
    <w:rsid w:val="00A01491"/>
    <w:rsid w:val="00A03CB6"/>
    <w:rsid w:val="00A1169F"/>
    <w:rsid w:val="00A1195E"/>
    <w:rsid w:val="00A11989"/>
    <w:rsid w:val="00A11D2B"/>
    <w:rsid w:val="00A214DB"/>
    <w:rsid w:val="00A229E3"/>
    <w:rsid w:val="00A26ADF"/>
    <w:rsid w:val="00A3039A"/>
    <w:rsid w:val="00A36333"/>
    <w:rsid w:val="00A37018"/>
    <w:rsid w:val="00A43044"/>
    <w:rsid w:val="00A43A5B"/>
    <w:rsid w:val="00A44260"/>
    <w:rsid w:val="00A458A2"/>
    <w:rsid w:val="00A45E8E"/>
    <w:rsid w:val="00A468DE"/>
    <w:rsid w:val="00A519AF"/>
    <w:rsid w:val="00A55F2A"/>
    <w:rsid w:val="00A62B69"/>
    <w:rsid w:val="00A70CB5"/>
    <w:rsid w:val="00A733F5"/>
    <w:rsid w:val="00A80C94"/>
    <w:rsid w:val="00A907C7"/>
    <w:rsid w:val="00A91432"/>
    <w:rsid w:val="00A9196E"/>
    <w:rsid w:val="00A94F66"/>
    <w:rsid w:val="00A95D6B"/>
    <w:rsid w:val="00A963A6"/>
    <w:rsid w:val="00AA099B"/>
    <w:rsid w:val="00AA0DF9"/>
    <w:rsid w:val="00AB3A3D"/>
    <w:rsid w:val="00AB3C0A"/>
    <w:rsid w:val="00AB3FD0"/>
    <w:rsid w:val="00AB4D1E"/>
    <w:rsid w:val="00AC017E"/>
    <w:rsid w:val="00AC0646"/>
    <w:rsid w:val="00AC127C"/>
    <w:rsid w:val="00AC232F"/>
    <w:rsid w:val="00AC416C"/>
    <w:rsid w:val="00AC4354"/>
    <w:rsid w:val="00AC65E0"/>
    <w:rsid w:val="00AD34C0"/>
    <w:rsid w:val="00AD3E32"/>
    <w:rsid w:val="00AD4AED"/>
    <w:rsid w:val="00AF033A"/>
    <w:rsid w:val="00AF30E8"/>
    <w:rsid w:val="00AF35C9"/>
    <w:rsid w:val="00AF6144"/>
    <w:rsid w:val="00AF6876"/>
    <w:rsid w:val="00AF70C1"/>
    <w:rsid w:val="00B04B8A"/>
    <w:rsid w:val="00B06E46"/>
    <w:rsid w:val="00B078C7"/>
    <w:rsid w:val="00B12F72"/>
    <w:rsid w:val="00B13DF8"/>
    <w:rsid w:val="00B1410E"/>
    <w:rsid w:val="00B16365"/>
    <w:rsid w:val="00B17337"/>
    <w:rsid w:val="00B175D8"/>
    <w:rsid w:val="00B207EE"/>
    <w:rsid w:val="00B25CF2"/>
    <w:rsid w:val="00B25E1E"/>
    <w:rsid w:val="00B276B0"/>
    <w:rsid w:val="00B32683"/>
    <w:rsid w:val="00B33BB8"/>
    <w:rsid w:val="00B36DCF"/>
    <w:rsid w:val="00B37B38"/>
    <w:rsid w:val="00B41D5C"/>
    <w:rsid w:val="00B4272E"/>
    <w:rsid w:val="00B42BB6"/>
    <w:rsid w:val="00B4474F"/>
    <w:rsid w:val="00B505DE"/>
    <w:rsid w:val="00B5235C"/>
    <w:rsid w:val="00B52959"/>
    <w:rsid w:val="00B55462"/>
    <w:rsid w:val="00B557CC"/>
    <w:rsid w:val="00B60A9A"/>
    <w:rsid w:val="00B61BCD"/>
    <w:rsid w:val="00B636A0"/>
    <w:rsid w:val="00B67B62"/>
    <w:rsid w:val="00B761BE"/>
    <w:rsid w:val="00B84B34"/>
    <w:rsid w:val="00B86B68"/>
    <w:rsid w:val="00B86D0C"/>
    <w:rsid w:val="00B936AE"/>
    <w:rsid w:val="00B939CA"/>
    <w:rsid w:val="00BA0157"/>
    <w:rsid w:val="00BA11C3"/>
    <w:rsid w:val="00BA2C98"/>
    <w:rsid w:val="00BA7AA5"/>
    <w:rsid w:val="00BA7D10"/>
    <w:rsid w:val="00BA7E44"/>
    <w:rsid w:val="00BB0902"/>
    <w:rsid w:val="00BB17EC"/>
    <w:rsid w:val="00BB1B51"/>
    <w:rsid w:val="00BC1C47"/>
    <w:rsid w:val="00BC472F"/>
    <w:rsid w:val="00BC47C0"/>
    <w:rsid w:val="00BD3EAD"/>
    <w:rsid w:val="00BD6C35"/>
    <w:rsid w:val="00BE0A0A"/>
    <w:rsid w:val="00BF1AED"/>
    <w:rsid w:val="00BF2340"/>
    <w:rsid w:val="00C02108"/>
    <w:rsid w:val="00C12CFA"/>
    <w:rsid w:val="00C12DCB"/>
    <w:rsid w:val="00C13B21"/>
    <w:rsid w:val="00C145FB"/>
    <w:rsid w:val="00C213B1"/>
    <w:rsid w:val="00C215C8"/>
    <w:rsid w:val="00C21AB5"/>
    <w:rsid w:val="00C21AF4"/>
    <w:rsid w:val="00C23161"/>
    <w:rsid w:val="00C23F98"/>
    <w:rsid w:val="00C254B1"/>
    <w:rsid w:val="00C27B5F"/>
    <w:rsid w:val="00C311D7"/>
    <w:rsid w:val="00C32E6A"/>
    <w:rsid w:val="00C47B26"/>
    <w:rsid w:val="00C5001E"/>
    <w:rsid w:val="00C5415B"/>
    <w:rsid w:val="00C60E68"/>
    <w:rsid w:val="00C67522"/>
    <w:rsid w:val="00C7194E"/>
    <w:rsid w:val="00C74773"/>
    <w:rsid w:val="00C81F2A"/>
    <w:rsid w:val="00C83EDA"/>
    <w:rsid w:val="00C84469"/>
    <w:rsid w:val="00C87551"/>
    <w:rsid w:val="00C90823"/>
    <w:rsid w:val="00C959D1"/>
    <w:rsid w:val="00CA5142"/>
    <w:rsid w:val="00CB6AC4"/>
    <w:rsid w:val="00CB7747"/>
    <w:rsid w:val="00CB7B41"/>
    <w:rsid w:val="00CC135D"/>
    <w:rsid w:val="00CC37E9"/>
    <w:rsid w:val="00CC68C1"/>
    <w:rsid w:val="00CC6A4E"/>
    <w:rsid w:val="00CD05C3"/>
    <w:rsid w:val="00CD12F8"/>
    <w:rsid w:val="00CD1D60"/>
    <w:rsid w:val="00CD28E7"/>
    <w:rsid w:val="00CD6324"/>
    <w:rsid w:val="00CD679F"/>
    <w:rsid w:val="00CE2236"/>
    <w:rsid w:val="00CE254F"/>
    <w:rsid w:val="00CF01FE"/>
    <w:rsid w:val="00CF14CA"/>
    <w:rsid w:val="00CF45FD"/>
    <w:rsid w:val="00CF4DA0"/>
    <w:rsid w:val="00CF7228"/>
    <w:rsid w:val="00D03C36"/>
    <w:rsid w:val="00D11ED4"/>
    <w:rsid w:val="00D12F0F"/>
    <w:rsid w:val="00D1414C"/>
    <w:rsid w:val="00D14EC1"/>
    <w:rsid w:val="00D1559A"/>
    <w:rsid w:val="00D16ED0"/>
    <w:rsid w:val="00D25FB5"/>
    <w:rsid w:val="00D276F3"/>
    <w:rsid w:val="00D27A8B"/>
    <w:rsid w:val="00D329A9"/>
    <w:rsid w:val="00D331C3"/>
    <w:rsid w:val="00D365EE"/>
    <w:rsid w:val="00D42390"/>
    <w:rsid w:val="00D42AC3"/>
    <w:rsid w:val="00D436A4"/>
    <w:rsid w:val="00D44358"/>
    <w:rsid w:val="00D454BE"/>
    <w:rsid w:val="00D52DDC"/>
    <w:rsid w:val="00D53261"/>
    <w:rsid w:val="00D54A24"/>
    <w:rsid w:val="00D5670D"/>
    <w:rsid w:val="00D61561"/>
    <w:rsid w:val="00D641D3"/>
    <w:rsid w:val="00D65C38"/>
    <w:rsid w:val="00D756D8"/>
    <w:rsid w:val="00D75E4D"/>
    <w:rsid w:val="00D77585"/>
    <w:rsid w:val="00D820C9"/>
    <w:rsid w:val="00D822BE"/>
    <w:rsid w:val="00D8355D"/>
    <w:rsid w:val="00D84B8F"/>
    <w:rsid w:val="00D904BB"/>
    <w:rsid w:val="00D93EAD"/>
    <w:rsid w:val="00D94F60"/>
    <w:rsid w:val="00D9666F"/>
    <w:rsid w:val="00D97E07"/>
    <w:rsid w:val="00DB1092"/>
    <w:rsid w:val="00DC1852"/>
    <w:rsid w:val="00DC3323"/>
    <w:rsid w:val="00DC6E1A"/>
    <w:rsid w:val="00DD2F08"/>
    <w:rsid w:val="00DD4FC8"/>
    <w:rsid w:val="00DE3037"/>
    <w:rsid w:val="00DE330C"/>
    <w:rsid w:val="00DE66D4"/>
    <w:rsid w:val="00DE6B8B"/>
    <w:rsid w:val="00DE7496"/>
    <w:rsid w:val="00DF7A29"/>
    <w:rsid w:val="00E0038C"/>
    <w:rsid w:val="00E00835"/>
    <w:rsid w:val="00E00B19"/>
    <w:rsid w:val="00E01D9B"/>
    <w:rsid w:val="00E03580"/>
    <w:rsid w:val="00E041BD"/>
    <w:rsid w:val="00E055B2"/>
    <w:rsid w:val="00E11989"/>
    <w:rsid w:val="00E13A41"/>
    <w:rsid w:val="00E1622D"/>
    <w:rsid w:val="00E16FC7"/>
    <w:rsid w:val="00E174E9"/>
    <w:rsid w:val="00E176E1"/>
    <w:rsid w:val="00E17874"/>
    <w:rsid w:val="00E20D31"/>
    <w:rsid w:val="00E22455"/>
    <w:rsid w:val="00E247E8"/>
    <w:rsid w:val="00E25097"/>
    <w:rsid w:val="00E2518A"/>
    <w:rsid w:val="00E25632"/>
    <w:rsid w:val="00E3215D"/>
    <w:rsid w:val="00E3675E"/>
    <w:rsid w:val="00E371C8"/>
    <w:rsid w:val="00E4251D"/>
    <w:rsid w:val="00E4509E"/>
    <w:rsid w:val="00E47481"/>
    <w:rsid w:val="00E55E4E"/>
    <w:rsid w:val="00E60F2B"/>
    <w:rsid w:val="00E64891"/>
    <w:rsid w:val="00E65451"/>
    <w:rsid w:val="00E654AC"/>
    <w:rsid w:val="00E665B4"/>
    <w:rsid w:val="00E665D3"/>
    <w:rsid w:val="00E665F3"/>
    <w:rsid w:val="00E670A0"/>
    <w:rsid w:val="00E70028"/>
    <w:rsid w:val="00E70ACC"/>
    <w:rsid w:val="00E70FF5"/>
    <w:rsid w:val="00E71534"/>
    <w:rsid w:val="00E72ECD"/>
    <w:rsid w:val="00E7317D"/>
    <w:rsid w:val="00E74DA4"/>
    <w:rsid w:val="00E80457"/>
    <w:rsid w:val="00E903B0"/>
    <w:rsid w:val="00E911E6"/>
    <w:rsid w:val="00E91AE2"/>
    <w:rsid w:val="00EA6666"/>
    <w:rsid w:val="00EC0F26"/>
    <w:rsid w:val="00EC24BF"/>
    <w:rsid w:val="00EC3FED"/>
    <w:rsid w:val="00EC627D"/>
    <w:rsid w:val="00ED09FD"/>
    <w:rsid w:val="00ED1E43"/>
    <w:rsid w:val="00ED39CF"/>
    <w:rsid w:val="00ED563F"/>
    <w:rsid w:val="00ED6C2B"/>
    <w:rsid w:val="00ED6D50"/>
    <w:rsid w:val="00EE2C64"/>
    <w:rsid w:val="00EE5655"/>
    <w:rsid w:val="00EE66B5"/>
    <w:rsid w:val="00EE7965"/>
    <w:rsid w:val="00EF2EF2"/>
    <w:rsid w:val="00EF4AF4"/>
    <w:rsid w:val="00EF5115"/>
    <w:rsid w:val="00F059B0"/>
    <w:rsid w:val="00F07950"/>
    <w:rsid w:val="00F1370B"/>
    <w:rsid w:val="00F14AEB"/>
    <w:rsid w:val="00F16686"/>
    <w:rsid w:val="00F200E8"/>
    <w:rsid w:val="00F24652"/>
    <w:rsid w:val="00F329BA"/>
    <w:rsid w:val="00F32DCE"/>
    <w:rsid w:val="00F3307A"/>
    <w:rsid w:val="00F33C13"/>
    <w:rsid w:val="00F365F5"/>
    <w:rsid w:val="00F3725E"/>
    <w:rsid w:val="00F408FE"/>
    <w:rsid w:val="00F43A0A"/>
    <w:rsid w:val="00F43BCC"/>
    <w:rsid w:val="00F607D8"/>
    <w:rsid w:val="00F65E57"/>
    <w:rsid w:val="00F713E8"/>
    <w:rsid w:val="00F71958"/>
    <w:rsid w:val="00F73AAF"/>
    <w:rsid w:val="00F77FE3"/>
    <w:rsid w:val="00F80230"/>
    <w:rsid w:val="00FA0A2E"/>
    <w:rsid w:val="00FB0B24"/>
    <w:rsid w:val="00FB1A0D"/>
    <w:rsid w:val="00FB69DC"/>
    <w:rsid w:val="00FB6D32"/>
    <w:rsid w:val="00FC2990"/>
    <w:rsid w:val="00FC3532"/>
    <w:rsid w:val="00FC488B"/>
    <w:rsid w:val="00FD0986"/>
    <w:rsid w:val="00FD3AAC"/>
    <w:rsid w:val="00FD7E86"/>
    <w:rsid w:val="00FE081C"/>
    <w:rsid w:val="00FE10A4"/>
    <w:rsid w:val="00FE381F"/>
    <w:rsid w:val="00FE4978"/>
    <w:rsid w:val="00FE7C1B"/>
    <w:rsid w:val="00FF17CC"/>
    <w:rsid w:val="00FF5899"/>
    <w:rsid w:val="00FF58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36A920-4486-4023-9974-AADCA589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A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670A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670A0"/>
    <w:pPr>
      <w:keepNext/>
      <w:numPr>
        <w:ilvl w:val="1"/>
        <w:numId w:val="2"/>
      </w:numPr>
      <w:spacing w:after="120"/>
      <w:outlineLvl w:val="1"/>
    </w:pPr>
    <w:rPr>
      <w:b/>
    </w:rPr>
  </w:style>
  <w:style w:type="paragraph" w:styleId="Heading3">
    <w:name w:val="heading 3"/>
    <w:basedOn w:val="Normal"/>
    <w:next w:val="ParaNum"/>
    <w:link w:val="Heading3Char"/>
    <w:qFormat/>
    <w:rsid w:val="00E670A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670A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670A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670A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670A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670A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670A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70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0A0"/>
  </w:style>
  <w:style w:type="character" w:customStyle="1" w:styleId="Heading1Char">
    <w:name w:val="Heading 1 Char"/>
    <w:basedOn w:val="DefaultParagraphFont"/>
    <w:link w:val="Heading1"/>
    <w:rsid w:val="002869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869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869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869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869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869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869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869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86950"/>
    <w:rPr>
      <w:rFonts w:ascii="Times New Roman" w:eastAsia="Times New Roman" w:hAnsi="Times New Roman" w:cs="Times New Roman"/>
      <w:b/>
      <w:snapToGrid w:val="0"/>
      <w:kern w:val="28"/>
      <w:szCs w:val="20"/>
    </w:rPr>
  </w:style>
  <w:style w:type="paragraph" w:customStyle="1" w:styleId="ParaNum">
    <w:name w:val="ParaNum"/>
    <w:basedOn w:val="Normal"/>
    <w:link w:val="ParaNumCharChar1"/>
    <w:rsid w:val="00E670A0"/>
    <w:pPr>
      <w:numPr>
        <w:numId w:val="1"/>
      </w:numPr>
      <w:tabs>
        <w:tab w:val="clear" w:pos="1080"/>
        <w:tab w:val="num" w:pos="1440"/>
      </w:tabs>
      <w:spacing w:after="120"/>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2"/>
    <w:rsid w:val="00E670A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1 Char Char,Footnote Text Char1 Char Char Char Char,Style 5 Char Char Char,Style Char,fn Char,rrfootnote Char Char,rrfootnote Char Char Char,rrfootnote Char1"/>
    <w:basedOn w:val="DefaultParagraphFont"/>
    <w:rsid w:val="00286950"/>
    <w:rPr>
      <w:rFonts w:ascii="Calibri" w:eastAsia="Calibri" w:hAnsi="Calibri"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670A0"/>
    <w:rPr>
      <w:rFonts w:ascii="Times New Roman" w:hAnsi="Times New Roman"/>
      <w:dstrike w:val="0"/>
      <w:color w:val="auto"/>
      <w:sz w:val="20"/>
      <w:vertAlign w:val="superscript"/>
    </w:rPr>
  </w:style>
  <w:style w:type="paragraph" w:styleId="TOAHeading">
    <w:name w:val="toa heading"/>
    <w:basedOn w:val="Normal"/>
    <w:next w:val="Normal"/>
    <w:semiHidden/>
    <w:rsid w:val="00E670A0"/>
    <w:pPr>
      <w:tabs>
        <w:tab w:val="right" w:pos="9360"/>
      </w:tabs>
      <w:suppressAutoHyphens/>
    </w:pPr>
  </w:style>
  <w:style w:type="paragraph" w:styleId="Header">
    <w:name w:val="header"/>
    <w:basedOn w:val="Normal"/>
    <w:link w:val="HeaderChar"/>
    <w:autoRedefine/>
    <w:rsid w:val="00E670A0"/>
    <w:pPr>
      <w:tabs>
        <w:tab w:val="center" w:pos="4680"/>
        <w:tab w:val="right" w:pos="9360"/>
      </w:tabs>
    </w:pPr>
    <w:rPr>
      <w:b/>
    </w:rPr>
  </w:style>
  <w:style w:type="character" w:customStyle="1" w:styleId="HeaderChar">
    <w:name w:val="Header Char"/>
    <w:basedOn w:val="DefaultParagraphFont"/>
    <w:link w:val="Header"/>
    <w:rsid w:val="00286950"/>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670A0"/>
    <w:pPr>
      <w:tabs>
        <w:tab w:val="center" w:pos="4320"/>
        <w:tab w:val="right" w:pos="8640"/>
      </w:tabs>
    </w:pPr>
  </w:style>
  <w:style w:type="character" w:customStyle="1" w:styleId="FooterChar">
    <w:name w:val="Footer Char"/>
    <w:link w:val="Footer"/>
    <w:uiPriority w:val="99"/>
    <w:rsid w:val="00E670A0"/>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E670A0"/>
    <w:pPr>
      <w:jc w:val="center"/>
    </w:pPr>
    <w:rPr>
      <w:rFonts w:ascii="Times New Roman Bold" w:hAnsi="Times New Roman Bold"/>
      <w:b/>
      <w:bCs/>
      <w:caps/>
      <w:szCs w:val="22"/>
    </w:rPr>
  </w:style>
  <w:style w:type="character" w:styleId="Hyperlink">
    <w:name w:val="Hyperlink"/>
    <w:rsid w:val="00E670A0"/>
    <w:rPr>
      <w:color w:val="0000FF"/>
      <w:u w:val="single"/>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link w:val="FootnoteText"/>
    <w:rsid w:val="00286950"/>
    <w:rPr>
      <w:rFonts w:ascii="Times New Roman" w:eastAsia="Times New Roman" w:hAnsi="Times New Roman" w:cs="Times New Roman"/>
      <w:sz w:val="20"/>
      <w:szCs w:val="20"/>
    </w:rPr>
  </w:style>
  <w:style w:type="character" w:styleId="Strong">
    <w:name w:val="Strong"/>
    <w:uiPriority w:val="22"/>
    <w:qFormat/>
    <w:rsid w:val="00286950"/>
    <w:rPr>
      <w:b/>
      <w:bCs/>
    </w:rPr>
  </w:style>
  <w:style w:type="character" w:customStyle="1" w:styleId="ParaNumCharChar1">
    <w:name w:val="ParaNum Char Char1"/>
    <w:link w:val="ParaNum"/>
    <w:locked/>
    <w:rsid w:val="00286950"/>
    <w:rPr>
      <w:rFonts w:ascii="Times New Roman" w:eastAsia="Times New Roman" w:hAnsi="Times New Roman" w:cs="Times New Roman"/>
      <w:snapToGrid w:val="0"/>
      <w:kern w:val="28"/>
      <w:szCs w:val="20"/>
    </w:rPr>
  </w:style>
  <w:style w:type="character" w:customStyle="1" w:styleId="cosearchterm">
    <w:name w:val="co_searchterm"/>
    <w:basedOn w:val="DefaultParagraphFont"/>
    <w:rsid w:val="00286950"/>
  </w:style>
  <w:style w:type="character" w:styleId="Emphasis">
    <w:name w:val="Emphasis"/>
    <w:basedOn w:val="DefaultParagraphFont"/>
    <w:uiPriority w:val="20"/>
    <w:qFormat/>
    <w:rsid w:val="00286950"/>
    <w:rPr>
      <w:i/>
      <w:iCs/>
    </w:rPr>
  </w:style>
  <w:style w:type="character" w:styleId="CommentReference">
    <w:name w:val="annotation reference"/>
    <w:basedOn w:val="DefaultParagraphFont"/>
    <w:uiPriority w:val="99"/>
    <w:semiHidden/>
    <w:unhideWhenUsed/>
    <w:rsid w:val="00E64891"/>
    <w:rPr>
      <w:sz w:val="16"/>
      <w:szCs w:val="16"/>
    </w:rPr>
  </w:style>
  <w:style w:type="paragraph" w:styleId="CommentText">
    <w:name w:val="annotation text"/>
    <w:basedOn w:val="Normal"/>
    <w:link w:val="CommentTextChar"/>
    <w:uiPriority w:val="99"/>
    <w:unhideWhenUsed/>
    <w:rsid w:val="00E64891"/>
    <w:rPr>
      <w:sz w:val="20"/>
    </w:rPr>
  </w:style>
  <w:style w:type="character" w:customStyle="1" w:styleId="CommentTextChar">
    <w:name w:val="Comment Text Char"/>
    <w:basedOn w:val="DefaultParagraphFont"/>
    <w:link w:val="CommentText"/>
    <w:uiPriority w:val="99"/>
    <w:rsid w:val="00E648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891"/>
    <w:rPr>
      <w:b/>
      <w:bCs/>
    </w:rPr>
  </w:style>
  <w:style w:type="character" w:customStyle="1" w:styleId="CommentSubjectChar">
    <w:name w:val="Comment Subject Char"/>
    <w:basedOn w:val="CommentTextChar"/>
    <w:link w:val="CommentSubject"/>
    <w:uiPriority w:val="99"/>
    <w:semiHidden/>
    <w:rsid w:val="00E648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91"/>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D7A2A"/>
    <w:rPr>
      <w:color w:val="605E5C"/>
      <w:shd w:val="clear" w:color="auto" w:fill="E1DFDD"/>
    </w:rPr>
  </w:style>
  <w:style w:type="character" w:customStyle="1" w:styleId="ParaNumChar">
    <w:name w:val="ParaNum Char"/>
    <w:locked/>
    <w:rsid w:val="00893127"/>
    <w:rPr>
      <w:snapToGrid w:val="0"/>
      <w:kern w:val="28"/>
      <w:szCs w:val="20"/>
    </w:rPr>
  </w:style>
  <w:style w:type="paragraph" w:customStyle="1" w:styleId="Paranum0">
    <w:name w:val="Paranum"/>
    <w:uiPriority w:val="99"/>
    <w:rsid w:val="00AB3FD0"/>
    <w:pPr>
      <w:numPr>
        <w:numId w:val="6"/>
      </w:numPr>
      <w:tabs>
        <w:tab w:val="left" w:pos="1440"/>
      </w:tabs>
      <w:spacing w:after="240" w:line="240" w:lineRule="auto"/>
      <w:jc w:val="both"/>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C0646"/>
    <w:rPr>
      <w:color w:val="954F72" w:themeColor="followedHyperlink"/>
      <w:u w:val="single"/>
    </w:rPr>
  </w:style>
  <w:style w:type="paragraph" w:styleId="EndnoteText">
    <w:name w:val="endnote text"/>
    <w:basedOn w:val="Normal"/>
    <w:link w:val="EndnoteTextChar"/>
    <w:semiHidden/>
    <w:rsid w:val="00E670A0"/>
    <w:rPr>
      <w:sz w:val="20"/>
    </w:rPr>
  </w:style>
  <w:style w:type="character" w:customStyle="1" w:styleId="EndnoteTextChar">
    <w:name w:val="Endnote Text Char"/>
    <w:basedOn w:val="DefaultParagraphFont"/>
    <w:link w:val="EndnoteText"/>
    <w:semiHidden/>
    <w:rsid w:val="00304CF1"/>
    <w:rPr>
      <w:rFonts w:ascii="Times New Roman" w:eastAsia="Times New Roman" w:hAnsi="Times New Roman" w:cs="Times New Roman"/>
      <w:snapToGrid w:val="0"/>
      <w:kern w:val="28"/>
      <w:sz w:val="20"/>
      <w:szCs w:val="20"/>
    </w:rPr>
  </w:style>
  <w:style w:type="character" w:styleId="EndnoteReference">
    <w:name w:val="endnote reference"/>
    <w:semiHidden/>
    <w:rsid w:val="00E670A0"/>
    <w:rPr>
      <w:vertAlign w:val="superscript"/>
    </w:rPr>
  </w:style>
  <w:style w:type="paragraph" w:styleId="TOC1">
    <w:name w:val="toc 1"/>
    <w:basedOn w:val="Normal"/>
    <w:next w:val="Normal"/>
    <w:semiHidden/>
    <w:rsid w:val="00E670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70A0"/>
    <w:pPr>
      <w:tabs>
        <w:tab w:val="left" w:pos="720"/>
        <w:tab w:val="right" w:leader="dot" w:pos="9360"/>
      </w:tabs>
      <w:suppressAutoHyphens/>
      <w:ind w:left="720" w:right="720" w:hanging="360"/>
    </w:pPr>
    <w:rPr>
      <w:noProof/>
    </w:rPr>
  </w:style>
  <w:style w:type="paragraph" w:styleId="TOC3">
    <w:name w:val="toc 3"/>
    <w:basedOn w:val="Normal"/>
    <w:next w:val="Normal"/>
    <w:semiHidden/>
    <w:rsid w:val="00E670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70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70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70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70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70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70A0"/>
    <w:pPr>
      <w:tabs>
        <w:tab w:val="left" w:pos="3240"/>
        <w:tab w:val="right" w:leader="dot" w:pos="9360"/>
      </w:tabs>
      <w:suppressAutoHyphens/>
      <w:ind w:left="3240" w:hanging="360"/>
    </w:pPr>
    <w:rPr>
      <w:noProof/>
    </w:rPr>
  </w:style>
  <w:style w:type="character" w:customStyle="1" w:styleId="EquationCaption">
    <w:name w:val="_Equation Caption"/>
    <w:rsid w:val="00E670A0"/>
  </w:style>
  <w:style w:type="character" w:styleId="PageNumber">
    <w:name w:val="page number"/>
    <w:basedOn w:val="DefaultParagraphFont"/>
    <w:rsid w:val="00E670A0"/>
  </w:style>
  <w:style w:type="paragraph" w:styleId="BlockText">
    <w:name w:val="Block Text"/>
    <w:basedOn w:val="Normal"/>
    <w:rsid w:val="00E670A0"/>
    <w:pPr>
      <w:spacing w:after="240"/>
      <w:ind w:left="1440" w:right="1440"/>
    </w:pPr>
  </w:style>
  <w:style w:type="paragraph" w:customStyle="1" w:styleId="Paratitle">
    <w:name w:val="Para title"/>
    <w:basedOn w:val="Normal"/>
    <w:rsid w:val="00E670A0"/>
    <w:pPr>
      <w:tabs>
        <w:tab w:val="center" w:pos="9270"/>
      </w:tabs>
      <w:spacing w:after="240"/>
    </w:pPr>
    <w:rPr>
      <w:spacing w:val="-2"/>
    </w:rPr>
  </w:style>
  <w:style w:type="paragraph" w:customStyle="1" w:styleId="Bullet">
    <w:name w:val="Bullet"/>
    <w:basedOn w:val="Normal"/>
    <w:rsid w:val="00E670A0"/>
    <w:pPr>
      <w:tabs>
        <w:tab w:val="left" w:pos="2160"/>
      </w:tabs>
      <w:spacing w:after="220"/>
      <w:ind w:left="2160" w:hanging="720"/>
    </w:pPr>
  </w:style>
  <w:style w:type="paragraph" w:customStyle="1" w:styleId="TableFormat">
    <w:name w:val="TableFormat"/>
    <w:basedOn w:val="Bullet"/>
    <w:rsid w:val="00E670A0"/>
    <w:pPr>
      <w:tabs>
        <w:tab w:val="clear" w:pos="2160"/>
        <w:tab w:val="left" w:pos="5040"/>
      </w:tabs>
      <w:ind w:left="5040" w:hanging="3600"/>
    </w:pPr>
  </w:style>
  <w:style w:type="paragraph" w:customStyle="1" w:styleId="TOCTitle">
    <w:name w:val="TOC Title"/>
    <w:basedOn w:val="Normal"/>
    <w:rsid w:val="00E670A0"/>
    <w:pPr>
      <w:spacing w:before="240" w:after="240"/>
      <w:jc w:val="center"/>
    </w:pPr>
    <w:rPr>
      <w:rFonts w:ascii="Times New Roman Bold" w:hAnsi="Times New Roman Bold"/>
      <w:b/>
      <w:caps/>
      <w:spacing w:val="-2"/>
    </w:rPr>
  </w:style>
  <w:style w:type="paragraph" w:styleId="Revision">
    <w:name w:val="Revision"/>
    <w:hidden/>
    <w:uiPriority w:val="99"/>
    <w:semiHidden/>
    <w:rsid w:val="00044B79"/>
    <w:pPr>
      <w:spacing w:after="0" w:line="240" w:lineRule="auto"/>
    </w:pPr>
    <w:rPr>
      <w:rFonts w:ascii="Times New Roman" w:eastAsia="Times New Roman" w:hAnsi="Times New Roman" w:cs="Times New Roman"/>
      <w:snapToGrid w:val="0"/>
      <w:kern w:val="28"/>
      <w:szCs w:val="20"/>
    </w:rPr>
  </w:style>
  <w:style w:type="paragraph" w:customStyle="1" w:styleId="Default">
    <w:name w:val="Default"/>
    <w:rsid w:val="00090A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Ryan.McDonald@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caf2auctionpublishblockcsv"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E435BA-D997-4A84-AC42-1F01BF6547A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