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04CFB124">
      <w:pPr>
        <w:ind w:left="7200"/>
        <w:rPr>
          <w:b/>
          <w:color w:val="000000"/>
          <w:szCs w:val="22"/>
        </w:rPr>
      </w:pPr>
      <w:bookmarkStart w:id="1" w:name="_Hlk64355849"/>
      <w:r>
        <w:rPr>
          <w:b/>
          <w:color w:val="000000"/>
          <w:szCs w:val="22"/>
        </w:rPr>
        <w:t xml:space="preserve">      </w:t>
      </w:r>
      <w:r w:rsidR="00864397">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322EB4">
        <w:rPr>
          <w:b/>
          <w:color w:val="000000"/>
          <w:szCs w:val="22"/>
        </w:rPr>
        <w:t>904</w:t>
      </w:r>
    </w:p>
    <w:p w:rsidR="008042EC" w:rsidRPr="00376464" w:rsidP="008042EC" w14:paraId="4A7109F1" w14:textId="4316EA9D">
      <w:pPr>
        <w:jc w:val="right"/>
        <w:rPr>
          <w:b/>
          <w:color w:val="000000"/>
          <w:szCs w:val="22"/>
        </w:rPr>
      </w:pPr>
      <w:r>
        <w:rPr>
          <w:b/>
          <w:color w:val="000000"/>
          <w:szCs w:val="22"/>
        </w:rPr>
        <w:t xml:space="preserve">July </w:t>
      </w:r>
      <w:r w:rsidR="006E5144">
        <w:rPr>
          <w:b/>
          <w:color w:val="000000"/>
          <w:szCs w:val="22"/>
        </w:rPr>
        <w:t>26</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5B0EBF45">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P="006E5144" w14:paraId="230DFE07" w14:textId="4E322596">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r w:rsidR="009A6CCF">
        <w:rPr>
          <w:b/>
          <w:szCs w:val="22"/>
        </w:rPr>
        <w:t>237</w:t>
      </w:r>
      <w:bookmarkEnd w:id="1"/>
    </w:p>
    <w:p w:rsidR="006E5144" w:rsidRPr="00376464" w:rsidP="006E5144" w14:paraId="1F972AB0" w14:textId="77777777">
      <w:pPr>
        <w:widowControl w:val="0"/>
        <w:jc w:val="center"/>
        <w:rPr>
          <w:b/>
          <w:szCs w:val="22"/>
        </w:rPr>
      </w:pPr>
    </w:p>
    <w:p w:rsidR="008042EC" w:rsidP="008042EC" w14:paraId="6AD71620" w14:textId="3EC1393C">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42186E">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 xml:space="preserve">proceeding listed in this Public Notice shall be terminated, and </w:t>
      </w:r>
      <w:r w:rsidR="0042186E">
        <w:rPr>
          <w:rFonts w:eastAsia="MS Mincho"/>
        </w:rPr>
        <w:t>its</w:t>
      </w:r>
      <w:r w:rsidRPr="00071BB6">
        <w:rPr>
          <w:rFonts w:eastAsia="MS Mincho"/>
        </w:rPr>
        <w:t xml:space="preserve"> docket will be closed.</w:t>
      </w:r>
    </w:p>
    <w:p w:rsidR="008042EC" w:rsidP="007E5FC3" w14:paraId="5878C3AF" w14:textId="400B36C7">
      <w:pPr>
        <w:rPr>
          <w:rFonts w:eastAsia="MS Mincho"/>
        </w:rPr>
      </w:pPr>
    </w:p>
    <w:p w:rsidR="009A6CCF" w:rsidP="009A6CCF" w14:paraId="19D9B761" w14:textId="3AEA682A">
      <w:pPr>
        <w:ind w:left="720"/>
        <w:rPr>
          <w:szCs w:val="22"/>
        </w:rPr>
      </w:pPr>
      <w:r>
        <w:rPr>
          <w:szCs w:val="22"/>
        </w:rPr>
        <w:t xml:space="preserve">Domestic Section 214 Application Filed for the Transfer of Control of </w:t>
      </w:r>
    </w:p>
    <w:p w:rsidR="004C3AB0" w:rsidP="004C3AB0" w14:paraId="49474EA9" w14:textId="77777777">
      <w:pPr>
        <w:ind w:left="720"/>
        <w:rPr>
          <w:szCs w:val="22"/>
        </w:rPr>
      </w:pPr>
      <w:r w:rsidRPr="00B00F51">
        <w:rPr>
          <w:szCs w:val="22"/>
        </w:rPr>
        <w:t>MetroNet Holdings, LLC</w:t>
      </w:r>
      <w:r>
        <w:rPr>
          <w:szCs w:val="22"/>
        </w:rPr>
        <w:t xml:space="preserve">, WC Docket No. </w:t>
      </w:r>
      <w:r w:rsidRPr="00C53E5E">
        <w:rPr>
          <w:szCs w:val="22"/>
        </w:rPr>
        <w:t>21-</w:t>
      </w:r>
      <w:r>
        <w:rPr>
          <w:szCs w:val="22"/>
        </w:rPr>
        <w:t xml:space="preserve">237, Public Notice, </w:t>
      </w:r>
    </w:p>
    <w:p w:rsidR="009A6CCF" w:rsidP="004C3AB0" w14:paraId="10C7103B" w14:textId="4FA183C2">
      <w:pPr>
        <w:ind w:left="720"/>
        <w:rPr>
          <w:szCs w:val="22"/>
        </w:rPr>
      </w:pPr>
      <w:r>
        <w:rPr>
          <w:szCs w:val="22"/>
        </w:rPr>
        <w:t>DA 21-741 (WCB 2021).</w:t>
      </w:r>
      <w:r>
        <w:rPr>
          <w:rStyle w:val="FootnoteReference"/>
          <w:szCs w:val="22"/>
        </w:rPr>
        <w:footnoteReference w:id="5"/>
      </w:r>
    </w:p>
    <w:p w:rsidR="008042EC" w:rsidRPr="007E5FC3" w:rsidP="007E5FC3" w14:paraId="515DE74F" w14:textId="5CB3F489">
      <w:pPr>
        <w:rPr>
          <w:szCs w:val="22"/>
        </w:rPr>
      </w:pPr>
    </w:p>
    <w:p w:rsidR="008042EC" w:rsidP="008042EC" w14:paraId="1A7FB431" w14:textId="020458A8">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July</w:t>
      </w:r>
      <w:r w:rsidRPr="00376464">
        <w:rPr>
          <w:b/>
          <w:bCs/>
          <w:color w:val="000000"/>
          <w:szCs w:val="22"/>
          <w:lang w:eastAsia="ja-JP"/>
        </w:rPr>
        <w:t xml:space="preserve"> </w:t>
      </w:r>
      <w:r w:rsidR="006E5144">
        <w:rPr>
          <w:b/>
          <w:bCs/>
          <w:color w:val="000000"/>
          <w:szCs w:val="22"/>
          <w:lang w:eastAsia="ja-JP"/>
        </w:rPr>
        <w:t>24</w:t>
      </w:r>
      <w:r w:rsidRPr="00376464">
        <w:rPr>
          <w:b/>
          <w:bCs/>
          <w:color w:val="000000"/>
          <w:szCs w:val="22"/>
          <w:lang w:eastAsia="ja-JP"/>
        </w:rPr>
        <w:t>, 202</w:t>
      </w:r>
      <w:r>
        <w:rPr>
          <w:b/>
          <w:bCs/>
          <w:color w:val="000000"/>
          <w:szCs w:val="22"/>
          <w:lang w:eastAsia="ja-JP"/>
        </w:rPr>
        <w:t>1</w:t>
      </w:r>
    </w:p>
    <w:p w:rsidR="008042EC" w:rsidRPr="00376464" w:rsidP="00AC412B" w14:paraId="30308442" w14:textId="77777777"/>
    <w:p w:rsidR="008042EC" w:rsidRPr="00376464" w:rsidP="008042EC" w14:paraId="504EA441" w14:textId="1373AFE4">
      <w:pPr>
        <w:ind w:firstLine="720"/>
      </w:pPr>
      <w:r w:rsidRPr="00376464">
        <w:t xml:space="preserve">For further information, please contact </w:t>
      </w:r>
      <w:r>
        <w:t>Tracey Wilson</w:t>
      </w:r>
      <w:r w:rsidRPr="00376464">
        <w:t xml:space="preserve"> at (202) 418-1</w:t>
      </w:r>
      <w:r>
        <w:t>394</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663D" w14:paraId="79916D60" w14:textId="77777777">
      <w:r>
        <w:separator/>
      </w:r>
    </w:p>
  </w:footnote>
  <w:footnote w:type="continuationSeparator" w:id="1">
    <w:p w:rsidR="00C8663D" w14:paraId="26FACCD9" w14:textId="77777777">
      <w:r>
        <w:continuationSeparator/>
      </w:r>
    </w:p>
  </w:footnote>
  <w:footnote w:type="continuationNotice" w:id="2">
    <w:p w:rsidR="00C8663D" w14:paraId="29843F0D" w14:textId="77777777"/>
  </w:footnote>
  <w:footnote w:id="3">
    <w:p w:rsidR="008042EC" w:rsidRPr="00B605DD" w:rsidP="00B605DD" w14:paraId="3D8CC16D" w14:textId="77777777">
      <w:pPr>
        <w:pStyle w:val="FootnoteText"/>
        <w:spacing w:after="120"/>
        <w:rPr>
          <w:color w:val="000000"/>
          <w:sz w:val="20"/>
        </w:rPr>
      </w:pPr>
      <w:r w:rsidRPr="00B605DD">
        <w:rPr>
          <w:rStyle w:val="FootnoteReference"/>
          <w:color w:val="000000"/>
          <w:sz w:val="20"/>
        </w:rPr>
        <w:footnoteRef/>
      </w:r>
      <w:r w:rsidRPr="00B605DD">
        <w:rPr>
          <w:color w:val="000000"/>
          <w:sz w:val="20"/>
        </w:rPr>
        <w:t xml:space="preserve">  </w:t>
      </w:r>
      <w:r w:rsidRPr="00B605DD">
        <w:rPr>
          <w:i/>
          <w:color w:val="000000"/>
          <w:sz w:val="20"/>
        </w:rPr>
        <w:t>Implementation of Further Streamlining Measures for Domestic Section 214 Authorizations</w:t>
      </w:r>
      <w:r w:rsidRPr="00B605DD">
        <w:rPr>
          <w:iCs/>
          <w:color w:val="000000"/>
          <w:sz w:val="20"/>
        </w:rPr>
        <w:t>,</w:t>
      </w:r>
      <w:r w:rsidRPr="00B605DD">
        <w:rPr>
          <w:color w:val="000000"/>
          <w:sz w:val="20"/>
        </w:rPr>
        <w:t xml:space="preserve"> </w:t>
      </w:r>
      <w:r w:rsidRPr="00B605DD">
        <w:rPr>
          <w:iCs/>
          <w:color w:val="000000"/>
          <w:sz w:val="20"/>
        </w:rPr>
        <w:t xml:space="preserve">Report and Order, </w:t>
      </w:r>
      <w:r w:rsidRPr="00B605DD">
        <w:rPr>
          <w:color w:val="000000"/>
          <w:sz w:val="20"/>
        </w:rPr>
        <w:t>17 FCC Rcd 5517, 5529, para. 22 (2002).</w:t>
      </w:r>
    </w:p>
  </w:footnote>
  <w:footnote w:id="4">
    <w:p w:rsidR="008042EC" w:rsidRPr="00B605DD" w:rsidP="00B605DD" w14:paraId="5BE559B3" w14:textId="77777777">
      <w:pPr>
        <w:pStyle w:val="FootnoteText"/>
        <w:spacing w:after="120"/>
        <w:rPr>
          <w:sz w:val="20"/>
        </w:rPr>
      </w:pPr>
      <w:r w:rsidRPr="00B605DD">
        <w:rPr>
          <w:rStyle w:val="FootnoteReference"/>
          <w:color w:val="000000"/>
          <w:sz w:val="20"/>
        </w:rPr>
        <w:footnoteRef/>
      </w:r>
      <w:r w:rsidRPr="00B605DD">
        <w:rPr>
          <w:color w:val="000000"/>
          <w:sz w:val="20"/>
        </w:rPr>
        <w:t xml:space="preserve">  </w:t>
      </w:r>
      <w:r w:rsidRPr="00B605DD">
        <w:rPr>
          <w:i/>
          <w:color w:val="000000"/>
          <w:sz w:val="20"/>
        </w:rPr>
        <w:t>Id.</w:t>
      </w:r>
      <w:r w:rsidRPr="00B605DD">
        <w:rPr>
          <w:color w:val="000000"/>
          <w:sz w:val="20"/>
        </w:rPr>
        <w:t>;</w:t>
      </w:r>
      <w:r w:rsidRPr="00B605DD">
        <w:rPr>
          <w:i/>
          <w:color w:val="000000"/>
          <w:sz w:val="20"/>
        </w:rPr>
        <w:t xml:space="preserve"> see</w:t>
      </w:r>
      <w:r w:rsidRPr="00B605DD">
        <w:rPr>
          <w:color w:val="000000"/>
          <w:sz w:val="20"/>
        </w:rPr>
        <w:t xml:space="preserve"> 47 CFR § 1.4 (Computation of time).</w:t>
      </w:r>
    </w:p>
  </w:footnote>
  <w:footnote w:id="5">
    <w:p w:rsidR="00F9021F" w:rsidRPr="00F9021F" w:rsidP="00B605DD" w14:paraId="64109C33" w14:textId="28B8493C">
      <w:pPr>
        <w:pStyle w:val="FootnoteText"/>
        <w:spacing w:after="120"/>
        <w:rPr>
          <w:sz w:val="20"/>
        </w:rPr>
      </w:pPr>
      <w:r w:rsidRPr="00B605DD">
        <w:rPr>
          <w:rStyle w:val="FootnoteReference"/>
          <w:sz w:val="20"/>
        </w:rPr>
        <w:footnoteRef/>
      </w:r>
      <w:r w:rsidRPr="00B605DD" w:rsidR="00EE3821">
        <w:rPr>
          <w:sz w:val="20"/>
        </w:rPr>
        <w:t xml:space="preserve"> </w:t>
      </w:r>
      <w:r w:rsidRPr="00F9021F">
        <w:rPr>
          <w:sz w:val="20"/>
        </w:rPr>
        <w:t xml:space="preserve">MetroNet Holdings, LLC and OHCP MGP V, Ltd. (MGP V) (together, Applicants) affirm that the transferee, MGP V, will ensure that Jaguar Communications, Inc. (Jaguar), one of the licensees MGP V seeks to acquire in the proposed transaction and which is a recipient of Auction 903 universal service support, continues to be “financially and technically capable of fulfilling the obligations that are required as a condition of Jaguar receiving CAF-II support.”  Letter from Brett P. Ferenchak, Counsel for Applicants, to Marlene H. Dortch, Secretary, FCC, WC Docket No. 21-237, IB File Nos. ITC-T/C-20210603-00093, ITC-T/C-20210603-00094 (filed June 22, 2021).  </w:t>
      </w:r>
      <w:r w:rsidRPr="00F9021F">
        <w:rPr>
          <w:i/>
          <w:iCs/>
          <w:sz w:val="20"/>
        </w:rPr>
        <w:t xml:space="preserve">See </w:t>
      </w:r>
      <w:r w:rsidRPr="00F9021F">
        <w:rPr>
          <w:sz w:val="20"/>
        </w:rPr>
        <w:t xml:space="preserve">OHCP MGP V, Ltd. and MetroNet Holdings, LLC, et al., Joint Application to Transfer Control of Section 214 Holders, WC Docket No. 21-237, at 2 (filed June 3, 2021) (Application) (citing </w:t>
      </w:r>
      <w:r w:rsidRPr="00F9021F">
        <w:rPr>
          <w:i/>
          <w:iCs/>
          <w:sz w:val="20"/>
        </w:rPr>
        <w:t>Connect America Fund Phase II Auction Support Authorized for 593 Winning Bids</w:t>
      </w:r>
      <w:r w:rsidRPr="00F9021F">
        <w:rPr>
          <w:sz w:val="20"/>
        </w:rPr>
        <w:t xml:space="preserve">, AU Docket No. 17-182, WC Docket No. 10-90, Public Notice, 34 FCC Rcd 7081, 7094-95, Attach. A (Authorized Long Form Applicants and Winning Bids) (WCB 2019)).   Following consummation of the proposed transaction, MGP V, the ultimate controlling partner of funds and entities managed by Oak Hill Capital Management, will be affiliated with both fixed model-based support companies and cost-based support companies.  Application at 1-5, 10-13, and Exh. B (Current and Post-Transaction Organizational Structure Charts).  Similar to other transactions involving Oak Hill affiliates that receive universal service support under the different mechanisms of fixed model-based support and cost-based support, to mitigate the potential for cost shifting, we grant the Application subject to the continued application of the </w:t>
      </w:r>
      <w:r w:rsidRPr="00F9021F">
        <w:rPr>
          <w:i/>
          <w:iCs/>
          <w:sz w:val="20"/>
        </w:rPr>
        <w:t>Hargray/ComSouth</w:t>
      </w:r>
      <w:r w:rsidRPr="00F9021F">
        <w:rPr>
          <w:sz w:val="20"/>
        </w:rPr>
        <w:t xml:space="preserve"> condition capping the combined operating expenses of the post-consummation company’s rate of return affiliates.  </w:t>
      </w:r>
      <w:r w:rsidRPr="00F9021F">
        <w:rPr>
          <w:i/>
          <w:iCs/>
          <w:sz w:val="20"/>
        </w:rPr>
        <w:t>Domestic Section 214 Applications Granted Subject to Condition</w:t>
      </w:r>
      <w:r w:rsidRPr="00F9021F">
        <w:rPr>
          <w:sz w:val="20"/>
        </w:rPr>
        <w:t>, WC Docket Nos. 20-275 and 20-355</w:t>
      </w:r>
      <w:r w:rsidR="00DB41CE">
        <w:rPr>
          <w:sz w:val="20"/>
        </w:rPr>
        <w:t>,</w:t>
      </w:r>
      <w:r w:rsidRPr="00F9021F">
        <w:rPr>
          <w:sz w:val="20"/>
        </w:rPr>
        <w:t xml:space="preserve"> Public Notice, DA 21-346, at 3-5 </w:t>
      </w:r>
      <w:r w:rsidR="00DB41CE">
        <w:rPr>
          <w:sz w:val="20"/>
        </w:rPr>
        <w:t xml:space="preserve">(WCB 2021) </w:t>
      </w:r>
      <w:r w:rsidRPr="00F9021F">
        <w:rPr>
          <w:sz w:val="20"/>
        </w:rPr>
        <w:t xml:space="preserve">(citing </w:t>
      </w:r>
      <w:r w:rsidRPr="00F9021F">
        <w:rPr>
          <w:i/>
          <w:iCs/>
          <w:sz w:val="20"/>
        </w:rPr>
        <w:t>Joint Application of W. Mansfield Jennings Limited Partnership and Hargray Communications Group, Inc. for Consent to the Transfer of Control of ComSouth Corporation Pursuant to Section 214 of the Communications Act of 1934</w:t>
      </w:r>
      <w:r w:rsidRPr="00F9021F">
        <w:rPr>
          <w:sz w:val="20"/>
        </w:rPr>
        <w:t xml:space="preserve">, WC Docket 18-52, Memorandum Opinion and Order, 33 FCC Rcd 4780, 4784, para. 19 (2018) (Hargray/ComSouth Order)).  </w:t>
      </w:r>
      <w:r w:rsidRPr="00F9021F">
        <w:rPr>
          <w:i/>
          <w:iCs/>
          <w:sz w:val="20"/>
        </w:rPr>
        <w:t>See also Domestic Section 214 Application Granted for the Transfer of Control of Hargray Acquisition Holdings, LLC and its Subsidiaries to Cable One, Inc</w:t>
      </w:r>
      <w:r w:rsidRPr="00F9021F">
        <w:rPr>
          <w:sz w:val="20"/>
        </w:rPr>
        <w:t xml:space="preserve">., WC Docket No. 21-69, Public Notice, DA 21-502, at 3-4 (WCB 2021) (granting the application subject to the continued application of the </w:t>
      </w:r>
      <w:r w:rsidRPr="00F9021F">
        <w:rPr>
          <w:i/>
          <w:iCs/>
          <w:sz w:val="20"/>
        </w:rPr>
        <w:t>Hargray/ComSouth</w:t>
      </w:r>
      <w:r w:rsidRPr="00F9021F">
        <w:rPr>
          <w:sz w:val="20"/>
        </w:rPr>
        <w:t xml:space="preserve"> condition to the applicants).  We direct Applicants to submit, in the domestic section 214 docket, a notice that the proposed transaction has closed with the consummation date, and also provide a courtesy copy of the notice to </w:t>
      </w:r>
      <w:hyperlink r:id="rId1" w:history="1">
        <w:r w:rsidRPr="00F9021F">
          <w:rPr>
            <w:color w:val="0000FF"/>
            <w:sz w:val="20"/>
            <w:u w:val="single"/>
          </w:rPr>
          <w:t>hcinfo@usac.org</w:t>
        </w:r>
      </w:hyperlink>
      <w:r w:rsidRPr="00F9021F">
        <w:rPr>
          <w:sz w:val="20"/>
        </w:rPr>
        <w:t>. </w:t>
      </w:r>
    </w:p>
    <w:p w:rsidR="00F9021F" w:rsidP="00B605DD" w14:paraId="355D1F7A" w14:textId="77777777">
      <w:pPr>
        <w:pStyle w:val="FootnoteText"/>
        <w:spacing w:after="120"/>
        <w:rPr>
          <w:sz w:val="20"/>
        </w:rPr>
      </w:pPr>
    </w:p>
    <w:p w:rsidR="00F9021F" w:rsidP="00B605DD" w14:paraId="57F94F66" w14:textId="77777777">
      <w:pPr>
        <w:pStyle w:val="FootnoteText"/>
        <w:spacing w:after="120"/>
        <w:rPr>
          <w:sz w:val="20"/>
        </w:rPr>
      </w:pPr>
    </w:p>
    <w:p w:rsidR="004C3AB0" w:rsidP="00B605DD" w14:paraId="02488591" w14:textId="3932E659">
      <w:pPr>
        <w:pStyle w:val="FootnoteText"/>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44E4B"/>
    <w:rsid w:val="000534AC"/>
    <w:rsid w:val="00066D12"/>
    <w:rsid w:val="00070D65"/>
    <w:rsid w:val="00071BB6"/>
    <w:rsid w:val="000735C8"/>
    <w:rsid w:val="0008381D"/>
    <w:rsid w:val="00087205"/>
    <w:rsid w:val="000B4EDD"/>
    <w:rsid w:val="000C4593"/>
    <w:rsid w:val="000C7CD5"/>
    <w:rsid w:val="000F02F7"/>
    <w:rsid w:val="00101D0B"/>
    <w:rsid w:val="0013405D"/>
    <w:rsid w:val="00141388"/>
    <w:rsid w:val="00150FBE"/>
    <w:rsid w:val="0015217F"/>
    <w:rsid w:val="001636B9"/>
    <w:rsid w:val="0016394A"/>
    <w:rsid w:val="001A3813"/>
    <w:rsid w:val="001B69F9"/>
    <w:rsid w:val="001C4E34"/>
    <w:rsid w:val="001C5BDA"/>
    <w:rsid w:val="001C657F"/>
    <w:rsid w:val="001F1E04"/>
    <w:rsid w:val="001F6762"/>
    <w:rsid w:val="0022449B"/>
    <w:rsid w:val="00242594"/>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742E"/>
    <w:rsid w:val="00322EB4"/>
    <w:rsid w:val="00346293"/>
    <w:rsid w:val="00353CB5"/>
    <w:rsid w:val="00365194"/>
    <w:rsid w:val="00373E09"/>
    <w:rsid w:val="00376464"/>
    <w:rsid w:val="003855A0"/>
    <w:rsid w:val="00386FFF"/>
    <w:rsid w:val="003921C1"/>
    <w:rsid w:val="003945C4"/>
    <w:rsid w:val="00395A7A"/>
    <w:rsid w:val="003A18A0"/>
    <w:rsid w:val="003A443A"/>
    <w:rsid w:val="003B5CEE"/>
    <w:rsid w:val="003F0ECD"/>
    <w:rsid w:val="003F311D"/>
    <w:rsid w:val="004077D0"/>
    <w:rsid w:val="00412DA6"/>
    <w:rsid w:val="004156F7"/>
    <w:rsid w:val="004175D7"/>
    <w:rsid w:val="0042186E"/>
    <w:rsid w:val="0042783D"/>
    <w:rsid w:val="00430626"/>
    <w:rsid w:val="004331D7"/>
    <w:rsid w:val="00433D8C"/>
    <w:rsid w:val="00434C96"/>
    <w:rsid w:val="00450EEF"/>
    <w:rsid w:val="00460914"/>
    <w:rsid w:val="004609A4"/>
    <w:rsid w:val="00464E8A"/>
    <w:rsid w:val="00475BB6"/>
    <w:rsid w:val="004808FC"/>
    <w:rsid w:val="00482EB0"/>
    <w:rsid w:val="004913FF"/>
    <w:rsid w:val="004951AE"/>
    <w:rsid w:val="004A554E"/>
    <w:rsid w:val="004C3AB0"/>
    <w:rsid w:val="004C5C4F"/>
    <w:rsid w:val="004C712F"/>
    <w:rsid w:val="004F3603"/>
    <w:rsid w:val="004F6F64"/>
    <w:rsid w:val="00511202"/>
    <w:rsid w:val="005128D4"/>
    <w:rsid w:val="00522749"/>
    <w:rsid w:val="0052334B"/>
    <w:rsid w:val="005243E7"/>
    <w:rsid w:val="005320B5"/>
    <w:rsid w:val="0056058F"/>
    <w:rsid w:val="005825A5"/>
    <w:rsid w:val="005932BA"/>
    <w:rsid w:val="005950EE"/>
    <w:rsid w:val="005A13D0"/>
    <w:rsid w:val="005A64A7"/>
    <w:rsid w:val="005C403A"/>
    <w:rsid w:val="005C51CE"/>
    <w:rsid w:val="005D1927"/>
    <w:rsid w:val="005D7355"/>
    <w:rsid w:val="0060105E"/>
    <w:rsid w:val="0060106A"/>
    <w:rsid w:val="00604A3C"/>
    <w:rsid w:val="00604CFF"/>
    <w:rsid w:val="0061137C"/>
    <w:rsid w:val="00616221"/>
    <w:rsid w:val="006768CC"/>
    <w:rsid w:val="00691832"/>
    <w:rsid w:val="006B39BA"/>
    <w:rsid w:val="006B5C06"/>
    <w:rsid w:val="006C32C8"/>
    <w:rsid w:val="006C32D6"/>
    <w:rsid w:val="006C591C"/>
    <w:rsid w:val="006E155C"/>
    <w:rsid w:val="006E3E11"/>
    <w:rsid w:val="006E5144"/>
    <w:rsid w:val="006E61ED"/>
    <w:rsid w:val="006E7452"/>
    <w:rsid w:val="006F4D60"/>
    <w:rsid w:val="00706D49"/>
    <w:rsid w:val="0071041E"/>
    <w:rsid w:val="00724722"/>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3340A"/>
    <w:rsid w:val="00841F9D"/>
    <w:rsid w:val="0084778A"/>
    <w:rsid w:val="00853114"/>
    <w:rsid w:val="0085579D"/>
    <w:rsid w:val="00864397"/>
    <w:rsid w:val="0086691C"/>
    <w:rsid w:val="008675C7"/>
    <w:rsid w:val="00873D4D"/>
    <w:rsid w:val="0087554B"/>
    <w:rsid w:val="00877D35"/>
    <w:rsid w:val="00881DC6"/>
    <w:rsid w:val="008850E4"/>
    <w:rsid w:val="00890FC9"/>
    <w:rsid w:val="00895C4A"/>
    <w:rsid w:val="008B7240"/>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A6CCF"/>
    <w:rsid w:val="009B0128"/>
    <w:rsid w:val="009B6797"/>
    <w:rsid w:val="009C3EC2"/>
    <w:rsid w:val="009E6916"/>
    <w:rsid w:val="009F09AA"/>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A59DB"/>
    <w:rsid w:val="00AB7DD7"/>
    <w:rsid w:val="00AC412B"/>
    <w:rsid w:val="00AC4928"/>
    <w:rsid w:val="00AC6A56"/>
    <w:rsid w:val="00AD0360"/>
    <w:rsid w:val="00AE4EB4"/>
    <w:rsid w:val="00B00CBF"/>
    <w:rsid w:val="00B00F51"/>
    <w:rsid w:val="00B02CE4"/>
    <w:rsid w:val="00B25A68"/>
    <w:rsid w:val="00B335D6"/>
    <w:rsid w:val="00B55A93"/>
    <w:rsid w:val="00B605DD"/>
    <w:rsid w:val="00B66193"/>
    <w:rsid w:val="00B66987"/>
    <w:rsid w:val="00B73AED"/>
    <w:rsid w:val="00B908C9"/>
    <w:rsid w:val="00B958E7"/>
    <w:rsid w:val="00BB417E"/>
    <w:rsid w:val="00BC7555"/>
    <w:rsid w:val="00BF0B0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6CC"/>
    <w:rsid w:val="00CE49B4"/>
    <w:rsid w:val="00CE7F62"/>
    <w:rsid w:val="00CF2073"/>
    <w:rsid w:val="00D024AA"/>
    <w:rsid w:val="00D04DB0"/>
    <w:rsid w:val="00D111DF"/>
    <w:rsid w:val="00D252B2"/>
    <w:rsid w:val="00D30DAA"/>
    <w:rsid w:val="00D3174C"/>
    <w:rsid w:val="00D702F3"/>
    <w:rsid w:val="00D709DB"/>
    <w:rsid w:val="00DB41CE"/>
    <w:rsid w:val="00DB59FD"/>
    <w:rsid w:val="00DD0968"/>
    <w:rsid w:val="00DE3E77"/>
    <w:rsid w:val="00DF1AD9"/>
    <w:rsid w:val="00E54722"/>
    <w:rsid w:val="00E55A96"/>
    <w:rsid w:val="00E7033D"/>
    <w:rsid w:val="00E714D1"/>
    <w:rsid w:val="00E90A56"/>
    <w:rsid w:val="00EA268B"/>
    <w:rsid w:val="00EB2E3F"/>
    <w:rsid w:val="00EC0FDA"/>
    <w:rsid w:val="00EC3BF9"/>
    <w:rsid w:val="00EC3CCE"/>
    <w:rsid w:val="00EC73AF"/>
    <w:rsid w:val="00ED40B2"/>
    <w:rsid w:val="00EE37C8"/>
    <w:rsid w:val="00EE3821"/>
    <w:rsid w:val="00F04273"/>
    <w:rsid w:val="00F05755"/>
    <w:rsid w:val="00F107E6"/>
    <w:rsid w:val="00F21B45"/>
    <w:rsid w:val="00F25C6B"/>
    <w:rsid w:val="00F3092F"/>
    <w:rsid w:val="00F65523"/>
    <w:rsid w:val="00F700CA"/>
    <w:rsid w:val="00F850B7"/>
    <w:rsid w:val="00F9021F"/>
    <w:rsid w:val="00FA546C"/>
    <w:rsid w:val="00FB729A"/>
    <w:rsid w:val="00FB7B8E"/>
    <w:rsid w:val="00FC3E30"/>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8DCC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