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1F26D601">
            <w:pPr>
              <w:ind w:right="-18"/>
              <w:rPr>
                <w:szCs w:val="22"/>
              </w:rPr>
            </w:pPr>
            <w:r w:rsidRPr="00683723">
              <w:rPr>
                <w:szCs w:val="22"/>
              </w:rPr>
              <w:t>In re Application</w:t>
            </w:r>
            <w:r w:rsidR="00D81CBD">
              <w:rPr>
                <w:szCs w:val="22"/>
              </w:rPr>
              <w:t>s</w:t>
            </w:r>
            <w:r w:rsidRPr="00683723">
              <w:rPr>
                <w:szCs w:val="22"/>
              </w:rPr>
              <w:t xml:space="preserve"> of  </w:t>
            </w:r>
          </w:p>
          <w:p w:rsidR="00AE2D78" w:rsidRPr="00683723" w:rsidP="00197841" w14:paraId="4B8E20A0" w14:textId="77777777">
            <w:pPr>
              <w:ind w:right="-18"/>
              <w:rPr>
                <w:szCs w:val="22"/>
              </w:rPr>
            </w:pPr>
          </w:p>
          <w:p w:rsidR="00AE2D78" w:rsidRPr="00683723" w:rsidP="00197841" w14:paraId="2686789D" w14:textId="5E2DD3E5">
            <w:pPr>
              <w:tabs>
                <w:tab w:val="left" w:pos="0"/>
              </w:tabs>
              <w:suppressAutoHyphens/>
              <w:ind w:left="5040" w:hanging="5040"/>
              <w:rPr>
                <w:bCs/>
                <w:szCs w:val="22"/>
              </w:rPr>
            </w:pPr>
            <w:bookmarkStart w:id="0" w:name="_Hlk78783706"/>
            <w:r>
              <w:rPr>
                <w:bCs/>
                <w:szCs w:val="22"/>
              </w:rPr>
              <w:t>Autaugaville Radio, Inc.</w:t>
            </w:r>
            <w:bookmarkEnd w:id="0"/>
            <w:r w:rsidRPr="00D81CBD">
              <w:rPr>
                <w:bCs/>
                <w:szCs w:val="22"/>
              </w:rPr>
              <w:t xml:space="preserve"> </w:t>
            </w:r>
          </w:p>
          <w:p w:rsidR="00762D8E" w:rsidRPr="00683723" w:rsidP="00197841" w14:paraId="0FCDD463" w14:textId="77777777">
            <w:pPr>
              <w:tabs>
                <w:tab w:val="left" w:pos="0"/>
              </w:tabs>
              <w:suppressAutoHyphens/>
              <w:ind w:left="5040" w:hanging="5040"/>
              <w:rPr>
                <w:szCs w:val="22"/>
              </w:rPr>
            </w:pPr>
          </w:p>
          <w:p w:rsidR="002E35A6" w:rsidP="00471790" w14:paraId="56733260" w14:textId="77777777">
            <w:pPr>
              <w:ind w:right="-18"/>
              <w:rPr>
                <w:szCs w:val="22"/>
              </w:rPr>
            </w:pPr>
            <w:r w:rsidRPr="00683723">
              <w:rPr>
                <w:szCs w:val="22"/>
              </w:rPr>
              <w:t xml:space="preserve">For Renewal of </w:t>
            </w:r>
            <w:r>
              <w:rPr>
                <w:szCs w:val="22"/>
              </w:rPr>
              <w:t xml:space="preserve">License for </w:t>
            </w:r>
          </w:p>
          <w:p w:rsidR="00AE2D78" w:rsidP="00197841" w14:paraId="4F083DCD" w14:textId="3516694A">
            <w:pPr>
              <w:ind w:right="-18"/>
              <w:rPr>
                <w:szCs w:val="22"/>
              </w:rPr>
            </w:pPr>
            <w:r>
              <w:rPr>
                <w:szCs w:val="22"/>
              </w:rPr>
              <w:t>WXKD(AM)</w:t>
            </w:r>
            <w:r w:rsidR="00B14151">
              <w:rPr>
                <w:szCs w:val="22"/>
              </w:rPr>
              <w:t xml:space="preserve">, </w:t>
            </w:r>
            <w:r>
              <w:rPr>
                <w:szCs w:val="22"/>
              </w:rPr>
              <w:t>Brantley</w:t>
            </w:r>
            <w:r w:rsidR="00B14151">
              <w:rPr>
                <w:szCs w:val="22"/>
              </w:rPr>
              <w:t xml:space="preserve">, </w:t>
            </w:r>
            <w:r w:rsidR="00392B91">
              <w:rPr>
                <w:szCs w:val="22"/>
              </w:rPr>
              <w:t>AL</w:t>
            </w:r>
          </w:p>
          <w:p w:rsidR="00392B91" w:rsidP="00197841" w14:paraId="008DD26D" w14:textId="77777777">
            <w:pPr>
              <w:ind w:right="-18"/>
              <w:rPr>
                <w:szCs w:val="22"/>
              </w:rPr>
            </w:pPr>
          </w:p>
          <w:p w:rsidR="00392B91" w:rsidP="00197841" w14:paraId="2FB169A0" w14:textId="77777777">
            <w:pPr>
              <w:ind w:right="-18"/>
              <w:rPr>
                <w:szCs w:val="22"/>
              </w:rPr>
            </w:pPr>
            <w:r>
              <w:rPr>
                <w:szCs w:val="22"/>
              </w:rPr>
              <w:t>For Renewal of License for</w:t>
            </w:r>
          </w:p>
          <w:p w:rsidR="00071F97" w:rsidRPr="00B679F1" w:rsidP="00197841" w14:paraId="6A15853A" w14:textId="122D63E9">
            <w:pPr>
              <w:ind w:right="-18"/>
              <w:rPr>
                <w:b/>
                <w:szCs w:val="22"/>
              </w:rPr>
            </w:pPr>
            <w:r>
              <w:rPr>
                <w:szCs w:val="22"/>
              </w:rPr>
              <w:t>W292HL</w:t>
            </w:r>
            <w:r>
              <w:rPr>
                <w:szCs w:val="22"/>
              </w:rPr>
              <w:t>, Troy, AL</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P="00197841" w14:paraId="52351B3A" w14:textId="77777777">
            <w:pPr>
              <w:rPr>
                <w:b/>
                <w:szCs w:val="22"/>
              </w:rPr>
            </w:pPr>
            <w:r w:rsidRPr="00683723">
              <w:rPr>
                <w:b/>
                <w:szCs w:val="22"/>
              </w:rPr>
              <w:t>)</w:t>
            </w:r>
          </w:p>
          <w:p w:rsidR="00EB706C" w:rsidP="00197841" w14:paraId="20CC880E" w14:textId="77777777">
            <w:pPr>
              <w:rPr>
                <w:b/>
                <w:szCs w:val="22"/>
              </w:rPr>
            </w:pPr>
            <w:r>
              <w:rPr>
                <w:b/>
                <w:szCs w:val="22"/>
              </w:rPr>
              <w:t>)</w:t>
            </w:r>
          </w:p>
          <w:p w:rsidR="00EB706C" w:rsidP="00197841" w14:paraId="1E2ADC12" w14:textId="77777777">
            <w:pPr>
              <w:rPr>
                <w:b/>
                <w:szCs w:val="22"/>
              </w:rPr>
            </w:pPr>
            <w:r>
              <w:rPr>
                <w:b/>
                <w:szCs w:val="22"/>
              </w:rPr>
              <w:t>)</w:t>
            </w:r>
          </w:p>
          <w:p w:rsidR="00EB706C" w:rsidRPr="00683723" w:rsidP="00197841" w14:paraId="2DACACCC" w14:textId="6D496AF7">
            <w:pPr>
              <w:rPr>
                <w:b/>
                <w:szCs w:val="22"/>
              </w:rPr>
            </w:pPr>
            <w:r>
              <w:rPr>
                <w:b/>
                <w:szCs w:val="22"/>
              </w:rPr>
              <w:t>)</w:t>
            </w:r>
          </w:p>
        </w:tc>
        <w:tc>
          <w:tcPr>
            <w:tcW w:w="4230" w:type="dxa"/>
          </w:tcPr>
          <w:p w:rsidR="00AE2D78" w:rsidRPr="00683723" w:rsidP="00197841" w14:paraId="546DDA16" w14:textId="77777777">
            <w:pPr>
              <w:rPr>
                <w:szCs w:val="22"/>
              </w:rPr>
            </w:pPr>
          </w:p>
          <w:p w:rsidR="00252A08" w:rsidRPr="00683723" w:rsidP="00252A08" w14:paraId="025078F6" w14:textId="484CE4E3">
            <w:pPr>
              <w:rPr>
                <w:szCs w:val="22"/>
              </w:rPr>
            </w:pPr>
            <w:r w:rsidRPr="00683723">
              <w:rPr>
                <w:szCs w:val="22"/>
              </w:rPr>
              <w:t>NAL/Acct. No. MB-202</w:t>
            </w:r>
            <w:r>
              <w:rPr>
                <w:szCs w:val="22"/>
              </w:rPr>
              <w:t>1</w:t>
            </w:r>
            <w:r w:rsidR="00796C6C">
              <w:t>41410034</w:t>
            </w:r>
          </w:p>
          <w:p w:rsidR="00AE2D78" w:rsidRPr="00683723" w:rsidP="00252A08" w14:paraId="15545EE1" w14:textId="7C5DA5B6">
            <w:pPr>
              <w:rPr>
                <w:szCs w:val="22"/>
              </w:rPr>
            </w:pPr>
            <w:r w:rsidRPr="00683723">
              <w:rPr>
                <w:szCs w:val="22"/>
              </w:rPr>
              <w:t xml:space="preserve">FRN:  </w:t>
            </w:r>
            <w:r w:rsidRPr="00AA7905" w:rsidR="00AA7905">
              <w:rPr>
                <w:szCs w:val="22"/>
              </w:rPr>
              <w:t>0006640254</w:t>
            </w:r>
          </w:p>
          <w:p w:rsidR="00252A08" w:rsidP="00197841" w14:paraId="6D521DDC" w14:textId="77777777">
            <w:pPr>
              <w:rPr>
                <w:szCs w:val="22"/>
              </w:rPr>
            </w:pPr>
          </w:p>
          <w:p w:rsidR="00AE2D78" w:rsidRPr="00683723" w:rsidP="00197841" w14:paraId="60C88BE4" w14:textId="430D7EA2">
            <w:pPr>
              <w:rPr>
                <w:szCs w:val="22"/>
              </w:rPr>
            </w:pPr>
            <w:r w:rsidRPr="00683723">
              <w:rPr>
                <w:szCs w:val="22"/>
              </w:rPr>
              <w:t xml:space="preserve">Facility ID No. </w:t>
            </w:r>
            <w:r w:rsidR="003E37BC">
              <w:rPr>
                <w:szCs w:val="22"/>
              </w:rPr>
              <w:t>40900</w:t>
            </w:r>
          </w:p>
          <w:p w:rsidR="00AE2D78" w:rsidP="00197841" w14:paraId="7C86A3AD" w14:textId="3DD5FFDD">
            <w:pPr>
              <w:rPr>
                <w:szCs w:val="22"/>
              </w:rPr>
            </w:pPr>
            <w:r>
              <w:rPr>
                <w:szCs w:val="22"/>
              </w:rPr>
              <w:t xml:space="preserve">Application </w:t>
            </w:r>
            <w:r w:rsidRPr="00683723" w:rsidR="003C67E5">
              <w:rPr>
                <w:szCs w:val="22"/>
              </w:rPr>
              <w:t>File No</w:t>
            </w:r>
            <w:r w:rsidRPr="00683723" w:rsidR="00762D8E">
              <w:rPr>
                <w:szCs w:val="22"/>
              </w:rPr>
              <w:t xml:space="preserve">. </w:t>
            </w:r>
            <w:r w:rsidRPr="00995EAA" w:rsidR="00995EAA">
              <w:rPr>
                <w:szCs w:val="22"/>
              </w:rPr>
              <w:t>0000150480</w:t>
            </w:r>
          </w:p>
          <w:p w:rsidR="00EB706C" w:rsidP="00197841" w14:paraId="092E6FE2" w14:textId="77777777">
            <w:pPr>
              <w:rPr>
                <w:szCs w:val="22"/>
              </w:rPr>
            </w:pPr>
          </w:p>
          <w:p w:rsidR="00EB706C" w:rsidP="00197841" w14:paraId="1E6B68BF" w14:textId="1FFDC2EA">
            <w:pPr>
              <w:rPr>
                <w:szCs w:val="22"/>
              </w:rPr>
            </w:pPr>
            <w:r>
              <w:rPr>
                <w:szCs w:val="22"/>
              </w:rPr>
              <w:t>Facility ID No.</w:t>
            </w:r>
            <w:r w:rsidR="003E37BC">
              <w:rPr>
                <w:szCs w:val="22"/>
              </w:rPr>
              <w:t xml:space="preserve"> 201248</w:t>
            </w:r>
          </w:p>
          <w:p w:rsidR="00EB706C" w:rsidRPr="00683723" w:rsidP="00197841" w14:paraId="45B5CB47" w14:textId="6E43C493">
            <w:pPr>
              <w:rPr>
                <w:szCs w:val="22"/>
              </w:rPr>
            </w:pPr>
            <w:r>
              <w:rPr>
                <w:szCs w:val="22"/>
              </w:rPr>
              <w:t xml:space="preserve">Application File No. </w:t>
            </w:r>
            <w:r w:rsidRPr="00A941E1" w:rsidR="00A941E1">
              <w:rPr>
                <w:szCs w:val="22"/>
              </w:rPr>
              <w:t>0000150482</w:t>
            </w: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6088046E">
      <w:pPr>
        <w:tabs>
          <w:tab w:val="left" w:pos="5760"/>
        </w:tabs>
        <w:rPr>
          <w:b/>
          <w:szCs w:val="22"/>
        </w:rPr>
      </w:pPr>
      <w:r w:rsidRPr="00683723">
        <w:rPr>
          <w:b/>
          <w:szCs w:val="22"/>
        </w:rPr>
        <w:t xml:space="preserve">Adopted: </w:t>
      </w:r>
      <w:r w:rsidRPr="00683723" w:rsidR="00787F68">
        <w:rPr>
          <w:b/>
          <w:szCs w:val="22"/>
        </w:rPr>
        <w:t xml:space="preserve"> </w:t>
      </w:r>
      <w:r w:rsidR="00796C6C">
        <w:rPr>
          <w:b/>
          <w:szCs w:val="22"/>
        </w:rPr>
        <w:t>August 2,</w:t>
      </w:r>
      <w:r w:rsidRPr="00683723" w:rsidR="00787F68">
        <w:rPr>
          <w:b/>
          <w:szCs w:val="22"/>
        </w:rPr>
        <w:t xml:space="preserve">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796C6C">
        <w:rPr>
          <w:b/>
          <w:szCs w:val="22"/>
        </w:rPr>
        <w:t>August 2,</w:t>
      </w:r>
      <w:r w:rsidRPr="00683723" w:rsidR="003344E3">
        <w:rPr>
          <w:b/>
          <w:szCs w:val="22"/>
        </w:rPr>
        <w:t xml:space="preserve">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581D3E" w:rsidRPr="00F03E36" w:rsidP="00581D3E" w14:paraId="3524B4B7" w14:textId="3AF46A7C">
      <w:pPr>
        <w:pStyle w:val="ParaNum"/>
        <w:rPr>
          <w:szCs w:val="22"/>
        </w:rPr>
      </w:pPr>
      <w:r w:rsidRPr="00683723">
        <w:rPr>
          <w:szCs w:val="22"/>
        </w:rPr>
        <w:t xml:space="preserve">The </w:t>
      </w:r>
      <w:r w:rsidRPr="00F03E36">
        <w:rPr>
          <w:szCs w:val="22"/>
        </w:rPr>
        <w:t>Media Bureau (Bureau) has before it the application</w:t>
      </w:r>
      <w:r w:rsidR="00A941E1">
        <w:rPr>
          <w:szCs w:val="22"/>
        </w:rPr>
        <w:t>s</w:t>
      </w:r>
      <w:r w:rsidRPr="00F03E36">
        <w:rPr>
          <w:szCs w:val="22"/>
        </w:rPr>
        <w:t xml:space="preserve"> (Application</w:t>
      </w:r>
      <w:r w:rsidR="000365B8">
        <w:rPr>
          <w:szCs w:val="22"/>
        </w:rPr>
        <w:t>s</w:t>
      </w:r>
      <w:r w:rsidRPr="00F03E36">
        <w:rPr>
          <w:szCs w:val="22"/>
        </w:rPr>
        <w:t>)</w:t>
      </w:r>
      <w:r>
        <w:rPr>
          <w:rStyle w:val="FootnoteReference"/>
          <w:sz w:val="22"/>
          <w:szCs w:val="22"/>
        </w:rPr>
        <w:footnoteReference w:id="3"/>
      </w:r>
      <w:r w:rsidRPr="00F03E36">
        <w:rPr>
          <w:szCs w:val="22"/>
        </w:rPr>
        <w:t xml:space="preserve"> of </w:t>
      </w:r>
      <w:r w:rsidR="00A941E1">
        <w:rPr>
          <w:szCs w:val="22"/>
        </w:rPr>
        <w:t xml:space="preserve">Autaugaville </w:t>
      </w:r>
      <w:r w:rsidR="00274409">
        <w:rPr>
          <w:szCs w:val="22"/>
        </w:rPr>
        <w:t>Radio, Inc.</w:t>
      </w:r>
      <w:r w:rsidRPr="00F03E36" w:rsidR="00573FFC">
        <w:rPr>
          <w:szCs w:val="22"/>
        </w:rPr>
        <w:t xml:space="preserve"> </w:t>
      </w:r>
      <w:r w:rsidRPr="00F03E36">
        <w:rPr>
          <w:szCs w:val="22"/>
        </w:rPr>
        <w:t>(Licensee) for renewal of its license</w:t>
      </w:r>
      <w:r w:rsidR="00274409">
        <w:rPr>
          <w:szCs w:val="22"/>
        </w:rPr>
        <w:t>s</w:t>
      </w:r>
      <w:r w:rsidRPr="00F03E36">
        <w:rPr>
          <w:szCs w:val="22"/>
        </w:rPr>
        <w:t xml:space="preserve"> </w:t>
      </w:r>
      <w:r w:rsidR="00390B9C">
        <w:rPr>
          <w:szCs w:val="22"/>
        </w:rPr>
        <w:t xml:space="preserve">for </w:t>
      </w:r>
      <w:r w:rsidR="00274409">
        <w:rPr>
          <w:szCs w:val="22"/>
        </w:rPr>
        <w:t>WXKD(AM)</w:t>
      </w:r>
      <w:r w:rsidR="00C109FC">
        <w:rPr>
          <w:szCs w:val="22"/>
        </w:rPr>
        <w:t>,</w:t>
      </w:r>
      <w:r w:rsidRPr="00F03E36" w:rsidR="00BB563D">
        <w:rPr>
          <w:szCs w:val="22"/>
        </w:rPr>
        <w:t xml:space="preserve"> </w:t>
      </w:r>
      <w:r w:rsidR="00274409">
        <w:rPr>
          <w:szCs w:val="22"/>
        </w:rPr>
        <w:t>Brantley</w:t>
      </w:r>
      <w:r w:rsidR="00C109FC">
        <w:rPr>
          <w:szCs w:val="22"/>
        </w:rPr>
        <w:t xml:space="preserve">, </w:t>
      </w:r>
      <w:r w:rsidR="00274409">
        <w:rPr>
          <w:szCs w:val="22"/>
        </w:rPr>
        <w:t xml:space="preserve">Alabama, and </w:t>
      </w:r>
      <w:r w:rsidR="004D1CEB">
        <w:rPr>
          <w:szCs w:val="22"/>
        </w:rPr>
        <w:t>W292HL</w:t>
      </w:r>
      <w:r w:rsidR="00274409">
        <w:rPr>
          <w:szCs w:val="22"/>
        </w:rPr>
        <w:t>, Troy, Alabama</w:t>
      </w:r>
      <w:r w:rsidRPr="00F03E36">
        <w:rPr>
          <w:szCs w:val="22"/>
        </w:rPr>
        <w:t xml:space="preserve"> (Station</w:t>
      </w:r>
      <w:r w:rsidR="00274409">
        <w:rPr>
          <w:szCs w:val="22"/>
        </w:rPr>
        <w:t>s</w:t>
      </w:r>
      <w:r w:rsidRPr="00F03E36">
        <w:rPr>
          <w:szCs w:val="22"/>
        </w:rPr>
        <w:t xml:space="preserve">).  In this </w:t>
      </w:r>
      <w:r w:rsidRPr="00F03E36">
        <w:rPr>
          <w:i/>
          <w:iCs/>
          <w:szCs w:val="22"/>
        </w:rPr>
        <w:t>Memorandum Opinion and Order and Notice of Apparent Liability for Forfeiture</w:t>
      </w:r>
      <w:r w:rsidRPr="00F03E36">
        <w:rPr>
          <w:szCs w:val="22"/>
        </w:rPr>
        <w:t xml:space="preserve"> (</w:t>
      </w:r>
      <w:r w:rsidRPr="00F03E36">
        <w:rPr>
          <w:i/>
          <w:iCs/>
          <w:szCs w:val="22"/>
        </w:rPr>
        <w:t>NAL</w:t>
      </w:r>
      <w:r w:rsidRPr="00F03E36">
        <w:rPr>
          <w:szCs w:val="22"/>
        </w:rPr>
        <w:t>)</w:t>
      </w:r>
      <w:r w:rsidRPr="00F03E36" w:rsidR="003364B8">
        <w:rPr>
          <w:szCs w:val="22"/>
        </w:rPr>
        <w:t>,</w:t>
      </w:r>
      <w:r>
        <w:rPr>
          <w:rStyle w:val="FootnoteReference"/>
          <w:sz w:val="22"/>
          <w:szCs w:val="22"/>
        </w:rPr>
        <w:footnoteReference w:id="4"/>
      </w:r>
      <w:r w:rsidRPr="00F03E36">
        <w:rPr>
          <w:szCs w:val="22"/>
        </w:rPr>
        <w:t xml:space="preserve"> we find </w:t>
      </w:r>
      <w:r w:rsidRPr="00F03E36" w:rsidR="003364B8">
        <w:rPr>
          <w:szCs w:val="22"/>
        </w:rPr>
        <w:t>the</w:t>
      </w:r>
      <w:r w:rsidRPr="00F03E36">
        <w:rPr>
          <w:szCs w:val="22"/>
        </w:rPr>
        <w:t xml:space="preserve"> Licensee apparently </w:t>
      </w:r>
      <w:r w:rsidRPr="00683723" w:rsidR="0000095C">
        <w:rPr>
          <w:szCs w:val="22"/>
        </w:rPr>
        <w:t>willfully violated section 73.3539 of the Commission’s Rules (Rules)</w:t>
      </w:r>
      <w:r>
        <w:rPr>
          <w:rStyle w:val="FootnoteReference"/>
          <w:sz w:val="22"/>
          <w:szCs w:val="22"/>
        </w:rPr>
        <w:footnoteReference w:id="5"/>
      </w:r>
      <w:r w:rsidRPr="00683723" w:rsidR="0000095C">
        <w:rPr>
          <w:szCs w:val="22"/>
        </w:rPr>
        <w:t xml:space="preserve"> by failing to timely file license renewal application</w:t>
      </w:r>
      <w:r w:rsidR="00274409">
        <w:rPr>
          <w:szCs w:val="22"/>
        </w:rPr>
        <w:t>s</w:t>
      </w:r>
      <w:r w:rsidRPr="00683723" w:rsidR="0000095C">
        <w:rPr>
          <w:szCs w:val="22"/>
        </w:rPr>
        <w:t xml:space="preserve"> for the Station</w:t>
      </w:r>
      <w:r w:rsidR="00274409">
        <w:rPr>
          <w:szCs w:val="22"/>
        </w:rPr>
        <w:t>s</w:t>
      </w:r>
      <w:r w:rsidRPr="00683723" w:rsidR="0000095C">
        <w:rPr>
          <w:szCs w:val="22"/>
        </w:rPr>
        <w:t>.  Based upon our review of the facts and circumstances befor</w:t>
      </w:r>
      <w:r w:rsidRPr="005C3464" w:rsidR="0000095C">
        <w:rPr>
          <w:szCs w:val="22"/>
        </w:rPr>
        <w:t xml:space="preserve">e us, we conclude that the Licensee is apparently liable for a monetary forfeiture in the amount of </w:t>
      </w:r>
      <w:r w:rsidR="00D623B1">
        <w:rPr>
          <w:szCs w:val="22"/>
        </w:rPr>
        <w:t>four</w:t>
      </w:r>
      <w:r w:rsidRPr="005C3464" w:rsidR="0000095C">
        <w:rPr>
          <w:szCs w:val="22"/>
        </w:rPr>
        <w:t xml:space="preserve"> thousand </w:t>
      </w:r>
      <w:r w:rsidR="00771D5F">
        <w:rPr>
          <w:szCs w:val="22"/>
        </w:rPr>
        <w:t xml:space="preserve">five hundred </w:t>
      </w:r>
      <w:r w:rsidRPr="005C3464" w:rsidR="0000095C">
        <w:rPr>
          <w:szCs w:val="22"/>
        </w:rPr>
        <w:t>dollars ($</w:t>
      </w:r>
      <w:r w:rsidR="00D623B1">
        <w:rPr>
          <w:szCs w:val="22"/>
        </w:rPr>
        <w:t>4</w:t>
      </w:r>
      <w:r w:rsidRPr="005C3464" w:rsidR="0000095C">
        <w:rPr>
          <w:szCs w:val="22"/>
        </w:rPr>
        <w:t>,</w:t>
      </w:r>
      <w:r w:rsidR="004603A2">
        <w:rPr>
          <w:szCs w:val="22"/>
        </w:rPr>
        <w:t>5</w:t>
      </w:r>
      <w:r w:rsidRPr="005C3464" w:rsidR="0000095C">
        <w:rPr>
          <w:szCs w:val="22"/>
        </w:rPr>
        <w:t>00)</w:t>
      </w:r>
      <w:r w:rsidRPr="005C3464">
        <w:rPr>
          <w:szCs w:val="22"/>
        </w:rPr>
        <w:t>.</w:t>
      </w:r>
      <w:r w:rsidRPr="00F03E36">
        <w:rPr>
          <w:szCs w:val="22"/>
        </w:rPr>
        <w:t xml:space="preserve">  </w:t>
      </w:r>
    </w:p>
    <w:p w:rsidR="00AE2D78" w:rsidRPr="00683723" w:rsidP="00573FFC" w14:paraId="5C359F4E" w14:textId="77777777">
      <w:pPr>
        <w:pStyle w:val="Heading1"/>
        <w:rPr>
          <w:rFonts w:ascii="Times New Roman" w:hAnsi="Times New Roman"/>
          <w:szCs w:val="22"/>
        </w:rPr>
      </w:pPr>
      <w:r w:rsidRPr="00683723">
        <w:rPr>
          <w:rFonts w:ascii="Times New Roman" w:hAnsi="Times New Roman"/>
          <w:szCs w:val="22"/>
        </w:rPr>
        <w:t>BACKGROUND</w:t>
      </w:r>
    </w:p>
    <w:p w:rsidR="003364B8" w:rsidRPr="00166169" w:rsidP="00166169" w14:paraId="650D9165" w14:textId="0644B65D">
      <w:pPr>
        <w:pStyle w:val="ParaNum"/>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6"/>
      </w:r>
      <w:r w:rsidRPr="00683723">
        <w:rPr>
          <w:szCs w:val="22"/>
        </w:rPr>
        <w:t xml:space="preserve">  </w:t>
      </w:r>
      <w:r w:rsidR="00815CDD">
        <w:rPr>
          <w:szCs w:val="22"/>
        </w:rPr>
        <w:t>Applications</w:t>
      </w:r>
      <w:r w:rsidRPr="00683723">
        <w:rPr>
          <w:szCs w:val="22"/>
        </w:rPr>
        <w:t xml:space="preserve"> for renewal of the Station</w:t>
      </w:r>
      <w:r w:rsidR="00815CDD">
        <w:rPr>
          <w:szCs w:val="22"/>
        </w:rPr>
        <w:t>’</w:t>
      </w:r>
      <w:r w:rsidRPr="00683723">
        <w:rPr>
          <w:szCs w:val="22"/>
        </w:rPr>
        <w:t xml:space="preserve"> license</w:t>
      </w:r>
      <w:r w:rsidR="00815CDD">
        <w:rPr>
          <w:szCs w:val="22"/>
        </w:rPr>
        <w:t>s</w:t>
      </w:r>
      <w:r w:rsidRPr="00683723">
        <w:rPr>
          <w:szCs w:val="22"/>
        </w:rPr>
        <w:t xml:space="preserve"> should have been filed by </w:t>
      </w:r>
      <w:r w:rsidR="00D623B1">
        <w:rPr>
          <w:szCs w:val="22"/>
        </w:rPr>
        <w:t>April</w:t>
      </w:r>
      <w:r w:rsidR="001B59B9">
        <w:rPr>
          <w:szCs w:val="22"/>
        </w:rPr>
        <w:t xml:space="preserve"> 1, 2021</w:t>
      </w:r>
      <w:r w:rsidRPr="00683723">
        <w:rPr>
          <w:szCs w:val="22"/>
        </w:rPr>
        <w:t xml:space="preserve">, the first day of the fourth full calendar month prior to </w:t>
      </w:r>
      <w:r w:rsidR="00D623B1">
        <w:rPr>
          <w:szCs w:val="22"/>
        </w:rPr>
        <w:t>August 21, 2021</w:t>
      </w:r>
      <w:r w:rsidR="00CD7068">
        <w:rPr>
          <w:szCs w:val="22"/>
        </w:rPr>
        <w:t>, the expiration date for the Stations’ licenses</w:t>
      </w:r>
      <w:r w:rsidRPr="00683723">
        <w:rPr>
          <w:szCs w:val="22"/>
        </w:rPr>
        <w:t>.</w:t>
      </w:r>
      <w:r>
        <w:rPr>
          <w:rStyle w:val="FootnoteReference"/>
          <w:sz w:val="22"/>
          <w:szCs w:val="22"/>
        </w:rPr>
        <w:footnoteReference w:id="7"/>
      </w:r>
      <w:r w:rsidRPr="00683723">
        <w:rPr>
          <w:szCs w:val="22"/>
        </w:rPr>
        <w:t xml:space="preserve">  </w:t>
      </w:r>
      <w:r w:rsidRPr="00166169" w:rsidR="00664BAE">
        <w:rPr>
          <w:szCs w:val="22"/>
        </w:rPr>
        <w:t>T</w:t>
      </w:r>
      <w:r w:rsidRPr="00166169" w:rsidR="00541385">
        <w:rPr>
          <w:szCs w:val="22"/>
        </w:rPr>
        <w:t xml:space="preserve">he Licensee did not file </w:t>
      </w:r>
      <w:r w:rsidRPr="00166169" w:rsidR="0053298C">
        <w:rPr>
          <w:szCs w:val="22"/>
        </w:rPr>
        <w:t>the Application</w:t>
      </w:r>
      <w:r w:rsidR="00815CDD">
        <w:rPr>
          <w:szCs w:val="22"/>
        </w:rPr>
        <w:t>s</w:t>
      </w:r>
      <w:r w:rsidRPr="00166169" w:rsidR="00712A98">
        <w:rPr>
          <w:szCs w:val="22"/>
        </w:rPr>
        <w:t xml:space="preserve"> </w:t>
      </w:r>
      <w:r w:rsidRPr="00166169" w:rsidR="0053298C">
        <w:rPr>
          <w:szCs w:val="22"/>
        </w:rPr>
        <w:t xml:space="preserve">until </w:t>
      </w:r>
      <w:r w:rsidR="000365B8">
        <w:rPr>
          <w:szCs w:val="22"/>
        </w:rPr>
        <w:t>June</w:t>
      </w:r>
      <w:r w:rsidRPr="00166169" w:rsidR="00BD5354">
        <w:rPr>
          <w:szCs w:val="22"/>
        </w:rPr>
        <w:t xml:space="preserve"> 1</w:t>
      </w:r>
      <w:r w:rsidR="000365B8">
        <w:rPr>
          <w:szCs w:val="22"/>
        </w:rPr>
        <w:t>8</w:t>
      </w:r>
      <w:r w:rsidRPr="00166169" w:rsidR="00BD5354">
        <w:rPr>
          <w:szCs w:val="22"/>
        </w:rPr>
        <w:t>, 2021</w:t>
      </w:r>
      <w:r w:rsidR="00BD00E0">
        <w:t>, and</w:t>
      </w:r>
      <w:r w:rsidR="00166169">
        <w:t xml:space="preserve"> </w:t>
      </w:r>
      <w:r w:rsidR="00BD00E0">
        <w:t>has provided</w:t>
      </w:r>
      <w:r w:rsidR="00166169">
        <w:t xml:space="preserve"> no explanation for the untimely filing of the Application</w:t>
      </w:r>
      <w:r w:rsidR="00815CDD">
        <w:t>s</w:t>
      </w:r>
      <w:r w:rsidR="00166169">
        <w:t>.</w:t>
      </w:r>
    </w:p>
    <w:p w:rsidR="00581D3E" w:rsidRPr="00683723" w:rsidP="00406A52" w14:paraId="548FAE66" w14:textId="77777777">
      <w:pPr>
        <w:pStyle w:val="Heading1"/>
        <w:rPr>
          <w:rFonts w:ascii="Times New Roman" w:hAnsi="Times New Roman"/>
          <w:szCs w:val="22"/>
        </w:rPr>
      </w:pPr>
      <w:r w:rsidRPr="00683723">
        <w:rPr>
          <w:rFonts w:ascii="Times New Roman" w:hAnsi="Times New Roman"/>
          <w:szCs w:val="22"/>
        </w:rPr>
        <w:t>DISCUSSION</w:t>
      </w:r>
    </w:p>
    <w:p w:rsidR="00406A52" w:rsidRPr="00683723" w:rsidP="00406A52" w14:paraId="27226FAC" w14:textId="27A9EDCC">
      <w:pPr>
        <w:pStyle w:val="ParaNum"/>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w:t>
      </w:r>
      <w:r w:rsidR="006E7EB5">
        <w:rPr>
          <w:rFonts w:eastAsia="SimSun"/>
          <w:szCs w:val="22"/>
        </w:rPr>
        <w:t xml:space="preserve">Communications </w:t>
      </w:r>
      <w:r w:rsidRPr="00683723">
        <w:rPr>
          <w:rFonts w:eastAsia="SimSun"/>
          <w:szCs w:val="22"/>
        </w:rPr>
        <w:t>Act</w:t>
      </w:r>
      <w:r w:rsidR="006E7EB5">
        <w:rPr>
          <w:rFonts w:eastAsia="SimSun"/>
          <w:szCs w:val="22"/>
        </w:rPr>
        <w:t xml:space="preserve"> of 1934, as amended</w:t>
      </w:r>
      <w:r w:rsidR="00C53E1F">
        <w:rPr>
          <w:rFonts w:eastAsia="SimSun"/>
          <w:szCs w:val="22"/>
        </w:rPr>
        <w:t xml:space="preserve"> (Act)</w:t>
      </w:r>
      <w:r w:rsidRPr="00683723">
        <w:rPr>
          <w:rFonts w:eastAsia="SimSun"/>
          <w:szCs w:val="22"/>
        </w:rPr>
        <w: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8"/>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9"/>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10"/>
      </w:r>
      <w:r w:rsidRPr="00683723">
        <w:rPr>
          <w:rFonts w:eastAsia="SimSun"/>
          <w:szCs w:val="22"/>
        </w:rPr>
        <w:t xml:space="preserve"> and the Commission has so interpreted the term in the section 503(b) context.</w:t>
      </w:r>
      <w:r>
        <w:rPr>
          <w:rFonts w:eastAsia="SimSun"/>
          <w:szCs w:val="22"/>
          <w:vertAlign w:val="superscript"/>
        </w:rPr>
        <w:footnoteReference w:id="11"/>
      </w:r>
      <w:r w:rsidRPr="00683723" w:rsidR="001E307A">
        <w:rPr>
          <w:rFonts w:eastAsia="SimSun"/>
          <w:szCs w:val="22"/>
        </w:rPr>
        <w:t xml:space="preserve">  </w:t>
      </w:r>
      <w:r w:rsidRPr="00683723" w:rsidR="001E307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12"/>
      </w:r>
      <w:r w:rsidRPr="00683723" w:rsidR="001E307A">
        <w:rPr>
          <w:szCs w:val="22"/>
        </w:rPr>
        <w:t xml:space="preserve">  </w:t>
      </w:r>
    </w:p>
    <w:p w:rsidR="001E307A" w:rsidRPr="00683723" w:rsidP="00C81DB0" w14:paraId="6F22F38C" w14:textId="551FF5E3">
      <w:pPr>
        <w:pStyle w:val="ParaNum"/>
        <w:widowControl/>
        <w:rPr>
          <w:szCs w:val="22"/>
        </w:rPr>
      </w:pPr>
      <w:r w:rsidRPr="00683723">
        <w:rPr>
          <w:szCs w:val="22"/>
        </w:rPr>
        <w:t>The Commission’s Forfeiture Policy Statement and section 1.80(b)(</w:t>
      </w:r>
      <w:r w:rsidR="00A811FA">
        <w:rPr>
          <w:szCs w:val="22"/>
        </w:rPr>
        <w:t>10</w:t>
      </w:r>
      <w:r w:rsidRPr="00683723">
        <w:rPr>
          <w:szCs w:val="22"/>
        </w:rPr>
        <w:t>) of the Rules establish a base forfeiture amount of $3,000 for the failure to timely file a required form.</w:t>
      </w:r>
      <w:r>
        <w:rPr>
          <w:rStyle w:val="FootnoteReference"/>
          <w:sz w:val="22"/>
          <w:szCs w:val="22"/>
        </w:rPr>
        <w:footnoteReference w:id="13"/>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and gravity of the violation, and, with respect to the violator, the degree of culpability, any history of prior offenses, ability to pay, and such other matters as justice may require.”</w:t>
      </w:r>
      <w:r w:rsidRPr="00683723">
        <w:rPr>
          <w:rStyle w:val="FootnoteReference"/>
          <w:sz w:val="22"/>
          <w:szCs w:val="22"/>
        </w:rPr>
        <w:t xml:space="preserve"> </w:t>
      </w:r>
      <w:r>
        <w:rPr>
          <w:rStyle w:val="FootnoteReference"/>
          <w:sz w:val="22"/>
          <w:szCs w:val="22"/>
        </w:rPr>
        <w:footnoteReference w:id="14"/>
      </w:r>
    </w:p>
    <w:p w:rsidR="00EC604E" w:rsidRPr="00453EA6" w:rsidP="00453EA6" w14:paraId="7ABFA9EA" w14:textId="5043D5B0">
      <w:pPr>
        <w:pStyle w:val="ParaNum"/>
        <w:rPr>
          <w:color w:val="000000"/>
        </w:rPr>
      </w:pPr>
      <w:r>
        <w:t>In this case, the Licensee failed to file timely renewal application</w:t>
      </w:r>
      <w:r w:rsidR="00A04A74">
        <w:t>s</w:t>
      </w:r>
      <w:r>
        <w:t xml:space="preserve"> for the Station</w:t>
      </w:r>
      <w:r w:rsidR="00A04A74">
        <w:t>s</w:t>
      </w:r>
      <w:r>
        <w:t xml:space="preserve"> and has not provided any explanation for the untimely filing</w:t>
      </w:r>
      <w:r w:rsidR="006F087F">
        <w:t xml:space="preserve"> of those applications</w:t>
      </w:r>
      <w:r>
        <w:t>.  However, the Licensee did file the Application</w:t>
      </w:r>
      <w:r w:rsidR="006F087F">
        <w:t>s</w:t>
      </w:r>
      <w:r>
        <w:t xml:space="preserve"> prior to the </w:t>
      </w:r>
      <w:r w:rsidR="00811C19">
        <w:t>expiration date for</w:t>
      </w:r>
      <w:r>
        <w:t xml:space="preserve"> the Stations</w:t>
      </w:r>
      <w:r w:rsidR="006F087F">
        <w:t>’</w:t>
      </w:r>
      <w:r>
        <w:t xml:space="preserve"> license</w:t>
      </w:r>
      <w:r w:rsidR="006F087F">
        <w:t>s</w:t>
      </w:r>
      <w:r>
        <w:t xml:space="preserve">.  </w:t>
      </w:r>
      <w:r>
        <w:rPr>
          <w:szCs w:val="22"/>
        </w:rPr>
        <w:t xml:space="preserve">Taking into consideration all of the factors required by section 503(b)(2)(E) of the Act and the </w:t>
      </w:r>
      <w:r>
        <w:rPr>
          <w:i/>
          <w:szCs w:val="22"/>
        </w:rPr>
        <w:t>Forfeiture Policy Statement</w:t>
      </w:r>
      <w:r>
        <w:rPr>
          <w:szCs w:val="22"/>
        </w:rPr>
        <w:t xml:space="preserve">, </w:t>
      </w:r>
      <w:r w:rsidRPr="00745EDD" w:rsidR="00745EDD">
        <w:rPr>
          <w:szCs w:val="22"/>
        </w:rPr>
        <w:t>we propose the full $3,000 base forfeiture amount for the failure to file a timely renewal application</w:t>
      </w:r>
      <w:r w:rsidR="00745EDD">
        <w:rPr>
          <w:szCs w:val="22"/>
        </w:rPr>
        <w:t xml:space="preserve"> for WXKD(AM)</w:t>
      </w:r>
      <w:r w:rsidR="00322F76">
        <w:rPr>
          <w:szCs w:val="22"/>
        </w:rPr>
        <w:t xml:space="preserve">, and a reduced forfeiture of $1,500 for the failure to file a timely renewal application for </w:t>
      </w:r>
      <w:r w:rsidR="00453EA6">
        <w:rPr>
          <w:szCs w:val="22"/>
        </w:rPr>
        <w:t>W292HL</w:t>
      </w:r>
      <w:r w:rsidRPr="00453EA6">
        <w:rPr>
          <w:szCs w:val="22"/>
        </w:rPr>
        <w:t>.</w:t>
      </w:r>
      <w:r>
        <w:rPr>
          <w:rStyle w:val="FootnoteReference"/>
          <w:szCs w:val="22"/>
        </w:rPr>
        <w:footnoteReference w:id="15"/>
      </w:r>
      <w:r w:rsidRPr="00453EA6">
        <w:rPr>
          <w:szCs w:val="22"/>
        </w:rPr>
        <w:t xml:space="preserve"> </w:t>
      </w:r>
      <w:r>
        <w:t xml:space="preserve"> </w:t>
      </w:r>
    </w:p>
    <w:p w:rsidR="00AE2D78" w:rsidRPr="00683723" w:rsidP="00CB1BA6" w14:paraId="4B45A4B3" w14:textId="00EB2266">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16"/>
      </w:r>
      <w:r w:rsidRPr="00683723" w:rsidR="00A7120F">
        <w:rPr>
          <w:szCs w:val="22"/>
        </w:rPr>
        <w:t xml:space="preserve">  That section provides that if, upon consideration of the application and pleadings, we find that: </w:t>
      </w:r>
      <w:r w:rsidR="00CA7822">
        <w:rPr>
          <w:szCs w:val="22"/>
        </w:rPr>
        <w:t xml:space="preserve"> </w:t>
      </w:r>
      <w:r w:rsidRPr="00683723" w:rsidR="00A7120F">
        <w:rPr>
          <w:szCs w:val="22"/>
        </w:rP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17"/>
      </w:r>
      <w:r w:rsidRPr="00683723" w:rsidR="00A7120F">
        <w:rPr>
          <w:szCs w:val="22"/>
        </w:rPr>
        <w:t xml:space="preserve"> </w:t>
      </w:r>
      <w:r w:rsidRPr="00683723" w:rsidR="00A7120F">
        <w:rPr>
          <w:i/>
          <w:szCs w:val="22"/>
        </w:rPr>
        <w:t xml:space="preserve"> </w:t>
      </w:r>
      <w:r w:rsidRPr="00683723" w:rsidR="00A7120F">
        <w:rPr>
          <w:szCs w:val="22"/>
        </w:rPr>
        <w:t xml:space="preserve">If, however, the licensee fails to meet that standard, the Commission may deny </w:t>
      </w:r>
      <w:r w:rsidRPr="00683723" w:rsidR="00A7120F">
        <w:rPr>
          <w:szCs w:val="22"/>
        </w:rPr>
        <w:t>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18"/>
      </w:r>
    </w:p>
    <w:p w:rsidR="00A7120F" w:rsidRPr="00683723" w:rsidP="00CB1BA6" w14:paraId="3D5145C4" w14:textId="187735AE">
      <w:pPr>
        <w:pStyle w:val="ParaNum"/>
        <w:rPr>
          <w:szCs w:val="22"/>
        </w:rPr>
      </w:pPr>
      <w:r w:rsidRPr="00683723">
        <w:rPr>
          <w:szCs w:val="22"/>
        </w:rPr>
        <w:t>We find that</w:t>
      </w:r>
      <w:r w:rsidR="00807968">
        <w:rPr>
          <w:szCs w:val="22"/>
        </w:rPr>
        <w:t xml:space="preserve">, with respect to each of the Stations, </w:t>
      </w:r>
      <w:r w:rsidRPr="00683723">
        <w:rPr>
          <w:szCs w:val="22"/>
        </w:rPr>
        <w:t xml:space="preserve">the Licensee’s apparent violation of section 73.3539 of the Rules </w:t>
      </w:r>
      <w:r w:rsidR="00D31C28">
        <w:rPr>
          <w:szCs w:val="22"/>
        </w:rPr>
        <w:t>does</w:t>
      </w:r>
      <w:r w:rsidRPr="00683723">
        <w:rPr>
          <w:szCs w:val="22"/>
        </w:rPr>
        <w:t xml:space="preserve"> not constitute </w:t>
      </w:r>
      <w:r w:rsidR="00325D61">
        <w:rPr>
          <w:szCs w:val="22"/>
        </w:rPr>
        <w:t xml:space="preserve">a </w:t>
      </w:r>
      <w:r w:rsidRPr="00683723">
        <w:rPr>
          <w:szCs w:val="22"/>
        </w:rPr>
        <w:t xml:space="preserve">“serious violation” warranting designation of </w:t>
      </w:r>
      <w:r w:rsidR="006F66E5">
        <w:rPr>
          <w:szCs w:val="22"/>
        </w:rPr>
        <w:t>the</w:t>
      </w:r>
      <w:r w:rsidR="00A901C8">
        <w:rPr>
          <w:szCs w:val="22"/>
        </w:rPr>
        <w:t xml:space="preserve"> renewal application</w:t>
      </w:r>
      <w:r w:rsidRPr="00683723">
        <w:rPr>
          <w:szCs w:val="22"/>
        </w:rPr>
        <w:t xml:space="preserve"> for evidentiary hearing.  Moreover, we find no evidence of violations </w:t>
      </w:r>
      <w:r w:rsidR="006F66E5">
        <w:rPr>
          <w:szCs w:val="22"/>
        </w:rPr>
        <w:t xml:space="preserve">at either of the Stations </w:t>
      </w:r>
      <w:r w:rsidRPr="00683723">
        <w:rPr>
          <w:szCs w:val="22"/>
        </w:rPr>
        <w:t>that, when considered together, constitute a pattern of abuse.</w:t>
      </w:r>
      <w:r>
        <w:rPr>
          <w:rStyle w:val="FootnoteReference"/>
          <w:sz w:val="22"/>
          <w:szCs w:val="22"/>
        </w:rPr>
        <w:footnoteReference w:id="19"/>
      </w:r>
      <w:r w:rsidRPr="00683723">
        <w:rPr>
          <w:szCs w:val="22"/>
        </w:rPr>
        <w:t xml:space="preserve">  </w:t>
      </w:r>
      <w:r w:rsidRPr="00683723">
        <w:rPr>
          <w:spacing w:val="-2"/>
          <w:szCs w:val="22"/>
        </w:rPr>
        <w:t>Further, based on our review of the Application</w:t>
      </w:r>
      <w:r w:rsidR="00D55A7D">
        <w:rPr>
          <w:spacing w:val="-2"/>
          <w:szCs w:val="22"/>
        </w:rPr>
        <w:t>s</w:t>
      </w:r>
      <w:r w:rsidRPr="00683723">
        <w:rPr>
          <w:spacing w:val="-2"/>
          <w:szCs w:val="22"/>
        </w:rPr>
        <w:t xml:space="preserve">, we find that </w:t>
      </w:r>
      <w:r w:rsidR="006F66E5">
        <w:rPr>
          <w:spacing w:val="-2"/>
          <w:szCs w:val="22"/>
        </w:rPr>
        <w:t>each of the</w:t>
      </w:r>
      <w:r w:rsidRPr="00683723">
        <w:rPr>
          <w:szCs w:val="22"/>
        </w:rPr>
        <w:t xml:space="preserve"> Station</w:t>
      </w:r>
      <w:r w:rsidR="006F66E5">
        <w:rPr>
          <w:szCs w:val="22"/>
        </w:rPr>
        <w:t>s</w:t>
      </w:r>
      <w:r w:rsidRPr="00683723">
        <w:rPr>
          <w:szCs w:val="22"/>
        </w:rPr>
        <w:t xml:space="preserve"> served the public interest, convenience, and necessity during </w:t>
      </w:r>
      <w:r w:rsidR="00BC28C1">
        <w:rPr>
          <w:szCs w:val="22"/>
        </w:rPr>
        <w:t>the preceding</w:t>
      </w:r>
      <w:r w:rsidRPr="00683723">
        <w:rPr>
          <w:szCs w:val="22"/>
        </w:rPr>
        <w:t xml:space="preserve"> license term.  We will therefore grant </w:t>
      </w:r>
      <w:r w:rsidR="00D55A7D">
        <w:rPr>
          <w:szCs w:val="22"/>
        </w:rPr>
        <w:t xml:space="preserve">each </w:t>
      </w:r>
      <w:r w:rsidR="00807D83">
        <w:rPr>
          <w:szCs w:val="22"/>
        </w:rPr>
        <w:t xml:space="preserve">of </w:t>
      </w:r>
      <w:r w:rsidR="00E03FE8">
        <w:rPr>
          <w:szCs w:val="22"/>
        </w:rPr>
        <w:t>the</w:t>
      </w:r>
      <w:r w:rsidRPr="00683723">
        <w:rPr>
          <w:szCs w:val="22"/>
        </w:rPr>
        <w:t xml:space="preserve"> Application</w:t>
      </w:r>
      <w:r w:rsidR="00BC28C1">
        <w:rPr>
          <w:szCs w:val="22"/>
        </w:rPr>
        <w:t>s</w:t>
      </w:r>
      <w:r w:rsidRPr="00683723">
        <w:rPr>
          <w:szCs w:val="22"/>
        </w:rPr>
        <w:t xml:space="preserve"> by separate action upon the conclusion of this forfeiture proceeding if there are no issues other than the apparent violation that would preclude grant.</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CB1BA6" w14:paraId="5EFA09E3" w14:textId="7131B960">
      <w:pPr>
        <w:pStyle w:val="ParaNum"/>
        <w:rPr>
          <w:szCs w:val="22"/>
        </w:rPr>
      </w:pPr>
      <w:r w:rsidRPr="00683723">
        <w:rPr>
          <w:szCs w:val="22"/>
        </w:rPr>
        <w:t xml:space="preserve">Accordingly, </w:t>
      </w:r>
      <w:r w:rsidRPr="00683723">
        <w:rPr>
          <w:b/>
          <w:bCs/>
          <w:szCs w:val="22"/>
        </w:rPr>
        <w:t>IT IS ORDERED</w:t>
      </w:r>
      <w:r w:rsidRPr="00683723">
        <w:rPr>
          <w:szCs w:val="22"/>
        </w:rPr>
        <w:t xml:space="preserve">, pursuant to </w:t>
      </w:r>
      <w:r w:rsidRPr="008C0C80">
        <w:rPr>
          <w:szCs w:val="22"/>
        </w:rPr>
        <w:t xml:space="preserve">section 503(b) of the Communications Act of 1934, as amended, and section 1.80 of the FCC’s rules, </w:t>
      </w:r>
      <w:r w:rsidRPr="00453FF1">
        <w:rPr>
          <w:szCs w:val="22"/>
        </w:rPr>
        <w:t>that</w:t>
      </w:r>
      <w:r w:rsidRPr="00453FF1" w:rsidR="00A7120F">
        <w:rPr>
          <w:szCs w:val="22"/>
        </w:rPr>
        <w:t xml:space="preserve"> </w:t>
      </w:r>
      <w:r w:rsidR="008661E2">
        <w:rPr>
          <w:szCs w:val="22"/>
        </w:rPr>
        <w:t xml:space="preserve">Autaugaville Radio, </w:t>
      </w:r>
      <w:r w:rsidR="003C122C">
        <w:rPr>
          <w:szCs w:val="22"/>
        </w:rPr>
        <w:t>Inc.</w:t>
      </w:r>
      <w:r w:rsidR="00155950">
        <w:rPr>
          <w:szCs w:val="22"/>
        </w:rPr>
        <w:t>,</w:t>
      </w:r>
      <w:r w:rsidRPr="00453FF1" w:rsidR="00FF108E">
        <w:rPr>
          <w:szCs w:val="22"/>
        </w:rPr>
        <w:t xml:space="preserve">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004631DE">
        <w:rPr>
          <w:szCs w:val="22"/>
        </w:rPr>
        <w:t>four</w:t>
      </w:r>
      <w:r w:rsidRPr="00453FF1" w:rsidR="00A7120F">
        <w:rPr>
          <w:szCs w:val="22"/>
        </w:rPr>
        <w:t xml:space="preserve"> thousand </w:t>
      </w:r>
      <w:r w:rsidR="001D57A9">
        <w:rPr>
          <w:szCs w:val="22"/>
        </w:rPr>
        <w:t xml:space="preserve">five hundred </w:t>
      </w:r>
      <w:r w:rsidRPr="00453FF1">
        <w:rPr>
          <w:szCs w:val="22"/>
        </w:rPr>
        <w:t>dollars (</w:t>
      </w:r>
      <w:r w:rsidRPr="00453FF1" w:rsidR="008C0C80">
        <w:rPr>
          <w:szCs w:val="22"/>
        </w:rPr>
        <w:t>$</w:t>
      </w:r>
      <w:r w:rsidR="003C122C">
        <w:rPr>
          <w:szCs w:val="22"/>
        </w:rPr>
        <w:t>4</w:t>
      </w:r>
      <w:r w:rsidRPr="00453FF1" w:rsidR="008C0C80">
        <w:rPr>
          <w:szCs w:val="22"/>
        </w:rPr>
        <w:t>,</w:t>
      </w:r>
      <w:r w:rsidR="001D57A9">
        <w:rPr>
          <w:szCs w:val="22"/>
        </w:rPr>
        <w:t>5</w:t>
      </w:r>
      <w:r w:rsidRPr="00453FF1">
        <w:rPr>
          <w:szCs w:val="22"/>
        </w:rPr>
        <w:t>00) for</w:t>
      </w:r>
      <w:r w:rsidRPr="00683723">
        <w:rPr>
          <w:szCs w:val="22"/>
        </w:rPr>
        <w:t xml:space="preserve"> its apparent willful violation</w:t>
      </w:r>
      <w:r w:rsidR="003C122C">
        <w:rPr>
          <w:szCs w:val="22"/>
        </w:rPr>
        <w:t>s</w:t>
      </w:r>
      <w:r w:rsidRPr="00683723">
        <w:rPr>
          <w:szCs w:val="22"/>
        </w:rPr>
        <w:t xml:space="preserve"> of section 73.3539 of the</w:t>
      </w:r>
      <w:r w:rsidR="000437E9">
        <w:rPr>
          <w:szCs w:val="22"/>
        </w:rPr>
        <w:t xml:space="preserve"> FCC’s</w:t>
      </w:r>
      <w:r w:rsidRPr="00683723">
        <w:rPr>
          <w:szCs w:val="22"/>
        </w:rPr>
        <w:t xml:space="preserve"> </w:t>
      </w:r>
      <w:r w:rsidR="001B52E5">
        <w:rPr>
          <w:szCs w:val="22"/>
        </w:rPr>
        <w:t>r</w:t>
      </w:r>
      <w:r w:rsidRPr="00683723">
        <w:rPr>
          <w:szCs w:val="22"/>
        </w:rPr>
        <w:t xml:space="preserve">ules. </w:t>
      </w:r>
    </w:p>
    <w:p w:rsidR="00AE2D78" w:rsidRPr="00683723" w:rsidP="00CB1BA6" w14:paraId="395A452C" w14:textId="731E3B00">
      <w:pPr>
        <w:pStyle w:val="ParaNum"/>
        <w:rPr>
          <w:szCs w:val="22"/>
        </w:rPr>
      </w:pPr>
      <w:r w:rsidRPr="00683723">
        <w:rPr>
          <w:b/>
          <w:bCs/>
          <w:szCs w:val="22"/>
        </w:rPr>
        <w:t>IT IS FURTHER ORDERED</w:t>
      </w:r>
      <w:r w:rsidRPr="00683723">
        <w:rPr>
          <w:szCs w:val="22"/>
        </w:rPr>
        <w:t xml:space="preserve">, pursuant to section 1.80 of the </w:t>
      </w:r>
      <w:r w:rsidR="001B52E5">
        <w:rPr>
          <w:szCs w:val="22"/>
        </w:rPr>
        <w:t xml:space="preserve">FCC’s </w:t>
      </w:r>
      <w:r w:rsidRPr="00683723">
        <w:rPr>
          <w:szCs w:val="22"/>
        </w:rPr>
        <w:t xml:space="preserve">Rules, that, within thirty (30) days of the release date of this </w:t>
      </w:r>
      <w:r w:rsidRPr="00683723">
        <w:rPr>
          <w:i/>
          <w:szCs w:val="22"/>
        </w:rPr>
        <w:t xml:space="preserve">NAL, </w:t>
      </w:r>
      <w:r w:rsidR="003C122C">
        <w:rPr>
          <w:szCs w:val="22"/>
        </w:rPr>
        <w:t>Autaugaville Radio, Inc.</w:t>
      </w:r>
      <w:r w:rsidR="00155950">
        <w:rPr>
          <w:szCs w:val="22"/>
        </w:rPr>
        <w:t>,</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proposed forfeiture.</w:t>
      </w:r>
    </w:p>
    <w:p w:rsidR="00A7120F" w:rsidRPr="00683723" w:rsidP="00A7120F" w14:paraId="0F97A004" w14:textId="77777777">
      <w:pPr>
        <w:pStyle w:val="ParaNum"/>
        <w:rPr>
          <w:szCs w:val="22"/>
        </w:rPr>
      </w:pPr>
      <w:r w:rsidRPr="00683723">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0"/>
      </w:r>
      <w:r w:rsidRPr="00683723">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1"/>
      </w:r>
      <w:r w:rsidRPr="00683723">
        <w:rPr>
          <w:szCs w:val="22"/>
        </w:rPr>
        <w:t xml:space="preserve"> </w:t>
      </w:r>
    </w:p>
    <w:p w:rsidR="00A7120F" w:rsidRPr="00683723" w:rsidP="00323257" w14:paraId="46E28608" w14:textId="70CF25A8">
      <w:pPr>
        <w:widowControl/>
        <w:numPr>
          <w:ilvl w:val="0"/>
          <w:numId w:val="12"/>
        </w:numPr>
        <w:spacing w:after="120"/>
        <w:rPr>
          <w:b/>
          <w:szCs w:val="22"/>
        </w:rPr>
      </w:pPr>
      <w:r w:rsidRPr="00683723">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8082F" w:rsidR="008C0C80">
          <w:rPr>
            <w:rStyle w:val="Hyperlink"/>
            <w:szCs w:val="22"/>
          </w:rPr>
          <w:t>RROGWireFaxes@fcc.gov</w:t>
        </w:r>
      </w:hyperlink>
      <w:r w:rsidRPr="00683723">
        <w:rPr>
          <w:szCs w:val="22"/>
        </w:rPr>
        <w:t xml:space="preserve"> on the same business day the wire transfer is initiated.  Failure to provide all required information in Form 159 may result in payment not being recognized as having been received.  When completing FCC Form 159, enter the </w:t>
      </w:r>
      <w:r w:rsidR="00E03544">
        <w:rPr>
          <w:szCs w:val="22"/>
        </w:rPr>
        <w:t>NAL/</w:t>
      </w:r>
      <w:r w:rsidRPr="00683723">
        <w:rPr>
          <w:szCs w:val="22"/>
        </w:rPr>
        <w:t xml:space="preserve">Account Number in block number 23A (call sign/other ID), enter the letters “FORF” in block number 24A (payment type code), and enter in block number 11 the FRN(s) captioned above (Payor </w:t>
      </w:r>
      <w:r w:rsidRPr="00683723">
        <w:rPr>
          <w:szCs w:val="22"/>
        </w:rPr>
        <w:t>FRN).</w:t>
      </w:r>
      <w:r>
        <w:rPr>
          <w:rStyle w:val="FootnoteReference"/>
          <w:sz w:val="22"/>
          <w:szCs w:val="22"/>
        </w:rPr>
        <w:footnoteReference w:id="22"/>
      </w:r>
      <w:r w:rsidRPr="00683723">
        <w:rPr>
          <w:szCs w:val="22"/>
        </w:rPr>
        <w:t xml:space="preserve">  For additional detail and wire transfer instructions, go to </w:t>
      </w:r>
      <w:hyperlink r:id="rId6" w:history="1">
        <w:r w:rsidRPr="0028082F" w:rsidR="003A176B">
          <w:rPr>
            <w:rStyle w:val="Hyperlink"/>
            <w:szCs w:val="22"/>
          </w:rPr>
          <w:t>https://www.fcc.gov/licensing-databases/fees/wire-transfer</w:t>
        </w:r>
      </w:hyperlink>
      <w:r w:rsidRPr="00683723">
        <w:rPr>
          <w:szCs w:val="22"/>
        </w:rPr>
        <w:t>.</w:t>
      </w:r>
    </w:p>
    <w:p w:rsidR="00A7120F" w:rsidRPr="00683723" w:rsidP="00A7120F" w14:paraId="7B3CACCE" w14:textId="28081D05">
      <w:pPr>
        <w:numPr>
          <w:ilvl w:val="0"/>
          <w:numId w:val="12"/>
        </w:numPr>
        <w:spacing w:after="120"/>
        <w:rPr>
          <w:b/>
          <w:szCs w:val="22"/>
        </w:rPr>
      </w:pPr>
      <w:r w:rsidRPr="00683723">
        <w:rPr>
          <w:szCs w:val="22"/>
        </w:rPr>
        <w:t xml:space="preserve">Payment by credit card must be made by using the Commission’s Fee Filer website at </w:t>
      </w:r>
      <w:hyperlink r:id="rId7" w:history="1">
        <w:r w:rsidRPr="0028082F" w:rsidR="003A176B">
          <w:rPr>
            <w:rStyle w:val="Hyperlink"/>
            <w:szCs w:val="22"/>
          </w:rPr>
          <w:t>https://apps.fcc.gov/FeeFiler/login.cfm</w:t>
        </w:r>
      </w:hyperlink>
      <w:r w:rsidRPr="00683723">
        <w:rPr>
          <w:szCs w:val="22"/>
        </w:rPr>
        <w:t>.  To pay by credit card, log in using the FRN captioned above.  If payment must be split across FRNs, complete this process for each FRN.  Next, select “Pay bills” on the Fee Filer Menu, and select the bill number associated with the NAL</w:t>
      </w:r>
      <w:r w:rsidR="00E03544">
        <w:rPr>
          <w:szCs w:val="22"/>
        </w:rPr>
        <w:t xml:space="preserve"> </w:t>
      </w:r>
      <w:r w:rsidRPr="00683723">
        <w:rPr>
          <w:szCs w:val="22"/>
        </w:rPr>
        <w:t>Account—the bill number is the NAL</w:t>
      </w:r>
      <w:r w:rsidR="00E03544">
        <w:rPr>
          <w:szCs w:val="22"/>
        </w:rPr>
        <w:t>/</w:t>
      </w:r>
      <w:r w:rsidRPr="00683723">
        <w:rPr>
          <w:szCs w:val="22"/>
        </w:rPr>
        <w:t xml:space="preserve">Account </w:t>
      </w:r>
      <w:r w:rsidR="00E03544">
        <w:rPr>
          <w:szCs w:val="22"/>
        </w:rPr>
        <w:t>Number</w:t>
      </w:r>
      <w:r w:rsidRPr="00683723">
        <w:rPr>
          <w:szCs w:val="22"/>
        </w:rPr>
        <w:t xml:space="preserve"> with the first two digits excluded—and then choose the “Pay by Credit Card” option.  Please note that there is a dollar limitation on credit card transactions, which cannot exceed $24,999.99.</w:t>
      </w:r>
    </w:p>
    <w:p w:rsidR="00A7120F" w:rsidRPr="00683723" w:rsidP="007F5303" w14:paraId="61BE5B1D" w14:textId="7F94DB3B">
      <w:pPr>
        <w:widowControl/>
        <w:numPr>
          <w:ilvl w:val="0"/>
          <w:numId w:val="12"/>
        </w:numPr>
        <w:spacing w:after="120"/>
        <w:rPr>
          <w:spacing w:val="-2"/>
          <w:szCs w:val="22"/>
        </w:rPr>
      </w:pPr>
      <w:r w:rsidRPr="00683723">
        <w:rPr>
          <w:szCs w:val="22"/>
        </w:rPr>
        <w:t xml:space="preserve">Payment by ACH must be made by using the Commission’s Fee Filer website at </w:t>
      </w:r>
      <w:hyperlink r:id="rId7" w:history="1">
        <w:r w:rsidRPr="0028082F" w:rsidR="003A176B">
          <w:rPr>
            <w:rStyle w:val="Hyperlink"/>
            <w:szCs w:val="22"/>
          </w:rPr>
          <w:t>https://apps.fcc.gov/FeeFiler/login.cfm</w:t>
        </w:r>
      </w:hyperlink>
      <w:r w:rsidRPr="00683723">
        <w:rPr>
          <w:szCs w:val="22"/>
        </w:rPr>
        <w:t xml:space="preserve">.  To pay by ACH, log in using the FRN captioned above.  If payment must be split across FRNs, complete this process for each FRN.  Next, select “Pay bills” on the Fee Filer Menu and then select the bill number associated to the NAL Account—the bill number is the NAL Account </w:t>
      </w:r>
      <w:r w:rsidR="00E03544">
        <w:rPr>
          <w:szCs w:val="22"/>
        </w:rPr>
        <w:t>N</w:t>
      </w:r>
      <w:r w:rsidRPr="00683723">
        <w:rPr>
          <w:szCs w:val="22"/>
        </w:rPr>
        <w:t>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0485" w:rsidRPr="00146D8A" w:rsidP="005B0485" w14:paraId="5BA7D8F7" w14:textId="77777777">
      <w:pPr>
        <w:pStyle w:val="ParaNum"/>
      </w:pPr>
      <w:bookmarkStart w:id="1" w:name="_Hlk66094492"/>
      <w:r w:rsidRPr="00264220">
        <w:t xml:space="preserve">Any request for making full payment over time under an installment plan should be sent to:  </w:t>
      </w:r>
      <w:r>
        <w:t>Revenue and Receivables Operations Group</w:t>
      </w:r>
      <w:r w:rsidRPr="00264220">
        <w:t xml:space="preserve">—Financial Operations, Federal Communications Commission, </w:t>
      </w:r>
      <w:r>
        <w:t>45 L Street NE</w:t>
      </w:r>
      <w:r w:rsidRPr="00264220">
        <w:t>, Washington, DC 20554</w:t>
      </w:r>
      <w:r>
        <w:t xml:space="preserve">, </w:t>
      </w:r>
      <w:r w:rsidRPr="00264220">
        <w:t xml:space="preserve">or by e-mail, </w:t>
      </w:r>
      <w:hyperlink r:id="rId8" w:history="1">
        <w:r w:rsidRPr="00264220">
          <w:rPr>
            <w:rStyle w:val="Hyperlink"/>
          </w:rPr>
          <w:t>ARINQUIRIES@fcc.gov</w:t>
        </w:r>
      </w:hyperlink>
      <w:r w:rsidRPr="00264220">
        <w:t>.</w:t>
      </w:r>
      <w:r>
        <w:rPr>
          <w:vertAlign w:val="superscript"/>
        </w:rPr>
        <w:footnoteReference w:id="23"/>
      </w:r>
      <w:r w:rsidRPr="00264220">
        <w:t xml:space="preserve">  Questions regarding payment procedures should be directed to the Financial Operations Group Help Desk by phone, 1-877-480-3201</w:t>
      </w:r>
      <w:r>
        <w:t xml:space="preserve"> (option #6)</w:t>
      </w:r>
      <w:r w:rsidRPr="00264220">
        <w:t xml:space="preserve">, or by e-mail, </w:t>
      </w:r>
      <w:hyperlink r:id="rId8" w:history="1">
        <w:r w:rsidRPr="00264220">
          <w:rPr>
            <w:rStyle w:val="Hyperlink"/>
          </w:rPr>
          <w:t>ARINQUIRIES@fcc.gov</w:t>
        </w:r>
      </w:hyperlink>
      <w:r w:rsidRPr="00264220">
        <w:t>.</w:t>
      </w:r>
    </w:p>
    <w:bookmarkEnd w:id="1"/>
    <w:p w:rsidR="00A7120F" w:rsidRPr="00683723" w:rsidP="00A7120F" w14:paraId="2A3CD39E" w14:textId="7F469FC3">
      <w:pPr>
        <w:pStyle w:val="ParaNum"/>
        <w:rPr>
          <w:szCs w:val="22"/>
        </w:rPr>
      </w:pPr>
      <w:r w:rsidRPr="00683723">
        <w:rPr>
          <w:szCs w:val="22"/>
        </w:rPr>
        <w:t xml:space="preserve">Any written response seeking reduction or cancellation of the proposed forfeiture  must include a detailed factual statement supported by appropriate documentation and affidavits pursuant to sections 1.16 </w:t>
      </w:r>
      <w:r w:rsidRPr="00B529DB">
        <w:rPr>
          <w:szCs w:val="22"/>
        </w:rPr>
        <w:t>and 1.80(</w:t>
      </w:r>
      <w:r w:rsidR="00540DA6">
        <w:rPr>
          <w:szCs w:val="22"/>
        </w:rPr>
        <w:t>g</w:t>
      </w:r>
      <w:r w:rsidRPr="00B529DB">
        <w:rPr>
          <w:szCs w:val="22"/>
        </w:rPr>
        <w:t>)(3) of</w:t>
      </w:r>
      <w:r w:rsidRPr="00683723">
        <w:rPr>
          <w:szCs w:val="22"/>
        </w:rPr>
        <w:t xml:space="preserve"> the Commission’s </w:t>
      </w:r>
      <w:r w:rsidR="001B52E5">
        <w:rPr>
          <w:szCs w:val="22"/>
        </w:rPr>
        <w:t>R</w:t>
      </w:r>
      <w:r w:rsidRPr="00683723">
        <w:rPr>
          <w:szCs w:val="22"/>
        </w:rPr>
        <w:t>ules.</w:t>
      </w:r>
      <w:r>
        <w:rPr>
          <w:rStyle w:val="FootnoteReference"/>
          <w:sz w:val="22"/>
          <w:szCs w:val="22"/>
        </w:rPr>
        <w:footnoteReference w:id="24"/>
      </w:r>
      <w:r w:rsidRPr="00683723">
        <w:rPr>
          <w:szCs w:val="22"/>
        </w:rPr>
        <w:t xml:space="preserve">  The written response must be filed with the Office of the Secretary, Federal Communications Commission, 45 L Street NE, Washington DC 20554, ATTN: Albert Shuldiner, Chief, Audio Division, Media Bureau, and </w:t>
      </w:r>
      <w:r w:rsidRPr="00683723">
        <w:rPr>
          <w:b/>
          <w:szCs w:val="22"/>
        </w:rPr>
        <w:t>MUST INCLUDE</w:t>
      </w:r>
      <w:r w:rsidRPr="00683723">
        <w:rPr>
          <w:szCs w:val="22"/>
        </w:rPr>
        <w:t xml:space="preserve"> the NAL/Acct. N</w:t>
      </w:r>
      <w:r w:rsidR="00872515">
        <w:rPr>
          <w:szCs w:val="22"/>
        </w:rPr>
        <w:t>umber</w:t>
      </w:r>
      <w:r w:rsidRPr="00683723">
        <w:rPr>
          <w:szCs w:val="22"/>
        </w:rPr>
        <w:t xml:space="preserve">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 w:val="22"/>
          <w:szCs w:val="22"/>
        </w:rPr>
        <w:footnoteReference w:id="25"/>
      </w:r>
    </w:p>
    <w:p w:rsidR="00A7120F" w:rsidRPr="00683723" w:rsidP="00A7120F" w14:paraId="7A8F22FF" w14:textId="77777777">
      <w:pPr>
        <w:pStyle w:val="ParaNum"/>
        <w:numPr>
          <w:ilvl w:val="0"/>
          <w:numId w:val="13"/>
        </w:numPr>
        <w:rPr>
          <w:szCs w:val="22"/>
        </w:rPr>
      </w:pPr>
      <w:r w:rsidRPr="00683723">
        <w:rPr>
          <w:szCs w:val="22"/>
        </w:rPr>
        <w:t xml:space="preserve">Commercial overnight mail (other than U.S. Postal Service Express Mail and Priority Mail) must be sent to 9050 Junction Drive, Annapolis Junction, MD 20701. </w:t>
      </w:r>
    </w:p>
    <w:p w:rsidR="00A7120F" w:rsidRPr="00683723" w:rsidP="00A7120F" w14:paraId="603E7F3B" w14:textId="77777777">
      <w:pPr>
        <w:pStyle w:val="ParaNum"/>
        <w:numPr>
          <w:ilvl w:val="0"/>
          <w:numId w:val="13"/>
        </w:numPr>
        <w:rPr>
          <w:szCs w:val="22"/>
        </w:rPr>
      </w:pPr>
      <w:r w:rsidRPr="00683723">
        <w:rPr>
          <w:szCs w:val="22"/>
        </w:rPr>
        <w:t>Postal Service first-class, Express, and Priority mail must be addressed to 45 L Street, NE, Washington, DC 20554.</w:t>
      </w:r>
    </w:p>
    <w:p w:rsidR="00A7120F" w:rsidRPr="00683723" w:rsidP="00A7120F" w14:paraId="58A3D82B" w14:textId="0F9FFD83">
      <w:pPr>
        <w:pStyle w:val="ParaNum"/>
        <w:rPr>
          <w:szCs w:val="22"/>
        </w:rPr>
      </w:pPr>
      <w:r w:rsidRPr="00683723">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w:t>
      </w:r>
      <w:r w:rsidRPr="00683723">
        <w:rPr>
          <w:szCs w:val="22"/>
        </w:rPr>
        <w:t xml:space="preserve">current financial status.  Any claim of inability to pay must specifically identify the basis for the claim by reference to the financial documentation submitted. </w:t>
      </w:r>
      <w:r w:rsidR="00447598">
        <w:rPr>
          <w:szCs w:val="22"/>
        </w:rPr>
        <w:t xml:space="preserve"> </w:t>
      </w:r>
      <w:r w:rsidRPr="00683723">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vertAlign w:val="superscript"/>
        </w:rPr>
        <w:footnoteReference w:id="26"/>
      </w:r>
      <w:r w:rsidRPr="00683723">
        <w:rPr>
          <w:szCs w:val="22"/>
        </w:rPr>
        <w:t xml:space="preserve">  </w:t>
      </w:r>
    </w:p>
    <w:p w:rsidR="00AE2D78" w:rsidRPr="00683723" w:rsidP="00196EC8" w14:paraId="494E0E00" w14:textId="05DABCEE">
      <w:pPr>
        <w:pStyle w:val="ParaNum"/>
      </w:pPr>
      <w:r w:rsidRPr="00196EC8">
        <w:rPr>
          <w:b/>
          <w:bCs/>
        </w:rPr>
        <w:t>IT IS FURTHER ORDERED</w:t>
      </w:r>
      <w:r w:rsidRPr="00683723">
        <w:t xml:space="preserve"> that a copy of this </w:t>
      </w:r>
      <w:r w:rsidRPr="00196EC8" w:rsidR="002521B2">
        <w:rPr>
          <w:i/>
          <w:iCs/>
        </w:rPr>
        <w:t>NAL</w:t>
      </w:r>
      <w:r w:rsidRPr="00683723">
        <w:t xml:space="preserve"> shall be sent, by First Class and Certified Mail, Return Receipt Requested, to</w:t>
      </w:r>
      <w:r w:rsidR="00344C27">
        <w:t xml:space="preserve"> </w:t>
      </w:r>
      <w:r w:rsidR="00344C27">
        <w:rPr>
          <w:szCs w:val="22"/>
        </w:rPr>
        <w:t>Autaugaville Radio, Inc.</w:t>
      </w:r>
      <w:r w:rsidR="00AC2DD4">
        <w:t>,</w:t>
      </w:r>
      <w:r w:rsidR="00196EC8">
        <w:t xml:space="preserve"> </w:t>
      </w:r>
      <w:r w:rsidR="00344C27">
        <w:t xml:space="preserve">c/o Roscoe Miller, P.O. Box </w:t>
      </w:r>
      <w:r w:rsidR="00492FE6">
        <w:t>369, Greenville, AL 36037</w:t>
      </w:r>
      <w:r w:rsidR="00196EC8">
        <w:t xml:space="preserve">, and </w:t>
      </w:r>
      <w:r w:rsidR="00B24B26">
        <w:t xml:space="preserve">its counsel, </w:t>
      </w:r>
      <w:r w:rsidR="00492FE6">
        <w:t>Cary S. Tepper</w:t>
      </w:r>
      <w:r w:rsidR="00D42B3B">
        <w:t xml:space="preserve">, Esq., </w:t>
      </w:r>
      <w:r w:rsidR="00492FE6">
        <w:t>Tepper Law Firm, LLC</w:t>
      </w:r>
      <w:r w:rsidR="00CB58E8">
        <w:t xml:space="preserve">, </w:t>
      </w:r>
      <w:r w:rsidR="00354B13">
        <w:t>4900 Auburn Avenue</w:t>
      </w:r>
      <w:r w:rsidR="00D42B3B">
        <w:t>,</w:t>
      </w:r>
      <w:r w:rsidR="00CB58E8">
        <w:t xml:space="preserve"> </w:t>
      </w:r>
      <w:r w:rsidR="00354B13">
        <w:t>Suite 100, Bethesda</w:t>
      </w:r>
      <w:r w:rsidR="00A07187">
        <w:t xml:space="preserve">, </w:t>
      </w:r>
      <w:r w:rsidR="00354B13">
        <w:t>MD</w:t>
      </w:r>
      <w:r w:rsidR="00A07187">
        <w:t xml:space="preserve"> </w:t>
      </w:r>
      <w:r w:rsidR="00354B13">
        <w:t>20814</w:t>
      </w:r>
      <w:r w:rsidR="00D42B3B">
        <w:t>.</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3672" w14:paraId="6E6C3A03" w14:textId="77777777">
      <w:r>
        <w:separator/>
      </w:r>
    </w:p>
  </w:footnote>
  <w:footnote w:type="continuationSeparator" w:id="1">
    <w:p w:rsidR="00033672" w:rsidP="00C721AC" w14:paraId="4C40325B" w14:textId="77777777">
      <w:pPr>
        <w:spacing w:before="120"/>
        <w:rPr>
          <w:sz w:val="20"/>
        </w:rPr>
      </w:pPr>
      <w:r>
        <w:rPr>
          <w:sz w:val="20"/>
        </w:rPr>
        <w:t xml:space="preserve">(Continued from previous page)  </w:t>
      </w:r>
      <w:r>
        <w:rPr>
          <w:sz w:val="20"/>
        </w:rPr>
        <w:separator/>
      </w:r>
    </w:p>
  </w:footnote>
  <w:footnote w:type="continuationNotice" w:id="2">
    <w:p w:rsidR="00033672" w:rsidP="00C721AC" w14:paraId="75F75B29" w14:textId="77777777">
      <w:pPr>
        <w:jc w:val="right"/>
        <w:rPr>
          <w:sz w:val="20"/>
        </w:rPr>
      </w:pPr>
    </w:p>
  </w:footnote>
  <w:footnote w:id="3">
    <w:p w:rsidR="00CB1BA6" w14:paraId="4EC9954F" w14:textId="14DDEC82">
      <w:pPr>
        <w:pStyle w:val="FootnoteText"/>
      </w:pPr>
      <w:r>
        <w:rPr>
          <w:rStyle w:val="FootnoteReference"/>
        </w:rPr>
        <w:footnoteRef/>
      </w:r>
      <w:r>
        <w:t xml:space="preserve"> </w:t>
      </w:r>
      <w:r w:rsidR="000377BF">
        <w:t xml:space="preserve">Application </w:t>
      </w:r>
      <w:r>
        <w:t>File No</w:t>
      </w:r>
      <w:r w:rsidR="000365B8">
        <w:t>s</w:t>
      </w:r>
      <w:r>
        <w:t>.</w:t>
      </w:r>
      <w:r w:rsidR="000365B8">
        <w:t xml:space="preserve"> </w:t>
      </w:r>
      <w:r w:rsidRPr="00995EAA" w:rsidR="00CB5E16">
        <w:rPr>
          <w:szCs w:val="22"/>
        </w:rPr>
        <w:t>0000150480</w:t>
      </w:r>
      <w:r w:rsidR="00CB5E16">
        <w:rPr>
          <w:szCs w:val="22"/>
        </w:rPr>
        <w:t xml:space="preserve">, </w:t>
      </w:r>
      <w:r w:rsidRPr="00A941E1" w:rsidR="00F178D2">
        <w:rPr>
          <w:szCs w:val="22"/>
        </w:rPr>
        <w:t>0000150482</w:t>
      </w:r>
      <w:r w:rsidR="00F178D2">
        <w:rPr>
          <w:szCs w:val="22"/>
        </w:rPr>
        <w:t>.</w:t>
      </w:r>
    </w:p>
  </w:footnote>
  <w:footnote w:id="4">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00095C" w:rsidP="0000095C" w14:paraId="2EF07F26" w14:textId="77777777">
      <w:pPr>
        <w:pStyle w:val="FootnoteText"/>
      </w:pPr>
      <w:r>
        <w:rPr>
          <w:rStyle w:val="FootnoteReference"/>
        </w:rPr>
        <w:footnoteRef/>
      </w:r>
      <w:r>
        <w:t xml:space="preserve"> </w:t>
      </w:r>
      <w:r>
        <w:rPr>
          <w:i/>
        </w:rPr>
        <w:t xml:space="preserve">See </w:t>
      </w:r>
      <w:r>
        <w:t>47 CFR § 73.3539.</w:t>
      </w:r>
    </w:p>
  </w:footnote>
  <w:footnote w:id="6">
    <w:p w:rsidR="003364B8" w:rsidP="003364B8" w14:paraId="6E974E4C" w14:textId="1C472003">
      <w:pPr>
        <w:pStyle w:val="FootnoteText"/>
      </w:pPr>
      <w:r>
        <w:rPr>
          <w:rStyle w:val="FootnoteReference"/>
        </w:rPr>
        <w:footnoteRef/>
      </w:r>
      <w:r>
        <w:t xml:space="preserve"> </w:t>
      </w:r>
      <w:r w:rsidRPr="001B5039" w:rsidR="001B5039">
        <w:rPr>
          <w:i/>
          <w:iCs/>
        </w:rPr>
        <w:t>Id</w:t>
      </w:r>
      <w:r w:rsidR="001B5039">
        <w:t>.</w:t>
      </w:r>
      <w:r>
        <w:t xml:space="preserve"> § 73.3539(a).</w:t>
      </w:r>
    </w:p>
  </w:footnote>
  <w:footnote w:id="7">
    <w:p w:rsidR="003364B8" w:rsidP="003364B8" w14:paraId="3DA3B6D1" w14:textId="51E161F9">
      <w:pPr>
        <w:pStyle w:val="FootnoteText"/>
      </w:pPr>
      <w:r>
        <w:rPr>
          <w:rStyle w:val="FootnoteReference"/>
        </w:rPr>
        <w:footnoteRef/>
      </w:r>
      <w:r>
        <w:t xml:space="preserve"> </w:t>
      </w:r>
      <w:r>
        <w:rPr>
          <w:i/>
        </w:rPr>
        <w:t>See</w:t>
      </w:r>
      <w:r>
        <w:t xml:space="preserve"> </w:t>
      </w:r>
      <w:r w:rsidRPr="00C8477A" w:rsidR="00C8477A">
        <w:rPr>
          <w:i/>
          <w:iCs/>
        </w:rPr>
        <w:t>id</w:t>
      </w:r>
      <w:r w:rsidR="00C8477A">
        <w:t>.</w:t>
      </w:r>
      <w:r w:rsidR="004E31B9">
        <w:t xml:space="preserve">  </w:t>
      </w:r>
      <w:r w:rsidRPr="004E31B9" w:rsidR="004E31B9">
        <w:rPr>
          <w:i/>
          <w:iCs/>
        </w:rPr>
        <w:t>See also</w:t>
      </w:r>
      <w:r w:rsidR="004E31B9">
        <w:t xml:space="preserve"> </w:t>
      </w:r>
      <w:r w:rsidR="00A0748F">
        <w:rPr>
          <w:i/>
          <w:iCs/>
        </w:rPr>
        <w:t xml:space="preserve">Brantley Broad. </w:t>
      </w:r>
      <w:r w:rsidR="003164B7">
        <w:rPr>
          <w:i/>
          <w:iCs/>
        </w:rPr>
        <w:t>Assoc.</w:t>
      </w:r>
      <w:r w:rsidR="00A0748F">
        <w:rPr>
          <w:i/>
          <w:iCs/>
        </w:rPr>
        <w:t>, LLC</w:t>
      </w:r>
      <w:r w:rsidR="00C02ABB">
        <w:t xml:space="preserve">, </w:t>
      </w:r>
      <w:r w:rsidR="003A7459">
        <w:t>Application File No</w:t>
      </w:r>
      <w:r w:rsidR="003164B7">
        <w:t>s. 0000094179, 00000</w:t>
      </w:r>
      <w:r w:rsidR="007746B0">
        <w:t>94180</w:t>
      </w:r>
      <w:r w:rsidR="004E31B9">
        <w:t>,</w:t>
      </w:r>
      <w:r w:rsidR="003A7459">
        <w:t xml:space="preserve"> Letter </w:t>
      </w:r>
      <w:r w:rsidR="00C02ABB">
        <w:t>Order</w:t>
      </w:r>
      <w:r w:rsidR="003A7459">
        <w:t xml:space="preserve"> </w:t>
      </w:r>
      <w:r w:rsidR="00E771A2">
        <w:t xml:space="preserve">(MB </w:t>
      </w:r>
      <w:r w:rsidR="007746B0">
        <w:t>Aug. 21</w:t>
      </w:r>
      <w:r w:rsidR="00507BF1">
        <w:t>, 2020</w:t>
      </w:r>
      <w:r w:rsidR="00E771A2">
        <w:t>) (</w:t>
      </w:r>
      <w:r w:rsidR="007264AA">
        <w:t>renewing Stations</w:t>
      </w:r>
      <w:r w:rsidR="007746B0">
        <w:t>’</w:t>
      </w:r>
      <w:r w:rsidR="007264AA">
        <w:t xml:space="preserve"> license</w:t>
      </w:r>
      <w:r w:rsidR="007746B0">
        <w:t>s</w:t>
      </w:r>
      <w:r w:rsidR="007264AA">
        <w:t xml:space="preserve"> for a renewal period of one year</w:t>
      </w:r>
      <w:r w:rsidR="00553FC2">
        <w:t>)</w:t>
      </w:r>
      <w:r w:rsidR="00D66DD6">
        <w:t xml:space="preserve">; </w:t>
      </w:r>
      <w:r w:rsidRPr="004E31B9" w:rsidR="00D66DD6">
        <w:rPr>
          <w:i/>
          <w:iCs/>
        </w:rPr>
        <w:t>Actions</w:t>
      </w:r>
      <w:r w:rsidR="00D66DD6">
        <w:t xml:space="preserve">, Public Notice, </w:t>
      </w:r>
      <w:r w:rsidR="0035066D">
        <w:t>Report No</w:t>
      </w:r>
      <w:r w:rsidRPr="0035066D" w:rsidR="0035066D">
        <w:t xml:space="preserve">. </w:t>
      </w:r>
      <w:r w:rsidRPr="00EA3A2F" w:rsidR="00EA3A2F">
        <w:t>PN-2-200825-01</w:t>
      </w:r>
      <w:r w:rsidR="00121F6D">
        <w:t xml:space="preserve">, at </w:t>
      </w:r>
      <w:r w:rsidR="00296235">
        <w:t>3, 4</w:t>
      </w:r>
      <w:r w:rsidR="00121F6D">
        <w:t xml:space="preserve"> (MB </w:t>
      </w:r>
      <w:r w:rsidR="00EA3A2F">
        <w:t>Aug.</w:t>
      </w:r>
      <w:r w:rsidR="0035066D">
        <w:t xml:space="preserve"> 2</w:t>
      </w:r>
      <w:r w:rsidR="00EA3A2F">
        <w:t>5</w:t>
      </w:r>
      <w:r w:rsidR="0035066D">
        <w:t>, 2020</w:t>
      </w:r>
      <w:r w:rsidR="00121F6D">
        <w:t>)</w:t>
      </w:r>
      <w:r w:rsidR="00553FC2">
        <w:t>.</w:t>
      </w:r>
      <w:r w:rsidR="00BD00E0">
        <w:t xml:space="preserve">  </w:t>
      </w:r>
      <w:r w:rsidR="00FC14B3">
        <w:t>The Licensee acquired the Stations</w:t>
      </w:r>
      <w:r w:rsidR="0004208D">
        <w:t>’</w:t>
      </w:r>
      <w:r w:rsidR="00FC14B3">
        <w:t xml:space="preserve"> license</w:t>
      </w:r>
      <w:r w:rsidR="00CC4936">
        <w:t>s</w:t>
      </w:r>
      <w:r w:rsidR="00FC14B3">
        <w:t xml:space="preserve"> </w:t>
      </w:r>
      <w:r w:rsidR="001C0288">
        <w:t>from</w:t>
      </w:r>
      <w:r w:rsidR="0004208D">
        <w:t xml:space="preserve"> Brantley </w:t>
      </w:r>
      <w:r w:rsidR="00EF4895">
        <w:t>Broad</w:t>
      </w:r>
      <w:r w:rsidR="00025B5B">
        <w:t xml:space="preserve">cast </w:t>
      </w:r>
      <w:r w:rsidR="00EF4895">
        <w:t>Asso</w:t>
      </w:r>
      <w:r w:rsidR="00025B5B">
        <w:t>ciates</w:t>
      </w:r>
      <w:r w:rsidR="00EF4895">
        <w:t>, LLC</w:t>
      </w:r>
      <w:r w:rsidR="001C0288">
        <w:t xml:space="preserve">, </w:t>
      </w:r>
      <w:r w:rsidR="00FC14B3">
        <w:t>o</w:t>
      </w:r>
      <w:r w:rsidR="00EF4895">
        <w:t xml:space="preserve">n </w:t>
      </w:r>
      <w:r w:rsidR="000765C8">
        <w:t>October 9, 2020</w:t>
      </w:r>
      <w:r w:rsidR="00FC14B3">
        <w:t>.</w:t>
      </w:r>
      <w:r w:rsidR="001C0288">
        <w:t xml:space="preserve">  </w:t>
      </w:r>
      <w:r w:rsidRPr="004F7C5A" w:rsidR="001C0288">
        <w:rPr>
          <w:i/>
          <w:iCs/>
        </w:rPr>
        <w:t>See</w:t>
      </w:r>
      <w:r w:rsidR="001C0288">
        <w:t xml:space="preserve"> </w:t>
      </w:r>
      <w:r w:rsidRPr="000605B3" w:rsidR="001D1901">
        <w:rPr>
          <w:i/>
          <w:iCs/>
        </w:rPr>
        <w:t>Broadcast Actions</w:t>
      </w:r>
      <w:r w:rsidR="001D1901">
        <w:t xml:space="preserve">, Public Notice, Report No. </w:t>
      </w:r>
      <w:r w:rsidR="008E4D08">
        <w:t>49819</w:t>
      </w:r>
      <w:r w:rsidR="002244B4">
        <w:t xml:space="preserve">, at </w:t>
      </w:r>
      <w:r w:rsidR="0030483C">
        <w:t>1, 2</w:t>
      </w:r>
      <w:r w:rsidR="001D1901">
        <w:t xml:space="preserve"> (MB </w:t>
      </w:r>
      <w:r w:rsidR="008E4D08">
        <w:t>Sept. 9</w:t>
      </w:r>
      <w:r w:rsidR="000605B3">
        <w:t xml:space="preserve">, 2020); </w:t>
      </w:r>
      <w:r w:rsidR="000A564F">
        <w:t xml:space="preserve">Consummation Notice, Application File No. </w:t>
      </w:r>
      <w:r w:rsidR="000765C8">
        <w:t>BAL-</w:t>
      </w:r>
      <w:r w:rsidRPr="00144D8D" w:rsidR="00144D8D">
        <w:t>20200415AAJ</w:t>
      </w:r>
      <w:r w:rsidR="004F7C5A">
        <w:t xml:space="preserve"> (filed </w:t>
      </w:r>
      <w:r w:rsidR="00144D8D">
        <w:t>Oct. 13, 2020</w:t>
      </w:r>
      <w:r w:rsidR="004F7C5A">
        <w:t>).</w:t>
      </w:r>
    </w:p>
  </w:footnote>
  <w:footnote w:id="8">
    <w:p w:rsidR="00406A52" w:rsidRPr="00E4519B" w:rsidP="00406A52" w14:paraId="44543E71" w14:textId="77777777">
      <w:pPr>
        <w:pStyle w:val="FootnoteText"/>
        <w:widowControl w:val="0"/>
      </w:pPr>
      <w:r w:rsidRPr="00E4519B">
        <w:rPr>
          <w:rStyle w:val="FootnoteReference"/>
        </w:rPr>
        <w:footnoteRef/>
      </w:r>
      <w:r w:rsidRPr="00E4519B">
        <w:t xml:space="preserve"> 47 U.S.C. § </w:t>
      </w:r>
      <w:r w:rsidRPr="00BE662A">
        <w:t xml:space="preserve">503(b)(1)(B).  </w:t>
      </w:r>
      <w:r w:rsidRPr="00BE662A">
        <w:rPr>
          <w:i/>
        </w:rPr>
        <w:t>S</w:t>
      </w:r>
      <w:r w:rsidRPr="00BE662A">
        <w:rPr>
          <w:i/>
          <w:iCs/>
        </w:rPr>
        <w:t>ee also</w:t>
      </w:r>
      <w:r w:rsidRPr="00BE662A">
        <w:t xml:space="preserve"> 47 CFR § 1.80(a)(1</w:t>
      </w:r>
      <w:r w:rsidRPr="00E4519B">
        <w:t>).</w:t>
      </w:r>
    </w:p>
  </w:footnote>
  <w:footnote w:id="9">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10">
    <w:p w:rsidR="00406A52" w:rsidRPr="00D64E57" w:rsidP="00406A52" w14:paraId="7C6A1DAD"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406A52" w:rsidRPr="00D64E57" w:rsidP="00406A52" w14:paraId="0E016A5D" w14:textId="2AC7E37F">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7 FCC Rcd 3454 (1992</w:t>
      </w:r>
      <w:r w:rsidRPr="00600AB4">
        <w:t>).</w:t>
      </w:r>
    </w:p>
  </w:footnote>
  <w:footnote w:id="12">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47 U.S.C. </w:t>
      </w:r>
      <w:r w:rsidRPr="00BE662A">
        <w:rPr>
          <w:sz w:val="20"/>
        </w:rPr>
        <w:t>§ 312(f)(2).</w:t>
      </w:r>
      <w:r w:rsidRPr="006F7D37">
        <w:rPr>
          <w:sz w:val="20"/>
        </w:rPr>
        <w:t xml:space="preserve"> </w:t>
      </w:r>
    </w:p>
  </w:footnote>
  <w:footnote w:id="13">
    <w:p w:rsidR="001E307A" w:rsidRPr="00CF021F" w:rsidP="001E307A" w14:paraId="0AEF2F03" w14:textId="1EB32307">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Rcd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15 FCC Rcd 303 (1999)</w:t>
        </w:r>
      </w:hyperlink>
      <w:r w:rsidRPr="00CF021F">
        <w:rPr>
          <w:sz w:val="20"/>
        </w:rPr>
        <w:t xml:space="preserve">; </w:t>
      </w:r>
      <w:hyperlink r:id="rId3" w:anchor="co_pp_6ad60000aeea7" w:history="1">
        <w:r w:rsidRPr="00BE662A">
          <w:rPr>
            <w:sz w:val="20"/>
          </w:rPr>
          <w:t>47 CFR § 1.80(b)(</w:t>
        </w:r>
        <w:r w:rsidR="00A811FA">
          <w:rPr>
            <w:sz w:val="20"/>
          </w:rPr>
          <w:t>10</w:t>
        </w:r>
        <w:r w:rsidRPr="00BE662A">
          <w:rPr>
            <w:sz w:val="20"/>
          </w:rPr>
          <w:t>)</w:t>
        </w:r>
      </w:hyperlink>
      <w:r w:rsidRPr="00BE662A">
        <w:rPr>
          <w:sz w:val="20"/>
        </w:rPr>
        <w:t xml:space="preserve">, </w:t>
      </w:r>
      <w:r w:rsidR="00341360">
        <w:rPr>
          <w:sz w:val="20"/>
        </w:rPr>
        <w:t>Table</w:t>
      </w:r>
      <w:r w:rsidRPr="00BE662A">
        <w:rPr>
          <w:sz w:val="20"/>
        </w:rPr>
        <w:t xml:space="preserve"> I.</w:t>
      </w:r>
    </w:p>
  </w:footnote>
  <w:footnote w:id="14">
    <w:p w:rsidR="001E307A" w:rsidRPr="00CF021F" w:rsidP="001E307A" w14:paraId="1F6DFCF4" w14:textId="16C839FA">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12 FCC Rcd at 17100</w:t>
        </w:r>
        <w:r w:rsidR="00A80BDA">
          <w:rPr>
            <w:sz w:val="20"/>
          </w:rPr>
          <w:t>, para. 27</w:t>
        </w:r>
        <w:r w:rsidRPr="00650B53">
          <w:rPr>
            <w:sz w:val="20"/>
          </w:rPr>
          <w:t>;</w:t>
        </w:r>
      </w:hyperlink>
      <w:r w:rsidRPr="00650B53">
        <w:rPr>
          <w:sz w:val="20"/>
        </w:rPr>
        <w:t xml:space="preserve"> </w:t>
      </w:r>
      <w:hyperlink r:id="rId3" w:anchor="co_pp_6ad60000aeea7" w:history="1">
        <w:r w:rsidRPr="00650B53">
          <w:rPr>
            <w:sz w:val="20"/>
          </w:rPr>
          <w:t>47 C.F.R. § 1.80(b)(</w:t>
        </w:r>
        <w:r w:rsidR="00A35413">
          <w:rPr>
            <w:sz w:val="20"/>
          </w:rPr>
          <w:t>10</w:t>
        </w:r>
        <w:r w:rsidRPr="00650B53">
          <w:rPr>
            <w:sz w:val="20"/>
          </w:rPr>
          <w:t>)</w:t>
        </w:r>
      </w:hyperlink>
      <w:r w:rsidRPr="00CF021F">
        <w:rPr>
          <w:sz w:val="20"/>
        </w:rPr>
        <w:t>.</w:t>
      </w:r>
    </w:p>
  </w:footnote>
  <w:footnote w:id="15">
    <w:p w:rsidR="00EC604E" w:rsidRPr="00D423B0" w:rsidP="00EC604E" w14:paraId="25E66BB9" w14:textId="77777777">
      <w:pPr>
        <w:pStyle w:val="FootnoteText"/>
      </w:pPr>
      <w:r w:rsidRPr="00D423B0">
        <w:rPr>
          <w:rStyle w:val="FootnoteReference"/>
        </w:rPr>
        <w:footnoteRef/>
      </w:r>
      <w:r w:rsidRPr="00D423B0">
        <w:t xml:space="preserve"> </w:t>
      </w:r>
      <w:r w:rsidRPr="00D423B0">
        <w:rPr>
          <w:i/>
        </w:rPr>
        <w:t>See</w:t>
      </w:r>
      <w:r>
        <w:rPr>
          <w:i/>
        </w:rPr>
        <w:t>,</w:t>
      </w:r>
      <w:r w:rsidRPr="00D423B0">
        <w:rPr>
          <w:i/>
        </w:rPr>
        <w:t xml:space="preserve"> e.g.</w:t>
      </w:r>
      <w:r w:rsidRPr="00874E66">
        <w:t>,</w:t>
      </w:r>
      <w:r w:rsidRPr="00D423B0">
        <w:rPr>
          <w:i/>
        </w:rPr>
        <w:t xml:space="preserve"> Southern Broad</w:t>
      </w:r>
      <w:r>
        <w:rPr>
          <w:i/>
        </w:rPr>
        <w:t>.</w:t>
      </w:r>
      <w:r w:rsidRPr="00D423B0">
        <w:rPr>
          <w:i/>
        </w:rPr>
        <w:t xml:space="preserve"> Corp</w:t>
      </w:r>
      <w:r>
        <w:rPr>
          <w:i/>
        </w:rPr>
        <w:t>.</w:t>
      </w:r>
      <w:r w:rsidRPr="00874E66">
        <w:t>,</w:t>
      </w:r>
      <w:r w:rsidRPr="00D423B0">
        <w:rPr>
          <w:i/>
        </w:rPr>
        <w:t xml:space="preserve"> </w:t>
      </w:r>
      <w:r w:rsidRPr="00D423B0">
        <w:t>Memorandum Opinion and Order and Notice of Apparent Liability,</w:t>
      </w:r>
      <w:r w:rsidRPr="00D423B0">
        <w:rPr>
          <w:i/>
        </w:rPr>
        <w:t xml:space="preserve"> </w:t>
      </w:r>
      <w:r w:rsidRPr="00D423B0">
        <w:t>24 FCC Rcd 13883 (MB 2009).</w:t>
      </w:r>
    </w:p>
  </w:footnote>
  <w:footnote w:id="16">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7">
    <w:p w:rsidR="00A7120F" w:rsidRPr="00E4519B" w:rsidP="00A7120F" w14:paraId="22A7FCA9" w14:textId="07781FE6">
      <w:pPr>
        <w:pStyle w:val="Footer"/>
        <w:spacing w:after="120"/>
        <w:rPr>
          <w:sz w:val="20"/>
        </w:rPr>
      </w:pPr>
      <w:r w:rsidRPr="00D423B0">
        <w:rPr>
          <w:rStyle w:val="FootnoteReference"/>
        </w:rPr>
        <w:footnoteRef/>
      </w:r>
      <w:r w:rsidRPr="00D423B0">
        <w:rPr>
          <w:sz w:val="20"/>
        </w:rPr>
        <w:t xml:space="preserve"> </w:t>
      </w:r>
      <w:r w:rsidRPr="00CA7822" w:rsidR="00CA7822">
        <w:rPr>
          <w:i/>
          <w:iCs/>
          <w:sz w:val="20"/>
        </w:rPr>
        <w:t>Id</w:t>
      </w:r>
      <w:r w:rsidR="00CA7822">
        <w:rPr>
          <w:sz w:val="20"/>
        </w:rPr>
        <w:t>.</w:t>
      </w:r>
      <w:r w:rsidRPr="00E4519B">
        <w:rPr>
          <w:sz w:val="20"/>
        </w:rPr>
        <w:t xml:space="preserve"> § 309(k)(1).  </w:t>
      </w:r>
    </w:p>
  </w:footnote>
  <w:footnote w:id="18">
    <w:p w:rsidR="00A7120F" w:rsidRPr="00132193" w:rsidP="00A7120F" w14:paraId="21949CB0" w14:textId="0B060499">
      <w:pPr>
        <w:pStyle w:val="Footer"/>
        <w:spacing w:after="120"/>
        <w:rPr>
          <w:sz w:val="20"/>
        </w:rPr>
      </w:pPr>
      <w:r w:rsidRPr="00132193">
        <w:rPr>
          <w:rStyle w:val="FootnoteReference"/>
        </w:rPr>
        <w:footnoteRef/>
      </w:r>
      <w:r w:rsidRPr="00132193">
        <w:rPr>
          <w:sz w:val="20"/>
        </w:rPr>
        <w:t xml:space="preserve"> </w:t>
      </w:r>
      <w:r w:rsidRPr="00CA7822" w:rsidR="00CA7822">
        <w:rPr>
          <w:i/>
          <w:iCs/>
          <w:sz w:val="20"/>
        </w:rPr>
        <w:t>Id</w:t>
      </w:r>
      <w:r w:rsidR="00CA7822">
        <w:rPr>
          <w:sz w:val="20"/>
        </w:rPr>
        <w:t>.</w:t>
      </w:r>
      <w:r w:rsidRPr="00132193">
        <w:rPr>
          <w:sz w:val="20"/>
        </w:rPr>
        <w:t xml:space="preserve"> §§ 309(k)(2), 309(k)(3).</w:t>
      </w:r>
    </w:p>
  </w:footnote>
  <w:footnote w:id="19">
    <w:p w:rsidR="00A7120F" w:rsidRPr="00132193" w:rsidP="00A7120F" w14:paraId="5D4BD5BE" w14:textId="6B1A8361">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Licensee's operation</w:t>
      </w:r>
      <w:r w:rsidR="001F6BAE">
        <w:rPr>
          <w:sz w:val="20"/>
        </w:rPr>
        <w:t xml:space="preserve"> of the Stations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0">
    <w:p w:rsidR="00A7120F" w:rsidRPr="00132193" w:rsidP="00A7120F" w14:paraId="06B56827"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A7120F" w:rsidRPr="00132193" w:rsidP="00A7120F" w14:paraId="78695B82"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22">
    <w:p w:rsidR="00A7120F" w:rsidRPr="004B33E9" w:rsidP="00A7120F" w14:paraId="7CE88508" w14:textId="42E95A68">
      <w:pPr>
        <w:pStyle w:val="FootnoteText"/>
        <w:widowControl w:val="0"/>
      </w:pPr>
      <w:r w:rsidRPr="00132193">
        <w:rPr>
          <w:rStyle w:val="FootnoteReference"/>
        </w:rPr>
        <w:footnoteRef/>
      </w:r>
      <w:r w:rsidRPr="00132193">
        <w:t xml:space="preserve"> Instructions for completing the form may be </w:t>
      </w:r>
      <w:r w:rsidRPr="001A2A87">
        <w:t xml:space="preserve">obtained at </w:t>
      </w:r>
      <w:hyperlink r:id="rId7" w:history="1">
        <w:r w:rsidRPr="0074749E" w:rsidR="001A2A87">
          <w:rPr>
            <w:rStyle w:val="Hyperlink"/>
          </w:rPr>
          <w:t>https://transition.fcc.gov/Forms/Form159/159.pdf</w:t>
        </w:r>
      </w:hyperlink>
      <w:r w:rsidR="001A2A87">
        <w:t xml:space="preserve">. </w:t>
      </w:r>
    </w:p>
  </w:footnote>
  <w:footnote w:id="23">
    <w:p w:rsidR="005B0485" w:rsidRPr="004B33E9" w:rsidP="005B0485" w14:paraId="513B6D05"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4">
    <w:p w:rsidR="00A7120F" w:rsidP="00A7120F" w14:paraId="00E38B10" w14:textId="659961E0">
      <w:pPr>
        <w:pStyle w:val="FootnoteText"/>
        <w:widowControl w:val="0"/>
      </w:pPr>
      <w:r>
        <w:rPr>
          <w:rStyle w:val="FootnoteReference"/>
        </w:rPr>
        <w:footnoteRef/>
      </w:r>
      <w:r>
        <w:t xml:space="preserve"> 47 CFR §§ 1.16 and 1.80(</w:t>
      </w:r>
      <w:r w:rsidR="00AC2DD4">
        <w:t>g</w:t>
      </w:r>
      <w:r>
        <w:t>)(3).</w:t>
      </w:r>
    </w:p>
  </w:footnote>
  <w:footnote w:id="25">
    <w:p w:rsidR="00A7120F" w:rsidP="00A7120F" w14:paraId="345A9AFD"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A7120F" w:rsidP="00A7120F" w14:paraId="12F89BE7"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23182793">
    <w:pPr>
      <w:pStyle w:val="Header"/>
      <w:rPr>
        <w:b w:val="0"/>
      </w:rPr>
    </w:pPr>
    <w:r>
      <w:tab/>
      <w:t>Federal Communications Commission</w:t>
    </w:r>
    <w:r>
      <w:tab/>
    </w:r>
    <w:r w:rsidR="00AE2D78">
      <w:t xml:space="preserve">DA </w:t>
    </w:r>
    <w:r w:rsidR="0044571B">
      <w:t>21</w:t>
    </w:r>
    <w:r w:rsidR="00AE2D78">
      <w:t>-</w:t>
    </w:r>
    <w:r w:rsidR="00BA2360">
      <w:t>938</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3ECB745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w:t>
    </w:r>
    <w:r w:rsidR="0044571B">
      <w:rPr>
        <w:spacing w:val="-2"/>
      </w:rPr>
      <w:t>1</w:t>
    </w:r>
    <w:r w:rsidR="00AE2D78">
      <w:rPr>
        <w:spacing w:val="-2"/>
      </w:rPr>
      <w:t>-</w:t>
    </w:r>
    <w:r w:rsidR="00BA2360">
      <w:rPr>
        <w:spacing w:val="-2"/>
      </w:rPr>
      <w:t>938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6"/>
  </w:num>
  <w:num w:numId="8">
    <w:abstractNumId w:val="10"/>
  </w:num>
  <w:num w:numId="9">
    <w:abstractNumId w:val="1"/>
  </w:num>
  <w:num w:numId="10">
    <w:abstractNumId w:val="9"/>
    <w:lvlOverride w:ilvl="0">
      <w:startOverride w:val="1"/>
    </w:lvlOverride>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02F6C"/>
    <w:rsid w:val="0002026E"/>
    <w:rsid w:val="00020F91"/>
    <w:rsid w:val="000210B8"/>
    <w:rsid w:val="00025997"/>
    <w:rsid w:val="00025B5B"/>
    <w:rsid w:val="00033672"/>
    <w:rsid w:val="00036039"/>
    <w:rsid w:val="000365B8"/>
    <w:rsid w:val="000377BF"/>
    <w:rsid w:val="00037F90"/>
    <w:rsid w:val="0004208D"/>
    <w:rsid w:val="000437E9"/>
    <w:rsid w:val="00056C13"/>
    <w:rsid w:val="000605B3"/>
    <w:rsid w:val="00071F97"/>
    <w:rsid w:val="000765C8"/>
    <w:rsid w:val="00076929"/>
    <w:rsid w:val="000875BF"/>
    <w:rsid w:val="000923FD"/>
    <w:rsid w:val="00092A6F"/>
    <w:rsid w:val="00096D8C"/>
    <w:rsid w:val="000A2A51"/>
    <w:rsid w:val="000A564F"/>
    <w:rsid w:val="000A6315"/>
    <w:rsid w:val="000A726E"/>
    <w:rsid w:val="000C0B65"/>
    <w:rsid w:val="000C2713"/>
    <w:rsid w:val="000D4E69"/>
    <w:rsid w:val="000E05FE"/>
    <w:rsid w:val="000E3D42"/>
    <w:rsid w:val="000E5765"/>
    <w:rsid w:val="000F3BFA"/>
    <w:rsid w:val="001011DB"/>
    <w:rsid w:val="001046C4"/>
    <w:rsid w:val="00120216"/>
    <w:rsid w:val="00121F6D"/>
    <w:rsid w:val="00122BD5"/>
    <w:rsid w:val="00130B4A"/>
    <w:rsid w:val="00132193"/>
    <w:rsid w:val="00133F79"/>
    <w:rsid w:val="00137016"/>
    <w:rsid w:val="0014400D"/>
    <w:rsid w:val="00144D8D"/>
    <w:rsid w:val="00146D8A"/>
    <w:rsid w:val="00155950"/>
    <w:rsid w:val="00166169"/>
    <w:rsid w:val="00177E7D"/>
    <w:rsid w:val="00186998"/>
    <w:rsid w:val="0019392E"/>
    <w:rsid w:val="00194A66"/>
    <w:rsid w:val="00196EC8"/>
    <w:rsid w:val="00197841"/>
    <w:rsid w:val="001A2A87"/>
    <w:rsid w:val="001B5039"/>
    <w:rsid w:val="001B52E5"/>
    <w:rsid w:val="001B59B9"/>
    <w:rsid w:val="001C0288"/>
    <w:rsid w:val="001C2556"/>
    <w:rsid w:val="001C60F2"/>
    <w:rsid w:val="001D1901"/>
    <w:rsid w:val="001D57A9"/>
    <w:rsid w:val="001D6BCF"/>
    <w:rsid w:val="001E01CA"/>
    <w:rsid w:val="001E307A"/>
    <w:rsid w:val="001E6B1E"/>
    <w:rsid w:val="001F6BAE"/>
    <w:rsid w:val="002011A6"/>
    <w:rsid w:val="00201D9D"/>
    <w:rsid w:val="00203CC8"/>
    <w:rsid w:val="002169FD"/>
    <w:rsid w:val="00217E01"/>
    <w:rsid w:val="0022190A"/>
    <w:rsid w:val="00222234"/>
    <w:rsid w:val="002244B4"/>
    <w:rsid w:val="00226B4A"/>
    <w:rsid w:val="00226F68"/>
    <w:rsid w:val="00226FB2"/>
    <w:rsid w:val="0024351C"/>
    <w:rsid w:val="00244E59"/>
    <w:rsid w:val="00250E60"/>
    <w:rsid w:val="002521B2"/>
    <w:rsid w:val="00252A08"/>
    <w:rsid w:val="00262650"/>
    <w:rsid w:val="00264220"/>
    <w:rsid w:val="002739A0"/>
    <w:rsid w:val="00274409"/>
    <w:rsid w:val="00275752"/>
    <w:rsid w:val="00275CF5"/>
    <w:rsid w:val="00277180"/>
    <w:rsid w:val="0028082F"/>
    <w:rsid w:val="0028301F"/>
    <w:rsid w:val="00285017"/>
    <w:rsid w:val="002950EC"/>
    <w:rsid w:val="00296235"/>
    <w:rsid w:val="002A2D2E"/>
    <w:rsid w:val="002B2977"/>
    <w:rsid w:val="002C00E8"/>
    <w:rsid w:val="002C1B50"/>
    <w:rsid w:val="002D40C2"/>
    <w:rsid w:val="002E041A"/>
    <w:rsid w:val="002E35A6"/>
    <w:rsid w:val="002E3B83"/>
    <w:rsid w:val="002E7088"/>
    <w:rsid w:val="002F01B8"/>
    <w:rsid w:val="0030483C"/>
    <w:rsid w:val="003164B7"/>
    <w:rsid w:val="00322F76"/>
    <w:rsid w:val="00323257"/>
    <w:rsid w:val="00324878"/>
    <w:rsid w:val="00325CD8"/>
    <w:rsid w:val="00325D61"/>
    <w:rsid w:val="003275F6"/>
    <w:rsid w:val="003344E3"/>
    <w:rsid w:val="003364B8"/>
    <w:rsid w:val="00341360"/>
    <w:rsid w:val="00343250"/>
    <w:rsid w:val="00343749"/>
    <w:rsid w:val="00344C27"/>
    <w:rsid w:val="00347E89"/>
    <w:rsid w:val="0035066D"/>
    <w:rsid w:val="00354B13"/>
    <w:rsid w:val="003568AC"/>
    <w:rsid w:val="0036418E"/>
    <w:rsid w:val="003660ED"/>
    <w:rsid w:val="003713DD"/>
    <w:rsid w:val="00386456"/>
    <w:rsid w:val="00390B9C"/>
    <w:rsid w:val="00392B91"/>
    <w:rsid w:val="003A176B"/>
    <w:rsid w:val="003A7459"/>
    <w:rsid w:val="003B0550"/>
    <w:rsid w:val="003B694F"/>
    <w:rsid w:val="003C122C"/>
    <w:rsid w:val="003C2570"/>
    <w:rsid w:val="003C67E5"/>
    <w:rsid w:val="003E37BC"/>
    <w:rsid w:val="003E6876"/>
    <w:rsid w:val="003F171C"/>
    <w:rsid w:val="003F41B4"/>
    <w:rsid w:val="004029B5"/>
    <w:rsid w:val="00403C7A"/>
    <w:rsid w:val="00406A52"/>
    <w:rsid w:val="00412FC5"/>
    <w:rsid w:val="00413F36"/>
    <w:rsid w:val="00417A59"/>
    <w:rsid w:val="00422270"/>
    <w:rsid w:val="00422276"/>
    <w:rsid w:val="004242F1"/>
    <w:rsid w:val="0042432B"/>
    <w:rsid w:val="00431BF2"/>
    <w:rsid w:val="00440D17"/>
    <w:rsid w:val="0044571B"/>
    <w:rsid w:val="00445A00"/>
    <w:rsid w:val="00446F14"/>
    <w:rsid w:val="00447598"/>
    <w:rsid w:val="00451B0F"/>
    <w:rsid w:val="00453EA6"/>
    <w:rsid w:val="00453FF1"/>
    <w:rsid w:val="004603A2"/>
    <w:rsid w:val="004631DE"/>
    <w:rsid w:val="0046407C"/>
    <w:rsid w:val="0046477F"/>
    <w:rsid w:val="00465896"/>
    <w:rsid w:val="00471790"/>
    <w:rsid w:val="00481DD0"/>
    <w:rsid w:val="00490F7F"/>
    <w:rsid w:val="00492FE6"/>
    <w:rsid w:val="0049479B"/>
    <w:rsid w:val="004A1753"/>
    <w:rsid w:val="004A4379"/>
    <w:rsid w:val="004B30EA"/>
    <w:rsid w:val="004B33E9"/>
    <w:rsid w:val="004B7012"/>
    <w:rsid w:val="004C0E7E"/>
    <w:rsid w:val="004C2EE3"/>
    <w:rsid w:val="004C44C7"/>
    <w:rsid w:val="004D1CEB"/>
    <w:rsid w:val="004D3C6A"/>
    <w:rsid w:val="004E31B9"/>
    <w:rsid w:val="004E4A22"/>
    <w:rsid w:val="004F4D11"/>
    <w:rsid w:val="004F4D56"/>
    <w:rsid w:val="004F7C5A"/>
    <w:rsid w:val="00505710"/>
    <w:rsid w:val="00505CE9"/>
    <w:rsid w:val="0050667B"/>
    <w:rsid w:val="00507BF1"/>
    <w:rsid w:val="00510597"/>
    <w:rsid w:val="00511968"/>
    <w:rsid w:val="00511C90"/>
    <w:rsid w:val="00525F98"/>
    <w:rsid w:val="0052603B"/>
    <w:rsid w:val="0053298C"/>
    <w:rsid w:val="00537BD6"/>
    <w:rsid w:val="00540DA6"/>
    <w:rsid w:val="00541385"/>
    <w:rsid w:val="00547527"/>
    <w:rsid w:val="00553E14"/>
    <w:rsid w:val="00553FC2"/>
    <w:rsid w:val="0055614C"/>
    <w:rsid w:val="00556E77"/>
    <w:rsid w:val="00563BC9"/>
    <w:rsid w:val="00566D06"/>
    <w:rsid w:val="00573FFC"/>
    <w:rsid w:val="0057749E"/>
    <w:rsid w:val="00581D3E"/>
    <w:rsid w:val="005A4D87"/>
    <w:rsid w:val="005B0485"/>
    <w:rsid w:val="005B4905"/>
    <w:rsid w:val="005B5791"/>
    <w:rsid w:val="005B7F04"/>
    <w:rsid w:val="005C2209"/>
    <w:rsid w:val="005C3464"/>
    <w:rsid w:val="005D6746"/>
    <w:rsid w:val="005E14C2"/>
    <w:rsid w:val="005E1FDE"/>
    <w:rsid w:val="005F0E03"/>
    <w:rsid w:val="005F282C"/>
    <w:rsid w:val="00600AB4"/>
    <w:rsid w:val="00603561"/>
    <w:rsid w:val="00607BA5"/>
    <w:rsid w:val="0061097A"/>
    <w:rsid w:val="0061180A"/>
    <w:rsid w:val="0062230F"/>
    <w:rsid w:val="00626DAA"/>
    <w:rsid w:val="00626EB6"/>
    <w:rsid w:val="00636C51"/>
    <w:rsid w:val="00650B53"/>
    <w:rsid w:val="00655ACE"/>
    <w:rsid w:val="00655D03"/>
    <w:rsid w:val="00664BAE"/>
    <w:rsid w:val="00683388"/>
    <w:rsid w:val="00683723"/>
    <w:rsid w:val="00683F84"/>
    <w:rsid w:val="00692304"/>
    <w:rsid w:val="006A0BEA"/>
    <w:rsid w:val="006A60D5"/>
    <w:rsid w:val="006A6A81"/>
    <w:rsid w:val="006A7A10"/>
    <w:rsid w:val="006B0B35"/>
    <w:rsid w:val="006B42CE"/>
    <w:rsid w:val="006B60FC"/>
    <w:rsid w:val="006C18EB"/>
    <w:rsid w:val="006C4A34"/>
    <w:rsid w:val="006D4C7A"/>
    <w:rsid w:val="006E7EB5"/>
    <w:rsid w:val="006F087F"/>
    <w:rsid w:val="006F2A16"/>
    <w:rsid w:val="006F66E5"/>
    <w:rsid w:val="006F7393"/>
    <w:rsid w:val="006F7D37"/>
    <w:rsid w:val="0070224F"/>
    <w:rsid w:val="00702C1A"/>
    <w:rsid w:val="00705F9C"/>
    <w:rsid w:val="00710DF1"/>
    <w:rsid w:val="007115F7"/>
    <w:rsid w:val="00712A98"/>
    <w:rsid w:val="007135F7"/>
    <w:rsid w:val="00713C38"/>
    <w:rsid w:val="007143AC"/>
    <w:rsid w:val="007170FF"/>
    <w:rsid w:val="007264AA"/>
    <w:rsid w:val="00731630"/>
    <w:rsid w:val="00743676"/>
    <w:rsid w:val="00745EDD"/>
    <w:rsid w:val="0074666D"/>
    <w:rsid w:val="0074749E"/>
    <w:rsid w:val="00753C45"/>
    <w:rsid w:val="0075574D"/>
    <w:rsid w:val="00762D8E"/>
    <w:rsid w:val="00770F52"/>
    <w:rsid w:val="00771D5F"/>
    <w:rsid w:val="00773331"/>
    <w:rsid w:val="007746B0"/>
    <w:rsid w:val="00785689"/>
    <w:rsid w:val="00787F68"/>
    <w:rsid w:val="007967CC"/>
    <w:rsid w:val="00796C6C"/>
    <w:rsid w:val="0079754B"/>
    <w:rsid w:val="007A1E6D"/>
    <w:rsid w:val="007A3CC1"/>
    <w:rsid w:val="007B0EB2"/>
    <w:rsid w:val="007B1D07"/>
    <w:rsid w:val="007C6043"/>
    <w:rsid w:val="007D0E97"/>
    <w:rsid w:val="007D504D"/>
    <w:rsid w:val="007F5303"/>
    <w:rsid w:val="008049A8"/>
    <w:rsid w:val="00807968"/>
    <w:rsid w:val="00807D83"/>
    <w:rsid w:val="00810A28"/>
    <w:rsid w:val="00810B6F"/>
    <w:rsid w:val="00811C19"/>
    <w:rsid w:val="00815718"/>
    <w:rsid w:val="00815CDD"/>
    <w:rsid w:val="00822CE0"/>
    <w:rsid w:val="008338F6"/>
    <w:rsid w:val="00841AB1"/>
    <w:rsid w:val="00842EE8"/>
    <w:rsid w:val="00856F96"/>
    <w:rsid w:val="00862C04"/>
    <w:rsid w:val="00862C7D"/>
    <w:rsid w:val="008642E2"/>
    <w:rsid w:val="008661E2"/>
    <w:rsid w:val="00872515"/>
    <w:rsid w:val="00874E66"/>
    <w:rsid w:val="0087629E"/>
    <w:rsid w:val="008762E9"/>
    <w:rsid w:val="008A0535"/>
    <w:rsid w:val="008A3F25"/>
    <w:rsid w:val="008A716B"/>
    <w:rsid w:val="008C0C80"/>
    <w:rsid w:val="008C68F1"/>
    <w:rsid w:val="008D30C5"/>
    <w:rsid w:val="008D7515"/>
    <w:rsid w:val="008E4D08"/>
    <w:rsid w:val="008E5CD8"/>
    <w:rsid w:val="008F5600"/>
    <w:rsid w:val="009002F1"/>
    <w:rsid w:val="00910EC5"/>
    <w:rsid w:val="00913B3D"/>
    <w:rsid w:val="00921803"/>
    <w:rsid w:val="00926503"/>
    <w:rsid w:val="00940218"/>
    <w:rsid w:val="00957F4D"/>
    <w:rsid w:val="00960C4F"/>
    <w:rsid w:val="009726D8"/>
    <w:rsid w:val="00972E77"/>
    <w:rsid w:val="0097716D"/>
    <w:rsid w:val="009866A4"/>
    <w:rsid w:val="00987F23"/>
    <w:rsid w:val="00991446"/>
    <w:rsid w:val="00995EAA"/>
    <w:rsid w:val="009A1484"/>
    <w:rsid w:val="009A2DEF"/>
    <w:rsid w:val="009A5FF8"/>
    <w:rsid w:val="009A621D"/>
    <w:rsid w:val="009A65BD"/>
    <w:rsid w:val="009C3B92"/>
    <w:rsid w:val="009C4B9E"/>
    <w:rsid w:val="009C5E1D"/>
    <w:rsid w:val="009D269D"/>
    <w:rsid w:val="009D7308"/>
    <w:rsid w:val="009E29CD"/>
    <w:rsid w:val="009F6FD8"/>
    <w:rsid w:val="009F76DB"/>
    <w:rsid w:val="00A02418"/>
    <w:rsid w:val="00A04A74"/>
    <w:rsid w:val="00A07187"/>
    <w:rsid w:val="00A0748F"/>
    <w:rsid w:val="00A12634"/>
    <w:rsid w:val="00A1359E"/>
    <w:rsid w:val="00A20B95"/>
    <w:rsid w:val="00A2771E"/>
    <w:rsid w:val="00A32C3B"/>
    <w:rsid w:val="00A35413"/>
    <w:rsid w:val="00A40554"/>
    <w:rsid w:val="00A45F4F"/>
    <w:rsid w:val="00A46FAE"/>
    <w:rsid w:val="00A52908"/>
    <w:rsid w:val="00A53FAF"/>
    <w:rsid w:val="00A600A9"/>
    <w:rsid w:val="00A61051"/>
    <w:rsid w:val="00A7009C"/>
    <w:rsid w:val="00A7120F"/>
    <w:rsid w:val="00A80BDA"/>
    <w:rsid w:val="00A811FA"/>
    <w:rsid w:val="00A83757"/>
    <w:rsid w:val="00A901C8"/>
    <w:rsid w:val="00A941E1"/>
    <w:rsid w:val="00AA55B7"/>
    <w:rsid w:val="00AA5B9E"/>
    <w:rsid w:val="00AA7905"/>
    <w:rsid w:val="00AB0947"/>
    <w:rsid w:val="00AB2407"/>
    <w:rsid w:val="00AB38FE"/>
    <w:rsid w:val="00AB5008"/>
    <w:rsid w:val="00AB53DF"/>
    <w:rsid w:val="00AB57DA"/>
    <w:rsid w:val="00AB6476"/>
    <w:rsid w:val="00AC1222"/>
    <w:rsid w:val="00AC2DD4"/>
    <w:rsid w:val="00AC3B1F"/>
    <w:rsid w:val="00AC6215"/>
    <w:rsid w:val="00AE2D78"/>
    <w:rsid w:val="00AE4BAF"/>
    <w:rsid w:val="00AE72A8"/>
    <w:rsid w:val="00AF0B21"/>
    <w:rsid w:val="00AF227F"/>
    <w:rsid w:val="00B067B6"/>
    <w:rsid w:val="00B07E5C"/>
    <w:rsid w:val="00B14151"/>
    <w:rsid w:val="00B24B26"/>
    <w:rsid w:val="00B40D6E"/>
    <w:rsid w:val="00B43A70"/>
    <w:rsid w:val="00B47C4A"/>
    <w:rsid w:val="00B520EB"/>
    <w:rsid w:val="00B529DB"/>
    <w:rsid w:val="00B57DC5"/>
    <w:rsid w:val="00B61A54"/>
    <w:rsid w:val="00B679F1"/>
    <w:rsid w:val="00B811F7"/>
    <w:rsid w:val="00B86ED4"/>
    <w:rsid w:val="00B8718C"/>
    <w:rsid w:val="00B92BD3"/>
    <w:rsid w:val="00B934FD"/>
    <w:rsid w:val="00B97556"/>
    <w:rsid w:val="00BA2360"/>
    <w:rsid w:val="00BA5DC6"/>
    <w:rsid w:val="00BA6196"/>
    <w:rsid w:val="00BB1F61"/>
    <w:rsid w:val="00BB563D"/>
    <w:rsid w:val="00BB5E1D"/>
    <w:rsid w:val="00BC28C1"/>
    <w:rsid w:val="00BC58C0"/>
    <w:rsid w:val="00BC6D8C"/>
    <w:rsid w:val="00BD00E0"/>
    <w:rsid w:val="00BD3CD6"/>
    <w:rsid w:val="00BD5354"/>
    <w:rsid w:val="00BE4786"/>
    <w:rsid w:val="00BE662A"/>
    <w:rsid w:val="00BF5C1D"/>
    <w:rsid w:val="00C029B2"/>
    <w:rsid w:val="00C029FB"/>
    <w:rsid w:val="00C02ABB"/>
    <w:rsid w:val="00C059EC"/>
    <w:rsid w:val="00C109FC"/>
    <w:rsid w:val="00C13DEA"/>
    <w:rsid w:val="00C27B19"/>
    <w:rsid w:val="00C34006"/>
    <w:rsid w:val="00C36B4C"/>
    <w:rsid w:val="00C426B1"/>
    <w:rsid w:val="00C42763"/>
    <w:rsid w:val="00C4323D"/>
    <w:rsid w:val="00C52B42"/>
    <w:rsid w:val="00C53E1F"/>
    <w:rsid w:val="00C573FF"/>
    <w:rsid w:val="00C61CB8"/>
    <w:rsid w:val="00C61D84"/>
    <w:rsid w:val="00C63222"/>
    <w:rsid w:val="00C64401"/>
    <w:rsid w:val="00C66160"/>
    <w:rsid w:val="00C721AC"/>
    <w:rsid w:val="00C73E1C"/>
    <w:rsid w:val="00C75785"/>
    <w:rsid w:val="00C81DB0"/>
    <w:rsid w:val="00C820BE"/>
    <w:rsid w:val="00C82698"/>
    <w:rsid w:val="00C8477A"/>
    <w:rsid w:val="00C90D6A"/>
    <w:rsid w:val="00C94A28"/>
    <w:rsid w:val="00CA247E"/>
    <w:rsid w:val="00CA6D21"/>
    <w:rsid w:val="00CA7822"/>
    <w:rsid w:val="00CB1BA6"/>
    <w:rsid w:val="00CB2315"/>
    <w:rsid w:val="00CB58E8"/>
    <w:rsid w:val="00CB5E16"/>
    <w:rsid w:val="00CC2241"/>
    <w:rsid w:val="00CC4936"/>
    <w:rsid w:val="00CC72B6"/>
    <w:rsid w:val="00CD4E5F"/>
    <w:rsid w:val="00CD7068"/>
    <w:rsid w:val="00CD7225"/>
    <w:rsid w:val="00CF021F"/>
    <w:rsid w:val="00CF0B18"/>
    <w:rsid w:val="00CF2533"/>
    <w:rsid w:val="00CF56A8"/>
    <w:rsid w:val="00CF5F3C"/>
    <w:rsid w:val="00D0218D"/>
    <w:rsid w:val="00D25FB5"/>
    <w:rsid w:val="00D2667A"/>
    <w:rsid w:val="00D31C28"/>
    <w:rsid w:val="00D36FF9"/>
    <w:rsid w:val="00D423B0"/>
    <w:rsid w:val="00D42B3B"/>
    <w:rsid w:val="00D44223"/>
    <w:rsid w:val="00D5367E"/>
    <w:rsid w:val="00D55A7D"/>
    <w:rsid w:val="00D55DAF"/>
    <w:rsid w:val="00D57BEE"/>
    <w:rsid w:val="00D614D0"/>
    <w:rsid w:val="00D623B1"/>
    <w:rsid w:val="00D64CDA"/>
    <w:rsid w:val="00D64E57"/>
    <w:rsid w:val="00D666C8"/>
    <w:rsid w:val="00D66DD6"/>
    <w:rsid w:val="00D72354"/>
    <w:rsid w:val="00D74CC9"/>
    <w:rsid w:val="00D8049E"/>
    <w:rsid w:val="00D81CBD"/>
    <w:rsid w:val="00D91495"/>
    <w:rsid w:val="00D9349C"/>
    <w:rsid w:val="00D972A2"/>
    <w:rsid w:val="00D9740A"/>
    <w:rsid w:val="00DA04C7"/>
    <w:rsid w:val="00DA2529"/>
    <w:rsid w:val="00DA6849"/>
    <w:rsid w:val="00DB130A"/>
    <w:rsid w:val="00DB2286"/>
    <w:rsid w:val="00DB2EBB"/>
    <w:rsid w:val="00DB56D6"/>
    <w:rsid w:val="00DB6870"/>
    <w:rsid w:val="00DC10A1"/>
    <w:rsid w:val="00DC2E4A"/>
    <w:rsid w:val="00DC655F"/>
    <w:rsid w:val="00DC7C49"/>
    <w:rsid w:val="00DD0B59"/>
    <w:rsid w:val="00DD728C"/>
    <w:rsid w:val="00DD7E8F"/>
    <w:rsid w:val="00DD7EBD"/>
    <w:rsid w:val="00DF62B6"/>
    <w:rsid w:val="00E01AAB"/>
    <w:rsid w:val="00E020A5"/>
    <w:rsid w:val="00E03544"/>
    <w:rsid w:val="00E03FE8"/>
    <w:rsid w:val="00E07225"/>
    <w:rsid w:val="00E07BBB"/>
    <w:rsid w:val="00E12786"/>
    <w:rsid w:val="00E23B79"/>
    <w:rsid w:val="00E23D51"/>
    <w:rsid w:val="00E24E97"/>
    <w:rsid w:val="00E4519B"/>
    <w:rsid w:val="00E4654F"/>
    <w:rsid w:val="00E4775B"/>
    <w:rsid w:val="00E521FC"/>
    <w:rsid w:val="00E53B67"/>
    <w:rsid w:val="00E5409F"/>
    <w:rsid w:val="00E55CA4"/>
    <w:rsid w:val="00E700E1"/>
    <w:rsid w:val="00E716DE"/>
    <w:rsid w:val="00E721CC"/>
    <w:rsid w:val="00E73584"/>
    <w:rsid w:val="00E74B25"/>
    <w:rsid w:val="00E771A2"/>
    <w:rsid w:val="00E77E92"/>
    <w:rsid w:val="00E85474"/>
    <w:rsid w:val="00E863B4"/>
    <w:rsid w:val="00EA3A2F"/>
    <w:rsid w:val="00EB706C"/>
    <w:rsid w:val="00EC604E"/>
    <w:rsid w:val="00EC73EC"/>
    <w:rsid w:val="00ED20BA"/>
    <w:rsid w:val="00ED5320"/>
    <w:rsid w:val="00EE6488"/>
    <w:rsid w:val="00EE66C9"/>
    <w:rsid w:val="00EE6BC8"/>
    <w:rsid w:val="00EF47D7"/>
    <w:rsid w:val="00EF4895"/>
    <w:rsid w:val="00F00C61"/>
    <w:rsid w:val="00F00DCD"/>
    <w:rsid w:val="00F021FA"/>
    <w:rsid w:val="00F03E36"/>
    <w:rsid w:val="00F04C39"/>
    <w:rsid w:val="00F135C7"/>
    <w:rsid w:val="00F1542D"/>
    <w:rsid w:val="00F178D2"/>
    <w:rsid w:val="00F23B4B"/>
    <w:rsid w:val="00F32824"/>
    <w:rsid w:val="00F60863"/>
    <w:rsid w:val="00F62E97"/>
    <w:rsid w:val="00F64209"/>
    <w:rsid w:val="00F70083"/>
    <w:rsid w:val="00F738BD"/>
    <w:rsid w:val="00F93BF5"/>
    <w:rsid w:val="00FC0289"/>
    <w:rsid w:val="00FC14B3"/>
    <w:rsid w:val="00FE360C"/>
    <w:rsid w:val="00FE5A80"/>
    <w:rsid w:val="00FF09FE"/>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60"/>
    <w:pPr>
      <w:widowControl w:val="0"/>
    </w:pPr>
    <w:rPr>
      <w:snapToGrid w:val="0"/>
      <w:kern w:val="28"/>
      <w:sz w:val="22"/>
    </w:rPr>
  </w:style>
  <w:style w:type="paragraph" w:styleId="Heading1">
    <w:name w:val="heading 1"/>
    <w:basedOn w:val="Normal"/>
    <w:next w:val="ParaNum"/>
    <w:qFormat/>
    <w:rsid w:val="00BA23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2360"/>
    <w:pPr>
      <w:keepNext/>
      <w:numPr>
        <w:ilvl w:val="1"/>
        <w:numId w:val="3"/>
      </w:numPr>
      <w:spacing w:after="120"/>
      <w:outlineLvl w:val="1"/>
    </w:pPr>
    <w:rPr>
      <w:b/>
    </w:rPr>
  </w:style>
  <w:style w:type="paragraph" w:styleId="Heading3">
    <w:name w:val="heading 3"/>
    <w:basedOn w:val="Normal"/>
    <w:next w:val="ParaNum"/>
    <w:qFormat/>
    <w:rsid w:val="00BA2360"/>
    <w:pPr>
      <w:keepNext/>
      <w:numPr>
        <w:ilvl w:val="2"/>
        <w:numId w:val="3"/>
      </w:numPr>
      <w:tabs>
        <w:tab w:val="left" w:pos="2160"/>
      </w:tabs>
      <w:spacing w:after="120"/>
      <w:outlineLvl w:val="2"/>
    </w:pPr>
    <w:rPr>
      <w:b/>
    </w:rPr>
  </w:style>
  <w:style w:type="paragraph" w:styleId="Heading4">
    <w:name w:val="heading 4"/>
    <w:basedOn w:val="Normal"/>
    <w:next w:val="ParaNum"/>
    <w:qFormat/>
    <w:rsid w:val="00BA2360"/>
    <w:pPr>
      <w:keepNext/>
      <w:numPr>
        <w:ilvl w:val="3"/>
        <w:numId w:val="3"/>
      </w:numPr>
      <w:tabs>
        <w:tab w:val="left" w:pos="2880"/>
      </w:tabs>
      <w:spacing w:after="120"/>
      <w:outlineLvl w:val="3"/>
    </w:pPr>
    <w:rPr>
      <w:b/>
    </w:rPr>
  </w:style>
  <w:style w:type="paragraph" w:styleId="Heading5">
    <w:name w:val="heading 5"/>
    <w:basedOn w:val="Normal"/>
    <w:next w:val="ParaNum"/>
    <w:qFormat/>
    <w:rsid w:val="00BA23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2360"/>
    <w:pPr>
      <w:numPr>
        <w:ilvl w:val="5"/>
        <w:numId w:val="3"/>
      </w:numPr>
      <w:tabs>
        <w:tab w:val="left" w:pos="4320"/>
      </w:tabs>
      <w:spacing w:after="120"/>
      <w:outlineLvl w:val="5"/>
    </w:pPr>
    <w:rPr>
      <w:b/>
    </w:rPr>
  </w:style>
  <w:style w:type="paragraph" w:styleId="Heading7">
    <w:name w:val="heading 7"/>
    <w:basedOn w:val="Normal"/>
    <w:next w:val="ParaNum"/>
    <w:qFormat/>
    <w:rsid w:val="00BA23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23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23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23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2360"/>
  </w:style>
  <w:style w:type="paragraph" w:customStyle="1" w:styleId="ParaNum">
    <w:name w:val="ParaNum"/>
    <w:basedOn w:val="Normal"/>
    <w:link w:val="ParaNumChar"/>
    <w:rsid w:val="00BA2360"/>
    <w:pPr>
      <w:numPr>
        <w:numId w:val="2"/>
      </w:numPr>
      <w:tabs>
        <w:tab w:val="clear" w:pos="1080"/>
        <w:tab w:val="num" w:pos="1440"/>
      </w:tabs>
      <w:spacing w:after="120"/>
    </w:pPr>
  </w:style>
  <w:style w:type="paragraph" w:styleId="EndnoteText">
    <w:name w:val="endnote text"/>
    <w:basedOn w:val="Normal"/>
    <w:semiHidden/>
    <w:rsid w:val="00BA2360"/>
    <w:rPr>
      <w:sz w:val="20"/>
    </w:rPr>
  </w:style>
  <w:style w:type="character" w:styleId="EndnoteReference">
    <w:name w:val="endnote reference"/>
    <w:semiHidden/>
    <w:rsid w:val="00BA2360"/>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BA236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A2360"/>
    <w:rPr>
      <w:rFonts w:ascii="Times New Roman" w:hAnsi="Times New Roman"/>
      <w:dstrike w:val="0"/>
      <w:color w:val="auto"/>
      <w:sz w:val="20"/>
      <w:vertAlign w:val="superscript"/>
    </w:rPr>
  </w:style>
  <w:style w:type="paragraph" w:styleId="TOC1">
    <w:name w:val="toc 1"/>
    <w:basedOn w:val="Normal"/>
    <w:next w:val="Normal"/>
    <w:semiHidden/>
    <w:rsid w:val="00BA23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2360"/>
    <w:pPr>
      <w:tabs>
        <w:tab w:val="left" w:pos="720"/>
        <w:tab w:val="right" w:leader="dot" w:pos="9360"/>
      </w:tabs>
      <w:suppressAutoHyphens/>
      <w:ind w:left="720" w:right="720" w:hanging="360"/>
    </w:pPr>
    <w:rPr>
      <w:noProof/>
    </w:rPr>
  </w:style>
  <w:style w:type="paragraph" w:styleId="TOC3">
    <w:name w:val="toc 3"/>
    <w:basedOn w:val="Normal"/>
    <w:next w:val="Normal"/>
    <w:semiHidden/>
    <w:rsid w:val="00BA23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23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23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23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23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23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23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2360"/>
    <w:pPr>
      <w:tabs>
        <w:tab w:val="right" w:pos="9360"/>
      </w:tabs>
      <w:suppressAutoHyphens/>
    </w:pPr>
  </w:style>
  <w:style w:type="character" w:customStyle="1" w:styleId="EquationCaption">
    <w:name w:val="_Equation Caption"/>
    <w:rsid w:val="00BA2360"/>
  </w:style>
  <w:style w:type="paragraph" w:styleId="Header">
    <w:name w:val="header"/>
    <w:basedOn w:val="Normal"/>
    <w:autoRedefine/>
    <w:rsid w:val="00BA2360"/>
    <w:pPr>
      <w:tabs>
        <w:tab w:val="center" w:pos="4680"/>
        <w:tab w:val="right" w:pos="9360"/>
      </w:tabs>
    </w:pPr>
    <w:rPr>
      <w:b/>
    </w:rPr>
  </w:style>
  <w:style w:type="paragraph" w:styleId="Footer">
    <w:name w:val="footer"/>
    <w:basedOn w:val="Normal"/>
    <w:link w:val="FooterChar"/>
    <w:uiPriority w:val="99"/>
    <w:rsid w:val="00BA2360"/>
    <w:pPr>
      <w:tabs>
        <w:tab w:val="center" w:pos="4320"/>
        <w:tab w:val="right" w:pos="8640"/>
      </w:tabs>
    </w:pPr>
  </w:style>
  <w:style w:type="character" w:styleId="PageNumber">
    <w:name w:val="page number"/>
    <w:basedOn w:val="DefaultParagraphFont"/>
    <w:rsid w:val="00BA2360"/>
  </w:style>
  <w:style w:type="paragraph" w:styleId="BlockText">
    <w:name w:val="Block Text"/>
    <w:basedOn w:val="Normal"/>
    <w:rsid w:val="00BA2360"/>
    <w:pPr>
      <w:spacing w:after="240"/>
      <w:ind w:left="1440" w:right="1440"/>
    </w:pPr>
  </w:style>
  <w:style w:type="paragraph" w:customStyle="1" w:styleId="Paratitle">
    <w:name w:val="Para title"/>
    <w:basedOn w:val="Normal"/>
    <w:rsid w:val="00BA2360"/>
    <w:pPr>
      <w:tabs>
        <w:tab w:val="center" w:pos="9270"/>
      </w:tabs>
      <w:spacing w:after="240"/>
    </w:pPr>
    <w:rPr>
      <w:spacing w:val="-2"/>
    </w:rPr>
  </w:style>
  <w:style w:type="paragraph" w:customStyle="1" w:styleId="Bullet">
    <w:name w:val="Bullet"/>
    <w:basedOn w:val="Normal"/>
    <w:rsid w:val="00BA2360"/>
    <w:pPr>
      <w:tabs>
        <w:tab w:val="left" w:pos="2160"/>
      </w:tabs>
      <w:spacing w:after="220"/>
      <w:ind w:left="2160" w:hanging="720"/>
    </w:pPr>
  </w:style>
  <w:style w:type="paragraph" w:customStyle="1" w:styleId="TableFormat">
    <w:name w:val="TableFormat"/>
    <w:basedOn w:val="Bullet"/>
    <w:rsid w:val="00BA2360"/>
    <w:pPr>
      <w:tabs>
        <w:tab w:val="clear" w:pos="2160"/>
        <w:tab w:val="left" w:pos="5040"/>
      </w:tabs>
      <w:ind w:left="5040" w:hanging="3600"/>
    </w:pPr>
  </w:style>
  <w:style w:type="paragraph" w:customStyle="1" w:styleId="TOCTitle">
    <w:name w:val="TOC Title"/>
    <w:basedOn w:val="Normal"/>
    <w:rsid w:val="00BA23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2360"/>
    <w:pPr>
      <w:jc w:val="center"/>
    </w:pPr>
    <w:rPr>
      <w:rFonts w:ascii="Times New Roman Bold" w:hAnsi="Times New Roman Bold"/>
      <w:b/>
      <w:bCs/>
      <w:caps/>
      <w:szCs w:val="22"/>
    </w:rPr>
  </w:style>
  <w:style w:type="character" w:styleId="Hyperlink">
    <w:name w:val="Hyperlink"/>
    <w:rsid w:val="00BA2360"/>
    <w:rPr>
      <w:color w:val="0000FF"/>
      <w:u w:val="single"/>
    </w:rPr>
  </w:style>
  <w:style w:type="character" w:customStyle="1" w:styleId="FooterChar">
    <w:name w:val="Footer Char"/>
    <w:link w:val="Footer"/>
    <w:uiPriority w:val="99"/>
    <w:rsid w:val="00BA2360"/>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