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21A0E" w:rsidRPr="006B0B60" w14:paraId="5C33A474" w14:textId="77777777">
      <w:pPr>
        <w:jc w:val="right"/>
        <w:rPr>
          <w:szCs w:val="22"/>
        </w:rPr>
      </w:pPr>
    </w:p>
    <w:p w:rsidR="0060790A" w14:paraId="61B7CF45" w14:textId="77777777">
      <w:pPr>
        <w:jc w:val="right"/>
        <w:rPr>
          <w:b/>
          <w:szCs w:val="22"/>
        </w:rPr>
      </w:pPr>
    </w:p>
    <w:p w:rsidR="00421A0E" w:rsidRPr="006B0B60" w14:paraId="5552C20A" w14:textId="3E085BD5">
      <w:pPr>
        <w:jc w:val="right"/>
        <w:rPr>
          <w:b/>
          <w:szCs w:val="22"/>
        </w:rPr>
      </w:pPr>
      <w:r w:rsidRPr="00A66989">
        <w:rPr>
          <w:b/>
          <w:szCs w:val="22"/>
        </w:rPr>
        <w:t>DA</w:t>
      </w:r>
      <w:r w:rsidR="00A66989">
        <w:rPr>
          <w:b/>
          <w:szCs w:val="22"/>
        </w:rPr>
        <w:t xml:space="preserve"> 21-945</w:t>
      </w:r>
      <w:r w:rsidRPr="00A66989">
        <w:rPr>
          <w:b/>
          <w:szCs w:val="22"/>
        </w:rPr>
        <w:t xml:space="preserve"> </w:t>
      </w:r>
    </w:p>
    <w:p w:rsidR="00421A0E" w:rsidRPr="006B0B60" w14:paraId="62EAE90D" w14:textId="602FE321">
      <w:pPr>
        <w:spacing w:before="60"/>
        <w:jc w:val="right"/>
        <w:rPr>
          <w:b/>
          <w:szCs w:val="22"/>
        </w:rPr>
      </w:pPr>
      <w:r w:rsidRPr="006B0B60">
        <w:rPr>
          <w:b/>
          <w:szCs w:val="22"/>
        </w:rPr>
        <w:t xml:space="preserve">Released:  </w:t>
      </w:r>
      <w:r w:rsidR="00473E37">
        <w:rPr>
          <w:b/>
          <w:szCs w:val="22"/>
        </w:rPr>
        <w:t>August 3,</w:t>
      </w:r>
      <w:r w:rsidR="006B0B60">
        <w:rPr>
          <w:b/>
          <w:szCs w:val="22"/>
        </w:rPr>
        <w:t xml:space="preserve"> 2021</w:t>
      </w:r>
    </w:p>
    <w:p w:rsidR="00421A0E" w:rsidRPr="006B0B60" w14:paraId="68FB7561" w14:textId="77777777">
      <w:pPr>
        <w:jc w:val="right"/>
        <w:rPr>
          <w:szCs w:val="22"/>
        </w:rPr>
      </w:pPr>
    </w:p>
    <w:p w:rsidR="00421A0E" w:rsidRPr="006B0B60" w:rsidP="0018734A" w14:paraId="11D30C64" w14:textId="768F5E44">
      <w:pPr>
        <w:spacing w:after="240"/>
        <w:jc w:val="center"/>
        <w:rPr>
          <w:rFonts w:ascii="Times New Roman Bold" w:hAnsi="Times New Roman Bold"/>
          <w:b/>
          <w:caps/>
          <w:szCs w:val="22"/>
        </w:rPr>
      </w:pPr>
      <w:r w:rsidRPr="006B0B60">
        <w:rPr>
          <w:rFonts w:ascii="Times New Roman Bold" w:hAnsi="Times New Roman Bold"/>
          <w:b/>
          <w:caps/>
          <w:szCs w:val="22"/>
        </w:rPr>
        <w:t xml:space="preserve">Media Bureau Seeks Comment on </w:t>
      </w:r>
      <w:r w:rsidRPr="006B0B60" w:rsidR="001B6C14">
        <w:rPr>
          <w:rFonts w:ascii="Times New Roman Bold" w:hAnsi="Times New Roman Bold"/>
          <w:b/>
          <w:caps/>
          <w:szCs w:val="22"/>
        </w:rPr>
        <w:t xml:space="preserve">Petition for clarification of Sponsorship Identification Requirements for Foreign Government-Provided Programming </w:t>
      </w:r>
      <w:r w:rsidR="000F4EBA">
        <w:rPr>
          <w:rFonts w:ascii="Times New Roman Bold" w:hAnsi="Times New Roman Bold"/>
          <w:b/>
          <w:caps/>
          <w:szCs w:val="22"/>
        </w:rPr>
        <w:t>On Broadcast stations</w:t>
      </w:r>
    </w:p>
    <w:p w:rsidR="001B6C14" w:rsidRPr="006B0B60" w:rsidP="007630FE" w14:paraId="29144282" w14:textId="0944D805">
      <w:pPr>
        <w:jc w:val="center"/>
        <w:rPr>
          <w:b/>
          <w:szCs w:val="22"/>
        </w:rPr>
      </w:pPr>
      <w:r w:rsidRPr="006B0B60">
        <w:rPr>
          <w:b/>
          <w:szCs w:val="22"/>
        </w:rPr>
        <w:t>MB Docket No. 20-299</w:t>
      </w:r>
    </w:p>
    <w:p w:rsidR="007630FE" w:rsidRPr="006B0B60" w:rsidP="007630FE" w14:paraId="49EF554C" w14:textId="26142C91">
      <w:pPr>
        <w:jc w:val="center"/>
        <w:rPr>
          <w:b/>
          <w:szCs w:val="22"/>
        </w:rPr>
      </w:pPr>
    </w:p>
    <w:p w:rsidR="006B0B60" w:rsidRPr="00EB4E3D" w:rsidP="006B0B60" w14:paraId="3D6CC46C" w14:textId="6033E450">
      <w:pPr>
        <w:rPr>
          <w:rFonts w:ascii="Times" w:hAnsi="Times"/>
          <w:b/>
          <w:szCs w:val="22"/>
        </w:rPr>
      </w:pPr>
      <w:r w:rsidRPr="00EB4E3D">
        <w:rPr>
          <w:rFonts w:ascii="Times" w:hAnsi="Times"/>
          <w:b/>
          <w:szCs w:val="22"/>
        </w:rPr>
        <w:t xml:space="preserve">Comment Date:  </w:t>
      </w:r>
      <w:r w:rsidR="00473E37">
        <w:rPr>
          <w:rFonts w:ascii="Times" w:hAnsi="Times"/>
          <w:b/>
          <w:szCs w:val="22"/>
        </w:rPr>
        <w:t>September 2,</w:t>
      </w:r>
      <w:r>
        <w:rPr>
          <w:rFonts w:ascii="Times" w:hAnsi="Times"/>
          <w:b/>
          <w:szCs w:val="22"/>
        </w:rPr>
        <w:t xml:space="preserve"> 2021</w:t>
      </w:r>
    </w:p>
    <w:p w:rsidR="006B0B60" w:rsidP="006B0B60" w14:paraId="6D8C60DC" w14:textId="030818F5">
      <w:pPr>
        <w:rPr>
          <w:rFonts w:ascii="Times" w:hAnsi="Times"/>
          <w:b/>
          <w:szCs w:val="22"/>
        </w:rPr>
      </w:pPr>
      <w:r w:rsidRPr="00EB4E3D">
        <w:rPr>
          <w:rFonts w:ascii="Times" w:hAnsi="Times"/>
          <w:b/>
          <w:szCs w:val="22"/>
        </w:rPr>
        <w:t xml:space="preserve">Reply Comment Date:  </w:t>
      </w:r>
      <w:r>
        <w:rPr>
          <w:rFonts w:ascii="Times" w:hAnsi="Times"/>
          <w:b/>
          <w:szCs w:val="22"/>
        </w:rPr>
        <w:t xml:space="preserve"> </w:t>
      </w:r>
      <w:r w:rsidR="00473E37">
        <w:rPr>
          <w:rFonts w:ascii="Times" w:hAnsi="Times"/>
          <w:b/>
          <w:szCs w:val="22"/>
        </w:rPr>
        <w:t xml:space="preserve">September 17, </w:t>
      </w:r>
      <w:r>
        <w:rPr>
          <w:rFonts w:ascii="Times" w:hAnsi="Times"/>
          <w:b/>
          <w:szCs w:val="22"/>
        </w:rPr>
        <w:t>2021</w:t>
      </w:r>
    </w:p>
    <w:p w:rsidR="006B0B60" w:rsidP="001D4405" w14:paraId="480BEBE3" w14:textId="77777777">
      <w:pPr>
        <w:rPr>
          <w:bCs/>
          <w:szCs w:val="22"/>
        </w:rPr>
      </w:pPr>
    </w:p>
    <w:p w:rsidR="00021D7B" w:rsidP="00021D7B" w14:paraId="3F2402CA" w14:textId="0671771E">
      <w:pPr>
        <w:ind w:firstLine="720"/>
        <w:rPr>
          <w:bCs/>
          <w:szCs w:val="22"/>
        </w:rPr>
      </w:pPr>
      <w:r w:rsidRPr="006B0B60">
        <w:rPr>
          <w:bCs/>
          <w:szCs w:val="22"/>
        </w:rPr>
        <w:t>On July 19, 2021,</w:t>
      </w:r>
      <w:r w:rsidRPr="006B0B60">
        <w:rPr>
          <w:szCs w:val="22"/>
        </w:rPr>
        <w:t xml:space="preserve"> </w:t>
      </w:r>
      <w:r w:rsidRPr="006B0B60">
        <w:rPr>
          <w:bCs/>
          <w:szCs w:val="22"/>
        </w:rPr>
        <w:t>the ABC Television Affiliates Association, CBS Television Network Affiliates Association, FBC Television Affiliates Association, and NBC Television Affiliates (collectively, the “Affiliates”) filed a petition for clarification (“Petition)</w:t>
      </w:r>
      <w:r>
        <w:rPr>
          <w:rStyle w:val="FootnoteReference"/>
          <w:bCs/>
          <w:szCs w:val="22"/>
        </w:rPr>
        <w:footnoteReference w:id="3"/>
      </w:r>
      <w:r w:rsidRPr="006B0B60">
        <w:rPr>
          <w:bCs/>
          <w:szCs w:val="22"/>
        </w:rPr>
        <w:t xml:space="preserve"> </w:t>
      </w:r>
      <w:r w:rsidR="00AA1404">
        <w:rPr>
          <w:bCs/>
          <w:szCs w:val="22"/>
        </w:rPr>
        <w:t xml:space="preserve">of </w:t>
      </w:r>
      <w:r w:rsidRPr="006B0B60">
        <w:rPr>
          <w:bCs/>
          <w:szCs w:val="22"/>
        </w:rPr>
        <w:t xml:space="preserve">the Commission’s </w:t>
      </w:r>
      <w:r w:rsidRPr="00021D7B" w:rsidR="00AA1404">
        <w:rPr>
          <w:bCs/>
          <w:i/>
          <w:iCs/>
          <w:szCs w:val="22"/>
        </w:rPr>
        <w:t>Report and Order</w:t>
      </w:r>
      <w:r w:rsidR="00AA1404">
        <w:rPr>
          <w:bCs/>
          <w:szCs w:val="22"/>
        </w:rPr>
        <w:t xml:space="preserve"> in the above captioned proceeding.</w:t>
      </w:r>
      <w:r>
        <w:rPr>
          <w:rStyle w:val="FootnoteReference"/>
          <w:bCs/>
          <w:szCs w:val="22"/>
        </w:rPr>
        <w:footnoteReference w:id="4"/>
      </w:r>
      <w:r w:rsidR="00AA1404">
        <w:rPr>
          <w:bCs/>
          <w:szCs w:val="22"/>
        </w:rPr>
        <w:t xml:space="preserve">   The Commission’s </w:t>
      </w:r>
      <w:r w:rsidRPr="00021D7B" w:rsidR="00AA1404">
        <w:rPr>
          <w:bCs/>
          <w:i/>
          <w:iCs/>
          <w:szCs w:val="22"/>
        </w:rPr>
        <w:t>Report and Order</w:t>
      </w:r>
      <w:r w:rsidR="005020F4">
        <w:rPr>
          <w:bCs/>
          <w:szCs w:val="22"/>
        </w:rPr>
        <w:t xml:space="preserve"> </w:t>
      </w:r>
      <w:r w:rsidRPr="00782E16" w:rsidR="00782E16">
        <w:rPr>
          <w:bCs/>
          <w:szCs w:val="22"/>
        </w:rPr>
        <w:t>requires disclosure for broadcast programming aired through a leased airtime agreement sponsored by any entity or individual that is a foreign government, a foreign political party, an agent acting on behalf of such entities, or a U.S.-based foreign media outlet based on definitions drawn from the Foreign Agents Registration Act of 1938 and the Communications Act of 1934.</w:t>
      </w:r>
      <w:r w:rsidR="00782E16">
        <w:rPr>
          <w:bCs/>
          <w:szCs w:val="22"/>
        </w:rPr>
        <w:t xml:space="preserve">  The </w:t>
      </w:r>
      <w:r w:rsidRPr="00021D7B" w:rsidR="00782E16">
        <w:rPr>
          <w:bCs/>
          <w:i/>
          <w:iCs/>
          <w:szCs w:val="22"/>
        </w:rPr>
        <w:t>Report and Order</w:t>
      </w:r>
      <w:r w:rsidR="00782E16">
        <w:rPr>
          <w:bCs/>
          <w:szCs w:val="22"/>
        </w:rPr>
        <w:t xml:space="preserve"> requires broadcasters to make certain inquiries of those </w:t>
      </w:r>
      <w:r w:rsidR="007A1F96">
        <w:rPr>
          <w:bCs/>
          <w:szCs w:val="22"/>
        </w:rPr>
        <w:t xml:space="preserve">parties </w:t>
      </w:r>
      <w:r w:rsidR="00782E16">
        <w:rPr>
          <w:bCs/>
          <w:szCs w:val="22"/>
        </w:rPr>
        <w:t>leasing airtime</w:t>
      </w:r>
      <w:r w:rsidR="005762AD">
        <w:rPr>
          <w:bCs/>
          <w:szCs w:val="22"/>
        </w:rPr>
        <w:t xml:space="preserve"> </w:t>
      </w:r>
      <w:r w:rsidR="007A1F96">
        <w:rPr>
          <w:bCs/>
          <w:szCs w:val="22"/>
        </w:rPr>
        <w:t xml:space="preserve">on a station </w:t>
      </w:r>
      <w:r w:rsidR="005762AD">
        <w:rPr>
          <w:bCs/>
          <w:szCs w:val="22"/>
        </w:rPr>
        <w:t>to determine whether the programming requires a disclosure</w:t>
      </w:r>
      <w:r w:rsidR="00782E16">
        <w:rPr>
          <w:bCs/>
          <w:szCs w:val="22"/>
        </w:rPr>
        <w:t xml:space="preserve">. </w:t>
      </w:r>
      <w:r w:rsidRPr="006B0B60">
        <w:rPr>
          <w:bCs/>
          <w:szCs w:val="22"/>
        </w:rPr>
        <w:t xml:space="preserve">  </w:t>
      </w:r>
    </w:p>
    <w:p w:rsidR="00021D7B" w:rsidRPr="006B0B60" w:rsidP="00021D7B" w14:paraId="49F373AB" w14:textId="77777777">
      <w:pPr>
        <w:ind w:firstLine="720"/>
        <w:rPr>
          <w:bCs/>
          <w:szCs w:val="22"/>
        </w:rPr>
      </w:pPr>
    </w:p>
    <w:p w:rsidR="00AD399C" w:rsidRPr="006B0B60" w:rsidP="006E1BE7" w14:paraId="7BADE299" w14:textId="05BEBD66">
      <w:pPr>
        <w:ind w:firstLine="720"/>
      </w:pPr>
      <w:r w:rsidRPr="006B0B60">
        <w:t xml:space="preserve">In their Petition, the Affiliates seek a clarification that the </w:t>
      </w:r>
      <w:r w:rsidRPr="006B0B60" w:rsidR="00162399">
        <w:t xml:space="preserve">rules contained in the </w:t>
      </w:r>
      <w:r w:rsidRPr="006B0B60">
        <w:t xml:space="preserve">Commission’s </w:t>
      </w:r>
      <w:r w:rsidR="00AA1404">
        <w:t>Report and</w:t>
      </w:r>
      <w:r w:rsidRPr="006B0B60" w:rsidR="00162399">
        <w:t xml:space="preserve"> Order</w:t>
      </w:r>
      <w:r w:rsidRPr="006B0B60" w:rsidR="00974150">
        <w:t xml:space="preserve"> and the inquiries associated with these rules</w:t>
      </w:r>
      <w:r w:rsidRPr="006B0B60" w:rsidR="00DA5FBF">
        <w:t xml:space="preserve"> </w:t>
      </w:r>
      <w:r w:rsidRPr="006B0B60" w:rsidR="00974150">
        <w:t>do not apply when a station “sells time to advertisers in the normal course of business</w:t>
      </w:r>
      <w:r w:rsidRPr="006B0B60" w:rsidR="0074143D">
        <w:t>,</w:t>
      </w:r>
      <w:r w:rsidRPr="006B0B60" w:rsidR="00974150">
        <w:t>”</w:t>
      </w:r>
      <w:r>
        <w:rPr>
          <w:rStyle w:val="FootnoteReference"/>
          <w:bCs/>
          <w:szCs w:val="22"/>
        </w:rPr>
        <w:footnoteReference w:id="5"/>
      </w:r>
      <w:r w:rsidRPr="006B0B60" w:rsidR="0074143D">
        <w:t xml:space="preserve"> in contrast to </w:t>
      </w:r>
      <w:r w:rsidR="00AA1404">
        <w:t xml:space="preserve">when it </w:t>
      </w:r>
      <w:r w:rsidRPr="006B0B60" w:rsidR="0074143D">
        <w:t xml:space="preserve">leases airtime </w:t>
      </w:r>
      <w:r w:rsidR="00AA1404">
        <w:t>on the station</w:t>
      </w:r>
      <w:r w:rsidR="000F4EBA">
        <w:t>.</w:t>
      </w:r>
      <w:r w:rsidRPr="006B0B60" w:rsidR="0074143D">
        <w:t xml:space="preserve">  According to the Affiliates, the Commission’s reference to “traditional short-form advertising” in </w:t>
      </w:r>
      <w:r w:rsidRPr="006B0B60" w:rsidR="00162399">
        <w:t>paragraph 28 of the</w:t>
      </w:r>
      <w:r w:rsidR="00FC41CE">
        <w:t xml:space="preserve"> </w:t>
      </w:r>
      <w:r w:rsidRPr="00021D7B" w:rsidR="00FC41CE">
        <w:rPr>
          <w:i/>
          <w:iCs/>
        </w:rPr>
        <w:t xml:space="preserve">Report and </w:t>
      </w:r>
      <w:r w:rsidRPr="00021D7B" w:rsidR="0074143D">
        <w:rPr>
          <w:i/>
          <w:iCs/>
        </w:rPr>
        <w:t>Order</w:t>
      </w:r>
      <w:r w:rsidRPr="006B0B60" w:rsidR="0074143D">
        <w:t xml:space="preserve"> has caused confusion amongst the Affiliates’ members about what type of programming arrangements are subject to the new requirements.  </w:t>
      </w:r>
      <w:r w:rsidRPr="006B0B60" w:rsidR="00974150">
        <w:t xml:space="preserve">  </w:t>
      </w:r>
      <w:r w:rsidRPr="006B0B60">
        <w:t xml:space="preserve"> </w:t>
      </w:r>
    </w:p>
    <w:p w:rsidR="0074143D" w:rsidRPr="006B0B60" w:rsidP="00AD399C" w14:paraId="33EFB4B7" w14:textId="29250167">
      <w:pPr>
        <w:ind w:firstLine="720"/>
        <w:rPr>
          <w:bCs/>
          <w:szCs w:val="22"/>
        </w:rPr>
      </w:pPr>
    </w:p>
    <w:p w:rsidR="007630FE" w:rsidP="00D710D8" w14:paraId="202B7136" w14:textId="3AD34390">
      <w:pPr>
        <w:ind w:firstLine="720"/>
        <w:rPr>
          <w:bCs/>
          <w:szCs w:val="22"/>
        </w:rPr>
      </w:pPr>
      <w:r w:rsidRPr="006B0B60">
        <w:rPr>
          <w:bCs/>
          <w:szCs w:val="22"/>
        </w:rPr>
        <w:t xml:space="preserve">To the extent those </w:t>
      </w:r>
      <w:r w:rsidR="007A1F96">
        <w:rPr>
          <w:bCs/>
          <w:szCs w:val="22"/>
        </w:rPr>
        <w:t>commenting on</w:t>
      </w:r>
      <w:r w:rsidRPr="006B0B60">
        <w:rPr>
          <w:bCs/>
          <w:szCs w:val="22"/>
        </w:rPr>
        <w:t xml:space="preserve"> the Petition agree with Affiliates’ concerns, we encourage such participants to provide </w:t>
      </w:r>
      <w:r w:rsidRPr="006B0B60">
        <w:rPr>
          <w:bCs/>
          <w:i/>
          <w:iCs/>
          <w:szCs w:val="22"/>
        </w:rPr>
        <w:t xml:space="preserve">objective criteria </w:t>
      </w:r>
      <w:r w:rsidRPr="006B0B60">
        <w:rPr>
          <w:bCs/>
          <w:szCs w:val="22"/>
        </w:rPr>
        <w:t xml:space="preserve">that </w:t>
      </w:r>
      <w:r w:rsidR="007A1F96">
        <w:rPr>
          <w:bCs/>
          <w:szCs w:val="22"/>
        </w:rPr>
        <w:t>could</w:t>
      </w:r>
      <w:r w:rsidRPr="006B0B60" w:rsidR="00162399">
        <w:rPr>
          <w:bCs/>
          <w:szCs w:val="22"/>
        </w:rPr>
        <w:t xml:space="preserve"> distinguish between advertising and </w:t>
      </w:r>
      <w:r w:rsidRPr="006B0B60" w:rsidR="00EE4890">
        <w:rPr>
          <w:bCs/>
          <w:szCs w:val="22"/>
        </w:rPr>
        <w:t xml:space="preserve">arrangements for the </w:t>
      </w:r>
      <w:r w:rsidRPr="006B0B60" w:rsidR="00162399">
        <w:rPr>
          <w:bCs/>
          <w:szCs w:val="22"/>
        </w:rPr>
        <w:t>leas</w:t>
      </w:r>
      <w:r w:rsidRPr="006B0B60" w:rsidR="00EE4890">
        <w:rPr>
          <w:bCs/>
          <w:szCs w:val="22"/>
        </w:rPr>
        <w:t>e of airtime.</w:t>
      </w:r>
      <w:r w:rsidRPr="006B0B60" w:rsidR="00162399">
        <w:rPr>
          <w:bCs/>
          <w:szCs w:val="22"/>
        </w:rPr>
        <w:t xml:space="preserve"> </w:t>
      </w:r>
      <w:r w:rsidRPr="006B0B60" w:rsidR="00EE4890">
        <w:rPr>
          <w:bCs/>
          <w:szCs w:val="22"/>
        </w:rPr>
        <w:t xml:space="preserve"> </w:t>
      </w:r>
      <w:r w:rsidR="00725DC8">
        <w:rPr>
          <w:bCs/>
          <w:szCs w:val="22"/>
        </w:rPr>
        <w:t xml:space="preserve">For example, commenters are encouraged to articulate specific characteristics that might distinguish what they consider to be advertising from a lease of airtime on a station, such as duration, content, editorial control, or differences in the nature of the contractual relationship between the third-party and the station.  </w:t>
      </w:r>
    </w:p>
    <w:p w:rsidR="00D710D8" w:rsidRPr="006B0B60" w:rsidP="00D710D8" w14:paraId="55D3C899" w14:textId="77777777">
      <w:pPr>
        <w:ind w:firstLine="720"/>
        <w:rPr>
          <w:bCs/>
          <w:szCs w:val="22"/>
        </w:rPr>
      </w:pPr>
    </w:p>
    <w:p w:rsidR="006E1BE7" w:rsidP="006E1BE7" w14:paraId="1941EB6B" w14:textId="72A76D5C">
      <w:pPr>
        <w:rPr>
          <w:color w:val="010101"/>
          <w:szCs w:val="22"/>
        </w:rPr>
      </w:pPr>
      <w:bookmarkStart w:id="0" w:name="TOChere"/>
      <w:r>
        <w:rPr>
          <w:color w:val="010101"/>
          <w:szCs w:val="22"/>
        </w:rPr>
        <w:tab/>
      </w:r>
      <w:bookmarkEnd w:id="0"/>
      <w:r w:rsidRPr="00EB4E3D" w:rsidR="00725DC8">
        <w:rPr>
          <w:color w:val="010101"/>
          <w:szCs w:val="22"/>
        </w:rPr>
        <w:t xml:space="preserve">We </w:t>
      </w:r>
      <w:r w:rsidRPr="00EB4E3D" w:rsidR="00725DC8">
        <w:rPr>
          <w:szCs w:val="22"/>
        </w:rPr>
        <w:t>issue</w:t>
      </w:r>
      <w:r w:rsidRPr="00EB4E3D" w:rsidR="00725DC8">
        <w:rPr>
          <w:color w:val="010101"/>
          <w:szCs w:val="22"/>
        </w:rPr>
        <w:t xml:space="preserve"> this Public Notice to seek comment on the </w:t>
      </w:r>
      <w:r w:rsidRPr="00EB4E3D" w:rsidR="00725DC8">
        <w:rPr>
          <w:i/>
          <w:color w:val="010101"/>
          <w:szCs w:val="22"/>
        </w:rPr>
        <w:t>Petition</w:t>
      </w:r>
      <w:r w:rsidRPr="00EB4E3D" w:rsidR="00725DC8">
        <w:rPr>
          <w:color w:val="010101"/>
          <w:szCs w:val="22"/>
        </w:rPr>
        <w:t xml:space="preserve">. </w:t>
      </w:r>
      <w:r w:rsidR="00021D7B">
        <w:rPr>
          <w:color w:val="010101"/>
          <w:szCs w:val="22"/>
        </w:rPr>
        <w:t xml:space="preserve"> </w:t>
      </w:r>
      <w:r w:rsidRPr="00021D7B" w:rsidR="00021D7B">
        <w:rPr>
          <w:color w:val="010101"/>
          <w:szCs w:val="22"/>
        </w:rPr>
        <w:t xml:space="preserve">Pursuant to sections 1.415 and </w:t>
      </w:r>
      <w:r w:rsidRPr="00021D7B" w:rsidR="00021D7B">
        <w:rPr>
          <w:color w:val="010101"/>
          <w:szCs w:val="22"/>
        </w:rPr>
        <w:t>1.419 of the Commission’s rules,</w:t>
      </w:r>
      <w:r>
        <w:rPr>
          <w:rStyle w:val="FootnoteReference"/>
          <w:szCs w:val="22"/>
        </w:rPr>
        <w:footnoteReference w:id="6"/>
      </w:r>
      <w:r w:rsidRPr="00021D7B" w:rsidR="00021D7B">
        <w:rPr>
          <w:color w:val="010101"/>
          <w:szCs w:val="22"/>
        </w:rPr>
        <w:t xml:space="preserve"> interested parties may file comments and reply comments on or before the dates indicated on the first page of this document.</w:t>
      </w:r>
      <w:r w:rsidRPr="00EB4E3D" w:rsidR="00725DC8">
        <w:rPr>
          <w:color w:val="010101"/>
          <w:szCs w:val="22"/>
        </w:rPr>
        <w:t xml:space="preserve"> </w:t>
      </w:r>
      <w:r w:rsidR="00021D7B">
        <w:rPr>
          <w:color w:val="010101"/>
          <w:szCs w:val="22"/>
        </w:rPr>
        <w:t xml:space="preserve"> </w:t>
      </w:r>
      <w:r w:rsidRPr="00EB4E3D" w:rsidR="00725DC8">
        <w:rPr>
          <w:color w:val="010101"/>
          <w:szCs w:val="22"/>
        </w:rPr>
        <w:t xml:space="preserve">All filings in response to this Public Notice must reference MB Docket No. </w:t>
      </w:r>
      <w:r w:rsidR="00F002E9">
        <w:rPr>
          <w:color w:val="010101"/>
          <w:szCs w:val="22"/>
        </w:rPr>
        <w:t>20-299</w:t>
      </w:r>
      <w:r w:rsidR="00021D7B">
        <w:rPr>
          <w:color w:val="010101"/>
          <w:szCs w:val="22"/>
        </w:rPr>
        <w:t>.</w:t>
      </w:r>
      <w:r w:rsidRPr="00EB4E3D" w:rsidR="00725DC8">
        <w:rPr>
          <w:color w:val="010101"/>
          <w:szCs w:val="22"/>
        </w:rPr>
        <w:t xml:space="preserve">  </w:t>
      </w:r>
    </w:p>
    <w:p w:rsidR="006E1BE7" w:rsidP="00725DC8" w14:paraId="1144E25F" w14:textId="77777777">
      <w:pPr>
        <w:ind w:firstLine="720"/>
        <w:rPr>
          <w:color w:val="010101"/>
          <w:szCs w:val="22"/>
        </w:rPr>
      </w:pPr>
    </w:p>
    <w:p w:rsidR="006E1BE7" w:rsidP="006E1BE7" w14:paraId="3D9DC394" w14:textId="5FA7E6F7">
      <w:pPr>
        <w:ind w:firstLine="720"/>
        <w:rPr>
          <w:color w:val="010101"/>
          <w:szCs w:val="22"/>
        </w:rPr>
      </w:pPr>
      <w:r>
        <w:rPr>
          <w:i/>
          <w:iCs/>
          <w:color w:val="010101"/>
          <w:szCs w:val="22"/>
        </w:rPr>
        <w:t xml:space="preserve">Filing </w:t>
      </w:r>
      <w:r w:rsidRPr="00021D7B">
        <w:rPr>
          <w:i/>
          <w:iCs/>
          <w:color w:val="010101"/>
          <w:szCs w:val="22"/>
        </w:rPr>
        <w:t>Requirements</w:t>
      </w:r>
      <w:r>
        <w:rPr>
          <w:color w:val="010101"/>
          <w:szCs w:val="22"/>
        </w:rPr>
        <w:t xml:space="preserve">. </w:t>
      </w:r>
      <w:r w:rsidRPr="00021D7B">
        <w:rPr>
          <w:color w:val="010101"/>
          <w:szCs w:val="22"/>
        </w:rPr>
        <w:t>Comments</w:t>
      </w:r>
      <w:r w:rsidRPr="006E1BE7">
        <w:rPr>
          <w:color w:val="010101"/>
          <w:szCs w:val="22"/>
        </w:rPr>
        <w:t xml:space="preserve"> may be filed using the Commission’s Electronic Comment Filing System (ECFS).  </w:t>
      </w:r>
      <w:r w:rsidRPr="006E1BE7">
        <w:rPr>
          <w:i/>
          <w:color w:val="010101"/>
          <w:szCs w:val="22"/>
        </w:rPr>
        <w:t>See Electronic Filing of Documents in Rulemaking Proceedings</w:t>
      </w:r>
      <w:r w:rsidRPr="006E1BE7">
        <w:rPr>
          <w:color w:val="010101"/>
          <w:szCs w:val="22"/>
        </w:rPr>
        <w:t>, 63 FR 24121 (1998).</w:t>
      </w:r>
    </w:p>
    <w:p w:rsidR="00452B8F" w:rsidRPr="006E1BE7" w:rsidP="006E1BE7" w14:paraId="62A68C2D" w14:textId="77777777">
      <w:pPr>
        <w:ind w:firstLine="720"/>
        <w:rPr>
          <w:color w:val="010101"/>
          <w:szCs w:val="22"/>
        </w:rPr>
      </w:pPr>
    </w:p>
    <w:p w:rsidR="006E1BE7" w:rsidRPr="006E1BE7" w:rsidP="006E1BE7" w14:paraId="6864DE87" w14:textId="77777777">
      <w:pPr>
        <w:numPr>
          <w:ilvl w:val="0"/>
          <w:numId w:val="10"/>
        </w:numPr>
        <w:rPr>
          <w:color w:val="010101"/>
          <w:szCs w:val="22"/>
        </w:rPr>
      </w:pPr>
      <w:r w:rsidRPr="006E1BE7">
        <w:rPr>
          <w:color w:val="010101"/>
          <w:szCs w:val="22"/>
        </w:rPr>
        <w:t xml:space="preserve">Electronic Filers:  Comments may be filed electronically using the Internet by accessing the ECFS:  </w:t>
      </w:r>
      <w:hyperlink r:id="rId5" w:history="1">
        <w:r w:rsidRPr="006E1BE7">
          <w:rPr>
            <w:rStyle w:val="Hyperlink"/>
            <w:szCs w:val="22"/>
          </w:rPr>
          <w:t>http://apps.fcc.gov/ecfs/</w:t>
        </w:r>
      </w:hyperlink>
      <w:r w:rsidRPr="006E1BE7">
        <w:rPr>
          <w:color w:val="010101"/>
          <w:szCs w:val="22"/>
        </w:rPr>
        <w:t xml:space="preserve">.  </w:t>
      </w:r>
    </w:p>
    <w:p w:rsidR="006E1BE7" w:rsidRPr="006E1BE7" w:rsidP="006E1BE7" w14:paraId="00B9D21D" w14:textId="5523D406">
      <w:pPr>
        <w:numPr>
          <w:ilvl w:val="0"/>
          <w:numId w:val="10"/>
        </w:numPr>
        <w:rPr>
          <w:color w:val="010101"/>
          <w:szCs w:val="22"/>
        </w:rPr>
      </w:pPr>
      <w:r w:rsidRPr="006E1BE7">
        <w:rPr>
          <w:color w:val="010101"/>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6E1BE7" w:rsidRPr="006E1BE7" w:rsidP="006E1BE7" w14:paraId="73BE59AE" w14:textId="77777777">
      <w:pPr>
        <w:numPr>
          <w:ilvl w:val="1"/>
          <w:numId w:val="10"/>
        </w:numPr>
        <w:rPr>
          <w:color w:val="010101"/>
          <w:szCs w:val="22"/>
        </w:rPr>
      </w:pPr>
      <w:r w:rsidRPr="006E1BE7">
        <w:rPr>
          <w:color w:val="010101"/>
          <w:szCs w:val="22"/>
        </w:rPr>
        <w:t xml:space="preserve">Commercial overnight mail (other than U.S. Postal Service Express Mail and Priority Mail) must be sent to 9050 Junction Drive, Annapolis Junction, MD 20701.U.S. </w:t>
      </w:r>
    </w:p>
    <w:p w:rsidR="006E1BE7" w:rsidRPr="006E1BE7" w:rsidP="006E1BE7" w14:paraId="68835C6C" w14:textId="77777777">
      <w:pPr>
        <w:numPr>
          <w:ilvl w:val="1"/>
          <w:numId w:val="10"/>
        </w:numPr>
        <w:rPr>
          <w:color w:val="010101"/>
          <w:szCs w:val="22"/>
        </w:rPr>
      </w:pPr>
      <w:r w:rsidRPr="006E1BE7">
        <w:rPr>
          <w:color w:val="010101"/>
          <w:szCs w:val="22"/>
        </w:rPr>
        <w:t>Postal Service first-class, Express, and Priority mail must be addressed to 45 L Street, NE, Washington DC  20554.</w:t>
      </w:r>
    </w:p>
    <w:p w:rsidR="00725DC8" w:rsidRPr="00452B8F" w:rsidP="00725DC8" w14:paraId="1993BEC4" w14:textId="052584B0">
      <w:pPr>
        <w:numPr>
          <w:ilvl w:val="0"/>
          <w:numId w:val="10"/>
        </w:numPr>
        <w:rPr>
          <w:color w:val="010101"/>
          <w:szCs w:val="22"/>
        </w:rPr>
      </w:pPr>
      <w:r w:rsidRPr="006E1BE7">
        <w:rPr>
          <w:color w:val="01010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10101"/>
          <w:szCs w:val="22"/>
          <w:vertAlign w:val="superscript"/>
        </w:rPr>
        <w:footnoteReference w:id="7"/>
      </w:r>
      <w:r w:rsidRPr="006E1BE7">
        <w:rPr>
          <w:color w:val="010101"/>
          <w:szCs w:val="22"/>
        </w:rPr>
        <w:t xml:space="preserve">  </w:t>
      </w:r>
    </w:p>
    <w:p w:rsidR="004A57BC" w:rsidP="00725DC8" w14:paraId="21C9C854" w14:textId="77777777">
      <w:pPr>
        <w:ind w:firstLine="720"/>
        <w:rPr>
          <w:szCs w:val="22"/>
        </w:rPr>
      </w:pPr>
    </w:p>
    <w:p w:rsidR="00725DC8" w:rsidP="00725DC8" w14:paraId="540A1827" w14:textId="7FC076C6">
      <w:pPr>
        <w:ind w:firstLine="720"/>
        <w:rPr>
          <w:szCs w:val="22"/>
        </w:rPr>
      </w:pPr>
      <w:r>
        <w:rPr>
          <w:i/>
          <w:iCs/>
          <w:szCs w:val="22"/>
        </w:rPr>
        <w:t xml:space="preserve">Ex </w:t>
      </w:r>
      <w:r w:rsidRPr="00021D7B">
        <w:rPr>
          <w:i/>
          <w:iCs/>
          <w:szCs w:val="22"/>
        </w:rPr>
        <w:t>Parte Requirements</w:t>
      </w:r>
      <w:r>
        <w:rPr>
          <w:szCs w:val="22"/>
        </w:rPr>
        <w:t xml:space="preserve">.  </w:t>
      </w:r>
      <w:r w:rsidRPr="00021D7B">
        <w:rPr>
          <w:szCs w:val="22"/>
        </w:rPr>
        <w:t>This</w:t>
      </w:r>
      <w:r w:rsidRPr="00EB4E3D">
        <w:rPr>
          <w:szCs w:val="22"/>
        </w:rPr>
        <w:t xml:space="preserve"> proceeding </w:t>
      </w:r>
      <w:r>
        <w:rPr>
          <w:szCs w:val="22"/>
        </w:rPr>
        <w:t>is</w:t>
      </w:r>
      <w:r w:rsidRPr="00EB4E3D">
        <w:rPr>
          <w:szCs w:val="22"/>
        </w:rPr>
        <w:t xml:space="preserve"> treated as a “permit-but-disclose” proceeding in accordance with the Commission’s </w:t>
      </w:r>
      <w:r w:rsidRPr="00EB4E3D">
        <w:rPr>
          <w:i/>
          <w:iCs/>
          <w:szCs w:val="22"/>
        </w:rPr>
        <w:t xml:space="preserve">ex parte </w:t>
      </w:r>
      <w:r w:rsidRPr="00EB4E3D">
        <w:rPr>
          <w:szCs w:val="22"/>
        </w:rPr>
        <w:t>rules.</w:t>
      </w:r>
      <w:r>
        <w:rPr>
          <w:szCs w:val="22"/>
          <w:vertAlign w:val="superscript"/>
        </w:rPr>
        <w:footnoteReference w:id="8"/>
      </w:r>
      <w:r w:rsidRPr="00EB4E3D">
        <w:rPr>
          <w:szCs w:val="22"/>
        </w:rPr>
        <w:t xml:space="preserve">  Persons making </w:t>
      </w:r>
      <w:r w:rsidRPr="00EB4E3D">
        <w:rPr>
          <w:i/>
          <w:szCs w:val="22"/>
        </w:rPr>
        <w:t xml:space="preserve">ex parte </w:t>
      </w:r>
      <w:r w:rsidRPr="00EB4E3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B4E3D">
        <w:rPr>
          <w:i/>
          <w:iCs/>
          <w:szCs w:val="22"/>
        </w:rPr>
        <w:t xml:space="preserve">ex parte </w:t>
      </w:r>
      <w:r w:rsidRPr="00EB4E3D">
        <w:rPr>
          <w:szCs w:val="22"/>
        </w:rPr>
        <w:t xml:space="preserve">presentations are reminded that memoranda summarizing the presentation must (1) list all persons attending or otherwise participating in the meeting at which the </w:t>
      </w:r>
      <w:r w:rsidRPr="00EB4E3D">
        <w:rPr>
          <w:i/>
          <w:iCs/>
          <w:szCs w:val="22"/>
        </w:rPr>
        <w:t xml:space="preserve">ex parte </w:t>
      </w:r>
      <w:r w:rsidRPr="00EB4E3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B4E3D">
        <w:rPr>
          <w:i/>
          <w:iCs/>
          <w:szCs w:val="22"/>
        </w:rPr>
        <w:t xml:space="preserve">ex parte </w:t>
      </w:r>
      <w:r w:rsidRPr="00EB4E3D">
        <w:rPr>
          <w:szCs w:val="22"/>
        </w:rPr>
        <w:t xml:space="preserve">meetings are deemed to be written </w:t>
      </w:r>
      <w:r w:rsidRPr="00EB4E3D">
        <w:rPr>
          <w:i/>
          <w:iCs/>
          <w:szCs w:val="22"/>
        </w:rPr>
        <w:t>ex parte</w:t>
      </w:r>
      <w:r w:rsidRPr="00EB4E3D">
        <w:rPr>
          <w:szCs w:val="22"/>
        </w:rPr>
        <w:t xml:space="preserve"> presentations and must be filed consistent with rule 1.1206(b).</w:t>
      </w:r>
      <w:r>
        <w:rPr>
          <w:rStyle w:val="FootnoteReference"/>
          <w:szCs w:val="22"/>
        </w:rPr>
        <w:footnoteReference w:id="9"/>
      </w:r>
      <w:r w:rsidRPr="00EB4E3D">
        <w:rPr>
          <w:szCs w:val="22"/>
        </w:rPr>
        <w:t xml:space="preserve">  In proceedings governed by rule 1.49(f)</w:t>
      </w:r>
      <w:r>
        <w:rPr>
          <w:rStyle w:val="FootnoteReference"/>
          <w:szCs w:val="22"/>
        </w:rPr>
        <w:footnoteReference w:id="10"/>
      </w:r>
      <w:r w:rsidRPr="00EB4E3D">
        <w:rPr>
          <w:szCs w:val="22"/>
        </w:rPr>
        <w:t xml:space="preserve"> or for which the Commission has made available a method of electronic filing, written </w:t>
      </w:r>
      <w:r w:rsidRPr="00EB4E3D">
        <w:rPr>
          <w:i/>
          <w:iCs/>
          <w:szCs w:val="22"/>
        </w:rPr>
        <w:t xml:space="preserve">ex parte </w:t>
      </w:r>
      <w:r w:rsidRPr="00EB4E3D">
        <w:rPr>
          <w:szCs w:val="22"/>
        </w:rPr>
        <w:t xml:space="preserve">presentations and memoranda summarizing oral </w:t>
      </w:r>
      <w:r w:rsidRPr="00EB4E3D">
        <w:rPr>
          <w:i/>
          <w:iCs/>
          <w:szCs w:val="22"/>
        </w:rPr>
        <w:t xml:space="preserve">ex parte </w:t>
      </w:r>
      <w:r w:rsidRPr="00EB4E3D">
        <w:rPr>
          <w:szCs w:val="22"/>
        </w:rPr>
        <w:t>presentations, and all attachments thereto, must be filed through the electronic comment filing system available for that proceeding, and must be filed in their native format (</w:t>
      </w:r>
      <w:r w:rsidRPr="00EB4E3D">
        <w:rPr>
          <w:i/>
          <w:iCs/>
          <w:szCs w:val="22"/>
        </w:rPr>
        <w:t>e.g.</w:t>
      </w:r>
      <w:r w:rsidRPr="00EB4E3D">
        <w:rPr>
          <w:szCs w:val="22"/>
        </w:rPr>
        <w:t xml:space="preserve">, .doc, .xml, .ppt, searchable .pdf).  Participants in this proceeding should familiarize themselves with the Commission’s </w:t>
      </w:r>
      <w:r w:rsidRPr="00EB4E3D">
        <w:rPr>
          <w:i/>
          <w:iCs/>
          <w:szCs w:val="22"/>
        </w:rPr>
        <w:t xml:space="preserve">ex parte </w:t>
      </w:r>
      <w:r w:rsidRPr="00EB4E3D">
        <w:rPr>
          <w:szCs w:val="22"/>
        </w:rPr>
        <w:t>rules.</w:t>
      </w:r>
      <w:r>
        <w:rPr>
          <w:rStyle w:val="FootnoteReference"/>
          <w:szCs w:val="22"/>
        </w:rPr>
        <w:footnoteReference w:id="11"/>
      </w:r>
      <w:r w:rsidR="00EB2E9A">
        <w:rPr>
          <w:szCs w:val="22"/>
        </w:rPr>
        <w:t xml:space="preserve">  </w:t>
      </w:r>
    </w:p>
    <w:p w:rsidR="00021D7B" w:rsidP="00725DC8" w14:paraId="5F42014A" w14:textId="02384B8E">
      <w:pPr>
        <w:ind w:firstLine="720"/>
        <w:rPr>
          <w:szCs w:val="22"/>
        </w:rPr>
      </w:pPr>
    </w:p>
    <w:p w:rsidR="00021D7B" w:rsidP="00725DC8" w14:paraId="44B727A1" w14:textId="60AEEE80">
      <w:pPr>
        <w:ind w:firstLine="720"/>
        <w:rPr>
          <w:szCs w:val="22"/>
        </w:rPr>
      </w:pPr>
      <w:r w:rsidRPr="00021D7B">
        <w:rPr>
          <w:i/>
          <w:iCs/>
          <w:szCs w:val="22"/>
        </w:rPr>
        <w:t>People with Disabilities</w:t>
      </w:r>
      <w:r w:rsidRPr="00021D7B">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68061B" w:rsidP="00725DC8" w14:paraId="32009BA1" w14:textId="5C5F32B3">
      <w:pPr>
        <w:ind w:firstLine="720"/>
        <w:rPr>
          <w:szCs w:val="22"/>
        </w:rPr>
      </w:pPr>
    </w:p>
    <w:p w:rsidR="0068061B" w:rsidP="00725DC8" w14:paraId="4B28D43E" w14:textId="45860C50">
      <w:pPr>
        <w:ind w:firstLine="720"/>
        <w:rPr>
          <w:szCs w:val="22"/>
        </w:rPr>
      </w:pPr>
      <w:r>
        <w:rPr>
          <w:i/>
          <w:iCs/>
          <w:szCs w:val="22"/>
        </w:rPr>
        <w:t xml:space="preserve">Additional Information.  </w:t>
      </w:r>
      <w:r w:rsidRPr="0068061B">
        <w:rPr>
          <w:szCs w:val="22"/>
        </w:rPr>
        <w:t xml:space="preserve">For additional information on this proceeding, contact </w:t>
      </w:r>
      <w:r>
        <w:rPr>
          <w:szCs w:val="22"/>
        </w:rPr>
        <w:t>Radhika Karmarkar</w:t>
      </w:r>
      <w:r w:rsidRPr="0068061B">
        <w:rPr>
          <w:szCs w:val="22"/>
        </w:rPr>
        <w:t xml:space="preserve">, </w:t>
      </w:r>
      <w:r>
        <w:rPr>
          <w:szCs w:val="22"/>
        </w:rPr>
        <w:t>Radhika.karmarkar</w:t>
      </w:r>
      <w:r w:rsidRPr="0068061B">
        <w:rPr>
          <w:szCs w:val="22"/>
        </w:rPr>
        <w:t xml:space="preserve">@fcc.gov, of the Media Bureau, Industry Analysis Division. </w:t>
      </w:r>
    </w:p>
    <w:p w:rsidR="0068061B" w:rsidP="0068061B" w14:paraId="0BF53B61" w14:textId="59F3B920">
      <w:pPr>
        <w:rPr>
          <w:szCs w:val="22"/>
        </w:rPr>
      </w:pPr>
    </w:p>
    <w:p w:rsidR="0068061B" w:rsidP="00725DC8" w14:paraId="7611E600" w14:textId="27B184FD">
      <w:pPr>
        <w:ind w:firstLine="720"/>
        <w:rPr>
          <w:szCs w:val="22"/>
        </w:rPr>
      </w:pPr>
    </w:p>
    <w:p w:rsidR="0068061B" w:rsidRPr="0068061B" w:rsidP="0068061B" w14:paraId="6047A278" w14:textId="1E564752">
      <w:pPr>
        <w:jc w:val="center"/>
        <w:rPr>
          <w:szCs w:val="22"/>
        </w:rPr>
      </w:pPr>
      <w:r>
        <w:rPr>
          <w:szCs w:val="22"/>
        </w:rPr>
        <w:t>-  FCC -</w:t>
      </w:r>
    </w:p>
    <w:p w:rsidR="0068061B" w:rsidRPr="0068061B" w:rsidP="0068061B" w14:paraId="18E34577" w14:textId="408B6781">
      <w:pPr>
        <w:jc w:val="center"/>
        <w:rPr>
          <w:szCs w:val="22"/>
        </w:rPr>
      </w:pPr>
    </w:p>
    <w:p w:rsidR="00725DC8" w:rsidRPr="006B0B60" w:rsidP="0068061B" w14:paraId="514E0987" w14:textId="77777777">
      <w:pPr>
        <w:jc w:val="center"/>
        <w:rPr>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488C5D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421A0E" w14:paraId="4BFAD9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16481D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58DA77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212" w14:paraId="78750B30" w14:textId="77777777">
      <w:r>
        <w:separator/>
      </w:r>
    </w:p>
  </w:footnote>
  <w:footnote w:type="continuationSeparator" w:id="1">
    <w:p w:rsidR="00CE4212" w14:paraId="2394CC04" w14:textId="77777777">
      <w:pPr>
        <w:rPr>
          <w:sz w:val="20"/>
        </w:rPr>
      </w:pPr>
      <w:r>
        <w:rPr>
          <w:sz w:val="20"/>
        </w:rPr>
        <w:t xml:space="preserve">(Continued from previous page)  </w:t>
      </w:r>
      <w:r>
        <w:rPr>
          <w:sz w:val="20"/>
        </w:rPr>
        <w:separator/>
      </w:r>
    </w:p>
  </w:footnote>
  <w:footnote w:type="continuationNotice" w:id="2">
    <w:p w:rsidR="00CE4212" w14:paraId="693E474A" w14:textId="77777777">
      <w:pPr>
        <w:jc w:val="right"/>
        <w:rPr>
          <w:sz w:val="20"/>
        </w:rPr>
      </w:pPr>
      <w:r>
        <w:rPr>
          <w:sz w:val="20"/>
        </w:rPr>
        <w:t>(continued….)</w:t>
      </w:r>
    </w:p>
  </w:footnote>
  <w:footnote w:id="3">
    <w:p w:rsidR="005762AD" w14:paraId="5A51BEE4" w14:textId="5A89CA9C">
      <w:pPr>
        <w:pStyle w:val="FootnoteText"/>
      </w:pPr>
      <w:r>
        <w:rPr>
          <w:rStyle w:val="FootnoteReference"/>
        </w:rPr>
        <w:footnoteRef/>
      </w:r>
      <w:r>
        <w:t xml:space="preserve"> </w:t>
      </w:r>
      <w:r w:rsidRPr="005762AD">
        <w:rPr>
          <w:bCs/>
        </w:rPr>
        <w:t xml:space="preserve">The full text of the Petition is available for viewing on the ECFS database at </w:t>
      </w:r>
      <w:hyperlink r:id="rId1" w:history="1">
        <w:r w:rsidRPr="005762AD">
          <w:rPr>
            <w:rStyle w:val="Hyperlink"/>
            <w:bCs/>
          </w:rPr>
          <w:t>https://ecfsapi.fcc.gov/file/1071951674496/Sponsorship%20ID%20Clarification%20Request%20(FINAL%207-19-2021).pdf</w:t>
        </w:r>
      </w:hyperlink>
      <w:r w:rsidR="007A1F96">
        <w:rPr>
          <w:bCs/>
          <w:u w:val="single"/>
        </w:rPr>
        <w:t>.</w:t>
      </w:r>
    </w:p>
  </w:footnote>
  <w:footnote w:id="4">
    <w:p w:rsidR="00531669" w14:paraId="17A357E0" w14:textId="018D5353">
      <w:pPr>
        <w:pStyle w:val="FootnoteText"/>
      </w:pPr>
      <w:r>
        <w:rPr>
          <w:rStyle w:val="FootnoteReference"/>
        </w:rPr>
        <w:footnoteRef/>
      </w:r>
      <w:r>
        <w:t xml:space="preserve"> </w:t>
      </w:r>
      <w:r w:rsidRPr="00531669">
        <w:rPr>
          <w:i/>
          <w:iCs/>
        </w:rPr>
        <w:t>See Sponsorship Identification Requirements for Foreign Government-Provided Programming</w:t>
      </w:r>
      <w:r w:rsidRPr="00531669">
        <w:t>, Report and Order, MB 20-299, FCC 21-42 (rel. April 22, 2021) (</w:t>
      </w:r>
      <w:r w:rsidR="007A1F96">
        <w:rPr>
          <w:i/>
          <w:iCs/>
        </w:rPr>
        <w:t>Report and</w:t>
      </w:r>
      <w:r w:rsidRPr="00531669">
        <w:rPr>
          <w:i/>
          <w:iCs/>
        </w:rPr>
        <w:t xml:space="preserve"> Order</w:t>
      </w:r>
      <w:r w:rsidRPr="00531669">
        <w:t xml:space="preserve">).  </w:t>
      </w:r>
    </w:p>
  </w:footnote>
  <w:footnote w:id="5">
    <w:p w:rsidR="00974150" w14:paraId="1EC42508" w14:textId="312559F7">
      <w:pPr>
        <w:pStyle w:val="FootnoteText"/>
      </w:pPr>
      <w:r>
        <w:rPr>
          <w:rStyle w:val="FootnoteReference"/>
        </w:rPr>
        <w:footnoteRef/>
      </w:r>
      <w:r>
        <w:t xml:space="preserve"> Petition at 2.</w:t>
      </w:r>
    </w:p>
  </w:footnote>
  <w:footnote w:id="6">
    <w:p w:rsidR="00021D7B" w14:paraId="4BF0496B" w14:textId="5DE7DCC3">
      <w:pPr>
        <w:pStyle w:val="FootnoteText"/>
      </w:pPr>
      <w:r>
        <w:rPr>
          <w:rStyle w:val="FootnoteReference"/>
        </w:rPr>
        <w:footnoteRef/>
      </w:r>
      <w:r>
        <w:t xml:space="preserve"> </w:t>
      </w:r>
      <w:r w:rsidRPr="00021D7B">
        <w:t>47 CFR §§ 1.415, 1.419.</w:t>
      </w:r>
    </w:p>
  </w:footnote>
  <w:footnote w:id="7">
    <w:p w:rsidR="006E1BE7" w:rsidRPr="00815718" w:rsidP="006E1BE7" w14:paraId="5F8D27B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8">
    <w:p w:rsidR="00725DC8" w:rsidRPr="00103C95" w:rsidP="00725DC8" w14:paraId="0E4CC1C0" w14:textId="2BDCD97F">
      <w:pPr>
        <w:pStyle w:val="FootnoteText"/>
        <w:rPr>
          <w:i/>
          <w:iCs/>
        </w:rPr>
      </w:pPr>
      <w:r w:rsidRPr="00103C95">
        <w:rPr>
          <w:rStyle w:val="FootnoteReference"/>
        </w:rPr>
        <w:footnoteRef/>
      </w:r>
      <w:r w:rsidRPr="00103C95">
        <w:t xml:space="preserve"> </w:t>
      </w:r>
      <w:r>
        <w:rPr>
          <w:i/>
        </w:rPr>
        <w:t>Id.</w:t>
      </w:r>
      <w:r w:rsidRPr="00103C95">
        <w:t xml:space="preserve"> §§ 1.1200 </w:t>
      </w:r>
      <w:r w:rsidRPr="00103C95">
        <w:rPr>
          <w:i/>
          <w:iCs/>
        </w:rPr>
        <w:t>et seq.</w:t>
      </w:r>
    </w:p>
  </w:footnote>
  <w:footnote w:id="9">
    <w:p w:rsidR="006E1BE7" w14:paraId="43928585" w14:textId="0B17D1EB">
      <w:pPr>
        <w:pStyle w:val="FootnoteText"/>
      </w:pPr>
      <w:r>
        <w:rPr>
          <w:rStyle w:val="FootnoteReference"/>
        </w:rPr>
        <w:footnoteRef/>
      </w:r>
      <w:r>
        <w:t xml:space="preserve"> </w:t>
      </w:r>
      <w:bookmarkStart w:id="1" w:name="_Hlk77942500"/>
      <w:r>
        <w:t xml:space="preserve">47 CFR </w:t>
      </w:r>
      <w:r w:rsidRPr="006E1BE7">
        <w:t>§</w:t>
      </w:r>
      <w:r>
        <w:t xml:space="preserve"> 1.1206(b).</w:t>
      </w:r>
      <w:bookmarkEnd w:id="1"/>
    </w:p>
  </w:footnote>
  <w:footnote w:id="10">
    <w:p w:rsidR="00EB2E9A" w14:paraId="05ED4EF9" w14:textId="72DE68D2">
      <w:pPr>
        <w:pStyle w:val="FootnoteText"/>
      </w:pPr>
      <w:r>
        <w:rPr>
          <w:rStyle w:val="FootnoteReference"/>
        </w:rPr>
        <w:footnoteRef/>
      </w:r>
      <w:r>
        <w:t xml:space="preserve"> </w:t>
      </w:r>
      <w:bookmarkStart w:id="2" w:name="_Hlk77943118"/>
      <w:r w:rsidRPr="00EB2E9A">
        <w:t>47 CFR § 1.</w:t>
      </w:r>
      <w:r>
        <w:t>49</w:t>
      </w:r>
      <w:r w:rsidRPr="00EB2E9A">
        <w:t>(</w:t>
      </w:r>
      <w:r>
        <w:t>f</w:t>
      </w:r>
      <w:r w:rsidRPr="00EB2E9A">
        <w:t>).</w:t>
      </w:r>
    </w:p>
    <w:bookmarkEnd w:id="2"/>
  </w:footnote>
  <w:footnote w:id="11">
    <w:p w:rsidR="00C42182" w:rsidRPr="00C42182" w:rsidP="00C42182" w14:paraId="3A973262" w14:textId="023B7C71">
      <w:pPr>
        <w:pStyle w:val="FootnoteText"/>
      </w:pPr>
      <w:r>
        <w:rPr>
          <w:rStyle w:val="FootnoteReference"/>
        </w:rPr>
        <w:footnoteRef/>
      </w:r>
      <w:r>
        <w:t xml:space="preserve"> </w:t>
      </w:r>
      <w:r w:rsidRPr="00C42182">
        <w:t>47 CFR §§</w:t>
      </w:r>
      <w:r>
        <w:t xml:space="preserve"> 1.1200-1.1216</w:t>
      </w:r>
      <w:r w:rsidRPr="00C42182">
        <w:t>.</w:t>
      </w:r>
    </w:p>
    <w:p w:rsidR="00C42182" w14:paraId="01944687" w14:textId="5574BB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1B0199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394D2C39" w14:textId="32E3206B">
    <w:pPr>
      <w:tabs>
        <w:tab w:val="center" w:pos="4680"/>
        <w:tab w:val="right" w:pos="9360"/>
      </w:tabs>
    </w:pPr>
    <w:r>
      <w:rPr>
        <w:b/>
      </w:rPr>
      <w:tab/>
      <w:t>Federal Communications Commission</w:t>
    </w:r>
    <w:r>
      <w:rPr>
        <w:b/>
      </w:rPr>
      <w:tab/>
    </w:r>
    <w:r w:rsidR="00622408">
      <w:rPr>
        <w:b/>
      </w:rPr>
      <w:t>DA 21-945</w:t>
    </w:r>
  </w:p>
  <w:p w:rsidR="00421A0E" w14:paraId="60A6548E" w14:textId="3D22A1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21A0E" w14:paraId="6806C13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A0E" w14:paraId="62C2DCB0" w14:textId="0E63B413">
    <w:pPr>
      <w:pStyle w:val="Header"/>
    </w:pPr>
    <w:r>
      <w:rPr>
        <w:noProof/>
        <w:snapToGrid/>
      </w:rPr>
      <w:drawing>
        <wp:inline distT="0" distB="0" distL="0" distR="0">
          <wp:extent cx="5947410"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03042"/>
    <w:multiLevelType w:val="hybridMultilevel"/>
    <w:tmpl w:val="9B8CB38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DE2DA8"/>
    <w:multiLevelType w:val="hybridMultilevel"/>
    <w:tmpl w:val="2C3675C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8C5B89"/>
    <w:multiLevelType w:val="hybridMultilevel"/>
    <w:tmpl w:val="DADCDCFA"/>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9632BA4"/>
    <w:multiLevelType w:val="hybridMultilevel"/>
    <w:tmpl w:val="24948D6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B725F43"/>
    <w:multiLevelType w:val="hybridMultilevel"/>
    <w:tmpl w:val="98BE490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B6C38AF"/>
    <w:multiLevelType w:val="hybridMultilevel"/>
    <w:tmpl w:val="26E6BEBE"/>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1"/>
  </w:num>
  <w:num w:numId="5">
    <w:abstractNumId w:val="4"/>
  </w:num>
  <w:num w:numId="6">
    <w:abstractNumId w:val="2"/>
  </w:num>
  <w:num w:numId="7">
    <w:abstractNumId w:val="1"/>
  </w:num>
  <w:num w:numId="8">
    <w:abstractNumId w:val="15"/>
  </w:num>
  <w:num w:numId="9">
    <w:abstractNumId w:val="8"/>
  </w:num>
  <w:num w:numId="10">
    <w:abstractNumId w:val="9"/>
  </w:num>
  <w:num w:numId="11">
    <w:abstractNumId w:val="12"/>
  </w:num>
  <w:num w:numId="12">
    <w:abstractNumId w:val="7"/>
  </w:num>
  <w:num w:numId="13">
    <w:abstractNumId w:val="6"/>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C8"/>
    <w:rsid w:val="00021D7B"/>
    <w:rsid w:val="00066CFE"/>
    <w:rsid w:val="000F4EBA"/>
    <w:rsid w:val="00103C95"/>
    <w:rsid w:val="00162399"/>
    <w:rsid w:val="0018313C"/>
    <w:rsid w:val="0018734A"/>
    <w:rsid w:val="001B6C14"/>
    <w:rsid w:val="001D4405"/>
    <w:rsid w:val="00246784"/>
    <w:rsid w:val="00250735"/>
    <w:rsid w:val="00421A0E"/>
    <w:rsid w:val="00452B8F"/>
    <w:rsid w:val="00473E37"/>
    <w:rsid w:val="004A57BC"/>
    <w:rsid w:val="005020F4"/>
    <w:rsid w:val="00531669"/>
    <w:rsid w:val="00562259"/>
    <w:rsid w:val="005762AD"/>
    <w:rsid w:val="0060790A"/>
    <w:rsid w:val="00622408"/>
    <w:rsid w:val="00642267"/>
    <w:rsid w:val="0068061B"/>
    <w:rsid w:val="006B0B60"/>
    <w:rsid w:val="006E1BE7"/>
    <w:rsid w:val="00725DC8"/>
    <w:rsid w:val="0074143D"/>
    <w:rsid w:val="007630FE"/>
    <w:rsid w:val="00782E16"/>
    <w:rsid w:val="007A1F96"/>
    <w:rsid w:val="00815718"/>
    <w:rsid w:val="00974150"/>
    <w:rsid w:val="00A66989"/>
    <w:rsid w:val="00AA1404"/>
    <w:rsid w:val="00AC6231"/>
    <w:rsid w:val="00AC67A7"/>
    <w:rsid w:val="00AD399C"/>
    <w:rsid w:val="00B026D9"/>
    <w:rsid w:val="00B97556"/>
    <w:rsid w:val="00C42182"/>
    <w:rsid w:val="00C473C8"/>
    <w:rsid w:val="00C84F37"/>
    <w:rsid w:val="00CE4212"/>
    <w:rsid w:val="00D710D8"/>
    <w:rsid w:val="00DA5FBF"/>
    <w:rsid w:val="00DD4C90"/>
    <w:rsid w:val="00DE5F44"/>
    <w:rsid w:val="00EB2E9A"/>
    <w:rsid w:val="00EB4E3D"/>
    <w:rsid w:val="00EE4890"/>
    <w:rsid w:val="00F002E9"/>
    <w:rsid w:val="00FC41CE"/>
    <w:rsid w:val="00FF10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E51C17"/>
  <w15:chartTrackingRefBased/>
  <w15:docId w15:val="{4A0A8B79-7980-44DE-A9DD-A53B929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1 Char,Footnote Text Char1 Char Char Char Char,Footnote Text Char2 Char Char Char Char Char1,Footnote Text Char2 Char1 Char Char1,Footnote Text Char3 Char Char1,Footnote Text Char5,f"/>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187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4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6B0B60"/>
    <w:rPr>
      <w:sz w:val="16"/>
      <w:szCs w:val="16"/>
    </w:rPr>
  </w:style>
  <w:style w:type="paragraph" w:styleId="CommentText">
    <w:name w:val="annotation text"/>
    <w:basedOn w:val="Normal"/>
    <w:link w:val="CommentTextChar"/>
    <w:uiPriority w:val="99"/>
    <w:semiHidden/>
    <w:unhideWhenUsed/>
    <w:rsid w:val="006B0B60"/>
    <w:rPr>
      <w:sz w:val="20"/>
    </w:rPr>
  </w:style>
  <w:style w:type="character" w:customStyle="1" w:styleId="CommentTextChar">
    <w:name w:val="Comment Text Char"/>
    <w:basedOn w:val="DefaultParagraphFont"/>
    <w:link w:val="CommentText"/>
    <w:uiPriority w:val="99"/>
    <w:semiHidden/>
    <w:rsid w:val="006B0B60"/>
    <w:rPr>
      <w:snapToGrid w:val="0"/>
      <w:kern w:val="28"/>
    </w:rPr>
  </w:style>
  <w:style w:type="paragraph" w:styleId="CommentSubject">
    <w:name w:val="annotation subject"/>
    <w:basedOn w:val="CommentText"/>
    <w:next w:val="CommentText"/>
    <w:link w:val="CommentSubjectChar"/>
    <w:uiPriority w:val="99"/>
    <w:semiHidden/>
    <w:unhideWhenUsed/>
    <w:rsid w:val="006B0B60"/>
    <w:rPr>
      <w:b/>
      <w:bCs/>
    </w:rPr>
  </w:style>
  <w:style w:type="character" w:customStyle="1" w:styleId="CommentSubjectChar">
    <w:name w:val="Comment Subject Char"/>
    <w:basedOn w:val="CommentTextChar"/>
    <w:link w:val="CommentSubject"/>
    <w:uiPriority w:val="99"/>
    <w:semiHidden/>
    <w:rsid w:val="006B0B60"/>
    <w:rPr>
      <w:b/>
      <w:bCs/>
      <w:snapToGrid w:val="0"/>
      <w:kern w:val="28"/>
    </w:rPr>
  </w:style>
  <w:style w:type="paragraph" w:styleId="Revision">
    <w:name w:val="Revision"/>
    <w:hidden/>
    <w:uiPriority w:val="99"/>
    <w:semiHidden/>
    <w:rsid w:val="006B0B60"/>
    <w:rPr>
      <w:snapToGrid w:val="0"/>
      <w:kern w:val="28"/>
      <w:sz w:val="22"/>
    </w:rPr>
  </w:style>
  <w:style w:type="character" w:customStyle="1" w:styleId="FootnoteTextChar">
    <w:name w:val="Footnote Text Char"/>
    <w:aliases w:val="ALTS FOOTNOTE Char,Footnote Text Char1 Char Char,Footnote Text Char1 Char Char Char Char Char,Footnote Text Char1 Char1,Footnote Text Char2 Char Char Char Char Char1 Char,Footnote Text Char2 Char1 Char Char1 Char,f Char"/>
    <w:link w:val="FootnoteText"/>
    <w:rsid w:val="00725DC8"/>
  </w:style>
  <w:style w:type="paragraph" w:styleId="ListParagraph">
    <w:name w:val="List Paragraph"/>
    <w:basedOn w:val="Normal"/>
    <w:uiPriority w:val="34"/>
    <w:qFormat/>
    <w:rsid w:val="0068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1951674496/Sponsorship%20ID%20Clarification%20Request%20(FINAL%207-19-2021).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