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2007ED" w:rsidP="004756DA" w14:paraId="17D4ED9A" w14:textId="77777777">
      <w:pPr>
        <w:jc w:val="center"/>
        <w:rPr>
          <w:b/>
          <w:szCs w:val="22"/>
        </w:rPr>
      </w:pPr>
      <w:r w:rsidRPr="002007ED">
        <w:rPr>
          <w:b/>
          <w:szCs w:val="22"/>
        </w:rPr>
        <w:t>Before the</w:t>
      </w:r>
    </w:p>
    <w:p w:rsidR="004756DA" w:rsidRPr="002007ED" w:rsidP="004756DA" w14:paraId="5EABE943" w14:textId="77777777">
      <w:pPr>
        <w:jc w:val="center"/>
        <w:rPr>
          <w:b/>
          <w:szCs w:val="22"/>
        </w:rPr>
      </w:pPr>
      <w:r w:rsidRPr="002007ED">
        <w:rPr>
          <w:b/>
          <w:szCs w:val="22"/>
        </w:rPr>
        <w:t>Federal Communications Commission</w:t>
      </w:r>
    </w:p>
    <w:p w:rsidR="004756DA" w:rsidRPr="002007ED" w:rsidP="004756DA" w14:paraId="042091A6" w14:textId="77777777">
      <w:pPr>
        <w:jc w:val="center"/>
        <w:rPr>
          <w:b/>
          <w:szCs w:val="22"/>
        </w:rPr>
      </w:pPr>
      <w:r w:rsidRPr="002007ED">
        <w:rPr>
          <w:b/>
          <w:szCs w:val="22"/>
        </w:rPr>
        <w:t>Washington, D.C. 20554</w:t>
      </w:r>
    </w:p>
    <w:p w:rsidR="004756DA" w:rsidRPr="002007ED" w:rsidP="004756DA" w14:paraId="70804CC4" w14:textId="77777777">
      <w:pPr>
        <w:rPr>
          <w:szCs w:val="22"/>
        </w:rPr>
      </w:pPr>
    </w:p>
    <w:tbl>
      <w:tblPr>
        <w:tblW w:w="9648" w:type="dxa"/>
        <w:tblLayout w:type="fixed"/>
        <w:tblLook w:val="0000"/>
      </w:tblPr>
      <w:tblGrid>
        <w:gridCol w:w="4698"/>
        <w:gridCol w:w="720"/>
        <w:gridCol w:w="4230"/>
      </w:tblGrid>
      <w:tr w14:paraId="7B2E559E" w14:textId="77777777" w:rsidTr="000C1190">
        <w:tblPrEx>
          <w:tblW w:w="9648" w:type="dxa"/>
          <w:tblLayout w:type="fixed"/>
          <w:tblLook w:val="0000"/>
        </w:tblPrEx>
        <w:tc>
          <w:tcPr>
            <w:tcW w:w="4698" w:type="dxa"/>
          </w:tcPr>
          <w:p w:rsidR="004756DA" w:rsidRPr="002007ED" w:rsidP="000C1190" w14:paraId="050DF5A4" w14:textId="77777777">
            <w:pPr>
              <w:ind w:right="-18"/>
              <w:rPr>
                <w:szCs w:val="22"/>
              </w:rPr>
            </w:pPr>
            <w:r w:rsidRPr="002007ED">
              <w:rPr>
                <w:szCs w:val="22"/>
              </w:rPr>
              <w:t xml:space="preserve">In re </w:t>
            </w:r>
            <w:r w:rsidRPr="002007ED" w:rsidR="00EA24F5">
              <w:rPr>
                <w:szCs w:val="22"/>
              </w:rPr>
              <w:t>Application of</w:t>
            </w:r>
            <w:r w:rsidRPr="002007ED">
              <w:rPr>
                <w:szCs w:val="22"/>
              </w:rPr>
              <w:t xml:space="preserve">  </w:t>
            </w:r>
          </w:p>
          <w:p w:rsidR="004756DA" w:rsidRPr="002007ED" w:rsidP="000C1190" w14:paraId="03954091" w14:textId="77777777">
            <w:pPr>
              <w:ind w:right="-18"/>
              <w:rPr>
                <w:szCs w:val="22"/>
              </w:rPr>
            </w:pPr>
          </w:p>
          <w:p w:rsidR="00B221FC" w:rsidRPr="000F3DE4" w:rsidP="00B221FC" w14:paraId="7C37F19B" w14:textId="77777777">
            <w:pPr>
              <w:tabs>
                <w:tab w:val="center" w:pos="4680"/>
              </w:tabs>
              <w:suppressAutoHyphens/>
              <w:rPr>
                <w:b/>
                <w:bCs/>
                <w:spacing w:val="-2"/>
              </w:rPr>
            </w:pPr>
            <w:r>
              <w:rPr>
                <w:b/>
                <w:bCs/>
                <w:spacing w:val="-2"/>
              </w:rPr>
              <w:t>Range Paging, Inc.</w:t>
            </w:r>
          </w:p>
          <w:p w:rsidR="00B221FC" w:rsidRPr="00140750" w:rsidP="00B221FC" w14:paraId="093CB7DB" w14:textId="77777777">
            <w:pPr>
              <w:tabs>
                <w:tab w:val="center" w:pos="4680"/>
              </w:tabs>
              <w:suppressAutoHyphens/>
              <w:rPr>
                <w:spacing w:val="-2"/>
              </w:rPr>
            </w:pPr>
          </w:p>
          <w:p w:rsidR="00B221FC" w:rsidRPr="00140750" w:rsidP="00B221FC" w14:paraId="7965F970" w14:textId="77777777">
            <w:pPr>
              <w:tabs>
                <w:tab w:val="center" w:pos="4680"/>
              </w:tabs>
              <w:suppressAutoHyphens/>
              <w:rPr>
                <w:spacing w:val="-2"/>
              </w:rPr>
            </w:pPr>
            <w:r w:rsidRPr="00140750">
              <w:rPr>
                <w:spacing w:val="-2"/>
              </w:rPr>
              <w:t>For Renewal of License for</w:t>
            </w:r>
          </w:p>
          <w:p w:rsidR="00B221FC" w:rsidRPr="00140750" w:rsidP="00B221FC" w14:paraId="581F3652" w14:textId="77777777">
            <w:pPr>
              <w:tabs>
                <w:tab w:val="center" w:pos="4680"/>
              </w:tabs>
              <w:suppressAutoHyphens/>
              <w:rPr>
                <w:spacing w:val="-2"/>
              </w:rPr>
            </w:pPr>
            <w:r w:rsidRPr="00140750">
              <w:rPr>
                <w:spacing w:val="-2"/>
              </w:rPr>
              <w:t xml:space="preserve">FM Translator Station </w:t>
            </w:r>
            <w:r>
              <w:rPr>
                <w:spacing w:val="-2"/>
              </w:rPr>
              <w:t>K280AT</w:t>
            </w:r>
          </w:p>
          <w:p w:rsidR="004756DA" w:rsidRPr="002007ED" w:rsidP="00B221FC" w14:paraId="0F0BCF53" w14:textId="4073D2B6">
            <w:pPr>
              <w:ind w:right="-18"/>
              <w:rPr>
                <w:b/>
                <w:szCs w:val="22"/>
              </w:rPr>
            </w:pPr>
            <w:r>
              <w:rPr>
                <w:spacing w:val="-2"/>
              </w:rPr>
              <w:t>Ely, Minnesota</w:t>
            </w:r>
          </w:p>
        </w:tc>
        <w:tc>
          <w:tcPr>
            <w:tcW w:w="720" w:type="dxa"/>
          </w:tcPr>
          <w:p w:rsidR="004756DA" w:rsidRPr="002007ED" w:rsidP="000C1190" w14:paraId="531D622B" w14:textId="77777777">
            <w:pPr>
              <w:rPr>
                <w:b/>
                <w:szCs w:val="22"/>
              </w:rPr>
            </w:pPr>
            <w:r w:rsidRPr="002007ED">
              <w:rPr>
                <w:b/>
                <w:szCs w:val="22"/>
              </w:rPr>
              <w:t>)</w:t>
            </w:r>
          </w:p>
          <w:p w:rsidR="004756DA" w:rsidRPr="002007ED" w:rsidP="000C1190" w14:paraId="294BDC3F" w14:textId="77777777">
            <w:pPr>
              <w:rPr>
                <w:b/>
                <w:szCs w:val="22"/>
              </w:rPr>
            </w:pPr>
            <w:r w:rsidRPr="002007ED">
              <w:rPr>
                <w:b/>
                <w:szCs w:val="22"/>
              </w:rPr>
              <w:t>)</w:t>
            </w:r>
          </w:p>
          <w:p w:rsidR="004756DA" w:rsidRPr="002007ED" w:rsidP="000C1190" w14:paraId="5E4D2172" w14:textId="77777777">
            <w:pPr>
              <w:rPr>
                <w:b/>
                <w:szCs w:val="22"/>
              </w:rPr>
            </w:pPr>
            <w:r w:rsidRPr="002007ED">
              <w:rPr>
                <w:b/>
                <w:szCs w:val="22"/>
              </w:rPr>
              <w:t>)</w:t>
            </w:r>
          </w:p>
          <w:p w:rsidR="004756DA" w:rsidRPr="002007ED" w:rsidP="000C1190" w14:paraId="5008F3F8" w14:textId="77777777">
            <w:pPr>
              <w:rPr>
                <w:b/>
                <w:szCs w:val="22"/>
              </w:rPr>
            </w:pPr>
            <w:r w:rsidRPr="002007ED">
              <w:rPr>
                <w:b/>
                <w:szCs w:val="22"/>
              </w:rPr>
              <w:t>)</w:t>
            </w:r>
          </w:p>
          <w:p w:rsidR="004756DA" w:rsidRPr="002007ED" w:rsidP="000C1190" w14:paraId="02845DF8" w14:textId="77777777">
            <w:pPr>
              <w:rPr>
                <w:b/>
                <w:szCs w:val="22"/>
              </w:rPr>
            </w:pPr>
            <w:r w:rsidRPr="002007ED">
              <w:rPr>
                <w:b/>
                <w:szCs w:val="22"/>
              </w:rPr>
              <w:t>)</w:t>
            </w:r>
          </w:p>
          <w:p w:rsidR="004756DA" w:rsidRPr="002007ED" w:rsidP="000C1190" w14:paraId="2B15A3A6" w14:textId="77777777">
            <w:pPr>
              <w:rPr>
                <w:b/>
                <w:szCs w:val="22"/>
              </w:rPr>
            </w:pPr>
            <w:r w:rsidRPr="002007ED">
              <w:rPr>
                <w:b/>
                <w:szCs w:val="22"/>
              </w:rPr>
              <w:t>)</w:t>
            </w:r>
          </w:p>
          <w:p w:rsidR="009834E0" w:rsidRPr="002007ED" w:rsidP="000C1190" w14:paraId="7833E5C1" w14:textId="77777777">
            <w:pPr>
              <w:rPr>
                <w:b/>
                <w:szCs w:val="22"/>
              </w:rPr>
            </w:pPr>
            <w:r w:rsidRPr="002007ED">
              <w:rPr>
                <w:b/>
                <w:szCs w:val="22"/>
              </w:rPr>
              <w:t>)</w:t>
            </w:r>
          </w:p>
          <w:p w:rsidR="00EA24F5" w:rsidRPr="002007ED" w:rsidP="000C1190" w14:paraId="7A0214C5" w14:textId="77777777">
            <w:pPr>
              <w:rPr>
                <w:b/>
                <w:szCs w:val="22"/>
              </w:rPr>
            </w:pPr>
          </w:p>
        </w:tc>
        <w:tc>
          <w:tcPr>
            <w:tcW w:w="4230" w:type="dxa"/>
          </w:tcPr>
          <w:p w:rsidR="004756DA" w:rsidRPr="002007ED" w:rsidP="000C1190" w14:paraId="3CE3CCEB" w14:textId="77777777">
            <w:pPr>
              <w:rPr>
                <w:szCs w:val="22"/>
              </w:rPr>
            </w:pPr>
          </w:p>
          <w:p w:rsidR="004756DA" w:rsidRPr="002007ED" w:rsidP="000C1190" w14:paraId="0A3916E3" w14:textId="77777777">
            <w:pPr>
              <w:rPr>
                <w:szCs w:val="22"/>
              </w:rPr>
            </w:pPr>
          </w:p>
          <w:p w:rsidR="00E64CE4" w:rsidRPr="00140750" w:rsidP="00E64CE4" w14:paraId="62A81367" w14:textId="77777777">
            <w:pPr>
              <w:pStyle w:val="TOAHeading"/>
              <w:tabs>
                <w:tab w:val="center" w:pos="4680"/>
              </w:tabs>
              <w:rPr>
                <w:spacing w:val="-2"/>
              </w:rPr>
            </w:pPr>
            <w:r w:rsidRPr="00140750">
              <w:rPr>
                <w:spacing w:val="-2"/>
              </w:rPr>
              <w:t xml:space="preserve">Facility ID No. </w:t>
            </w:r>
            <w:r>
              <w:rPr>
                <w:spacing w:val="-2"/>
              </w:rPr>
              <w:t>63345</w:t>
            </w:r>
          </w:p>
          <w:p w:rsidR="00E64CE4" w:rsidRPr="00140750" w:rsidP="00E64CE4" w14:paraId="64FD4F34" w14:textId="77777777">
            <w:pPr>
              <w:pStyle w:val="TOAHeading"/>
              <w:tabs>
                <w:tab w:val="center" w:pos="4680"/>
              </w:tabs>
              <w:rPr>
                <w:spacing w:val="-2"/>
              </w:rPr>
            </w:pPr>
            <w:r w:rsidRPr="00140750">
              <w:rPr>
                <w:spacing w:val="-2"/>
              </w:rPr>
              <w:t xml:space="preserve">NAL/Acct. No. </w:t>
            </w:r>
            <w:bookmarkStart w:id="0" w:name="_Hlk65044492"/>
            <w:r w:rsidRPr="00140750">
              <w:rPr>
                <w:spacing w:val="-2"/>
              </w:rPr>
              <w:t>MB-202</w:t>
            </w:r>
            <w:r>
              <w:rPr>
                <w:spacing w:val="-2"/>
              </w:rPr>
              <w:t>1</w:t>
            </w:r>
            <w:r w:rsidRPr="00140750">
              <w:rPr>
                <w:spacing w:val="-2"/>
              </w:rPr>
              <w:t>414100</w:t>
            </w:r>
            <w:bookmarkEnd w:id="0"/>
            <w:r>
              <w:rPr>
                <w:spacing w:val="-2"/>
              </w:rPr>
              <w:t>26</w:t>
            </w:r>
          </w:p>
          <w:p w:rsidR="00E64CE4" w:rsidRPr="00140750" w:rsidP="00E64CE4" w14:paraId="64D4673D" w14:textId="77777777">
            <w:pPr>
              <w:pStyle w:val="TOAHeading"/>
              <w:tabs>
                <w:tab w:val="center" w:pos="4680"/>
              </w:tabs>
              <w:rPr>
                <w:spacing w:val="-2"/>
              </w:rPr>
            </w:pPr>
            <w:r w:rsidRPr="00140750">
              <w:rPr>
                <w:spacing w:val="-2"/>
              </w:rPr>
              <w:t>FRN:</w:t>
            </w:r>
            <w:r>
              <w:rPr>
                <w:spacing w:val="-2"/>
              </w:rPr>
              <w:t xml:space="preserve"> 0002627354</w:t>
            </w:r>
          </w:p>
          <w:p w:rsidR="004756DA" w:rsidRPr="002007ED" w:rsidP="00E64CE4" w14:paraId="14B83DFA" w14:textId="438977D6">
            <w:pPr>
              <w:rPr>
                <w:szCs w:val="22"/>
              </w:rPr>
            </w:pPr>
            <w:r w:rsidRPr="00140750">
              <w:rPr>
                <w:spacing w:val="-2"/>
              </w:rPr>
              <w:t xml:space="preserve">File No. </w:t>
            </w:r>
            <w:r>
              <w:rPr>
                <w:spacing w:val="-2"/>
              </w:rPr>
              <w:t>0000139596</w:t>
            </w:r>
          </w:p>
        </w:tc>
      </w:tr>
    </w:tbl>
    <w:p w:rsidR="004756DA" w:rsidRPr="002007ED" w:rsidP="004756DA" w14:paraId="3B977846" w14:textId="77777777">
      <w:pPr>
        <w:jc w:val="center"/>
        <w:rPr>
          <w:b/>
          <w:szCs w:val="22"/>
        </w:rPr>
      </w:pPr>
      <w:r>
        <w:rPr>
          <w:b/>
          <w:szCs w:val="22"/>
        </w:rPr>
        <w:t xml:space="preserve">FORFEITURE </w:t>
      </w:r>
      <w:r w:rsidRPr="002007ED" w:rsidR="00DB41FF">
        <w:rPr>
          <w:b/>
          <w:szCs w:val="22"/>
        </w:rPr>
        <w:t>ORDER</w:t>
      </w:r>
    </w:p>
    <w:p w:rsidR="004756DA" w:rsidRPr="002007ED" w:rsidP="004756DA" w14:paraId="3CEDE23B" w14:textId="77777777">
      <w:pPr>
        <w:tabs>
          <w:tab w:val="left" w:pos="5760"/>
        </w:tabs>
        <w:rPr>
          <w:szCs w:val="22"/>
        </w:rPr>
      </w:pPr>
    </w:p>
    <w:p w:rsidR="004756DA" w:rsidRPr="002007ED" w:rsidP="004756DA" w14:paraId="0D0CD23F" w14:textId="629E0E5F">
      <w:pPr>
        <w:tabs>
          <w:tab w:val="left" w:pos="5760"/>
        </w:tabs>
        <w:rPr>
          <w:b/>
          <w:szCs w:val="22"/>
        </w:rPr>
      </w:pPr>
      <w:r w:rsidRPr="002007ED">
        <w:rPr>
          <w:b/>
          <w:szCs w:val="22"/>
        </w:rPr>
        <w:t xml:space="preserve">Adopted:  </w:t>
      </w:r>
      <w:r w:rsidR="00DA3858">
        <w:rPr>
          <w:b/>
          <w:szCs w:val="22"/>
        </w:rPr>
        <w:t>August 4,</w:t>
      </w:r>
      <w:r w:rsidR="007D3800">
        <w:rPr>
          <w:b/>
          <w:szCs w:val="22"/>
        </w:rPr>
        <w:t xml:space="preserve"> 2021</w:t>
      </w:r>
      <w:r w:rsidRPr="002007ED">
        <w:rPr>
          <w:b/>
          <w:szCs w:val="22"/>
        </w:rPr>
        <w:tab/>
      </w:r>
      <w:r w:rsidR="007D3800">
        <w:rPr>
          <w:b/>
          <w:szCs w:val="22"/>
        </w:rPr>
        <w:tab/>
      </w:r>
      <w:r w:rsidRPr="002007ED">
        <w:rPr>
          <w:b/>
          <w:szCs w:val="22"/>
        </w:rPr>
        <w:t xml:space="preserve">Released:  </w:t>
      </w:r>
      <w:r w:rsidR="00DA3858">
        <w:rPr>
          <w:b/>
          <w:szCs w:val="22"/>
        </w:rPr>
        <w:t>August 4,</w:t>
      </w:r>
      <w:r w:rsidR="007D3800">
        <w:rPr>
          <w:b/>
          <w:szCs w:val="22"/>
        </w:rPr>
        <w:t xml:space="preserve"> 2021</w:t>
      </w:r>
    </w:p>
    <w:p w:rsidR="004756DA" w:rsidRPr="002007ED" w:rsidP="004756DA" w14:paraId="3FEA6213" w14:textId="77777777">
      <w:pPr>
        <w:tabs>
          <w:tab w:val="left" w:pos="5760"/>
        </w:tabs>
        <w:rPr>
          <w:b/>
          <w:szCs w:val="22"/>
        </w:rPr>
      </w:pPr>
    </w:p>
    <w:p w:rsidR="004756DA" w:rsidRPr="002007ED" w:rsidP="004756DA" w14:paraId="1DC14CAB" w14:textId="77777777">
      <w:pPr>
        <w:tabs>
          <w:tab w:val="left" w:pos="5760"/>
        </w:tabs>
        <w:rPr>
          <w:spacing w:val="-2"/>
          <w:szCs w:val="22"/>
        </w:rPr>
      </w:pPr>
      <w:r w:rsidRPr="002007ED">
        <w:rPr>
          <w:szCs w:val="22"/>
        </w:rPr>
        <w:t xml:space="preserve">By the Chief, </w:t>
      </w:r>
      <w:r w:rsidRPr="002007ED" w:rsidR="00475AB4">
        <w:rPr>
          <w:szCs w:val="22"/>
        </w:rPr>
        <w:t>Audio Division</w:t>
      </w:r>
      <w:r w:rsidRPr="002007ED" w:rsidR="00BF70C1">
        <w:rPr>
          <w:szCs w:val="22"/>
        </w:rPr>
        <w:t>, Media Bureau</w:t>
      </w:r>
      <w:r w:rsidRPr="002007ED">
        <w:rPr>
          <w:spacing w:val="-2"/>
          <w:szCs w:val="22"/>
        </w:rPr>
        <w:t>:</w:t>
      </w:r>
    </w:p>
    <w:p w:rsidR="007415F1" w:rsidRPr="002007ED" w:rsidP="007415F1" w14:paraId="1BA706D4" w14:textId="77777777">
      <w:pPr>
        <w:tabs>
          <w:tab w:val="left" w:pos="1080"/>
          <w:tab w:val="left" w:pos="5760"/>
        </w:tabs>
        <w:rPr>
          <w:spacing w:val="-2"/>
          <w:szCs w:val="22"/>
        </w:rPr>
      </w:pPr>
    </w:p>
    <w:p w:rsidR="005F3236" w:rsidRPr="002007ED" w:rsidP="005F3236" w14:paraId="71BDAA29" w14:textId="77777777">
      <w:pPr>
        <w:pStyle w:val="Heading1"/>
        <w:rPr>
          <w:rFonts w:ascii="Times New Roman" w:hAnsi="Times New Roman"/>
          <w:szCs w:val="22"/>
        </w:rPr>
      </w:pPr>
      <w:r w:rsidRPr="002007ED">
        <w:rPr>
          <w:rFonts w:ascii="Times New Roman" w:hAnsi="Times New Roman"/>
          <w:szCs w:val="22"/>
        </w:rPr>
        <w:t>introduction</w:t>
      </w:r>
    </w:p>
    <w:p w:rsidR="003A22F6" w:rsidP="003A22F6" w14:paraId="1435DB1C" w14:textId="0F22D3E5">
      <w:pPr>
        <w:pStyle w:val="ParaNum"/>
        <w:numPr>
          <w:ilvl w:val="0"/>
          <w:numId w:val="20"/>
        </w:numPr>
        <w:tabs>
          <w:tab w:val="clear" w:pos="450"/>
          <w:tab w:val="left" w:pos="1440"/>
        </w:tabs>
        <w:snapToGrid w:val="0"/>
        <w:spacing w:after="220"/>
        <w:ind w:left="0"/>
        <w:rPr>
          <w:snapToGrid/>
        </w:rPr>
      </w:pPr>
      <w:r>
        <w:t xml:space="preserve">In this </w:t>
      </w:r>
      <w:r>
        <w:rPr>
          <w:i/>
          <w:iCs/>
        </w:rPr>
        <w:t>Forfeiture Order</w:t>
      </w:r>
      <w:r>
        <w:t xml:space="preserve">, we issue a monetary forfeiture in the amount of </w:t>
      </w:r>
      <w:r w:rsidR="00DF778B">
        <w:t xml:space="preserve">one thousand, </w:t>
      </w:r>
      <w:r w:rsidR="009A1545">
        <w:t>five</w:t>
      </w:r>
      <w:r w:rsidR="00DF778B">
        <w:t xml:space="preserve"> hundred </w:t>
      </w:r>
      <w:r>
        <w:t>dollars ($</w:t>
      </w:r>
      <w:r w:rsidR="000717E9">
        <w:t>1,</w:t>
      </w:r>
      <w:r w:rsidR="00DF778B">
        <w:t>5</w:t>
      </w:r>
      <w:r w:rsidR="009A1545">
        <w:t>00</w:t>
      </w:r>
      <w:r>
        <w:t>) to</w:t>
      </w:r>
      <w:r>
        <w:rPr>
          <w:szCs w:val="22"/>
        </w:rPr>
        <w:t xml:space="preserve"> </w:t>
      </w:r>
      <w:r w:rsidR="00154A33">
        <w:t>Range Paging, Inc.,</w:t>
      </w:r>
      <w:r w:rsidR="00154A33">
        <w:rPr>
          <w:szCs w:val="22"/>
        </w:rPr>
        <w:t xml:space="preserve"> </w:t>
      </w:r>
      <w:r>
        <w:rPr>
          <w:szCs w:val="22"/>
        </w:rPr>
        <w:t xml:space="preserve">(Licensee), licensee of FM </w:t>
      </w:r>
      <w:r w:rsidR="00C60A24">
        <w:rPr>
          <w:szCs w:val="22"/>
        </w:rPr>
        <w:t>t</w:t>
      </w:r>
      <w:r>
        <w:rPr>
          <w:szCs w:val="22"/>
        </w:rPr>
        <w:t xml:space="preserve">ranslator </w:t>
      </w:r>
      <w:r w:rsidR="00C60A24">
        <w:rPr>
          <w:szCs w:val="22"/>
        </w:rPr>
        <w:t>s</w:t>
      </w:r>
      <w:r>
        <w:rPr>
          <w:szCs w:val="22"/>
        </w:rPr>
        <w:t xml:space="preserve">tation </w:t>
      </w:r>
      <w:r w:rsidR="00616B55">
        <w:t>K280AT, Ely, Minnesota</w:t>
      </w:r>
      <w:r w:rsidRPr="00DB10EE" w:rsidR="00616B55">
        <w:t xml:space="preserve"> </w:t>
      </w:r>
      <w:r>
        <w:rPr>
          <w:szCs w:val="22"/>
        </w:rPr>
        <w:t>(Station</w:t>
      </w:r>
      <w:r>
        <w:t>), for willfully violating section 73.3539 of the Commission’s rules (Rules) by failing to timely file a license renewal application for the Station.</w:t>
      </w:r>
      <w:r>
        <w:rPr>
          <w:rStyle w:val="FootnoteReference"/>
          <w:szCs w:val="22"/>
        </w:rPr>
        <w:footnoteReference w:id="2"/>
      </w:r>
      <w:r>
        <w:t xml:space="preserve">  </w:t>
      </w:r>
    </w:p>
    <w:p w:rsidR="005F3236" w:rsidRPr="002007ED" w:rsidP="005F3236" w14:paraId="71239085" w14:textId="77777777">
      <w:pPr>
        <w:pStyle w:val="Heading1"/>
        <w:rPr>
          <w:rFonts w:ascii="Times New Roman" w:hAnsi="Times New Roman"/>
          <w:szCs w:val="22"/>
        </w:rPr>
      </w:pPr>
      <w:r w:rsidRPr="002007ED">
        <w:rPr>
          <w:rFonts w:ascii="Times New Roman" w:hAnsi="Times New Roman"/>
          <w:szCs w:val="22"/>
        </w:rPr>
        <w:t>background</w:t>
      </w:r>
    </w:p>
    <w:p w:rsidR="008426F1" w:rsidRPr="002007ED" w:rsidP="008426F1" w14:paraId="7C6C25DD" w14:textId="2AAEBA07">
      <w:pPr>
        <w:pStyle w:val="ParaNum"/>
        <w:rPr>
          <w:szCs w:val="22"/>
        </w:rPr>
      </w:pPr>
      <w:r w:rsidRPr="002007ED">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3"/>
      </w:r>
      <w:r w:rsidRPr="002007ED">
        <w:rPr>
          <w:szCs w:val="22"/>
        </w:rPr>
        <w:t xml:space="preserve">  An application for renewal of the Station’s license should have been filed by </w:t>
      </w:r>
      <w:r w:rsidR="002A01B3">
        <w:t>December 1</w:t>
      </w:r>
      <w:r w:rsidRPr="00E66756" w:rsidR="002A01B3">
        <w:t>, 2020</w:t>
      </w:r>
      <w:r w:rsidRPr="002007ED">
        <w:rPr>
          <w:szCs w:val="22"/>
        </w:rPr>
        <w:t xml:space="preserve">, the first </w:t>
      </w:r>
      <w:r w:rsidR="007E5E4E">
        <w:rPr>
          <w:szCs w:val="22"/>
        </w:rPr>
        <w:t xml:space="preserve">business </w:t>
      </w:r>
      <w:r w:rsidRPr="002007ED">
        <w:rPr>
          <w:szCs w:val="22"/>
        </w:rPr>
        <w:t xml:space="preserve">day of the fourth full calendar month prior to the Station’s license expiration date of </w:t>
      </w:r>
      <w:r w:rsidR="00C20149">
        <w:rPr>
          <w:szCs w:val="22"/>
        </w:rPr>
        <w:t>April</w:t>
      </w:r>
      <w:r w:rsidR="0023747D">
        <w:rPr>
          <w:szCs w:val="22"/>
        </w:rPr>
        <w:t xml:space="preserve"> </w:t>
      </w:r>
      <w:r w:rsidRPr="002007ED">
        <w:rPr>
          <w:szCs w:val="22"/>
        </w:rPr>
        <w:t>1, 202</w:t>
      </w:r>
      <w:r w:rsidR="00F92DB7">
        <w:rPr>
          <w:szCs w:val="22"/>
        </w:rPr>
        <w:t>1</w:t>
      </w:r>
      <w:r w:rsidRPr="002007ED">
        <w:rPr>
          <w:szCs w:val="22"/>
        </w:rPr>
        <w:t>.</w:t>
      </w:r>
      <w:r>
        <w:rPr>
          <w:rStyle w:val="FootnoteReference"/>
          <w:sz w:val="22"/>
          <w:szCs w:val="22"/>
        </w:rPr>
        <w:footnoteReference w:id="4"/>
      </w:r>
      <w:r w:rsidRPr="002007ED">
        <w:rPr>
          <w:szCs w:val="22"/>
        </w:rPr>
        <w:t xml:space="preserve">  The application was not filed until </w:t>
      </w:r>
      <w:r w:rsidR="003B7CC1">
        <w:rPr>
          <w:szCs w:val="22"/>
        </w:rPr>
        <w:t>March 1</w:t>
      </w:r>
      <w:r w:rsidR="00F92DB7">
        <w:rPr>
          <w:szCs w:val="22"/>
        </w:rPr>
        <w:t>5</w:t>
      </w:r>
      <w:r w:rsidRPr="002007ED">
        <w:rPr>
          <w:szCs w:val="22"/>
        </w:rPr>
        <w:t>, 202</w:t>
      </w:r>
      <w:r w:rsidR="00F92DB7">
        <w:rPr>
          <w:szCs w:val="22"/>
        </w:rPr>
        <w:t>1</w:t>
      </w:r>
      <w:r w:rsidRPr="002007ED">
        <w:rPr>
          <w:szCs w:val="22"/>
        </w:rPr>
        <w:t xml:space="preserve">.  The Licensee provided no explanation for its untimely filing of the application. </w:t>
      </w:r>
    </w:p>
    <w:p w:rsidR="00A6332C" w:rsidRPr="002007ED" w:rsidP="00F9169F" w14:paraId="5BF590AF" w14:textId="60AE7F75">
      <w:pPr>
        <w:pStyle w:val="ParaNum"/>
        <w:widowControl/>
        <w:rPr>
          <w:szCs w:val="22"/>
        </w:rPr>
      </w:pPr>
      <w:r w:rsidRPr="002007ED">
        <w:rPr>
          <w:szCs w:val="22"/>
        </w:rPr>
        <w:t xml:space="preserve">Accordingly, on </w:t>
      </w:r>
      <w:r w:rsidR="002C651C">
        <w:rPr>
          <w:szCs w:val="22"/>
        </w:rPr>
        <w:t>June 4</w:t>
      </w:r>
      <w:r w:rsidR="0023747D">
        <w:rPr>
          <w:szCs w:val="22"/>
        </w:rPr>
        <w:t>, 2021</w:t>
      </w:r>
      <w:r w:rsidRPr="002007ED">
        <w:rPr>
          <w:szCs w:val="22"/>
        </w:rPr>
        <w:t>, we release</w:t>
      </w:r>
      <w:r w:rsidRPr="002007ED" w:rsidR="002D6CCE">
        <w:rPr>
          <w:szCs w:val="22"/>
        </w:rPr>
        <w:t xml:space="preserve">d the </w:t>
      </w:r>
      <w:r w:rsidR="00720F0B">
        <w:rPr>
          <w:i/>
          <w:iCs/>
          <w:szCs w:val="22"/>
        </w:rPr>
        <w:t xml:space="preserve">Memorandum Opinion and Order and Notice of Apparent Liability for Forfeiture </w:t>
      </w:r>
      <w:r w:rsidRPr="00F9169F" w:rsidR="00720F0B">
        <w:rPr>
          <w:szCs w:val="22"/>
        </w:rPr>
        <w:t>(</w:t>
      </w:r>
      <w:r w:rsidRPr="002007ED" w:rsidR="002D6CCE">
        <w:rPr>
          <w:i/>
          <w:iCs/>
          <w:szCs w:val="22"/>
        </w:rPr>
        <w:t>NAL</w:t>
      </w:r>
      <w:r w:rsidRPr="00F9169F" w:rsidR="00720F0B">
        <w:rPr>
          <w:szCs w:val="22"/>
        </w:rPr>
        <w:t>)</w:t>
      </w:r>
      <w:r w:rsidRPr="002007ED" w:rsidR="002D6CCE">
        <w:rPr>
          <w:szCs w:val="22"/>
        </w:rPr>
        <w:t xml:space="preserve">, which </w:t>
      </w:r>
      <w:r w:rsidRPr="002007ED">
        <w:rPr>
          <w:szCs w:val="22"/>
        </w:rPr>
        <w:t xml:space="preserve">proposed a forfeiture of </w:t>
      </w:r>
      <w:r w:rsidR="003A22F6">
        <w:rPr>
          <w:szCs w:val="22"/>
        </w:rPr>
        <w:t xml:space="preserve">one thousand five hundred </w:t>
      </w:r>
      <w:r w:rsidRPr="002007ED">
        <w:rPr>
          <w:szCs w:val="22"/>
        </w:rPr>
        <w:t>dollars ($</w:t>
      </w:r>
      <w:r w:rsidR="003A22F6">
        <w:rPr>
          <w:szCs w:val="22"/>
        </w:rPr>
        <w:t>1,5</w:t>
      </w:r>
      <w:r w:rsidRPr="002007ED">
        <w:rPr>
          <w:szCs w:val="22"/>
        </w:rPr>
        <w:t>00).</w:t>
      </w:r>
      <w:r>
        <w:rPr>
          <w:rStyle w:val="FootnoteReference"/>
          <w:szCs w:val="22"/>
        </w:rPr>
        <w:footnoteReference w:id="5"/>
      </w:r>
      <w:r w:rsidRPr="002007ED">
        <w:rPr>
          <w:szCs w:val="22"/>
        </w:rPr>
        <w:t xml:space="preserve">  </w:t>
      </w:r>
      <w:r w:rsidR="00D13C33">
        <w:rPr>
          <w:szCs w:val="22"/>
        </w:rPr>
        <w:t xml:space="preserve">As noted in the </w:t>
      </w:r>
      <w:r w:rsidR="00D13C33">
        <w:rPr>
          <w:i/>
          <w:iCs/>
          <w:szCs w:val="22"/>
        </w:rPr>
        <w:t xml:space="preserve">NAL, </w:t>
      </w:r>
      <w:r w:rsidR="00D13C33">
        <w:rPr>
          <w:rFonts w:ascii="TimesNewRomanPSMT" w:hAnsi="TimesNewRomanPSMT" w:cs="TimesNewRomanPSMT"/>
          <w:snapToGrid/>
          <w:kern w:val="0"/>
        </w:rPr>
        <w:t>t</w:t>
      </w:r>
      <w:r w:rsidRPr="00B83812" w:rsidR="00D13C33">
        <w:rPr>
          <w:rFonts w:ascii="TimesNewRomanPSMT" w:hAnsi="TimesNewRomanPSMT" w:cs="TimesNewRomanPSMT"/>
          <w:snapToGrid/>
          <w:kern w:val="0"/>
        </w:rPr>
        <w:t xml:space="preserve">he Commission's </w:t>
      </w:r>
      <w:r w:rsidRPr="00B83812" w:rsidR="00D13C33">
        <w:rPr>
          <w:rFonts w:ascii="TimesNewRomanPS-ItalicMT" w:hAnsi="TimesNewRomanPS-ItalicMT" w:cs="TimesNewRomanPS-ItalicMT"/>
          <w:i/>
          <w:iCs/>
          <w:snapToGrid/>
          <w:kern w:val="0"/>
        </w:rPr>
        <w:t xml:space="preserve">Forfeiture Policy Statement </w:t>
      </w:r>
      <w:r w:rsidRPr="00B83812" w:rsidR="00D13C33">
        <w:rPr>
          <w:rFonts w:ascii="TimesNewRomanPSMT" w:hAnsi="TimesNewRomanPSMT" w:cs="TimesNewRomanPSMT"/>
          <w:snapToGrid/>
          <w:kern w:val="0"/>
        </w:rPr>
        <w:t>and section 1.80(b)(10) of the Rules</w:t>
      </w:r>
      <w:r w:rsidR="00D13C33">
        <w:rPr>
          <w:rFonts w:ascii="TimesNewRomanPSMT" w:hAnsi="TimesNewRomanPSMT" w:cs="TimesNewRomanPSMT"/>
          <w:snapToGrid/>
          <w:kern w:val="0"/>
        </w:rPr>
        <w:t xml:space="preserve"> </w:t>
      </w:r>
      <w:r w:rsidRPr="00B83812" w:rsidR="00D13C33">
        <w:rPr>
          <w:rFonts w:ascii="TimesNewRomanPSMT" w:hAnsi="TimesNewRomanPSMT" w:cs="TimesNewRomanPSMT"/>
          <w:snapToGrid/>
          <w:kern w:val="0"/>
        </w:rPr>
        <w:t>establish a base forfeiture amount of $3,000 for the failure to file a required form</w:t>
      </w:r>
      <w:r w:rsidR="00D13C33">
        <w:rPr>
          <w:rFonts w:ascii="TimesNewRomanPSMT" w:hAnsi="TimesNewRomanPSMT" w:cs="TimesNewRomanPSMT"/>
          <w:snapToGrid/>
          <w:kern w:val="0"/>
        </w:rPr>
        <w:t xml:space="preserve">, and the Bureau reduced this proposed forfeiture to $1,500 because the Station provides a </w:t>
      </w:r>
      <w:r w:rsidR="00D13C33">
        <w:rPr>
          <w:rFonts w:ascii="TimesNewRomanPSMT" w:hAnsi="TimesNewRomanPSMT" w:cs="TimesNewRomanPSMT"/>
          <w:snapToGrid/>
          <w:kern w:val="0"/>
        </w:rPr>
        <w:t>secondary service</w:t>
      </w:r>
      <w:r w:rsidRPr="00B83812" w:rsidR="00D13C33">
        <w:rPr>
          <w:rFonts w:ascii="TimesNewRomanPSMT" w:hAnsi="TimesNewRomanPSMT" w:cs="TimesNewRomanPSMT"/>
          <w:snapToGrid/>
          <w:kern w:val="0"/>
        </w:rPr>
        <w:t>.</w:t>
      </w:r>
      <w:r>
        <w:rPr>
          <w:rStyle w:val="FootnoteReference"/>
          <w:rFonts w:cs="TimesNewRomanPSMT"/>
          <w:snapToGrid/>
          <w:kern w:val="0"/>
          <w:szCs w:val="22"/>
        </w:rPr>
        <w:footnoteReference w:id="6"/>
      </w:r>
      <w:r w:rsidRPr="00B83812" w:rsidR="00D13C33">
        <w:rPr>
          <w:rFonts w:ascii="TimesNewRomanPSMT" w:hAnsi="TimesNewRomanPSMT" w:cs="TimesNewRomanPSMT"/>
          <w:snapToGrid/>
          <w:kern w:val="0"/>
        </w:rPr>
        <w:t xml:space="preserve">  </w:t>
      </w:r>
      <w:r w:rsidRPr="002007ED">
        <w:rPr>
          <w:szCs w:val="22"/>
        </w:rPr>
        <w:t xml:space="preserve">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7"/>
      </w:r>
      <w:r w:rsidRPr="002007ED">
        <w:rPr>
          <w:szCs w:val="22"/>
        </w:rPr>
        <w:t xml:space="preserve">  </w:t>
      </w:r>
    </w:p>
    <w:p w:rsidR="00944A19" w:rsidRPr="00944A19" w:rsidP="00944A19" w14:paraId="468B1CCC" w14:textId="73F61DE5">
      <w:pPr>
        <w:pStyle w:val="ParaNum"/>
        <w:widowControl/>
        <w:rPr>
          <w:szCs w:val="22"/>
        </w:rPr>
      </w:pPr>
      <w:r w:rsidRPr="00397006">
        <w:rPr>
          <w:szCs w:val="22"/>
        </w:rPr>
        <w:t xml:space="preserve">On </w:t>
      </w:r>
      <w:r w:rsidR="00AF5D21">
        <w:rPr>
          <w:szCs w:val="22"/>
        </w:rPr>
        <w:t>July 15</w:t>
      </w:r>
      <w:r w:rsidRPr="00397006">
        <w:rPr>
          <w:szCs w:val="22"/>
        </w:rPr>
        <w:t>, 2021,</w:t>
      </w:r>
      <w:r w:rsidRPr="00397006" w:rsidR="00DB41FF">
        <w:rPr>
          <w:szCs w:val="22"/>
        </w:rPr>
        <w:t xml:space="preserve"> </w:t>
      </w:r>
      <w:r w:rsidRPr="002007ED" w:rsidR="00DD5187">
        <w:rPr>
          <w:szCs w:val="22"/>
        </w:rPr>
        <w:t>the Licensee submitted a written response in which it d</w:t>
      </w:r>
      <w:r w:rsidR="00DD5187">
        <w:rPr>
          <w:szCs w:val="22"/>
        </w:rPr>
        <w:t>oes</w:t>
      </w:r>
      <w:r w:rsidRPr="002007ED" w:rsidR="00DD5187">
        <w:rPr>
          <w:szCs w:val="22"/>
        </w:rPr>
        <w:t xml:space="preserve"> not dispute that it violated section 73.35</w:t>
      </w:r>
      <w:r w:rsidR="00DD5187">
        <w:rPr>
          <w:szCs w:val="22"/>
        </w:rPr>
        <w:t>3</w:t>
      </w:r>
      <w:r w:rsidRPr="002007ED" w:rsidR="00DD5187">
        <w:rPr>
          <w:szCs w:val="22"/>
        </w:rPr>
        <w:t xml:space="preserve">9 of the Rules but </w:t>
      </w:r>
      <w:r w:rsidR="00DD5187">
        <w:rPr>
          <w:szCs w:val="22"/>
        </w:rPr>
        <w:t>argues that the proposed forfeiture should be eliminated based on</w:t>
      </w:r>
      <w:r w:rsidR="00846EEA">
        <w:rPr>
          <w:szCs w:val="22"/>
        </w:rPr>
        <w:t xml:space="preserve"> additional factors not explained in the renewal application</w:t>
      </w:r>
      <w:r w:rsidR="00397006">
        <w:rPr>
          <w:szCs w:val="22"/>
        </w:rPr>
        <w:t>.</w:t>
      </w:r>
      <w:r>
        <w:rPr>
          <w:rStyle w:val="FootnoteReference"/>
          <w:szCs w:val="22"/>
        </w:rPr>
        <w:footnoteReference w:id="8"/>
      </w:r>
      <w:r w:rsidR="00397006">
        <w:rPr>
          <w:szCs w:val="22"/>
        </w:rPr>
        <w:t xml:space="preserve">  </w:t>
      </w:r>
      <w:r w:rsidR="00D0020E">
        <w:rPr>
          <w:szCs w:val="22"/>
        </w:rPr>
        <w:t>Licensee argues that</w:t>
      </w:r>
      <w:r w:rsidR="00B0785F">
        <w:rPr>
          <w:szCs w:val="22"/>
        </w:rPr>
        <w:t xml:space="preserve"> </w:t>
      </w:r>
      <w:r w:rsidR="008B1307">
        <w:rPr>
          <w:szCs w:val="22"/>
        </w:rPr>
        <w:t>the Station owner has a</w:t>
      </w:r>
      <w:r w:rsidR="00B0785F">
        <w:rPr>
          <w:szCs w:val="22"/>
        </w:rPr>
        <w:t xml:space="preserve"> history of health</w:t>
      </w:r>
      <w:r w:rsidR="00331A4C">
        <w:rPr>
          <w:szCs w:val="22"/>
        </w:rPr>
        <w:t>-related</w:t>
      </w:r>
      <w:r w:rsidR="00B0785F">
        <w:rPr>
          <w:szCs w:val="22"/>
        </w:rPr>
        <w:t xml:space="preserve"> </w:t>
      </w:r>
      <w:r w:rsidR="00331A4C">
        <w:rPr>
          <w:szCs w:val="22"/>
        </w:rPr>
        <w:t>issues</w:t>
      </w:r>
      <w:r w:rsidR="0099002E">
        <w:rPr>
          <w:szCs w:val="22"/>
        </w:rPr>
        <w:t xml:space="preserve"> which were exacerbated </w:t>
      </w:r>
      <w:r w:rsidR="009208C9">
        <w:rPr>
          <w:szCs w:val="22"/>
        </w:rPr>
        <w:t>from 2020 through 2021</w:t>
      </w:r>
      <w:r w:rsidR="002973C2">
        <w:rPr>
          <w:szCs w:val="22"/>
        </w:rPr>
        <w:t>, and prevented</w:t>
      </w:r>
      <w:r w:rsidR="00972277">
        <w:rPr>
          <w:szCs w:val="22"/>
        </w:rPr>
        <w:t xml:space="preserve"> </w:t>
      </w:r>
      <w:r w:rsidR="00E90615">
        <w:rPr>
          <w:szCs w:val="22"/>
        </w:rPr>
        <w:t xml:space="preserve">the </w:t>
      </w:r>
      <w:r w:rsidR="00256535">
        <w:rPr>
          <w:szCs w:val="22"/>
        </w:rPr>
        <w:t>timely filing of the renewal application.</w:t>
      </w:r>
      <w:r>
        <w:rPr>
          <w:rStyle w:val="FootnoteReference"/>
          <w:szCs w:val="22"/>
        </w:rPr>
        <w:footnoteReference w:id="9"/>
      </w:r>
      <w:r w:rsidR="00331A4C">
        <w:rPr>
          <w:szCs w:val="22"/>
        </w:rPr>
        <w:t xml:space="preserve"> </w:t>
      </w:r>
      <w:r w:rsidR="005A2225">
        <w:rPr>
          <w:szCs w:val="22"/>
        </w:rPr>
        <w:t xml:space="preserve"> </w:t>
      </w:r>
      <w:r w:rsidR="000F0434">
        <w:rPr>
          <w:szCs w:val="22"/>
        </w:rPr>
        <w:t>Licensee</w:t>
      </w:r>
      <w:r w:rsidR="0051165C">
        <w:rPr>
          <w:szCs w:val="22"/>
        </w:rPr>
        <w:t xml:space="preserve"> also </w:t>
      </w:r>
      <w:r w:rsidR="00627DD9">
        <w:rPr>
          <w:szCs w:val="22"/>
        </w:rPr>
        <w:t xml:space="preserve">states </w:t>
      </w:r>
      <w:r w:rsidR="0051165C">
        <w:rPr>
          <w:szCs w:val="22"/>
        </w:rPr>
        <w:t>that it</w:t>
      </w:r>
      <w:r w:rsidR="00091E2A">
        <w:rPr>
          <w:szCs w:val="22"/>
        </w:rPr>
        <w:t xml:space="preserve"> was unable to </w:t>
      </w:r>
      <w:r w:rsidR="00086F48">
        <w:rPr>
          <w:szCs w:val="22"/>
        </w:rPr>
        <w:t>pay</w:t>
      </w:r>
      <w:r w:rsidR="00091E2A">
        <w:rPr>
          <w:szCs w:val="22"/>
        </w:rPr>
        <w:t xml:space="preserve"> a party who assist</w:t>
      </w:r>
      <w:r w:rsidR="00086F48">
        <w:rPr>
          <w:szCs w:val="22"/>
        </w:rPr>
        <w:t>ed</w:t>
      </w:r>
      <w:r w:rsidR="00091E2A">
        <w:rPr>
          <w:szCs w:val="22"/>
        </w:rPr>
        <w:t xml:space="preserve"> with Station matters, but </w:t>
      </w:r>
      <w:r w:rsidR="004E5D6F">
        <w:rPr>
          <w:szCs w:val="22"/>
        </w:rPr>
        <w:t>provides no evidence of</w:t>
      </w:r>
      <w:r w:rsidR="002D4E03">
        <w:rPr>
          <w:szCs w:val="22"/>
        </w:rPr>
        <w:t xml:space="preserve"> financial hardship or of</w:t>
      </w:r>
      <w:r w:rsidR="004E5D6F">
        <w:rPr>
          <w:szCs w:val="22"/>
        </w:rPr>
        <w:t xml:space="preserve"> its inability to pay</w:t>
      </w:r>
      <w:r w:rsidR="00665BFF">
        <w:rPr>
          <w:szCs w:val="22"/>
        </w:rPr>
        <w:t xml:space="preserve"> the proposed forfeiture</w:t>
      </w:r>
      <w:r w:rsidR="004E5D6F">
        <w:rPr>
          <w:szCs w:val="22"/>
        </w:rPr>
        <w:t>.</w:t>
      </w:r>
      <w:r>
        <w:rPr>
          <w:rStyle w:val="FootnoteReference"/>
          <w:szCs w:val="22"/>
        </w:rPr>
        <w:footnoteReference w:id="10"/>
      </w:r>
      <w:r w:rsidR="00665BFF">
        <w:rPr>
          <w:szCs w:val="22"/>
        </w:rPr>
        <w:t xml:space="preserve">  </w:t>
      </w:r>
    </w:p>
    <w:p w:rsidR="00912D6D" w:rsidRPr="002007ED" w:rsidP="00912D6D" w14:paraId="383DFD24" w14:textId="77777777">
      <w:pPr>
        <w:pStyle w:val="Heading1"/>
        <w:rPr>
          <w:rFonts w:ascii="Times New Roman" w:hAnsi="Times New Roman"/>
          <w:szCs w:val="22"/>
        </w:rPr>
      </w:pPr>
      <w:r w:rsidRPr="002007ED">
        <w:rPr>
          <w:rFonts w:ascii="Times New Roman" w:hAnsi="Times New Roman"/>
          <w:szCs w:val="22"/>
        </w:rPr>
        <w:t>discussion</w:t>
      </w:r>
    </w:p>
    <w:p w:rsidR="0044201A" w:rsidRPr="0044201A" w:rsidP="0044201A" w14:paraId="2F4402D8" w14:textId="74618316">
      <w:pPr>
        <w:pStyle w:val="ParaNum"/>
      </w:pPr>
      <w:r w:rsidRPr="0044201A">
        <w:t>The proposed forfeiture amount in this case was assessed in accordance with section 503(b) of the Communications Act of 1934, as amended (Act),</w:t>
      </w:r>
      <w:r>
        <w:rPr>
          <w:rStyle w:val="FootnoteReference"/>
          <w:sz w:val="22"/>
          <w:szCs w:val="22"/>
        </w:rPr>
        <w:footnoteReference w:id="11"/>
      </w:r>
      <w:r w:rsidRPr="0044201A">
        <w:t xml:space="preserve"> section 1.80 of the Rules,</w:t>
      </w:r>
      <w:r>
        <w:rPr>
          <w:rStyle w:val="FootnoteReference"/>
          <w:sz w:val="22"/>
          <w:szCs w:val="22"/>
        </w:rPr>
        <w:footnoteReference w:id="12"/>
      </w:r>
      <w:r w:rsidRPr="0044201A">
        <w:t xml:space="preserve"> and the </w:t>
      </w:r>
      <w:r w:rsidRPr="005B147B">
        <w:rPr>
          <w:i/>
          <w:iCs/>
        </w:rPr>
        <w:t>Forfeiture Policy Statement</w:t>
      </w:r>
      <w:r w:rsidRPr="0044201A">
        <w:t>.</w:t>
      </w:r>
      <w:r>
        <w:rPr>
          <w:rStyle w:val="FootnoteReference"/>
          <w:sz w:val="22"/>
          <w:szCs w:val="22"/>
        </w:rPr>
        <w:footnoteReference w:id="13"/>
      </w:r>
      <w:r w:rsidRPr="0044201A">
        <w:t xml:space="preserve">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vertAlign w:val="superscript"/>
        </w:rPr>
        <w:footnoteReference w:id="14"/>
      </w:r>
      <w:r w:rsidRPr="0044201A">
        <w:t xml:space="preserve">  </w:t>
      </w:r>
    </w:p>
    <w:p w:rsidR="00DB3638" w:rsidP="00A56BF4" w14:paraId="10AE70E6" w14:textId="5FD65607">
      <w:pPr>
        <w:pStyle w:val="ParaNum"/>
      </w:pPr>
      <w:r w:rsidRPr="00E0583B">
        <w:rPr>
          <w:shd w:val="clear" w:color="auto" w:fill="FFFFFF"/>
        </w:rPr>
        <w:t xml:space="preserve">We have considered Licensee’s response </w:t>
      </w:r>
      <w:r w:rsidRPr="00E0583B">
        <w:rPr>
          <w:shd w:val="clear" w:color="auto" w:fill="FFFFFF"/>
        </w:rPr>
        <w:t>in light of</w:t>
      </w:r>
      <w:r w:rsidRPr="00E0583B">
        <w:rPr>
          <w:shd w:val="clear" w:color="auto" w:fill="FFFFFF"/>
        </w:rPr>
        <w:t xml:space="preserve"> these statutory factors.  We affirm our finding that the Licensee willfully violated section 73.3539 of the Rules.  While we are sympathetic to </w:t>
      </w:r>
      <w:r w:rsidRPr="00E0583B" w:rsidR="00316954">
        <w:rPr>
          <w:shd w:val="clear" w:color="auto" w:fill="FFFFFF"/>
        </w:rPr>
        <w:t>the Station owner’s</w:t>
      </w:r>
      <w:r w:rsidRPr="00E0583B">
        <w:rPr>
          <w:shd w:val="clear" w:color="auto" w:fill="FFFFFF"/>
        </w:rPr>
        <w:t xml:space="preserve"> </w:t>
      </w:r>
      <w:r w:rsidRPr="00E0583B" w:rsidR="002758F1">
        <w:rPr>
          <w:shd w:val="clear" w:color="auto" w:fill="FFFFFF"/>
        </w:rPr>
        <w:t>h</w:t>
      </w:r>
      <w:r w:rsidRPr="00E0583B" w:rsidR="00EC5347">
        <w:rPr>
          <w:shd w:val="clear" w:color="auto" w:fill="FFFFFF"/>
        </w:rPr>
        <w:t>ealth</w:t>
      </w:r>
      <w:r w:rsidRPr="00E0583B" w:rsidR="00343015">
        <w:rPr>
          <w:shd w:val="clear" w:color="auto" w:fill="FFFFFF"/>
        </w:rPr>
        <w:t xml:space="preserve"> issues</w:t>
      </w:r>
      <w:r w:rsidRPr="00E0583B" w:rsidR="00AF4F87">
        <w:rPr>
          <w:shd w:val="clear" w:color="auto" w:fill="FFFFFF"/>
        </w:rPr>
        <w:t xml:space="preserve">, </w:t>
      </w:r>
      <w:r w:rsidRPr="00E0583B" w:rsidR="006F7BE6">
        <w:rPr>
          <w:shd w:val="clear" w:color="auto" w:fill="FFFFFF"/>
        </w:rPr>
        <w:t xml:space="preserve">Licensee has not </w:t>
      </w:r>
      <w:r w:rsidRPr="00E0583B" w:rsidR="00386F04">
        <w:rPr>
          <w:shd w:val="clear" w:color="auto" w:fill="FFFFFF"/>
        </w:rPr>
        <w:t>demonstrated</w:t>
      </w:r>
      <w:r w:rsidRPr="00E0583B" w:rsidR="006F7BE6">
        <w:rPr>
          <w:shd w:val="clear" w:color="auto" w:fill="FFFFFF"/>
        </w:rPr>
        <w:t xml:space="preserve"> </w:t>
      </w:r>
      <w:r w:rsidRPr="00E0583B" w:rsidR="00386F04">
        <w:rPr>
          <w:shd w:val="clear" w:color="auto" w:fill="FFFFFF"/>
        </w:rPr>
        <w:t>that</w:t>
      </w:r>
      <w:r w:rsidRPr="00E0583B" w:rsidR="006F7BE6">
        <w:rPr>
          <w:shd w:val="clear" w:color="auto" w:fill="FFFFFF"/>
        </w:rPr>
        <w:t xml:space="preserve"> the </w:t>
      </w:r>
      <w:r w:rsidRPr="00E0583B" w:rsidR="00386F04">
        <w:rPr>
          <w:shd w:val="clear" w:color="auto" w:fill="FFFFFF"/>
        </w:rPr>
        <w:t>proposed forfeiture should be reduced</w:t>
      </w:r>
      <w:r w:rsidRPr="00E0583B" w:rsidR="0084794B">
        <w:rPr>
          <w:shd w:val="clear" w:color="auto" w:fill="FFFFFF"/>
        </w:rPr>
        <w:t xml:space="preserve"> in accordance with the factors outlined in section 503</w:t>
      </w:r>
      <w:r w:rsidRPr="00E0583B" w:rsidR="00E54B81">
        <w:rPr>
          <w:shd w:val="clear" w:color="auto" w:fill="FFFFFF"/>
        </w:rPr>
        <w:t>(b)(2)(E) of the Act</w:t>
      </w:r>
      <w:r w:rsidRPr="00E0583B" w:rsidR="00386F04">
        <w:rPr>
          <w:shd w:val="clear" w:color="auto" w:fill="FFFFFF"/>
        </w:rPr>
        <w:t>.</w:t>
      </w:r>
      <w:r>
        <w:rPr>
          <w:rStyle w:val="FootnoteReference"/>
          <w:szCs w:val="22"/>
          <w:shd w:val="clear" w:color="auto" w:fill="FFFFFF"/>
        </w:rPr>
        <w:footnoteReference w:id="15"/>
      </w:r>
      <w:r w:rsidRPr="00E0583B" w:rsidR="00386F04">
        <w:rPr>
          <w:shd w:val="clear" w:color="auto" w:fill="FFFFFF"/>
        </w:rPr>
        <w:t xml:space="preserve">  </w:t>
      </w:r>
      <w:r w:rsidR="0038358F">
        <w:t>Moreover, the Commission has long held that “licensees are responsible for the acts and omissions of their employees and independent contractors,”</w:t>
      </w:r>
      <w:bookmarkStart w:id="1" w:name="co_tablefootnote_12_1"/>
      <w:bookmarkEnd w:id="1"/>
      <w:r w:rsidR="0038358F">
        <w:t xml:space="preserve"> and has consistently “refused to excuse licensees from forfeiture </w:t>
      </w:r>
      <w:r w:rsidRPr="007C377D" w:rsidR="0038358F">
        <w:t>penalties</w:t>
      </w:r>
      <w:r w:rsidR="0038358F">
        <w:t xml:space="preserve"> where the actions of employees or independent contractors have resulted in violations”</w:t>
      </w:r>
      <w:bookmarkStart w:id="2" w:name="co_tablefootnote_13_1"/>
      <w:bookmarkEnd w:id="2"/>
      <w:r w:rsidR="00E0583B">
        <w:t xml:space="preserve"> even when those violation were attributable to the illness of an employee of the licensee.</w:t>
      </w:r>
      <w:r w:rsidRPr="00E0583B" w:rsidR="00E0583B">
        <w:rPr>
          <w:rStyle w:val="FootnoteReference"/>
        </w:rPr>
        <w:t xml:space="preserve"> </w:t>
      </w:r>
      <w:r>
        <w:rPr>
          <w:rStyle w:val="FootnoteReference"/>
        </w:rPr>
        <w:footnoteReference w:id="16"/>
      </w:r>
      <w:r w:rsidR="0038358F">
        <w:t xml:space="preserve">  </w:t>
      </w:r>
      <w:r w:rsidR="00E0583B">
        <w:rPr>
          <w:shd w:val="clear" w:color="auto" w:fill="FFFFFF"/>
        </w:rPr>
        <w:t>Finally</w:t>
      </w:r>
      <w:r w:rsidR="00B9765F">
        <w:t xml:space="preserve">, Licensee has a history </w:t>
      </w:r>
      <w:r w:rsidR="00B9765F">
        <w:t xml:space="preserve">of noncompliance with renewal </w:t>
      </w:r>
      <w:r w:rsidR="00E54B81">
        <w:t xml:space="preserve">application </w:t>
      </w:r>
      <w:r w:rsidR="00B9765F">
        <w:t xml:space="preserve">deadlines.  Licensee filed </w:t>
      </w:r>
      <w:r w:rsidR="00632259">
        <w:t>a previous</w:t>
      </w:r>
      <w:r w:rsidR="00B9765F">
        <w:t xml:space="preserve"> renewal application almost four months late</w:t>
      </w:r>
      <w:r w:rsidR="006B461F">
        <w:t>,</w:t>
      </w:r>
      <w:r w:rsidR="00B9765F">
        <w:t xml:space="preserve"> </w:t>
      </w:r>
      <w:r w:rsidR="00300F1A">
        <w:t>on the day before</w:t>
      </w:r>
      <w:r w:rsidR="00A918F1">
        <w:t xml:space="preserve"> the Station</w:t>
      </w:r>
      <w:r w:rsidR="00B9765F">
        <w:t xml:space="preserve"> license expir</w:t>
      </w:r>
      <w:r w:rsidR="00A918F1">
        <w:t>ed</w:t>
      </w:r>
      <w:r w:rsidR="00B9765F">
        <w:t>.</w:t>
      </w:r>
      <w:r>
        <w:rPr>
          <w:rStyle w:val="FootnoteReference"/>
          <w:szCs w:val="22"/>
        </w:rPr>
        <w:footnoteReference w:id="17"/>
      </w:r>
      <w:r w:rsidR="00E025D5">
        <w:t xml:space="preserve">  </w:t>
      </w:r>
      <w:r w:rsidRPr="00850FAC" w:rsidR="00FE32B5">
        <w:t xml:space="preserve">We thus find no basis to reduce or cancel the proposed forfeiture and affirm the </w:t>
      </w:r>
      <w:r w:rsidRPr="00E0583B" w:rsidR="00FE32B5">
        <w:rPr>
          <w:i/>
          <w:iCs/>
        </w:rPr>
        <w:t>NAL</w:t>
      </w:r>
      <w:r w:rsidRPr="00850FAC" w:rsidR="00FE32B5">
        <w:t>.</w:t>
      </w:r>
      <w:r w:rsidR="00FE32B5">
        <w:t xml:space="preserve">  </w:t>
      </w:r>
    </w:p>
    <w:p w:rsidR="00F46A0A" w:rsidRPr="00F46A0A" w:rsidP="00F46A0A" w14:paraId="1E7A2073" w14:textId="3F1D8C92">
      <w:pPr>
        <w:pStyle w:val="Heading1"/>
      </w:pPr>
      <w:r>
        <w:t>ordering clauses</w:t>
      </w:r>
    </w:p>
    <w:p w:rsidR="00300160" w:rsidRPr="000642CE" w:rsidP="002A0F2F" w14:paraId="539F813C" w14:textId="74B6A8E4">
      <w:pPr>
        <w:pStyle w:val="ParaNum"/>
        <w:widowControl/>
        <w:rPr>
          <w:szCs w:val="22"/>
        </w:rPr>
      </w:pPr>
      <w:r w:rsidRPr="002007ED">
        <w:rPr>
          <w:szCs w:val="22"/>
        </w:rPr>
        <w:t xml:space="preserve">Accordingly, </w:t>
      </w:r>
      <w:r w:rsidRPr="002007ED">
        <w:rPr>
          <w:b/>
          <w:szCs w:val="22"/>
        </w:rPr>
        <w:t>IT IS ORDERED</w:t>
      </w:r>
      <w:r w:rsidR="000642CE">
        <w:rPr>
          <w:szCs w:val="22"/>
        </w:rPr>
        <w:t xml:space="preserve"> that, </w:t>
      </w:r>
      <w:r w:rsidRPr="000642CE">
        <w:rPr>
          <w:szCs w:val="22"/>
        </w:rPr>
        <w:t xml:space="preserve">pursuant to section 503(b) of the Communications Act of 1934, as amended, and sections 0.283 and 1.80 of the Commission’s Rules, </w:t>
      </w:r>
      <w:r w:rsidR="00166634">
        <w:rPr>
          <w:szCs w:val="22"/>
        </w:rPr>
        <w:t>Range Paging, Inc.</w:t>
      </w:r>
      <w:r w:rsidRPr="000642CE">
        <w:rPr>
          <w:szCs w:val="22"/>
        </w:rPr>
        <w:t xml:space="preserve">, </w:t>
      </w:r>
      <w:r w:rsidRPr="000642CE">
        <w:rPr>
          <w:b/>
          <w:szCs w:val="22"/>
        </w:rPr>
        <w:t>IS LIABLE FOR A MONETARY FORFEITURE</w:t>
      </w:r>
      <w:r w:rsidRPr="000642CE">
        <w:rPr>
          <w:szCs w:val="22"/>
        </w:rPr>
        <w:t xml:space="preserve"> in the amount </w:t>
      </w:r>
      <w:r w:rsidRPr="00362DA9">
        <w:rPr>
          <w:szCs w:val="22"/>
        </w:rPr>
        <w:t>of $</w:t>
      </w:r>
      <w:r w:rsidR="00272754">
        <w:rPr>
          <w:szCs w:val="22"/>
        </w:rPr>
        <w:t>1,</w:t>
      </w:r>
      <w:r w:rsidR="00DF778B">
        <w:rPr>
          <w:szCs w:val="22"/>
        </w:rPr>
        <w:t>5</w:t>
      </w:r>
      <w:r w:rsidR="006E7D8F">
        <w:rPr>
          <w:szCs w:val="22"/>
        </w:rPr>
        <w:t>00</w:t>
      </w:r>
      <w:r w:rsidRPr="000642CE">
        <w:rPr>
          <w:szCs w:val="22"/>
        </w:rPr>
        <w:t xml:space="preserve"> for its willful violation of section 73.3539 of the Commission’s rules. </w:t>
      </w:r>
    </w:p>
    <w:p w:rsidR="00300160" w:rsidRPr="002007ED" w:rsidP="00362DA9" w14:paraId="292DC353" w14:textId="77777777">
      <w:pPr>
        <w:pStyle w:val="ParaNum"/>
        <w:widowControl/>
        <w:rPr>
          <w:szCs w:val="22"/>
        </w:rPr>
      </w:pPr>
      <w:r w:rsidRPr="002007ED">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8"/>
      </w:r>
      <w:r w:rsidRPr="002007ED">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19"/>
      </w:r>
      <w:r w:rsidRPr="002007ED">
        <w:rPr>
          <w:szCs w:val="22"/>
        </w:rPr>
        <w:t xml:space="preserve"> </w:t>
      </w:r>
    </w:p>
    <w:p w:rsidR="00300160" w:rsidRPr="002007ED" w:rsidP="0048488E" w14:paraId="5BAB208A" w14:textId="77777777">
      <w:pPr>
        <w:widowControl/>
        <w:numPr>
          <w:ilvl w:val="0"/>
          <w:numId w:val="10"/>
        </w:numPr>
        <w:spacing w:after="120"/>
        <w:rPr>
          <w:b/>
          <w:szCs w:val="22"/>
        </w:rPr>
      </w:pPr>
      <w:r w:rsidRPr="002007E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007ED">
          <w:rPr>
            <w:rStyle w:val="Hyperlink"/>
            <w:color w:val="auto"/>
            <w:szCs w:val="22"/>
          </w:rPr>
          <w:t>RROGWireFaxes@fcc.gov</w:t>
        </w:r>
      </w:hyperlink>
      <w:r w:rsidRPr="002007ED">
        <w:rPr>
          <w:szCs w:val="22"/>
        </w:rPr>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0"/>
      </w:r>
      <w:r w:rsidRPr="002007ED">
        <w:rPr>
          <w:szCs w:val="22"/>
        </w:rPr>
        <w:t xml:space="preserve">  For additional detail and wire transfer instructions, go to </w:t>
      </w:r>
      <w:hyperlink r:id="rId6" w:history="1">
        <w:r w:rsidRPr="002007ED">
          <w:rPr>
            <w:rStyle w:val="Hyperlink"/>
            <w:color w:val="auto"/>
            <w:szCs w:val="22"/>
          </w:rPr>
          <w:t>https://www.fcc.gov/licensing-databases/fees/wire-transfer</w:t>
        </w:r>
      </w:hyperlink>
      <w:r w:rsidRPr="002007ED">
        <w:rPr>
          <w:szCs w:val="22"/>
        </w:rPr>
        <w:t>.</w:t>
      </w:r>
    </w:p>
    <w:p w:rsidR="00300160" w:rsidRPr="002007ED" w:rsidP="00300160" w14:paraId="4F0C42B8" w14:textId="77777777">
      <w:pPr>
        <w:numPr>
          <w:ilvl w:val="0"/>
          <w:numId w:val="10"/>
        </w:numPr>
        <w:spacing w:after="120"/>
        <w:rPr>
          <w:b/>
          <w:szCs w:val="22"/>
        </w:rPr>
      </w:pPr>
      <w:r w:rsidRPr="002007ED">
        <w:rPr>
          <w:szCs w:val="22"/>
        </w:rPr>
        <w:t xml:space="preserve">Payment by credit card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300160" w:rsidRPr="002007ED" w:rsidP="00300160" w14:paraId="24687EF6" w14:textId="77777777">
      <w:pPr>
        <w:numPr>
          <w:ilvl w:val="0"/>
          <w:numId w:val="10"/>
        </w:numPr>
        <w:spacing w:after="120"/>
        <w:rPr>
          <w:spacing w:val="-2"/>
          <w:szCs w:val="22"/>
        </w:rPr>
      </w:pPr>
      <w:r w:rsidRPr="002007ED">
        <w:rPr>
          <w:szCs w:val="22"/>
        </w:rPr>
        <w:t xml:space="preserve">Payment by ACH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00160" w:rsidRPr="002007ED" w:rsidP="00196CAD" w14:paraId="57DB6F58" w14:textId="77777777">
      <w:pPr>
        <w:pStyle w:val="ParaNum"/>
        <w:widowControl/>
        <w:rPr>
          <w:szCs w:val="22"/>
        </w:rPr>
      </w:pPr>
      <w:r w:rsidRPr="002007ED">
        <w:rPr>
          <w:szCs w:val="22"/>
        </w:rPr>
        <w:t xml:space="preserve">Any request for making full payment over time under an installment plan should be sent to:  </w:t>
      </w:r>
      <w:r w:rsidR="009A20B4">
        <w:rPr>
          <w:szCs w:val="22"/>
        </w:rPr>
        <w:t>Associate Managing Director</w:t>
      </w:r>
      <w:r w:rsidRPr="002007ED">
        <w:rPr>
          <w:szCs w:val="22"/>
        </w:rPr>
        <w:t xml:space="preserve">—Financial Operations, Federal Communications Commission, 45 L Street NE, Washington, DC 20554.  Questions regarding payment procedures should be directed to the </w:t>
      </w:r>
      <w:r w:rsidRPr="002007ED">
        <w:rPr>
          <w:szCs w:val="22"/>
        </w:rPr>
        <w:t>Financial Operations Group Help Desk by phone, 1-877-480-3201</w:t>
      </w:r>
      <w:r w:rsidR="009A20B4">
        <w:rPr>
          <w:szCs w:val="22"/>
        </w:rPr>
        <w:t xml:space="preserve"> </w:t>
      </w:r>
      <w:r w:rsidR="009A20B4">
        <w:t>(option #6)</w:t>
      </w:r>
      <w:r w:rsidRPr="002007ED">
        <w:rPr>
          <w:szCs w:val="22"/>
        </w:rPr>
        <w:t>, or by e-mail,</w:t>
      </w:r>
      <w:r w:rsidR="001B4EDB">
        <w:rPr>
          <w:szCs w:val="22"/>
        </w:rPr>
        <w:t xml:space="preserve"> </w:t>
      </w:r>
      <w:hyperlink r:id="rId8" w:history="1">
        <w:r w:rsidRPr="009122FE" w:rsidR="001B4EDB">
          <w:rPr>
            <w:rStyle w:val="Hyperlink"/>
            <w:szCs w:val="22"/>
          </w:rPr>
          <w:t>ARINQUIRIES@fcc.gov</w:t>
        </w:r>
      </w:hyperlink>
      <w:r w:rsidRPr="002007ED">
        <w:rPr>
          <w:szCs w:val="22"/>
        </w:rPr>
        <w:t>.</w:t>
      </w:r>
    </w:p>
    <w:p w:rsidR="002F075D" w:rsidRPr="00841F27" w:rsidP="00841F27" w14:paraId="184B63DB" w14:textId="6E0C4232">
      <w:pPr>
        <w:pStyle w:val="ParaNum"/>
        <w:keepNext/>
        <w:keepLines/>
      </w:pPr>
      <w:r w:rsidRPr="002007ED">
        <w:rPr>
          <w:b/>
          <w:szCs w:val="22"/>
        </w:rPr>
        <w:t>IT IS FURTHER ORDERED</w:t>
      </w:r>
      <w:r w:rsidRPr="002007ED">
        <w:rPr>
          <w:szCs w:val="22"/>
        </w:rPr>
        <w:t xml:space="preserve"> that a copy of this </w:t>
      </w:r>
      <w:r w:rsidR="003A22F6">
        <w:rPr>
          <w:i/>
          <w:iCs/>
          <w:szCs w:val="22"/>
        </w:rPr>
        <w:t xml:space="preserve">Forfeiture </w:t>
      </w:r>
      <w:r w:rsidRPr="002007ED">
        <w:rPr>
          <w:i/>
          <w:szCs w:val="22"/>
        </w:rPr>
        <w:t>Order</w:t>
      </w:r>
      <w:r w:rsidRPr="002007ED">
        <w:rPr>
          <w:szCs w:val="22"/>
        </w:rPr>
        <w:t xml:space="preserve"> shall be sent by First Class and Certified Mail, Return Receipt Requested, to </w:t>
      </w:r>
      <w:r w:rsidR="00F33DF6">
        <w:t xml:space="preserve">Range Paging, Inc., c/o </w:t>
      </w:r>
      <w:r w:rsidR="00F33DF6">
        <w:t>Rukshan</w:t>
      </w:r>
      <w:r w:rsidR="00F33DF6">
        <w:t xml:space="preserve"> </w:t>
      </w:r>
      <w:r w:rsidR="00F33DF6">
        <w:t>Wijesekera</w:t>
      </w:r>
      <w:r w:rsidR="00F33DF6">
        <w:t>, 4353 Jessica Court, Eagan, MN 55123.</w:t>
      </w:r>
    </w:p>
    <w:p w:rsidR="004862E0" w:rsidP="00301105" w14:paraId="1F4276B7" w14:textId="77777777">
      <w:pPr>
        <w:keepNext/>
        <w:keepLines/>
      </w:pPr>
      <w:r>
        <w:tab/>
      </w:r>
      <w:r>
        <w:tab/>
      </w:r>
      <w:r>
        <w:tab/>
      </w:r>
      <w:r>
        <w:tab/>
      </w:r>
      <w:r>
        <w:tab/>
      </w:r>
      <w:r>
        <w:tab/>
        <w:t>FEDERAL COMMUNICATIONS COMMISSION</w:t>
      </w:r>
    </w:p>
    <w:p w:rsidR="004862E0" w:rsidP="00301105" w14:paraId="53D1201F" w14:textId="77777777">
      <w:pPr>
        <w:keepNext/>
        <w:keepLines/>
      </w:pPr>
    </w:p>
    <w:p w:rsidR="004862E0" w:rsidP="00301105" w14:paraId="18CA36B5" w14:textId="77777777">
      <w:pPr>
        <w:keepNext/>
        <w:keepLines/>
      </w:pPr>
    </w:p>
    <w:p w:rsidR="004862E0" w:rsidP="00301105" w14:paraId="20A17162" w14:textId="77777777">
      <w:pPr>
        <w:keepNext/>
        <w:keepLines/>
      </w:pPr>
    </w:p>
    <w:p w:rsidR="004862E0" w:rsidP="00301105" w14:paraId="6C8775D8" w14:textId="77777777">
      <w:pPr>
        <w:keepNext/>
        <w:keepLines/>
      </w:pPr>
    </w:p>
    <w:p w:rsidR="004862E0" w:rsidRPr="002007ED" w:rsidP="00301105" w14:paraId="23C0D6FB" w14:textId="77777777">
      <w:pPr>
        <w:keepNext/>
        <w:keepLines/>
        <w:rPr>
          <w:szCs w:val="22"/>
        </w:rPr>
      </w:pPr>
      <w:r>
        <w:tab/>
      </w:r>
      <w:r>
        <w:tab/>
      </w:r>
      <w:r>
        <w:tab/>
      </w:r>
      <w:r>
        <w:tab/>
      </w:r>
      <w:r>
        <w:tab/>
      </w:r>
      <w:r>
        <w:tab/>
      </w:r>
      <w:r w:rsidRPr="002007ED">
        <w:rPr>
          <w:szCs w:val="22"/>
        </w:rPr>
        <w:t>Albert Shuldiner</w:t>
      </w:r>
    </w:p>
    <w:p w:rsidR="004862E0" w:rsidRPr="002007ED" w:rsidP="00301105" w14:paraId="38042A3C"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Chief, Audio Division</w:t>
      </w:r>
    </w:p>
    <w:p w:rsidR="004862E0" w:rsidRPr="002007ED" w:rsidP="00301105" w14:paraId="12D50B7A"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1B7E44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56209C0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2F8FA5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4D4C9A0"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3E4DC4E4"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55DA" w14:paraId="42B58983" w14:textId="77777777">
      <w:r>
        <w:separator/>
      </w:r>
    </w:p>
  </w:footnote>
  <w:footnote w:type="continuationSeparator" w:id="1">
    <w:p w:rsidR="008355DA" w14:paraId="683AF237" w14:textId="77777777">
      <w:r>
        <w:continuationSeparator/>
      </w:r>
    </w:p>
  </w:footnote>
  <w:footnote w:id="2">
    <w:p w:rsidR="003A22F6" w:rsidRPr="00607051" w:rsidP="00EF276B" w14:paraId="496DE928" w14:textId="77777777">
      <w:pPr>
        <w:pStyle w:val="FootnoteText"/>
      </w:pPr>
      <w:r w:rsidRPr="00607051">
        <w:rPr>
          <w:rStyle w:val="FootnoteReference"/>
        </w:rPr>
        <w:footnoteRef/>
      </w:r>
      <w:r w:rsidRPr="00607051">
        <w:t xml:space="preserve"> </w:t>
      </w:r>
      <w:r w:rsidRPr="00607051">
        <w:rPr>
          <w:i/>
        </w:rPr>
        <w:t xml:space="preserve">See </w:t>
      </w:r>
      <w:r w:rsidRPr="00607051">
        <w:t>47 CFR § 73.3539.</w:t>
      </w:r>
    </w:p>
  </w:footnote>
  <w:footnote w:id="3">
    <w:p w:rsidR="008426F1" w:rsidRPr="00607051" w:rsidP="00EF276B" w14:paraId="18969247" w14:textId="77777777">
      <w:pPr>
        <w:pStyle w:val="FootnoteText"/>
      </w:pPr>
      <w:r w:rsidRPr="00607051">
        <w:rPr>
          <w:rStyle w:val="FootnoteReference"/>
        </w:rPr>
        <w:footnoteRef/>
      </w:r>
      <w:r w:rsidRPr="00607051">
        <w:t xml:space="preserve"> </w:t>
      </w:r>
      <w:r w:rsidRPr="00607051">
        <w:rPr>
          <w:i/>
          <w:iCs/>
        </w:rPr>
        <w:t>Id</w:t>
      </w:r>
      <w:r w:rsidRPr="00607051">
        <w:t xml:space="preserve">. § 73.3539(a).  </w:t>
      </w:r>
    </w:p>
  </w:footnote>
  <w:footnote w:id="4">
    <w:p w:rsidR="008426F1" w:rsidRPr="00607051" w:rsidP="00EF276B" w14:paraId="6376731A" w14:textId="2D71CB7A">
      <w:pPr>
        <w:widowControl/>
        <w:autoSpaceDE w:val="0"/>
        <w:autoSpaceDN w:val="0"/>
        <w:adjustRightInd w:val="0"/>
        <w:spacing w:after="120"/>
        <w:rPr>
          <w:i/>
        </w:rPr>
      </w:pPr>
      <w:r w:rsidRPr="00607051">
        <w:rPr>
          <w:rStyle w:val="FootnoteReference"/>
        </w:rPr>
        <w:footnoteRef/>
      </w:r>
      <w:r w:rsidRPr="00607051">
        <w:rPr>
          <w:sz w:val="20"/>
        </w:rPr>
        <w:t xml:space="preserve"> </w:t>
      </w:r>
      <w:r w:rsidRPr="00607051" w:rsidR="00B748B7">
        <w:rPr>
          <w:i/>
          <w:iCs/>
          <w:snapToGrid/>
          <w:kern w:val="0"/>
          <w:sz w:val="20"/>
        </w:rPr>
        <w:t xml:space="preserve">See </w:t>
      </w:r>
      <w:r w:rsidRPr="00607051" w:rsidR="00B748B7">
        <w:rPr>
          <w:snapToGrid/>
          <w:kern w:val="0"/>
          <w:sz w:val="20"/>
        </w:rPr>
        <w:t xml:space="preserve">47 CFR §§ 73.1020, 73.3539(a). </w:t>
      </w:r>
    </w:p>
  </w:footnote>
  <w:footnote w:id="5">
    <w:p w:rsidR="003A22F6" w:rsidRPr="00607051" w:rsidP="00EF276B" w14:paraId="522A86F5" w14:textId="4F0C794B">
      <w:pPr>
        <w:pStyle w:val="FootnoteText"/>
      </w:pPr>
      <w:r w:rsidRPr="00607051">
        <w:rPr>
          <w:rStyle w:val="FootnoteReference"/>
        </w:rPr>
        <w:footnoteRef/>
      </w:r>
      <w:r w:rsidRPr="00607051" w:rsidR="00E43B6B">
        <w:rPr>
          <w:i/>
          <w:iCs/>
        </w:rPr>
        <w:t xml:space="preserve"> </w:t>
      </w:r>
      <w:r w:rsidR="00A56BC0">
        <w:rPr>
          <w:i/>
          <w:iCs/>
        </w:rPr>
        <w:t>Range Paging, Inc.</w:t>
      </w:r>
      <w:r w:rsidRPr="00607051" w:rsidR="00DF778B">
        <w:t>,</w:t>
      </w:r>
      <w:r w:rsidRPr="00607051">
        <w:t xml:space="preserve"> </w:t>
      </w:r>
      <w:r w:rsidRPr="00607051">
        <w:rPr>
          <w:snapToGrid w:val="0"/>
        </w:rPr>
        <w:t>Memorandum Opinion and Order and Notice of Apparent Liability for Forfeiture, DA 21-</w:t>
      </w:r>
      <w:r w:rsidR="00A56BC0">
        <w:rPr>
          <w:snapToGrid w:val="0"/>
        </w:rPr>
        <w:t>652</w:t>
      </w:r>
      <w:r w:rsidRPr="00607051" w:rsidR="00DF778B">
        <w:rPr>
          <w:snapToGrid w:val="0"/>
        </w:rPr>
        <w:t xml:space="preserve"> </w:t>
      </w:r>
      <w:r w:rsidRPr="00607051">
        <w:rPr>
          <w:snapToGrid w:val="0"/>
        </w:rPr>
        <w:t xml:space="preserve">(MB </w:t>
      </w:r>
      <w:r w:rsidR="00A56BC0">
        <w:rPr>
          <w:snapToGrid w:val="0"/>
        </w:rPr>
        <w:t>Jun</w:t>
      </w:r>
      <w:r w:rsidR="0033214C">
        <w:rPr>
          <w:snapToGrid w:val="0"/>
        </w:rPr>
        <w:t>e 4</w:t>
      </w:r>
      <w:r w:rsidRPr="00607051">
        <w:rPr>
          <w:snapToGrid w:val="0"/>
        </w:rPr>
        <w:t>, 2021).</w:t>
      </w:r>
    </w:p>
  </w:footnote>
  <w:footnote w:id="6">
    <w:p w:rsidR="00D13C33" w:rsidRPr="007249A2" w:rsidP="00EF276B" w14:paraId="0634171A" w14:textId="7DCECC67">
      <w:pPr>
        <w:widowControl/>
        <w:autoSpaceDE w:val="0"/>
        <w:autoSpaceDN w:val="0"/>
        <w:adjustRightInd w:val="0"/>
        <w:spacing w:after="120"/>
        <w:rPr>
          <w:snapToGrid/>
          <w:kern w:val="0"/>
          <w:sz w:val="20"/>
        </w:rPr>
      </w:pPr>
      <w:r w:rsidRPr="002E1432">
        <w:rPr>
          <w:rStyle w:val="FootnoteReference"/>
        </w:rPr>
        <w:footnoteRef/>
      </w:r>
      <w:r w:rsidRPr="002E1432">
        <w:rPr>
          <w:sz w:val="20"/>
        </w:rPr>
        <w:t xml:space="preserve"> </w:t>
      </w:r>
      <w:r w:rsidRPr="00E15E5B" w:rsidR="001C184A">
        <w:rPr>
          <w:i/>
          <w:iCs/>
          <w:sz w:val="20"/>
        </w:rPr>
        <w:t xml:space="preserve">NAL </w:t>
      </w:r>
      <w:r w:rsidRPr="00E15E5B" w:rsidR="001C184A">
        <w:rPr>
          <w:sz w:val="20"/>
        </w:rPr>
        <w:t>at 2, paras. 5-6 (citing</w:t>
      </w:r>
      <w:r w:rsidRPr="001C184A">
        <w:rPr>
          <w:i/>
          <w:iCs/>
          <w:snapToGrid/>
          <w:kern w:val="0"/>
          <w:sz w:val="20"/>
        </w:rPr>
        <w:t xml:space="preserve"> </w:t>
      </w:r>
      <w:r w:rsidRPr="001C184A">
        <w:rPr>
          <w:i/>
          <w:sz w:val="20"/>
        </w:rPr>
        <w:t>Forfeiture Policy Statement and Amendment of Section 1.80 of the Rules to Incorporate the Forfeiture Guidelines</w:t>
      </w:r>
      <w:r w:rsidRPr="00DF4F95">
        <w:rPr>
          <w:sz w:val="20"/>
        </w:rPr>
        <w:t>, Report and Order, 12 FCC Rcd 17087</w:t>
      </w:r>
      <w:r w:rsidRPr="001C184A">
        <w:rPr>
          <w:sz w:val="20"/>
        </w:rPr>
        <w:t xml:space="preserve">, </w:t>
      </w:r>
      <w:r w:rsidRPr="001C184A">
        <w:rPr>
          <w:snapToGrid/>
          <w:kern w:val="0"/>
          <w:sz w:val="20"/>
        </w:rPr>
        <w:t>17113-15</w:t>
      </w:r>
      <w:r w:rsidRPr="001C184A">
        <w:rPr>
          <w:sz w:val="20"/>
        </w:rPr>
        <w:t xml:space="preserve"> (1997), </w:t>
      </w:r>
      <w:r w:rsidRPr="001C184A">
        <w:rPr>
          <w:i/>
          <w:sz w:val="20"/>
        </w:rPr>
        <w:t>recon. denied</w:t>
      </w:r>
      <w:r w:rsidRPr="001C184A">
        <w:rPr>
          <w:sz w:val="20"/>
        </w:rPr>
        <w:t>, Memorandum Opinion</w:t>
      </w:r>
      <w:r w:rsidRPr="002E1432">
        <w:rPr>
          <w:sz w:val="20"/>
        </w:rPr>
        <w:t xml:space="preserve"> and Order, 15 FCC Rcd 303 (1999) (</w:t>
      </w:r>
      <w:r w:rsidRPr="002E1432">
        <w:rPr>
          <w:i/>
          <w:iCs/>
          <w:snapToGrid/>
          <w:kern w:val="0"/>
          <w:sz w:val="20"/>
        </w:rPr>
        <w:t>Forfeiture Policy Statement</w:t>
      </w:r>
      <w:r w:rsidRPr="002E1432">
        <w:rPr>
          <w:snapToGrid/>
          <w:kern w:val="0"/>
          <w:sz w:val="20"/>
        </w:rPr>
        <w:t xml:space="preserve">); </w:t>
      </w:r>
      <w:r w:rsidRPr="002E1432">
        <w:rPr>
          <w:sz w:val="20"/>
        </w:rPr>
        <w:t xml:space="preserve">47 CFR </w:t>
      </w:r>
      <w:r w:rsidRPr="006B5ED5">
        <w:rPr>
          <w:sz w:val="20"/>
        </w:rPr>
        <w:t>§ 1.80(b)(10), note to paragraph (b)(10),</w:t>
      </w:r>
      <w:r w:rsidRPr="002E1432">
        <w:rPr>
          <w:sz w:val="20"/>
        </w:rPr>
        <w:t xml:space="preserve"> Section I</w:t>
      </w:r>
      <w:r w:rsidR="001C184A">
        <w:rPr>
          <w:sz w:val="20"/>
        </w:rPr>
        <w:t>)</w:t>
      </w:r>
      <w:r w:rsidRPr="002E1432">
        <w:rPr>
          <w:sz w:val="20"/>
        </w:rPr>
        <w:t>.</w:t>
      </w:r>
      <w:r>
        <w:rPr>
          <w:sz w:val="20"/>
        </w:rPr>
        <w:t xml:space="preserve">  The Commission recently renumbered section 1.80(b)(</w:t>
      </w:r>
      <w:r w:rsidR="001C184A">
        <w:rPr>
          <w:sz w:val="20"/>
        </w:rPr>
        <w:t xml:space="preserve">9) as section 1.80(b)(10) </w:t>
      </w:r>
      <w:r>
        <w:rPr>
          <w:sz w:val="20"/>
        </w:rPr>
        <w:t xml:space="preserve">to reflect implantation of provisions of the PIRATE Act.  </w:t>
      </w:r>
      <w:r w:rsidRPr="008738EF">
        <w:rPr>
          <w:i/>
          <w:iCs/>
          <w:sz w:val="20"/>
        </w:rPr>
        <w:t>See Ame</w:t>
      </w:r>
      <w:r w:rsidRPr="004F2DD8">
        <w:rPr>
          <w:i/>
          <w:iCs/>
          <w:sz w:val="20"/>
        </w:rPr>
        <w:t>ndment of Section 1</w:t>
      </w:r>
      <w:r w:rsidRPr="00841224">
        <w:rPr>
          <w:i/>
          <w:iCs/>
          <w:sz w:val="20"/>
        </w:rPr>
        <w:t xml:space="preserve">.80 of </w:t>
      </w:r>
      <w:r w:rsidRPr="002441FB">
        <w:rPr>
          <w:i/>
          <w:iCs/>
          <w:sz w:val="20"/>
        </w:rPr>
        <w:t xml:space="preserve">the Rules </w:t>
      </w:r>
      <w:r w:rsidRPr="004623AD">
        <w:rPr>
          <w:i/>
          <w:iCs/>
          <w:sz w:val="20"/>
        </w:rPr>
        <w:t>Implementing Section 2 of the Preventing Illegal Radio Abuse Through Enforcement Act</w:t>
      </w:r>
      <w:r w:rsidRPr="004623AD">
        <w:rPr>
          <w:sz w:val="20"/>
        </w:rPr>
        <w:t>, Order, 35 FCC Rcd 14591 (</w:t>
      </w:r>
      <w:r>
        <w:rPr>
          <w:sz w:val="20"/>
        </w:rPr>
        <w:t xml:space="preserve">OMD/EB </w:t>
      </w:r>
      <w:r w:rsidRPr="004623AD">
        <w:rPr>
          <w:sz w:val="20"/>
        </w:rPr>
        <w:t>2020).</w:t>
      </w:r>
    </w:p>
  </w:footnote>
  <w:footnote w:id="7">
    <w:p w:rsidR="008426F1" w:rsidRPr="00607051" w:rsidP="00EF276B" w14:paraId="44884F07" w14:textId="77777777">
      <w:pPr>
        <w:pStyle w:val="FootnoteText"/>
      </w:pPr>
      <w:r w:rsidRPr="00607051">
        <w:rPr>
          <w:rStyle w:val="FootnoteReference"/>
        </w:rPr>
        <w:footnoteRef/>
      </w:r>
      <w:r w:rsidRPr="00607051">
        <w:t xml:space="preserve"> </w:t>
      </w:r>
      <w:r w:rsidRPr="00607051" w:rsidR="003A22F6">
        <w:rPr>
          <w:i/>
          <w:iCs/>
        </w:rPr>
        <w:t>Id.</w:t>
      </w:r>
      <w:r w:rsidRPr="00607051" w:rsidR="003A22F6">
        <w:t xml:space="preserve"> at</w:t>
      </w:r>
      <w:r w:rsidRPr="00607051" w:rsidR="00DF778B">
        <w:t xml:space="preserve"> 3,</w:t>
      </w:r>
      <w:r w:rsidRPr="00607051">
        <w:t xml:space="preserve"> para. </w:t>
      </w:r>
      <w:r w:rsidRPr="00607051" w:rsidR="003A22F6">
        <w:t>1</w:t>
      </w:r>
      <w:r w:rsidRPr="00607051" w:rsidR="0072332E">
        <w:t>0</w:t>
      </w:r>
      <w:r w:rsidRPr="00607051">
        <w:t>.</w:t>
      </w:r>
    </w:p>
  </w:footnote>
  <w:footnote w:id="8">
    <w:p w:rsidR="00397006" w:rsidRPr="00607051" w:rsidP="00EF276B" w14:paraId="2CCC0DD6" w14:textId="2A1B86D9">
      <w:pPr>
        <w:pStyle w:val="FootnoteText"/>
        <w:rPr>
          <w:bCs/>
        </w:rPr>
      </w:pPr>
      <w:r w:rsidRPr="00607051">
        <w:rPr>
          <w:rStyle w:val="FootnoteReference"/>
        </w:rPr>
        <w:footnoteRef/>
      </w:r>
      <w:r w:rsidRPr="00607051">
        <w:t xml:space="preserve"> </w:t>
      </w:r>
      <w:r w:rsidRPr="00607051" w:rsidR="005B3AE0">
        <w:t xml:space="preserve">Response to Notice of Apparent Liability for Forfeiture of </w:t>
      </w:r>
      <w:r w:rsidR="00D57209">
        <w:t>Range Paging, Inc.</w:t>
      </w:r>
      <w:r w:rsidRPr="00607051" w:rsidR="005B3AE0">
        <w:t xml:space="preserve"> (</w:t>
      </w:r>
      <w:r w:rsidR="0038358F">
        <w:t>file</w:t>
      </w:r>
      <w:r w:rsidRPr="00607051" w:rsidR="0038358F">
        <w:t xml:space="preserve">d </w:t>
      </w:r>
      <w:r w:rsidR="005C459C">
        <w:t>Jul</w:t>
      </w:r>
      <w:r w:rsidR="00D57209">
        <w:t>y 15</w:t>
      </w:r>
      <w:r w:rsidRPr="00607051" w:rsidR="005B3AE0">
        <w:t xml:space="preserve">, 2021).  </w:t>
      </w:r>
    </w:p>
  </w:footnote>
  <w:footnote w:id="9">
    <w:p w:rsidR="000F0434" w:rsidRPr="000F0434" w:rsidP="00EF276B" w14:paraId="15A725B0" w14:textId="5173F9A6">
      <w:pPr>
        <w:pStyle w:val="FootnoteText"/>
      </w:pPr>
      <w:r>
        <w:rPr>
          <w:rStyle w:val="FootnoteReference"/>
        </w:rPr>
        <w:footnoteRef/>
      </w:r>
      <w:r>
        <w:t xml:space="preserve"> </w:t>
      </w:r>
      <w:r>
        <w:rPr>
          <w:i/>
          <w:iCs/>
        </w:rPr>
        <w:t xml:space="preserve">Id. </w:t>
      </w:r>
    </w:p>
  </w:footnote>
  <w:footnote w:id="10">
    <w:p w:rsidR="00923F00" w:rsidRPr="00334D39" w:rsidP="00EF276B" w14:paraId="0B6491F5" w14:textId="75D93BD6">
      <w:pPr>
        <w:pStyle w:val="FootnoteText"/>
      </w:pPr>
      <w:r>
        <w:rPr>
          <w:rStyle w:val="FootnoteReference"/>
        </w:rPr>
        <w:footnoteRef/>
      </w:r>
      <w:r>
        <w:t xml:space="preserve"> </w:t>
      </w:r>
      <w:r w:rsidR="00CA42FF">
        <w:rPr>
          <w:i/>
          <w:iCs/>
        </w:rPr>
        <w:t xml:space="preserve">Id. </w:t>
      </w:r>
      <w:r w:rsidR="00CA42FF">
        <w:t xml:space="preserve"> Licensee </w:t>
      </w:r>
      <w:r w:rsidR="00074CEB">
        <w:t>has not submitted</w:t>
      </w:r>
      <w:r w:rsidR="00CA42FF">
        <w:t xml:space="preserve"> any </w:t>
      </w:r>
      <w:r w:rsidR="00523F88">
        <w:t>documentation</w:t>
      </w:r>
      <w:r w:rsidR="00CA42FF">
        <w:t xml:space="preserve"> to support a claim that it </w:t>
      </w:r>
      <w:r w:rsidR="00F5344C">
        <w:t>is</w:t>
      </w:r>
      <w:r w:rsidR="00CA42FF">
        <w:t xml:space="preserve"> unable to pay </w:t>
      </w:r>
      <w:r w:rsidR="00A3761F">
        <w:t>the proposed forfeiture</w:t>
      </w:r>
      <w:r w:rsidR="00523F88">
        <w:t xml:space="preserve">.  </w:t>
      </w:r>
      <w:r w:rsidR="00523F88">
        <w:rPr>
          <w:i/>
          <w:iCs/>
        </w:rPr>
        <w:t xml:space="preserve">See </w:t>
      </w:r>
      <w:r w:rsidR="003642C9">
        <w:rPr>
          <w:i/>
          <w:iCs/>
        </w:rPr>
        <w:t>NAL</w:t>
      </w:r>
      <w:r w:rsidR="003642C9">
        <w:t xml:space="preserve"> at 4, para. 14</w:t>
      </w:r>
      <w:r w:rsidR="00334D39">
        <w:t xml:space="preserve"> </w:t>
      </w:r>
      <w:r w:rsidR="00526839">
        <w:t>(“</w:t>
      </w:r>
      <w:r w:rsidRPr="00334D39" w:rsidR="00334D39">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w:t>
      </w:r>
      <w:r w:rsidR="006C540D">
        <w:t>”)</w:t>
      </w:r>
      <w:r w:rsidR="00526839">
        <w:t>.</w:t>
      </w:r>
    </w:p>
  </w:footnote>
  <w:footnote w:id="11">
    <w:p w:rsidR="0044201A" w:rsidRPr="0072332E" w:rsidP="00EF276B" w14:paraId="5F2DD47C" w14:textId="77777777">
      <w:pPr>
        <w:pStyle w:val="FootnoteText"/>
      </w:pPr>
      <w:r w:rsidRPr="0072332E">
        <w:rPr>
          <w:rStyle w:val="FootnoteReference"/>
        </w:rPr>
        <w:footnoteRef/>
      </w:r>
      <w:r w:rsidRPr="0072332E">
        <w:t xml:space="preserve"> 47 U.S.C. § 503(b).</w:t>
      </w:r>
    </w:p>
  </w:footnote>
  <w:footnote w:id="12">
    <w:p w:rsidR="0044201A" w:rsidP="00EF276B" w14:paraId="7C3D85D7" w14:textId="77777777">
      <w:pPr>
        <w:pStyle w:val="FootnoteText"/>
      </w:pPr>
      <w:r>
        <w:rPr>
          <w:rStyle w:val="FootnoteReference"/>
        </w:rPr>
        <w:footnoteRef/>
      </w:r>
      <w:r>
        <w:t xml:space="preserve"> </w:t>
      </w:r>
      <w:r w:rsidRPr="00A403D9">
        <w:t>47 CFR § 1.80.</w:t>
      </w:r>
    </w:p>
  </w:footnote>
  <w:footnote w:id="13">
    <w:p w:rsidR="0044201A" w:rsidP="00EF276B" w14:paraId="5F447F6A" w14:textId="09D0370C">
      <w:pPr>
        <w:pStyle w:val="FootnoteText"/>
      </w:pPr>
      <w:r>
        <w:rPr>
          <w:rStyle w:val="FootnoteReference"/>
        </w:rPr>
        <w:footnoteRef/>
      </w:r>
      <w:r>
        <w:t xml:space="preserve"> </w:t>
      </w:r>
      <w:r w:rsidR="00E0583B">
        <w:rPr>
          <w:i/>
          <w:iCs/>
        </w:rPr>
        <w:t xml:space="preserve">See generally, </w:t>
      </w:r>
      <w:r w:rsidRPr="00A403D9">
        <w:rPr>
          <w:i/>
        </w:rPr>
        <w:t>Forfeiture Policy Statement</w:t>
      </w:r>
      <w:r w:rsidR="00E0583B">
        <w:rPr>
          <w:iCs/>
        </w:rPr>
        <w:t>.</w:t>
      </w:r>
    </w:p>
  </w:footnote>
  <w:footnote w:id="14">
    <w:p w:rsidR="0044201A" w:rsidRPr="00A403D9" w:rsidP="00EF276B" w14:paraId="61D8FE84" w14:textId="77777777">
      <w:pPr>
        <w:pStyle w:val="FootnoteText"/>
      </w:pPr>
      <w:r w:rsidRPr="00A403D9">
        <w:rPr>
          <w:rStyle w:val="FootnoteReference"/>
        </w:rPr>
        <w:footnoteRef/>
      </w:r>
      <w:r w:rsidRPr="00A403D9">
        <w:t xml:space="preserve"> 47 U.S.C. § 503(b)(2)(E).</w:t>
      </w:r>
    </w:p>
  </w:footnote>
  <w:footnote w:id="15">
    <w:p w:rsidR="00386F04" w:rsidRPr="00637F6B" w:rsidP="00EF276B" w14:paraId="7460FC49" w14:textId="0C9E41EB">
      <w:pPr>
        <w:pStyle w:val="FootnoteText"/>
        <w:rPr>
          <w:i/>
          <w:iCs/>
        </w:rPr>
      </w:pPr>
      <w:r>
        <w:rPr>
          <w:rStyle w:val="FootnoteReference"/>
        </w:rPr>
        <w:footnoteRef/>
      </w:r>
      <w:r>
        <w:t xml:space="preserve"> </w:t>
      </w:r>
      <w:r w:rsidR="00637F6B">
        <w:rPr>
          <w:i/>
          <w:iCs/>
        </w:rPr>
        <w:t xml:space="preserve">Id. </w:t>
      </w:r>
    </w:p>
  </w:footnote>
  <w:footnote w:id="16">
    <w:p w:rsidR="00E0583B" w:rsidRPr="00D27175" w:rsidP="00E0583B" w14:paraId="293DAEF0" w14:textId="4386BC69">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Whidbey Island Center for the Arts</w:t>
      </w:r>
      <w:r w:rsidRPr="00930F6A">
        <w:rPr>
          <w:rStyle w:val="Emphasis"/>
          <w:i w:val="0"/>
          <w:iCs w:val="0"/>
          <w:bdr w:val="none" w:sz="0" w:space="0" w:color="auto" w:frame="1"/>
          <w:shd w:val="clear" w:color="auto" w:fill="FFFFFF"/>
        </w:rPr>
        <w:t>, Forfeiture Order, 25 FCC Rcd 8204 at 8205, para. 6 (MB 2010)</w:t>
      </w:r>
      <w:r>
        <w:rPr>
          <w:rStyle w:val="Emphasis"/>
          <w:bdr w:val="none" w:sz="0" w:space="0" w:color="auto" w:frame="1"/>
          <w:shd w:val="clear" w:color="auto" w:fill="FFFFFF"/>
        </w:rPr>
        <w:t xml:space="preserve"> </w:t>
      </w:r>
      <w:r w:rsidRPr="00930F6A">
        <w:rPr>
          <w:rStyle w:val="Emphasis"/>
          <w:i w:val="0"/>
          <w:iCs w:val="0"/>
          <w:bdr w:val="none" w:sz="0" w:space="0" w:color="auto" w:frame="1"/>
          <w:shd w:val="clear" w:color="auto" w:fill="FFFFFF"/>
        </w:rPr>
        <w:t>(rejecting argument that proposed forfeiture for untimely filing of renewal application should be reduced or cancelled based on the health issues and departure of the party responsible for Commission filings).</w:t>
      </w:r>
    </w:p>
  </w:footnote>
  <w:footnote w:id="17">
    <w:p w:rsidR="00637F6B" w:rsidP="00EF276B" w14:paraId="36509DFD" w14:textId="57004557">
      <w:pPr>
        <w:pStyle w:val="FootnoteText"/>
      </w:pPr>
      <w:r>
        <w:rPr>
          <w:rStyle w:val="FootnoteReference"/>
        </w:rPr>
        <w:footnoteRef/>
      </w:r>
      <w:r>
        <w:t xml:space="preserve"> </w:t>
      </w:r>
      <w:r>
        <w:rPr>
          <w:i/>
          <w:iCs/>
        </w:rPr>
        <w:t>Range Paging, Inc.</w:t>
      </w:r>
      <w:r w:rsidRPr="00607051">
        <w:t xml:space="preserve">, </w:t>
      </w:r>
      <w:r w:rsidRPr="00607051">
        <w:rPr>
          <w:snapToGrid w:val="0"/>
        </w:rPr>
        <w:t xml:space="preserve">Memorandum Opinion and Order and Notice of Apparent Liability for Forfeiture, </w:t>
      </w:r>
      <w:r w:rsidR="0038358F">
        <w:rPr>
          <w:snapToGrid w:val="0"/>
        </w:rPr>
        <w:t>22 FCC Rcd 3672</w:t>
      </w:r>
      <w:r w:rsidRPr="00607051">
        <w:rPr>
          <w:snapToGrid w:val="0"/>
        </w:rPr>
        <w:t xml:space="preserve"> (MB </w:t>
      </w:r>
      <w:r>
        <w:rPr>
          <w:snapToGrid w:val="0"/>
        </w:rPr>
        <w:t>Feb. 21</w:t>
      </w:r>
      <w:r w:rsidRPr="00607051">
        <w:rPr>
          <w:snapToGrid w:val="0"/>
        </w:rPr>
        <w:t>, 2</w:t>
      </w:r>
      <w:r>
        <w:rPr>
          <w:snapToGrid w:val="0"/>
        </w:rPr>
        <w:t>007</w:t>
      </w:r>
      <w:r w:rsidRPr="00607051">
        <w:rPr>
          <w:snapToGrid w:val="0"/>
        </w:rPr>
        <w:t>).</w:t>
      </w:r>
    </w:p>
  </w:footnote>
  <w:footnote w:id="18">
    <w:p w:rsidR="00300160" w:rsidRPr="00607051" w:rsidP="00EF276B" w14:paraId="45CED9A9" w14:textId="77777777">
      <w:pPr>
        <w:pStyle w:val="FootnoteText"/>
      </w:pPr>
      <w:r w:rsidRPr="00607051">
        <w:rPr>
          <w:rStyle w:val="FootnoteReference"/>
        </w:rPr>
        <w:footnoteRef/>
      </w:r>
      <w:r w:rsidRPr="00607051">
        <w:t xml:space="preserve"> Payments made using the Commission’s Fee Filer system do not require the submission of an FCC Form 159.</w:t>
      </w:r>
    </w:p>
  </w:footnote>
  <w:footnote w:id="19">
    <w:p w:rsidR="00300160" w:rsidRPr="00607051" w:rsidP="00EF276B" w14:paraId="2B8102D6" w14:textId="77777777">
      <w:pPr>
        <w:pStyle w:val="FootnoteText"/>
      </w:pPr>
      <w:r w:rsidRPr="00607051">
        <w:rPr>
          <w:rStyle w:val="FootnoteReference"/>
        </w:rPr>
        <w:footnoteRef/>
      </w:r>
      <w:r w:rsidRPr="00607051">
        <w:t xml:space="preserve"> For questions regarding payment procedures, please contact the Financial Operations Group Help Desk by phone at 1-877-480-3201 (option #6), or by e-mail at </w:t>
      </w:r>
      <w:hyperlink r:id="rId1" w:history="1">
        <w:r w:rsidRPr="00607051">
          <w:rPr>
            <w:rStyle w:val="Hyperlink"/>
          </w:rPr>
          <w:t>ARINQUIRIES@fcc.gov</w:t>
        </w:r>
      </w:hyperlink>
      <w:r w:rsidRPr="00607051">
        <w:t xml:space="preserve">.  </w:t>
      </w:r>
    </w:p>
  </w:footnote>
  <w:footnote w:id="20">
    <w:p w:rsidR="00300160" w:rsidRPr="00607051" w:rsidP="00EF276B" w14:paraId="0F568870" w14:textId="77777777">
      <w:pPr>
        <w:pStyle w:val="FootnoteText"/>
      </w:pPr>
      <w:r w:rsidRPr="00607051">
        <w:rPr>
          <w:rStyle w:val="FootnoteReference"/>
        </w:rPr>
        <w:footnoteRef/>
      </w:r>
      <w:r w:rsidRPr="00607051">
        <w:t xml:space="preserve"> Instructions for completing the form may be obtained at </w:t>
      </w:r>
      <w:hyperlink r:id="rId2" w:history="1">
        <w:r w:rsidRPr="00607051">
          <w:rPr>
            <w:rStyle w:val="Hyperlink"/>
          </w:rPr>
          <w:t>https://transition.fcc.gov/Forms/Form159/159.pdf</w:t>
        </w:r>
      </w:hyperlink>
      <w:r w:rsidRPr="006070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B55" w:rsidRPr="00947B4D" w:rsidP="00915413" w14:paraId="74C395FF" w14:textId="07C0BDD0">
    <w:pPr>
      <w:pStyle w:val="Header"/>
    </w:pPr>
    <w:r>
      <w:tab/>
    </w:r>
    <w:r w:rsidRPr="00947B4D">
      <w:t>Federal Communications Commission</w:t>
    </w:r>
    <w:r w:rsidRPr="00947B4D">
      <w:tab/>
      <w:t xml:space="preserve">   </w:t>
    </w:r>
    <w:r>
      <w:t xml:space="preserve">                       </w:t>
    </w:r>
    <w:r w:rsidRPr="001E57CE" w:rsidR="001E57CE">
      <w:t>DA 21-</w:t>
    </w:r>
    <w:r w:rsidR="00DA3858">
      <w:t>950</w:t>
    </w:r>
  </w:p>
  <w:p w:rsidR="00124FB3" w:rsidRPr="00947B4D" w:rsidP="00915413" w14:paraId="18863B6D"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915413" w14:paraId="70A278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915413" w14:paraId="7894F653" w14:textId="0ADA17B9">
    <w:pPr>
      <w:pStyle w:val="Header"/>
    </w:pPr>
    <w:r w:rsidRPr="00915413">
      <w:tab/>
      <w:t>Federal Communications Commission</w:t>
    </w:r>
    <w:r w:rsidRPr="00915413">
      <w:tab/>
      <w:t>DA</w:t>
    </w:r>
    <w:r w:rsidRPr="001E57CE" w:rsidR="001E57CE">
      <w:t xml:space="preserve"> 21-</w:t>
    </w:r>
    <w:r w:rsidR="00DA3858">
      <w:t>950</w:t>
    </w:r>
  </w:p>
  <w:p w:rsidR="00124FB3" w:rsidRPr="00947B4D" w:rsidP="00915413" w14:paraId="05BAB75B"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 w:numId="18">
    <w:abstractNumId w:val="10"/>
  </w:num>
  <w:num w:numId="19">
    <w:abstractNumId w:val="10"/>
    <w:lvlOverride w:ilvl="0">
      <w:startOverride w:val="1"/>
    </w:lvlOverride>
  </w:num>
  <w:num w:numId="20">
    <w:abstractNumId w:val="7"/>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2F87"/>
    <w:rsid w:val="00003076"/>
    <w:rsid w:val="00005A0A"/>
    <w:rsid w:val="0000617B"/>
    <w:rsid w:val="000061AC"/>
    <w:rsid w:val="00007E16"/>
    <w:rsid w:val="00014793"/>
    <w:rsid w:val="00014F92"/>
    <w:rsid w:val="00015F64"/>
    <w:rsid w:val="00016B78"/>
    <w:rsid w:val="00020958"/>
    <w:rsid w:val="00021407"/>
    <w:rsid w:val="00033E4F"/>
    <w:rsid w:val="00033EEF"/>
    <w:rsid w:val="00034312"/>
    <w:rsid w:val="000374FA"/>
    <w:rsid w:val="00042486"/>
    <w:rsid w:val="00044AD3"/>
    <w:rsid w:val="00044C4F"/>
    <w:rsid w:val="00045A7C"/>
    <w:rsid w:val="00051B9B"/>
    <w:rsid w:val="000538F0"/>
    <w:rsid w:val="00057F20"/>
    <w:rsid w:val="00061845"/>
    <w:rsid w:val="00063599"/>
    <w:rsid w:val="000642CE"/>
    <w:rsid w:val="000657DA"/>
    <w:rsid w:val="000717E9"/>
    <w:rsid w:val="000725CB"/>
    <w:rsid w:val="00074957"/>
    <w:rsid w:val="00074CEB"/>
    <w:rsid w:val="00074DFE"/>
    <w:rsid w:val="0008678F"/>
    <w:rsid w:val="00086F48"/>
    <w:rsid w:val="00091210"/>
    <w:rsid w:val="00091E2A"/>
    <w:rsid w:val="0009697D"/>
    <w:rsid w:val="000A45C8"/>
    <w:rsid w:val="000A66C1"/>
    <w:rsid w:val="000C048F"/>
    <w:rsid w:val="000C1190"/>
    <w:rsid w:val="000C2EFA"/>
    <w:rsid w:val="000C3965"/>
    <w:rsid w:val="000C7177"/>
    <w:rsid w:val="000D6F8A"/>
    <w:rsid w:val="000D7395"/>
    <w:rsid w:val="000D798D"/>
    <w:rsid w:val="000D7DD3"/>
    <w:rsid w:val="000E327A"/>
    <w:rsid w:val="000E7D7D"/>
    <w:rsid w:val="000F0434"/>
    <w:rsid w:val="000F3534"/>
    <w:rsid w:val="000F3DE4"/>
    <w:rsid w:val="000F4530"/>
    <w:rsid w:val="000F5D1E"/>
    <w:rsid w:val="000F643B"/>
    <w:rsid w:val="000F6D3C"/>
    <w:rsid w:val="00100A37"/>
    <w:rsid w:val="00102A40"/>
    <w:rsid w:val="0010399E"/>
    <w:rsid w:val="00107D4F"/>
    <w:rsid w:val="0011183F"/>
    <w:rsid w:val="00115EFF"/>
    <w:rsid w:val="00117352"/>
    <w:rsid w:val="001173C3"/>
    <w:rsid w:val="001207FF"/>
    <w:rsid w:val="0012244A"/>
    <w:rsid w:val="00124FB3"/>
    <w:rsid w:val="00125206"/>
    <w:rsid w:val="00131CFA"/>
    <w:rsid w:val="00132193"/>
    <w:rsid w:val="001376A0"/>
    <w:rsid w:val="00140750"/>
    <w:rsid w:val="00146D8A"/>
    <w:rsid w:val="00147231"/>
    <w:rsid w:val="00151C03"/>
    <w:rsid w:val="00151C89"/>
    <w:rsid w:val="00153E30"/>
    <w:rsid w:val="00154A33"/>
    <w:rsid w:val="00157AB4"/>
    <w:rsid w:val="00166634"/>
    <w:rsid w:val="00170AEF"/>
    <w:rsid w:val="0017245E"/>
    <w:rsid w:val="0017457E"/>
    <w:rsid w:val="00174F11"/>
    <w:rsid w:val="001751AB"/>
    <w:rsid w:val="00175ADF"/>
    <w:rsid w:val="001773EF"/>
    <w:rsid w:val="00182875"/>
    <w:rsid w:val="001831CE"/>
    <w:rsid w:val="001853EB"/>
    <w:rsid w:val="0018779A"/>
    <w:rsid w:val="0019600D"/>
    <w:rsid w:val="00196A33"/>
    <w:rsid w:val="00196CAD"/>
    <w:rsid w:val="00197E2B"/>
    <w:rsid w:val="001A13B4"/>
    <w:rsid w:val="001A362F"/>
    <w:rsid w:val="001A59FB"/>
    <w:rsid w:val="001A67BD"/>
    <w:rsid w:val="001B4EDB"/>
    <w:rsid w:val="001B4FAB"/>
    <w:rsid w:val="001B636C"/>
    <w:rsid w:val="001B7D2C"/>
    <w:rsid w:val="001C184A"/>
    <w:rsid w:val="001C63E4"/>
    <w:rsid w:val="001C6591"/>
    <w:rsid w:val="001D1D96"/>
    <w:rsid w:val="001D2AFC"/>
    <w:rsid w:val="001D64B7"/>
    <w:rsid w:val="001D751A"/>
    <w:rsid w:val="001E1796"/>
    <w:rsid w:val="001E46E1"/>
    <w:rsid w:val="001E57CE"/>
    <w:rsid w:val="001F407C"/>
    <w:rsid w:val="001F45A5"/>
    <w:rsid w:val="001F5466"/>
    <w:rsid w:val="001F6242"/>
    <w:rsid w:val="001F6799"/>
    <w:rsid w:val="002007ED"/>
    <w:rsid w:val="00204BD9"/>
    <w:rsid w:val="0021210B"/>
    <w:rsid w:val="00213D8A"/>
    <w:rsid w:val="00213FBD"/>
    <w:rsid w:val="002218A0"/>
    <w:rsid w:val="0022196A"/>
    <w:rsid w:val="00221B3B"/>
    <w:rsid w:val="002226D0"/>
    <w:rsid w:val="00224394"/>
    <w:rsid w:val="00224459"/>
    <w:rsid w:val="00226504"/>
    <w:rsid w:val="00230483"/>
    <w:rsid w:val="002368D1"/>
    <w:rsid w:val="0023747D"/>
    <w:rsid w:val="002441FB"/>
    <w:rsid w:val="00250FC7"/>
    <w:rsid w:val="00252D07"/>
    <w:rsid w:val="0025364B"/>
    <w:rsid w:val="00253DB0"/>
    <w:rsid w:val="002546D1"/>
    <w:rsid w:val="00254D25"/>
    <w:rsid w:val="00254E9C"/>
    <w:rsid w:val="00256535"/>
    <w:rsid w:val="0026294C"/>
    <w:rsid w:val="00264220"/>
    <w:rsid w:val="00264272"/>
    <w:rsid w:val="00264441"/>
    <w:rsid w:val="00272754"/>
    <w:rsid w:val="00272E14"/>
    <w:rsid w:val="002758F1"/>
    <w:rsid w:val="00277AC0"/>
    <w:rsid w:val="002816C4"/>
    <w:rsid w:val="0028325E"/>
    <w:rsid w:val="002855D6"/>
    <w:rsid w:val="0028634E"/>
    <w:rsid w:val="0029085A"/>
    <w:rsid w:val="002908BC"/>
    <w:rsid w:val="002911D9"/>
    <w:rsid w:val="00292C2A"/>
    <w:rsid w:val="002933B5"/>
    <w:rsid w:val="002958D6"/>
    <w:rsid w:val="002973C2"/>
    <w:rsid w:val="002A01B3"/>
    <w:rsid w:val="002A0A42"/>
    <w:rsid w:val="002A0F2F"/>
    <w:rsid w:val="002A13A7"/>
    <w:rsid w:val="002B37F2"/>
    <w:rsid w:val="002B55EA"/>
    <w:rsid w:val="002B730E"/>
    <w:rsid w:val="002C18A9"/>
    <w:rsid w:val="002C2CE8"/>
    <w:rsid w:val="002C48B7"/>
    <w:rsid w:val="002C4F94"/>
    <w:rsid w:val="002C651C"/>
    <w:rsid w:val="002D2F49"/>
    <w:rsid w:val="002D4E03"/>
    <w:rsid w:val="002D6CCE"/>
    <w:rsid w:val="002E1432"/>
    <w:rsid w:val="002E576E"/>
    <w:rsid w:val="002F06C7"/>
    <w:rsid w:val="002F075D"/>
    <w:rsid w:val="002F2B54"/>
    <w:rsid w:val="00300160"/>
    <w:rsid w:val="00300F1A"/>
    <w:rsid w:val="00301105"/>
    <w:rsid w:val="00302772"/>
    <w:rsid w:val="00303EF4"/>
    <w:rsid w:val="00305A4D"/>
    <w:rsid w:val="00312380"/>
    <w:rsid w:val="00316954"/>
    <w:rsid w:val="00322FB0"/>
    <w:rsid w:val="00324113"/>
    <w:rsid w:val="00324211"/>
    <w:rsid w:val="0032542F"/>
    <w:rsid w:val="00331A4C"/>
    <w:rsid w:val="0033214C"/>
    <w:rsid w:val="00334D39"/>
    <w:rsid w:val="00343015"/>
    <w:rsid w:val="003476C5"/>
    <w:rsid w:val="00356CF6"/>
    <w:rsid w:val="00362DA9"/>
    <w:rsid w:val="003642C9"/>
    <w:rsid w:val="00364397"/>
    <w:rsid w:val="00364B11"/>
    <w:rsid w:val="003664F8"/>
    <w:rsid w:val="003761ED"/>
    <w:rsid w:val="00377AB9"/>
    <w:rsid w:val="00377E7D"/>
    <w:rsid w:val="0038358F"/>
    <w:rsid w:val="00386980"/>
    <w:rsid w:val="00386F04"/>
    <w:rsid w:val="0039004B"/>
    <w:rsid w:val="00390BB7"/>
    <w:rsid w:val="00397006"/>
    <w:rsid w:val="003973F9"/>
    <w:rsid w:val="003A22F6"/>
    <w:rsid w:val="003A2719"/>
    <w:rsid w:val="003A2EAE"/>
    <w:rsid w:val="003A45FF"/>
    <w:rsid w:val="003A58DF"/>
    <w:rsid w:val="003A7B6A"/>
    <w:rsid w:val="003B22E6"/>
    <w:rsid w:val="003B7CC1"/>
    <w:rsid w:val="003B7CD8"/>
    <w:rsid w:val="003D0E2A"/>
    <w:rsid w:val="003D12F9"/>
    <w:rsid w:val="003D1495"/>
    <w:rsid w:val="003D36E8"/>
    <w:rsid w:val="003E19FA"/>
    <w:rsid w:val="003E2108"/>
    <w:rsid w:val="003E4433"/>
    <w:rsid w:val="003E73A9"/>
    <w:rsid w:val="003E758D"/>
    <w:rsid w:val="003E784F"/>
    <w:rsid w:val="003F3875"/>
    <w:rsid w:val="00400538"/>
    <w:rsid w:val="004037B0"/>
    <w:rsid w:val="00406E2A"/>
    <w:rsid w:val="00411444"/>
    <w:rsid w:val="00411D7F"/>
    <w:rsid w:val="004152D3"/>
    <w:rsid w:val="00417F8D"/>
    <w:rsid w:val="0042545D"/>
    <w:rsid w:val="004330A2"/>
    <w:rsid w:val="004362BA"/>
    <w:rsid w:val="00436DED"/>
    <w:rsid w:val="0044201A"/>
    <w:rsid w:val="00442F37"/>
    <w:rsid w:val="00443321"/>
    <w:rsid w:val="004450EA"/>
    <w:rsid w:val="00450B5E"/>
    <w:rsid w:val="0045362C"/>
    <w:rsid w:val="004552E7"/>
    <w:rsid w:val="00460E33"/>
    <w:rsid w:val="00462273"/>
    <w:rsid w:val="004623AD"/>
    <w:rsid w:val="004630EF"/>
    <w:rsid w:val="004649E6"/>
    <w:rsid w:val="00464A4C"/>
    <w:rsid w:val="00466062"/>
    <w:rsid w:val="004665C9"/>
    <w:rsid w:val="0047145A"/>
    <w:rsid w:val="00471C2C"/>
    <w:rsid w:val="004756DA"/>
    <w:rsid w:val="00475AB4"/>
    <w:rsid w:val="00476746"/>
    <w:rsid w:val="0047692A"/>
    <w:rsid w:val="00480D50"/>
    <w:rsid w:val="0048488E"/>
    <w:rsid w:val="004852BF"/>
    <w:rsid w:val="004862E0"/>
    <w:rsid w:val="00496348"/>
    <w:rsid w:val="004A2B79"/>
    <w:rsid w:val="004A45F7"/>
    <w:rsid w:val="004A77E3"/>
    <w:rsid w:val="004B33E9"/>
    <w:rsid w:val="004B3BB5"/>
    <w:rsid w:val="004C3D98"/>
    <w:rsid w:val="004C4794"/>
    <w:rsid w:val="004C5194"/>
    <w:rsid w:val="004C5FF8"/>
    <w:rsid w:val="004C72AD"/>
    <w:rsid w:val="004D020E"/>
    <w:rsid w:val="004D154C"/>
    <w:rsid w:val="004D396F"/>
    <w:rsid w:val="004D5066"/>
    <w:rsid w:val="004D5A59"/>
    <w:rsid w:val="004D5F4D"/>
    <w:rsid w:val="004D7205"/>
    <w:rsid w:val="004E5D6F"/>
    <w:rsid w:val="004F2DD8"/>
    <w:rsid w:val="004F3D1B"/>
    <w:rsid w:val="004F43B5"/>
    <w:rsid w:val="00510511"/>
    <w:rsid w:val="0051165C"/>
    <w:rsid w:val="00513042"/>
    <w:rsid w:val="00513E47"/>
    <w:rsid w:val="00514BC0"/>
    <w:rsid w:val="00521C8F"/>
    <w:rsid w:val="00522939"/>
    <w:rsid w:val="00522F40"/>
    <w:rsid w:val="005236B3"/>
    <w:rsid w:val="00523F88"/>
    <w:rsid w:val="00526839"/>
    <w:rsid w:val="005276EB"/>
    <w:rsid w:val="0053631C"/>
    <w:rsid w:val="00540B26"/>
    <w:rsid w:val="0054227E"/>
    <w:rsid w:val="00542911"/>
    <w:rsid w:val="00543514"/>
    <w:rsid w:val="0054658F"/>
    <w:rsid w:val="00546AFD"/>
    <w:rsid w:val="00555D44"/>
    <w:rsid w:val="00556F2A"/>
    <w:rsid w:val="005643D0"/>
    <w:rsid w:val="00567BC0"/>
    <w:rsid w:val="00567C12"/>
    <w:rsid w:val="0058204C"/>
    <w:rsid w:val="0058671D"/>
    <w:rsid w:val="00587AE1"/>
    <w:rsid w:val="005915FC"/>
    <w:rsid w:val="00594B70"/>
    <w:rsid w:val="00595151"/>
    <w:rsid w:val="005A0A68"/>
    <w:rsid w:val="005A2225"/>
    <w:rsid w:val="005A2ED5"/>
    <w:rsid w:val="005A3C5A"/>
    <w:rsid w:val="005A40EE"/>
    <w:rsid w:val="005A6179"/>
    <w:rsid w:val="005B147B"/>
    <w:rsid w:val="005B3AE0"/>
    <w:rsid w:val="005C2F9B"/>
    <w:rsid w:val="005C3CFB"/>
    <w:rsid w:val="005C459C"/>
    <w:rsid w:val="005D2851"/>
    <w:rsid w:val="005D3A6A"/>
    <w:rsid w:val="005D455D"/>
    <w:rsid w:val="005D6EDA"/>
    <w:rsid w:val="005E38FE"/>
    <w:rsid w:val="005E52AB"/>
    <w:rsid w:val="005E5FD2"/>
    <w:rsid w:val="005F2136"/>
    <w:rsid w:val="005F3236"/>
    <w:rsid w:val="005F5ACF"/>
    <w:rsid w:val="00600AB4"/>
    <w:rsid w:val="00601A10"/>
    <w:rsid w:val="0060291D"/>
    <w:rsid w:val="00603EAF"/>
    <w:rsid w:val="00604F70"/>
    <w:rsid w:val="00607051"/>
    <w:rsid w:val="00607C58"/>
    <w:rsid w:val="00610472"/>
    <w:rsid w:val="00611078"/>
    <w:rsid w:val="00612A61"/>
    <w:rsid w:val="0061423D"/>
    <w:rsid w:val="00616B55"/>
    <w:rsid w:val="00624730"/>
    <w:rsid w:val="00624D07"/>
    <w:rsid w:val="00626686"/>
    <w:rsid w:val="00627DD9"/>
    <w:rsid w:val="0063008B"/>
    <w:rsid w:val="00632259"/>
    <w:rsid w:val="00633677"/>
    <w:rsid w:val="00637F6B"/>
    <w:rsid w:val="006417C0"/>
    <w:rsid w:val="00642433"/>
    <w:rsid w:val="00642AED"/>
    <w:rsid w:val="006438B4"/>
    <w:rsid w:val="006439E7"/>
    <w:rsid w:val="00644A71"/>
    <w:rsid w:val="00654C86"/>
    <w:rsid w:val="00654F6D"/>
    <w:rsid w:val="0065767F"/>
    <w:rsid w:val="00660B17"/>
    <w:rsid w:val="00663307"/>
    <w:rsid w:val="00665BFF"/>
    <w:rsid w:val="00671843"/>
    <w:rsid w:val="00671BD5"/>
    <w:rsid w:val="00673990"/>
    <w:rsid w:val="00674B53"/>
    <w:rsid w:val="00675642"/>
    <w:rsid w:val="00680877"/>
    <w:rsid w:val="0068641B"/>
    <w:rsid w:val="00691634"/>
    <w:rsid w:val="00692D12"/>
    <w:rsid w:val="006945D9"/>
    <w:rsid w:val="00694701"/>
    <w:rsid w:val="006977E1"/>
    <w:rsid w:val="006A00C7"/>
    <w:rsid w:val="006A1E55"/>
    <w:rsid w:val="006A2363"/>
    <w:rsid w:val="006A729F"/>
    <w:rsid w:val="006A7563"/>
    <w:rsid w:val="006B0BCC"/>
    <w:rsid w:val="006B3420"/>
    <w:rsid w:val="006B461F"/>
    <w:rsid w:val="006B5182"/>
    <w:rsid w:val="006B5ED5"/>
    <w:rsid w:val="006C055B"/>
    <w:rsid w:val="006C540D"/>
    <w:rsid w:val="006C71D1"/>
    <w:rsid w:val="006C745F"/>
    <w:rsid w:val="006C7DC6"/>
    <w:rsid w:val="006C7E5D"/>
    <w:rsid w:val="006D0518"/>
    <w:rsid w:val="006D2355"/>
    <w:rsid w:val="006D41BB"/>
    <w:rsid w:val="006D5941"/>
    <w:rsid w:val="006E2575"/>
    <w:rsid w:val="006E5075"/>
    <w:rsid w:val="006E7669"/>
    <w:rsid w:val="006E7D8F"/>
    <w:rsid w:val="006F05D2"/>
    <w:rsid w:val="006F43C5"/>
    <w:rsid w:val="006F55B2"/>
    <w:rsid w:val="006F5EF8"/>
    <w:rsid w:val="006F7BE6"/>
    <w:rsid w:val="006F7F5E"/>
    <w:rsid w:val="00701A29"/>
    <w:rsid w:val="0070285B"/>
    <w:rsid w:val="0070595C"/>
    <w:rsid w:val="00705F64"/>
    <w:rsid w:val="00707FB4"/>
    <w:rsid w:val="007116D3"/>
    <w:rsid w:val="00712D36"/>
    <w:rsid w:val="00715797"/>
    <w:rsid w:val="00720723"/>
    <w:rsid w:val="00720F0B"/>
    <w:rsid w:val="00723106"/>
    <w:rsid w:val="0072332E"/>
    <w:rsid w:val="007249A2"/>
    <w:rsid w:val="00725256"/>
    <w:rsid w:val="007253A8"/>
    <w:rsid w:val="00726097"/>
    <w:rsid w:val="00726EC0"/>
    <w:rsid w:val="00731A80"/>
    <w:rsid w:val="007325FE"/>
    <w:rsid w:val="007328A1"/>
    <w:rsid w:val="00736BA4"/>
    <w:rsid w:val="0073764D"/>
    <w:rsid w:val="0074102B"/>
    <w:rsid w:val="007415F1"/>
    <w:rsid w:val="00742FE1"/>
    <w:rsid w:val="00745336"/>
    <w:rsid w:val="007476E6"/>
    <w:rsid w:val="0075047C"/>
    <w:rsid w:val="00753410"/>
    <w:rsid w:val="007561B4"/>
    <w:rsid w:val="00760AC9"/>
    <w:rsid w:val="00766006"/>
    <w:rsid w:val="0076731C"/>
    <w:rsid w:val="007740F7"/>
    <w:rsid w:val="0077649F"/>
    <w:rsid w:val="0077691C"/>
    <w:rsid w:val="00777D18"/>
    <w:rsid w:val="007817D0"/>
    <w:rsid w:val="007977E9"/>
    <w:rsid w:val="007A1419"/>
    <w:rsid w:val="007A2495"/>
    <w:rsid w:val="007A49E7"/>
    <w:rsid w:val="007A74E7"/>
    <w:rsid w:val="007A77DC"/>
    <w:rsid w:val="007B0DA9"/>
    <w:rsid w:val="007B0F91"/>
    <w:rsid w:val="007B3E6C"/>
    <w:rsid w:val="007B4BFD"/>
    <w:rsid w:val="007B4DEC"/>
    <w:rsid w:val="007B5B27"/>
    <w:rsid w:val="007B6927"/>
    <w:rsid w:val="007C196E"/>
    <w:rsid w:val="007C2913"/>
    <w:rsid w:val="007C377D"/>
    <w:rsid w:val="007C558C"/>
    <w:rsid w:val="007C6226"/>
    <w:rsid w:val="007C712C"/>
    <w:rsid w:val="007D1C6E"/>
    <w:rsid w:val="007D338C"/>
    <w:rsid w:val="007D3800"/>
    <w:rsid w:val="007D6335"/>
    <w:rsid w:val="007E3D01"/>
    <w:rsid w:val="007E4709"/>
    <w:rsid w:val="007E545A"/>
    <w:rsid w:val="007E5E4E"/>
    <w:rsid w:val="007F11FE"/>
    <w:rsid w:val="007F2A69"/>
    <w:rsid w:val="007F520E"/>
    <w:rsid w:val="007F6C1E"/>
    <w:rsid w:val="007F7660"/>
    <w:rsid w:val="00802DA3"/>
    <w:rsid w:val="00802DDA"/>
    <w:rsid w:val="00805CE8"/>
    <w:rsid w:val="00806AA3"/>
    <w:rsid w:val="00806F3F"/>
    <w:rsid w:val="00811668"/>
    <w:rsid w:val="00811D1A"/>
    <w:rsid w:val="00814B9A"/>
    <w:rsid w:val="00815337"/>
    <w:rsid w:val="00815E82"/>
    <w:rsid w:val="00816AAA"/>
    <w:rsid w:val="00825915"/>
    <w:rsid w:val="00826124"/>
    <w:rsid w:val="00833047"/>
    <w:rsid w:val="008330FE"/>
    <w:rsid w:val="00835435"/>
    <w:rsid w:val="008355DA"/>
    <w:rsid w:val="008367AF"/>
    <w:rsid w:val="00841224"/>
    <w:rsid w:val="00841F27"/>
    <w:rsid w:val="008426F1"/>
    <w:rsid w:val="00843B67"/>
    <w:rsid w:val="00846EEA"/>
    <w:rsid w:val="0084794B"/>
    <w:rsid w:val="00850FAC"/>
    <w:rsid w:val="0085482E"/>
    <w:rsid w:val="00861375"/>
    <w:rsid w:val="00862E93"/>
    <w:rsid w:val="00864191"/>
    <w:rsid w:val="0086538D"/>
    <w:rsid w:val="00866C07"/>
    <w:rsid w:val="008738EF"/>
    <w:rsid w:val="00874E66"/>
    <w:rsid w:val="00875E61"/>
    <w:rsid w:val="0087704F"/>
    <w:rsid w:val="0088024F"/>
    <w:rsid w:val="00881365"/>
    <w:rsid w:val="00885FA6"/>
    <w:rsid w:val="0088742A"/>
    <w:rsid w:val="00887E0C"/>
    <w:rsid w:val="008920C4"/>
    <w:rsid w:val="008A4A76"/>
    <w:rsid w:val="008A53F4"/>
    <w:rsid w:val="008B1307"/>
    <w:rsid w:val="008B4E43"/>
    <w:rsid w:val="008C061E"/>
    <w:rsid w:val="008C199A"/>
    <w:rsid w:val="008C21C8"/>
    <w:rsid w:val="008C24C1"/>
    <w:rsid w:val="008C2F1D"/>
    <w:rsid w:val="008C3FD0"/>
    <w:rsid w:val="008C4F3D"/>
    <w:rsid w:val="008C4F58"/>
    <w:rsid w:val="008C6CA8"/>
    <w:rsid w:val="008D059B"/>
    <w:rsid w:val="008D2184"/>
    <w:rsid w:val="008D28F7"/>
    <w:rsid w:val="008D3327"/>
    <w:rsid w:val="008D4C1E"/>
    <w:rsid w:val="008D4F70"/>
    <w:rsid w:val="008E0FEF"/>
    <w:rsid w:val="008E17CE"/>
    <w:rsid w:val="008E2C77"/>
    <w:rsid w:val="008E36C1"/>
    <w:rsid w:val="008E3E6A"/>
    <w:rsid w:val="008E6B4D"/>
    <w:rsid w:val="008E7772"/>
    <w:rsid w:val="008F5A0A"/>
    <w:rsid w:val="00900642"/>
    <w:rsid w:val="0090224C"/>
    <w:rsid w:val="00906CB2"/>
    <w:rsid w:val="009106EA"/>
    <w:rsid w:val="00911CC4"/>
    <w:rsid w:val="009122FE"/>
    <w:rsid w:val="00912D6D"/>
    <w:rsid w:val="00913B96"/>
    <w:rsid w:val="00913CD0"/>
    <w:rsid w:val="00915413"/>
    <w:rsid w:val="00916096"/>
    <w:rsid w:val="00920082"/>
    <w:rsid w:val="009208C9"/>
    <w:rsid w:val="00922B1B"/>
    <w:rsid w:val="00923F00"/>
    <w:rsid w:val="00926423"/>
    <w:rsid w:val="009270AC"/>
    <w:rsid w:val="00930F6A"/>
    <w:rsid w:val="00932E1E"/>
    <w:rsid w:val="009366E6"/>
    <w:rsid w:val="0094141B"/>
    <w:rsid w:val="009438DF"/>
    <w:rsid w:val="00943A18"/>
    <w:rsid w:val="00943FF9"/>
    <w:rsid w:val="00944A19"/>
    <w:rsid w:val="00945045"/>
    <w:rsid w:val="00947B4D"/>
    <w:rsid w:val="00955990"/>
    <w:rsid w:val="0095778B"/>
    <w:rsid w:val="00957998"/>
    <w:rsid w:val="0096018E"/>
    <w:rsid w:val="009605EE"/>
    <w:rsid w:val="0096099E"/>
    <w:rsid w:val="009612A4"/>
    <w:rsid w:val="00962930"/>
    <w:rsid w:val="00962EB2"/>
    <w:rsid w:val="00964F5B"/>
    <w:rsid w:val="00972277"/>
    <w:rsid w:val="00982705"/>
    <w:rsid w:val="009834E0"/>
    <w:rsid w:val="00985233"/>
    <w:rsid w:val="0098700B"/>
    <w:rsid w:val="0099002E"/>
    <w:rsid w:val="00992261"/>
    <w:rsid w:val="00992362"/>
    <w:rsid w:val="0099319C"/>
    <w:rsid w:val="009A1545"/>
    <w:rsid w:val="009A20B4"/>
    <w:rsid w:val="009A2763"/>
    <w:rsid w:val="009A7D15"/>
    <w:rsid w:val="009B1B2E"/>
    <w:rsid w:val="009C0115"/>
    <w:rsid w:val="009C3818"/>
    <w:rsid w:val="009C702E"/>
    <w:rsid w:val="009C71AD"/>
    <w:rsid w:val="009C7DB0"/>
    <w:rsid w:val="009D053D"/>
    <w:rsid w:val="009D4824"/>
    <w:rsid w:val="009E3478"/>
    <w:rsid w:val="009F4C33"/>
    <w:rsid w:val="009F7551"/>
    <w:rsid w:val="00A06249"/>
    <w:rsid w:val="00A07291"/>
    <w:rsid w:val="00A0783B"/>
    <w:rsid w:val="00A0783D"/>
    <w:rsid w:val="00A10393"/>
    <w:rsid w:val="00A10F13"/>
    <w:rsid w:val="00A11A67"/>
    <w:rsid w:val="00A12D13"/>
    <w:rsid w:val="00A13946"/>
    <w:rsid w:val="00A13949"/>
    <w:rsid w:val="00A15020"/>
    <w:rsid w:val="00A15369"/>
    <w:rsid w:val="00A16947"/>
    <w:rsid w:val="00A17744"/>
    <w:rsid w:val="00A17B8E"/>
    <w:rsid w:val="00A205B5"/>
    <w:rsid w:val="00A21661"/>
    <w:rsid w:val="00A21B28"/>
    <w:rsid w:val="00A23B7C"/>
    <w:rsid w:val="00A26FFB"/>
    <w:rsid w:val="00A30A1D"/>
    <w:rsid w:val="00A31160"/>
    <w:rsid w:val="00A313F2"/>
    <w:rsid w:val="00A316BD"/>
    <w:rsid w:val="00A32431"/>
    <w:rsid w:val="00A34673"/>
    <w:rsid w:val="00A34D6B"/>
    <w:rsid w:val="00A3545B"/>
    <w:rsid w:val="00A35A4F"/>
    <w:rsid w:val="00A35CA1"/>
    <w:rsid w:val="00A3761F"/>
    <w:rsid w:val="00A403D9"/>
    <w:rsid w:val="00A431CB"/>
    <w:rsid w:val="00A43408"/>
    <w:rsid w:val="00A47F30"/>
    <w:rsid w:val="00A47F7B"/>
    <w:rsid w:val="00A52FA6"/>
    <w:rsid w:val="00A56BC0"/>
    <w:rsid w:val="00A56BF4"/>
    <w:rsid w:val="00A60A9F"/>
    <w:rsid w:val="00A6332C"/>
    <w:rsid w:val="00A639D0"/>
    <w:rsid w:val="00A65CDA"/>
    <w:rsid w:val="00A74803"/>
    <w:rsid w:val="00A75D88"/>
    <w:rsid w:val="00A77066"/>
    <w:rsid w:val="00A81713"/>
    <w:rsid w:val="00A83E4D"/>
    <w:rsid w:val="00A85297"/>
    <w:rsid w:val="00A86624"/>
    <w:rsid w:val="00A86AF6"/>
    <w:rsid w:val="00A86F9B"/>
    <w:rsid w:val="00A86FB5"/>
    <w:rsid w:val="00A918F1"/>
    <w:rsid w:val="00A9500C"/>
    <w:rsid w:val="00A96AA3"/>
    <w:rsid w:val="00AA120E"/>
    <w:rsid w:val="00AA147F"/>
    <w:rsid w:val="00AA18B2"/>
    <w:rsid w:val="00AA5D47"/>
    <w:rsid w:val="00AB1C13"/>
    <w:rsid w:val="00AB7EF5"/>
    <w:rsid w:val="00AC08E7"/>
    <w:rsid w:val="00AC315A"/>
    <w:rsid w:val="00AC704E"/>
    <w:rsid w:val="00AC76E7"/>
    <w:rsid w:val="00AD0958"/>
    <w:rsid w:val="00AD2E8B"/>
    <w:rsid w:val="00AD519C"/>
    <w:rsid w:val="00AD55DE"/>
    <w:rsid w:val="00AE0172"/>
    <w:rsid w:val="00AE6923"/>
    <w:rsid w:val="00AF2D1B"/>
    <w:rsid w:val="00AF4F87"/>
    <w:rsid w:val="00AF5382"/>
    <w:rsid w:val="00AF5D21"/>
    <w:rsid w:val="00B00A3B"/>
    <w:rsid w:val="00B030FD"/>
    <w:rsid w:val="00B0400E"/>
    <w:rsid w:val="00B04AB3"/>
    <w:rsid w:val="00B0785F"/>
    <w:rsid w:val="00B11767"/>
    <w:rsid w:val="00B17777"/>
    <w:rsid w:val="00B177BC"/>
    <w:rsid w:val="00B205BF"/>
    <w:rsid w:val="00B21D6D"/>
    <w:rsid w:val="00B221FC"/>
    <w:rsid w:val="00B2250A"/>
    <w:rsid w:val="00B24F9B"/>
    <w:rsid w:val="00B2747A"/>
    <w:rsid w:val="00B30481"/>
    <w:rsid w:val="00B33D3E"/>
    <w:rsid w:val="00B44A04"/>
    <w:rsid w:val="00B457F4"/>
    <w:rsid w:val="00B502DE"/>
    <w:rsid w:val="00B50D51"/>
    <w:rsid w:val="00B54D76"/>
    <w:rsid w:val="00B5661C"/>
    <w:rsid w:val="00B61E3D"/>
    <w:rsid w:val="00B631A8"/>
    <w:rsid w:val="00B63DFF"/>
    <w:rsid w:val="00B65B0E"/>
    <w:rsid w:val="00B66628"/>
    <w:rsid w:val="00B67665"/>
    <w:rsid w:val="00B7104D"/>
    <w:rsid w:val="00B71688"/>
    <w:rsid w:val="00B7179B"/>
    <w:rsid w:val="00B72EE2"/>
    <w:rsid w:val="00B748B7"/>
    <w:rsid w:val="00B77BA2"/>
    <w:rsid w:val="00B81485"/>
    <w:rsid w:val="00B81D81"/>
    <w:rsid w:val="00B83812"/>
    <w:rsid w:val="00B846E3"/>
    <w:rsid w:val="00B87D47"/>
    <w:rsid w:val="00B9072C"/>
    <w:rsid w:val="00B918A9"/>
    <w:rsid w:val="00B92BA0"/>
    <w:rsid w:val="00B9765F"/>
    <w:rsid w:val="00BA545E"/>
    <w:rsid w:val="00BA5A5B"/>
    <w:rsid w:val="00BB4DB8"/>
    <w:rsid w:val="00BB53CF"/>
    <w:rsid w:val="00BC4D7E"/>
    <w:rsid w:val="00BC67EF"/>
    <w:rsid w:val="00BC72D4"/>
    <w:rsid w:val="00BD00CD"/>
    <w:rsid w:val="00BD17E3"/>
    <w:rsid w:val="00BD1A95"/>
    <w:rsid w:val="00BD2587"/>
    <w:rsid w:val="00BD55FD"/>
    <w:rsid w:val="00BD6B16"/>
    <w:rsid w:val="00BD6D51"/>
    <w:rsid w:val="00BE63FE"/>
    <w:rsid w:val="00BE6D91"/>
    <w:rsid w:val="00BE7F82"/>
    <w:rsid w:val="00BF1A07"/>
    <w:rsid w:val="00BF483C"/>
    <w:rsid w:val="00BF70C1"/>
    <w:rsid w:val="00C01617"/>
    <w:rsid w:val="00C018C8"/>
    <w:rsid w:val="00C03EDF"/>
    <w:rsid w:val="00C064CA"/>
    <w:rsid w:val="00C077B5"/>
    <w:rsid w:val="00C159C3"/>
    <w:rsid w:val="00C162C9"/>
    <w:rsid w:val="00C17809"/>
    <w:rsid w:val="00C20149"/>
    <w:rsid w:val="00C20805"/>
    <w:rsid w:val="00C31AF1"/>
    <w:rsid w:val="00C32884"/>
    <w:rsid w:val="00C34F75"/>
    <w:rsid w:val="00C40F89"/>
    <w:rsid w:val="00C43DE6"/>
    <w:rsid w:val="00C43F04"/>
    <w:rsid w:val="00C44E2F"/>
    <w:rsid w:val="00C46359"/>
    <w:rsid w:val="00C46E6F"/>
    <w:rsid w:val="00C47C32"/>
    <w:rsid w:val="00C544EC"/>
    <w:rsid w:val="00C56D70"/>
    <w:rsid w:val="00C56DA8"/>
    <w:rsid w:val="00C5712E"/>
    <w:rsid w:val="00C60A24"/>
    <w:rsid w:val="00C63DB5"/>
    <w:rsid w:val="00C64FFD"/>
    <w:rsid w:val="00C666E8"/>
    <w:rsid w:val="00C67921"/>
    <w:rsid w:val="00C7080C"/>
    <w:rsid w:val="00C72C33"/>
    <w:rsid w:val="00C7515E"/>
    <w:rsid w:val="00C82498"/>
    <w:rsid w:val="00C84165"/>
    <w:rsid w:val="00C85D8D"/>
    <w:rsid w:val="00C90D49"/>
    <w:rsid w:val="00C9230A"/>
    <w:rsid w:val="00CA3399"/>
    <w:rsid w:val="00CA42FF"/>
    <w:rsid w:val="00CA7DD3"/>
    <w:rsid w:val="00CC03DE"/>
    <w:rsid w:val="00CC165F"/>
    <w:rsid w:val="00CD1C40"/>
    <w:rsid w:val="00CD475E"/>
    <w:rsid w:val="00CD563C"/>
    <w:rsid w:val="00CD6912"/>
    <w:rsid w:val="00CE34B3"/>
    <w:rsid w:val="00CE56CD"/>
    <w:rsid w:val="00CE6A7B"/>
    <w:rsid w:val="00CE6EAA"/>
    <w:rsid w:val="00CE7156"/>
    <w:rsid w:val="00CE7221"/>
    <w:rsid w:val="00CF138D"/>
    <w:rsid w:val="00CF2CE6"/>
    <w:rsid w:val="00CF4343"/>
    <w:rsid w:val="00D000B4"/>
    <w:rsid w:val="00D0020E"/>
    <w:rsid w:val="00D04D16"/>
    <w:rsid w:val="00D04E67"/>
    <w:rsid w:val="00D05025"/>
    <w:rsid w:val="00D05B49"/>
    <w:rsid w:val="00D0760B"/>
    <w:rsid w:val="00D11546"/>
    <w:rsid w:val="00D11850"/>
    <w:rsid w:val="00D12811"/>
    <w:rsid w:val="00D13C33"/>
    <w:rsid w:val="00D158FA"/>
    <w:rsid w:val="00D172A1"/>
    <w:rsid w:val="00D23EB0"/>
    <w:rsid w:val="00D24915"/>
    <w:rsid w:val="00D2497E"/>
    <w:rsid w:val="00D25AD7"/>
    <w:rsid w:val="00D25C69"/>
    <w:rsid w:val="00D27175"/>
    <w:rsid w:val="00D272E5"/>
    <w:rsid w:val="00D2750E"/>
    <w:rsid w:val="00D31F68"/>
    <w:rsid w:val="00D32331"/>
    <w:rsid w:val="00D3309E"/>
    <w:rsid w:val="00D33CCE"/>
    <w:rsid w:val="00D400BF"/>
    <w:rsid w:val="00D423B0"/>
    <w:rsid w:val="00D444EE"/>
    <w:rsid w:val="00D45188"/>
    <w:rsid w:val="00D45253"/>
    <w:rsid w:val="00D50014"/>
    <w:rsid w:val="00D54303"/>
    <w:rsid w:val="00D54CDD"/>
    <w:rsid w:val="00D5541F"/>
    <w:rsid w:val="00D560EA"/>
    <w:rsid w:val="00D57209"/>
    <w:rsid w:val="00D5725E"/>
    <w:rsid w:val="00D64E57"/>
    <w:rsid w:val="00D65160"/>
    <w:rsid w:val="00D67B00"/>
    <w:rsid w:val="00D76268"/>
    <w:rsid w:val="00D76BBD"/>
    <w:rsid w:val="00D815E4"/>
    <w:rsid w:val="00D82001"/>
    <w:rsid w:val="00D8280E"/>
    <w:rsid w:val="00D82AA4"/>
    <w:rsid w:val="00D845D5"/>
    <w:rsid w:val="00D86085"/>
    <w:rsid w:val="00D8749A"/>
    <w:rsid w:val="00D911F2"/>
    <w:rsid w:val="00D93F71"/>
    <w:rsid w:val="00D97699"/>
    <w:rsid w:val="00DA206F"/>
    <w:rsid w:val="00DA3858"/>
    <w:rsid w:val="00DB10EE"/>
    <w:rsid w:val="00DB12A9"/>
    <w:rsid w:val="00DB3638"/>
    <w:rsid w:val="00DB41FF"/>
    <w:rsid w:val="00DB6385"/>
    <w:rsid w:val="00DC1895"/>
    <w:rsid w:val="00DC63A9"/>
    <w:rsid w:val="00DD3C28"/>
    <w:rsid w:val="00DD5187"/>
    <w:rsid w:val="00DE33DA"/>
    <w:rsid w:val="00DE680C"/>
    <w:rsid w:val="00DE6ABD"/>
    <w:rsid w:val="00DE73F2"/>
    <w:rsid w:val="00DF4F95"/>
    <w:rsid w:val="00DF70EE"/>
    <w:rsid w:val="00DF778B"/>
    <w:rsid w:val="00E0057D"/>
    <w:rsid w:val="00E005BB"/>
    <w:rsid w:val="00E025D5"/>
    <w:rsid w:val="00E0583B"/>
    <w:rsid w:val="00E1189A"/>
    <w:rsid w:val="00E1195E"/>
    <w:rsid w:val="00E12D38"/>
    <w:rsid w:val="00E1341A"/>
    <w:rsid w:val="00E15E5B"/>
    <w:rsid w:val="00E1630A"/>
    <w:rsid w:val="00E21479"/>
    <w:rsid w:val="00E23439"/>
    <w:rsid w:val="00E2377E"/>
    <w:rsid w:val="00E305C6"/>
    <w:rsid w:val="00E306A6"/>
    <w:rsid w:val="00E3636F"/>
    <w:rsid w:val="00E431C2"/>
    <w:rsid w:val="00E43B6B"/>
    <w:rsid w:val="00E4519B"/>
    <w:rsid w:val="00E517B1"/>
    <w:rsid w:val="00E52257"/>
    <w:rsid w:val="00E54B81"/>
    <w:rsid w:val="00E57A0B"/>
    <w:rsid w:val="00E60BCF"/>
    <w:rsid w:val="00E62CD4"/>
    <w:rsid w:val="00E63091"/>
    <w:rsid w:val="00E648EB"/>
    <w:rsid w:val="00E64CE4"/>
    <w:rsid w:val="00E65CED"/>
    <w:rsid w:val="00E666C9"/>
    <w:rsid w:val="00E66756"/>
    <w:rsid w:val="00E7559B"/>
    <w:rsid w:val="00E75C56"/>
    <w:rsid w:val="00E80C9E"/>
    <w:rsid w:val="00E8128E"/>
    <w:rsid w:val="00E8263C"/>
    <w:rsid w:val="00E84B39"/>
    <w:rsid w:val="00E85D28"/>
    <w:rsid w:val="00E90615"/>
    <w:rsid w:val="00E91705"/>
    <w:rsid w:val="00E93E64"/>
    <w:rsid w:val="00E9447B"/>
    <w:rsid w:val="00E961FB"/>
    <w:rsid w:val="00E968C6"/>
    <w:rsid w:val="00E96DC9"/>
    <w:rsid w:val="00EA13E5"/>
    <w:rsid w:val="00EA24F5"/>
    <w:rsid w:val="00EA417B"/>
    <w:rsid w:val="00EA4AB4"/>
    <w:rsid w:val="00EA50AC"/>
    <w:rsid w:val="00EB05E5"/>
    <w:rsid w:val="00EB1789"/>
    <w:rsid w:val="00EB2632"/>
    <w:rsid w:val="00EB2714"/>
    <w:rsid w:val="00EB4AF2"/>
    <w:rsid w:val="00EB54E2"/>
    <w:rsid w:val="00EB5951"/>
    <w:rsid w:val="00EC1019"/>
    <w:rsid w:val="00EC5347"/>
    <w:rsid w:val="00EC6406"/>
    <w:rsid w:val="00EC6601"/>
    <w:rsid w:val="00ED04C8"/>
    <w:rsid w:val="00ED1C29"/>
    <w:rsid w:val="00ED3C5E"/>
    <w:rsid w:val="00ED3F37"/>
    <w:rsid w:val="00ED4512"/>
    <w:rsid w:val="00EE1E63"/>
    <w:rsid w:val="00EE2FCA"/>
    <w:rsid w:val="00EE4177"/>
    <w:rsid w:val="00EE7A2F"/>
    <w:rsid w:val="00EF276B"/>
    <w:rsid w:val="00EF3481"/>
    <w:rsid w:val="00EF3659"/>
    <w:rsid w:val="00EF3ECB"/>
    <w:rsid w:val="00EF7621"/>
    <w:rsid w:val="00EF7C70"/>
    <w:rsid w:val="00F02952"/>
    <w:rsid w:val="00F06D4A"/>
    <w:rsid w:val="00F06DCE"/>
    <w:rsid w:val="00F12560"/>
    <w:rsid w:val="00F15791"/>
    <w:rsid w:val="00F20824"/>
    <w:rsid w:val="00F20B55"/>
    <w:rsid w:val="00F21CF4"/>
    <w:rsid w:val="00F2526A"/>
    <w:rsid w:val="00F27407"/>
    <w:rsid w:val="00F33DF6"/>
    <w:rsid w:val="00F34389"/>
    <w:rsid w:val="00F346C1"/>
    <w:rsid w:val="00F368F8"/>
    <w:rsid w:val="00F4017C"/>
    <w:rsid w:val="00F41036"/>
    <w:rsid w:val="00F415FD"/>
    <w:rsid w:val="00F41E96"/>
    <w:rsid w:val="00F4566B"/>
    <w:rsid w:val="00F46A0A"/>
    <w:rsid w:val="00F5344C"/>
    <w:rsid w:val="00F55B4A"/>
    <w:rsid w:val="00F574F0"/>
    <w:rsid w:val="00F60112"/>
    <w:rsid w:val="00F66CAD"/>
    <w:rsid w:val="00F741AA"/>
    <w:rsid w:val="00F742B7"/>
    <w:rsid w:val="00F742E8"/>
    <w:rsid w:val="00F74698"/>
    <w:rsid w:val="00F767B1"/>
    <w:rsid w:val="00F80FA8"/>
    <w:rsid w:val="00F813E9"/>
    <w:rsid w:val="00F84492"/>
    <w:rsid w:val="00F85E92"/>
    <w:rsid w:val="00F915A7"/>
    <w:rsid w:val="00F9169F"/>
    <w:rsid w:val="00F9269D"/>
    <w:rsid w:val="00F92DB7"/>
    <w:rsid w:val="00F94C0A"/>
    <w:rsid w:val="00F96668"/>
    <w:rsid w:val="00FA1F76"/>
    <w:rsid w:val="00FA4F84"/>
    <w:rsid w:val="00FA5B3B"/>
    <w:rsid w:val="00FA685D"/>
    <w:rsid w:val="00FB2188"/>
    <w:rsid w:val="00FB2C1B"/>
    <w:rsid w:val="00FB6195"/>
    <w:rsid w:val="00FB6A84"/>
    <w:rsid w:val="00FB6B0E"/>
    <w:rsid w:val="00FB7D19"/>
    <w:rsid w:val="00FC0D7E"/>
    <w:rsid w:val="00FC17B8"/>
    <w:rsid w:val="00FC5639"/>
    <w:rsid w:val="00FC5E78"/>
    <w:rsid w:val="00FC7146"/>
    <w:rsid w:val="00FE0F35"/>
    <w:rsid w:val="00FE32B5"/>
    <w:rsid w:val="00FE3B1E"/>
    <w:rsid w:val="00FE43FF"/>
    <w:rsid w:val="00FE545B"/>
    <w:rsid w:val="00FE6D8D"/>
    <w:rsid w:val="00FF2521"/>
    <w:rsid w:val="00FF2658"/>
    <w:rsid w:val="00FF27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1400A2"/>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58"/>
    <w:pPr>
      <w:widowControl w:val="0"/>
    </w:pPr>
    <w:rPr>
      <w:snapToGrid w:val="0"/>
      <w:kern w:val="28"/>
      <w:sz w:val="22"/>
    </w:rPr>
  </w:style>
  <w:style w:type="paragraph" w:styleId="Heading1">
    <w:name w:val="heading 1"/>
    <w:basedOn w:val="Normal"/>
    <w:next w:val="ParaNum"/>
    <w:link w:val="Heading1Char"/>
    <w:qFormat/>
    <w:rsid w:val="00DA3858"/>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A3858"/>
    <w:pPr>
      <w:keepNext/>
      <w:numPr>
        <w:ilvl w:val="1"/>
        <w:numId w:val="14"/>
      </w:numPr>
      <w:spacing w:after="120"/>
      <w:outlineLvl w:val="1"/>
    </w:pPr>
    <w:rPr>
      <w:b/>
    </w:rPr>
  </w:style>
  <w:style w:type="paragraph" w:styleId="Heading3">
    <w:name w:val="heading 3"/>
    <w:basedOn w:val="Normal"/>
    <w:next w:val="ParaNum"/>
    <w:link w:val="Heading3Char"/>
    <w:qFormat/>
    <w:rsid w:val="00DA3858"/>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DA3858"/>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DA3858"/>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DA3858"/>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DA3858"/>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DA3858"/>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A3858"/>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38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3858"/>
  </w:style>
  <w:style w:type="paragraph" w:customStyle="1" w:styleId="ParaNum">
    <w:name w:val="ParaNum"/>
    <w:basedOn w:val="Normal"/>
    <w:link w:val="ParaNumChar"/>
    <w:rsid w:val="00DA3858"/>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DA385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A3858"/>
    <w:rPr>
      <w:rFonts w:ascii="Times New Roman" w:hAnsi="Times New Roman"/>
      <w:dstrike w:val="0"/>
      <w:color w:val="auto"/>
      <w:sz w:val="20"/>
      <w:vertAlign w:val="superscript"/>
    </w:rPr>
  </w:style>
  <w:style w:type="paragraph" w:styleId="Header">
    <w:name w:val="header"/>
    <w:basedOn w:val="Normal"/>
    <w:autoRedefine/>
    <w:rsid w:val="00DA3858"/>
    <w:pPr>
      <w:tabs>
        <w:tab w:val="center" w:pos="4680"/>
        <w:tab w:val="right" w:pos="9360"/>
      </w:tabs>
    </w:pPr>
    <w:rPr>
      <w:b/>
    </w:rPr>
  </w:style>
  <w:style w:type="paragraph" w:styleId="Footer">
    <w:name w:val="footer"/>
    <w:basedOn w:val="Normal"/>
    <w:link w:val="FooterChar"/>
    <w:uiPriority w:val="99"/>
    <w:rsid w:val="00DA3858"/>
    <w:pPr>
      <w:tabs>
        <w:tab w:val="center" w:pos="4320"/>
        <w:tab w:val="right" w:pos="8640"/>
      </w:tabs>
    </w:pPr>
  </w:style>
  <w:style w:type="character" w:styleId="PageNumber">
    <w:name w:val="page number"/>
    <w:basedOn w:val="DefaultParagraphFont"/>
    <w:rsid w:val="00DA3858"/>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DA3858"/>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DA3858"/>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DA3858"/>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DA3858"/>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DA3858"/>
    <w:rPr>
      <w:vertAlign w:val="superscript"/>
    </w:rPr>
  </w:style>
  <w:style w:type="paragraph" w:styleId="TOC1">
    <w:name w:val="toc 1"/>
    <w:basedOn w:val="Normal"/>
    <w:next w:val="Normal"/>
    <w:rsid w:val="00DA3858"/>
    <w:pPr>
      <w:tabs>
        <w:tab w:val="left" w:pos="360"/>
        <w:tab w:val="right" w:leader="dot" w:pos="9360"/>
      </w:tabs>
      <w:suppressAutoHyphens/>
      <w:ind w:left="360" w:right="720" w:hanging="360"/>
    </w:pPr>
    <w:rPr>
      <w:caps/>
      <w:noProof/>
    </w:rPr>
  </w:style>
  <w:style w:type="paragraph" w:styleId="TOC2">
    <w:name w:val="toc 2"/>
    <w:basedOn w:val="Normal"/>
    <w:next w:val="Normal"/>
    <w:rsid w:val="00DA3858"/>
    <w:pPr>
      <w:tabs>
        <w:tab w:val="left" w:pos="720"/>
        <w:tab w:val="right" w:leader="dot" w:pos="9360"/>
      </w:tabs>
      <w:suppressAutoHyphens/>
      <w:ind w:left="720" w:right="720" w:hanging="360"/>
    </w:pPr>
    <w:rPr>
      <w:noProof/>
    </w:rPr>
  </w:style>
  <w:style w:type="paragraph" w:styleId="TOC3">
    <w:name w:val="toc 3"/>
    <w:basedOn w:val="Normal"/>
    <w:next w:val="Normal"/>
    <w:rsid w:val="00DA385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A385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A385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A3858"/>
    <w:pPr>
      <w:tabs>
        <w:tab w:val="left" w:pos="2160"/>
        <w:tab w:val="right" w:leader="dot" w:pos="9360"/>
      </w:tabs>
      <w:suppressAutoHyphens/>
      <w:ind w:left="2160" w:hanging="360"/>
    </w:pPr>
    <w:rPr>
      <w:noProof/>
    </w:rPr>
  </w:style>
  <w:style w:type="paragraph" w:styleId="TOC7">
    <w:name w:val="toc 7"/>
    <w:basedOn w:val="Normal"/>
    <w:next w:val="Normal"/>
    <w:autoRedefine/>
    <w:rsid w:val="00DA3858"/>
    <w:pPr>
      <w:tabs>
        <w:tab w:val="left" w:pos="2520"/>
        <w:tab w:val="right" w:leader="dot" w:pos="9360"/>
      </w:tabs>
      <w:suppressAutoHyphens/>
      <w:ind w:left="2520" w:hanging="360"/>
    </w:pPr>
    <w:rPr>
      <w:noProof/>
    </w:rPr>
  </w:style>
  <w:style w:type="paragraph" w:styleId="TOC8">
    <w:name w:val="toc 8"/>
    <w:basedOn w:val="Normal"/>
    <w:next w:val="Normal"/>
    <w:autoRedefine/>
    <w:rsid w:val="00DA3858"/>
    <w:pPr>
      <w:tabs>
        <w:tab w:val="left" w:pos="2880"/>
        <w:tab w:val="right" w:leader="dot" w:pos="9360"/>
      </w:tabs>
      <w:suppressAutoHyphens/>
      <w:ind w:left="2880" w:hanging="360"/>
    </w:pPr>
    <w:rPr>
      <w:noProof/>
    </w:rPr>
  </w:style>
  <w:style w:type="paragraph" w:styleId="TOC9">
    <w:name w:val="toc 9"/>
    <w:basedOn w:val="Normal"/>
    <w:next w:val="Normal"/>
    <w:autoRedefine/>
    <w:rsid w:val="00DA3858"/>
    <w:pPr>
      <w:tabs>
        <w:tab w:val="left" w:pos="3240"/>
        <w:tab w:val="right" w:leader="dot" w:pos="9360"/>
      </w:tabs>
      <w:suppressAutoHyphens/>
      <w:ind w:left="3240" w:hanging="360"/>
    </w:pPr>
    <w:rPr>
      <w:noProof/>
    </w:rPr>
  </w:style>
  <w:style w:type="paragraph" w:styleId="TOAHeading">
    <w:name w:val="toa heading"/>
    <w:basedOn w:val="Normal"/>
    <w:next w:val="Normal"/>
    <w:rsid w:val="00DA3858"/>
    <w:pPr>
      <w:tabs>
        <w:tab w:val="right" w:pos="9360"/>
      </w:tabs>
      <w:suppressAutoHyphens/>
    </w:pPr>
  </w:style>
  <w:style w:type="character" w:customStyle="1" w:styleId="EquationCaption">
    <w:name w:val="_Equation Caption"/>
    <w:rsid w:val="00DA3858"/>
  </w:style>
  <w:style w:type="paragraph" w:styleId="BlockText">
    <w:name w:val="Block Text"/>
    <w:basedOn w:val="Normal"/>
    <w:rsid w:val="00DA3858"/>
    <w:pPr>
      <w:spacing w:after="240"/>
      <w:ind w:left="1440" w:right="1440"/>
    </w:pPr>
  </w:style>
  <w:style w:type="paragraph" w:customStyle="1" w:styleId="Paratitle">
    <w:name w:val="Para title"/>
    <w:basedOn w:val="Normal"/>
    <w:rsid w:val="00DA3858"/>
    <w:pPr>
      <w:tabs>
        <w:tab w:val="center" w:pos="9270"/>
      </w:tabs>
      <w:spacing w:after="240"/>
    </w:pPr>
    <w:rPr>
      <w:spacing w:val="-2"/>
    </w:rPr>
  </w:style>
  <w:style w:type="paragraph" w:customStyle="1" w:styleId="TableFormat">
    <w:name w:val="TableFormat"/>
    <w:basedOn w:val="Bullet"/>
    <w:rsid w:val="00DA3858"/>
    <w:pPr>
      <w:tabs>
        <w:tab w:val="clear" w:pos="2160"/>
        <w:tab w:val="left" w:pos="5040"/>
      </w:tabs>
      <w:ind w:left="5040" w:hanging="3600"/>
    </w:pPr>
  </w:style>
  <w:style w:type="paragraph" w:customStyle="1" w:styleId="TOCTitle">
    <w:name w:val="TOC Title"/>
    <w:basedOn w:val="Normal"/>
    <w:rsid w:val="00DA38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3858"/>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 w:type="character" w:customStyle="1" w:styleId="UnresolvedMention2">
    <w:name w:val="Unresolved Mention2"/>
    <w:basedOn w:val="DefaultParagraphFont"/>
    <w:rsid w:val="001B4EDB"/>
    <w:rPr>
      <w:color w:val="605E5C"/>
      <w:shd w:val="clear" w:color="auto" w:fill="E1DFDD"/>
    </w:rPr>
  </w:style>
  <w:style w:type="character" w:customStyle="1" w:styleId="FootnoteTextChar1CharChar">
    <w:name w:val="Footnote Text Char1 Char Char"/>
    <w:aliases w:val="Footnote Text Char Char Char Char,Footnote Text Char1 Char Char Char Char,Footnote Text Char2 Char,Footnote Text Char2 Char Char Char,Footnote Text Char3 Char Char,Footnote Text Char4 Char1 Char Char Char Char Char1"/>
    <w:locked/>
    <w:rsid w:val="003A22F6"/>
  </w:style>
  <w:style w:type="character" w:styleId="Emphasis">
    <w:name w:val="Emphasis"/>
    <w:basedOn w:val="DefaultParagraphFont"/>
    <w:uiPriority w:val="20"/>
    <w:qFormat/>
    <w:rsid w:val="00D05025"/>
    <w:rPr>
      <w:i/>
      <w:iCs/>
    </w:rPr>
  </w:style>
  <w:style w:type="character" w:customStyle="1" w:styleId="UnresolvedMention">
    <w:name w:val="Unresolved Mention"/>
    <w:basedOn w:val="DefaultParagraphFont"/>
    <w:rsid w:val="00AD2E8B"/>
    <w:rPr>
      <w:color w:val="605E5C"/>
      <w:shd w:val="clear" w:color="auto" w:fill="E1DFDD"/>
    </w:rPr>
  </w:style>
  <w:style w:type="paragraph" w:styleId="Revision">
    <w:name w:val="Revision"/>
    <w:hidden/>
    <w:uiPriority w:val="99"/>
    <w:semiHidden/>
    <w:rsid w:val="00540B2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