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1431" w:rsidP="008E1431" w14:paraId="5438ED29" w14:textId="6FED23B2">
      <w:pPr>
        <w:jc w:val="right"/>
        <w:rPr>
          <w:b/>
        </w:rPr>
      </w:pPr>
      <w:bookmarkStart w:id="0" w:name="_Hlk44075464"/>
      <w:r>
        <w:tab/>
      </w:r>
      <w:r>
        <w:tab/>
      </w:r>
      <w:r>
        <w:tab/>
      </w:r>
      <w:r>
        <w:tab/>
      </w:r>
      <w:r>
        <w:tab/>
      </w:r>
      <w:r>
        <w:tab/>
      </w:r>
      <w:r>
        <w:tab/>
      </w:r>
      <w:r>
        <w:tab/>
      </w:r>
      <w:r>
        <w:tab/>
      </w:r>
      <w:r>
        <w:tab/>
      </w:r>
      <w:r>
        <w:tab/>
      </w:r>
      <w:r>
        <w:rPr>
          <w:b/>
        </w:rPr>
        <w:t xml:space="preserve">DA </w:t>
      </w:r>
      <w:r w:rsidR="0014734A">
        <w:rPr>
          <w:b/>
        </w:rPr>
        <w:t>2</w:t>
      </w:r>
      <w:r w:rsidR="00562BFA">
        <w:rPr>
          <w:b/>
        </w:rPr>
        <w:t>1</w:t>
      </w:r>
      <w:r w:rsidR="0014734A">
        <w:rPr>
          <w:b/>
        </w:rPr>
        <w:t>-</w:t>
      </w:r>
      <w:r w:rsidR="00CC3627">
        <w:rPr>
          <w:b/>
        </w:rPr>
        <w:t>951</w:t>
      </w:r>
    </w:p>
    <w:p w:rsidR="008E1431" w:rsidP="008E1431" w14:paraId="26EF1B7B" w14:textId="620DC82E">
      <w:pPr>
        <w:jc w:val="right"/>
        <w:rPr>
          <w:b/>
        </w:rPr>
      </w:pPr>
      <w:r>
        <w:rPr>
          <w:b/>
        </w:rPr>
        <w:tab/>
      </w:r>
      <w:r>
        <w:rPr>
          <w:b/>
        </w:rPr>
        <w:tab/>
      </w:r>
      <w:r>
        <w:rPr>
          <w:b/>
        </w:rPr>
        <w:tab/>
      </w:r>
      <w:r>
        <w:rPr>
          <w:b/>
        </w:rPr>
        <w:tab/>
      </w:r>
      <w:r>
        <w:rPr>
          <w:b/>
        </w:rPr>
        <w:tab/>
      </w:r>
      <w:r>
        <w:rPr>
          <w:b/>
        </w:rPr>
        <w:tab/>
      </w:r>
      <w:r>
        <w:rPr>
          <w:b/>
        </w:rPr>
        <w:tab/>
      </w:r>
      <w:r>
        <w:rPr>
          <w:b/>
        </w:rPr>
        <w:tab/>
      </w:r>
      <w:r>
        <w:rPr>
          <w:b/>
        </w:rPr>
        <w:tab/>
        <w:t xml:space="preserve">Released </w:t>
      </w:r>
      <w:r w:rsidR="007A41CB">
        <w:rPr>
          <w:b/>
        </w:rPr>
        <w:t>August 10</w:t>
      </w:r>
      <w:r w:rsidR="006D429A">
        <w:rPr>
          <w:b/>
        </w:rPr>
        <w:t>,</w:t>
      </w:r>
      <w:r>
        <w:rPr>
          <w:b/>
        </w:rPr>
        <w:t xml:space="preserve"> 202</w:t>
      </w:r>
      <w:r w:rsidR="00562BFA">
        <w:rPr>
          <w:b/>
        </w:rPr>
        <w:t>1</w:t>
      </w:r>
    </w:p>
    <w:p w:rsidR="008E1431" w:rsidP="008E1431" w14:paraId="3DFE1281" w14:textId="77777777">
      <w:pPr>
        <w:rPr>
          <w:b/>
        </w:rPr>
      </w:pPr>
    </w:p>
    <w:p w:rsidR="00D24656" w:rsidP="008E1431" w14:paraId="49761171" w14:textId="77777777">
      <w:pPr>
        <w:spacing w:after="120"/>
        <w:contextualSpacing/>
        <w:jc w:val="center"/>
        <w:rPr>
          <w:b/>
          <w:szCs w:val="22"/>
        </w:rPr>
      </w:pPr>
      <w:r>
        <w:rPr>
          <w:b/>
          <w:szCs w:val="22"/>
        </w:rPr>
        <w:t xml:space="preserve">ACTING </w:t>
      </w:r>
      <w:r w:rsidR="008478D1">
        <w:rPr>
          <w:b/>
          <w:szCs w:val="22"/>
        </w:rPr>
        <w:t>CHAIR</w:t>
      </w:r>
      <w:r>
        <w:rPr>
          <w:b/>
          <w:szCs w:val="22"/>
        </w:rPr>
        <w:t>WO</w:t>
      </w:r>
      <w:r w:rsidR="008478D1">
        <w:rPr>
          <w:b/>
          <w:szCs w:val="22"/>
        </w:rPr>
        <w:t xml:space="preserve">MAN </w:t>
      </w:r>
      <w:r>
        <w:rPr>
          <w:b/>
          <w:szCs w:val="22"/>
        </w:rPr>
        <w:t xml:space="preserve">ROSENWORCEL </w:t>
      </w:r>
      <w:r w:rsidR="008478D1">
        <w:rPr>
          <w:b/>
          <w:szCs w:val="22"/>
        </w:rPr>
        <w:t>ANNOUNCE</w:t>
      </w:r>
      <w:r w:rsidR="00E17CE9">
        <w:rPr>
          <w:b/>
          <w:szCs w:val="22"/>
        </w:rPr>
        <w:t>S</w:t>
      </w:r>
      <w:r w:rsidR="008478D1">
        <w:rPr>
          <w:b/>
          <w:szCs w:val="22"/>
        </w:rPr>
        <w:t xml:space="preserve"> </w:t>
      </w:r>
    </w:p>
    <w:p w:rsidR="00D24656" w:rsidP="008E1431" w14:paraId="69D6C7A4" w14:textId="272FF605">
      <w:pPr>
        <w:spacing w:after="120"/>
        <w:contextualSpacing/>
        <w:jc w:val="center"/>
        <w:rPr>
          <w:b/>
          <w:szCs w:val="22"/>
        </w:rPr>
      </w:pPr>
      <w:r>
        <w:rPr>
          <w:b/>
          <w:szCs w:val="22"/>
        </w:rPr>
        <w:t xml:space="preserve">THE </w:t>
      </w:r>
      <w:r w:rsidR="00E17CE9">
        <w:rPr>
          <w:b/>
          <w:szCs w:val="22"/>
        </w:rPr>
        <w:t>APPOINTMENT</w:t>
      </w:r>
      <w:r>
        <w:rPr>
          <w:b/>
          <w:szCs w:val="22"/>
        </w:rPr>
        <w:t xml:space="preserve"> OF </w:t>
      </w:r>
      <w:r w:rsidR="00AE500A">
        <w:rPr>
          <w:b/>
          <w:szCs w:val="22"/>
        </w:rPr>
        <w:t>T</w:t>
      </w:r>
      <w:r w:rsidR="00134D96">
        <w:rPr>
          <w:b/>
          <w:szCs w:val="22"/>
        </w:rPr>
        <w:t>HREE</w:t>
      </w:r>
      <w:r w:rsidR="00AE500A">
        <w:rPr>
          <w:b/>
          <w:szCs w:val="22"/>
        </w:rPr>
        <w:t xml:space="preserve"> </w:t>
      </w:r>
      <w:r w:rsidR="00E17CE9">
        <w:rPr>
          <w:b/>
          <w:szCs w:val="22"/>
        </w:rPr>
        <w:t xml:space="preserve">NEW MEMBERS </w:t>
      </w:r>
      <w:r w:rsidR="00AE500A">
        <w:rPr>
          <w:b/>
          <w:szCs w:val="22"/>
        </w:rPr>
        <w:t>TO</w:t>
      </w:r>
      <w:r w:rsidR="00E17CE9">
        <w:rPr>
          <w:b/>
          <w:szCs w:val="22"/>
        </w:rPr>
        <w:t xml:space="preserve"> </w:t>
      </w:r>
    </w:p>
    <w:p w:rsidR="008E1431" w:rsidP="00DD4D01" w14:paraId="683F3C69" w14:textId="76029F7A">
      <w:pPr>
        <w:spacing w:after="120"/>
        <w:contextualSpacing/>
        <w:jc w:val="center"/>
        <w:rPr>
          <w:b/>
          <w:szCs w:val="22"/>
        </w:rPr>
      </w:pPr>
      <w:r>
        <w:rPr>
          <w:b/>
          <w:szCs w:val="22"/>
        </w:rPr>
        <w:t>THE</w:t>
      </w:r>
      <w:r w:rsidR="00D24656">
        <w:rPr>
          <w:b/>
          <w:szCs w:val="22"/>
        </w:rPr>
        <w:t xml:space="preserve"> </w:t>
      </w:r>
      <w:r>
        <w:rPr>
          <w:b/>
          <w:szCs w:val="22"/>
        </w:rPr>
        <w:t>INTERGOVERNMENTAL ADVISORY COMMITTEE</w:t>
      </w:r>
    </w:p>
    <w:p w:rsidR="008E1431" w:rsidP="008E1431" w14:paraId="5CFD63A1" w14:textId="77777777">
      <w:pPr>
        <w:rPr>
          <w:b/>
          <w:szCs w:val="22"/>
        </w:rPr>
      </w:pPr>
    </w:p>
    <w:p w:rsidR="008E1431" w14:paraId="7FE40F5F" w14:textId="2E98B3CF">
      <w:pPr>
        <w:spacing w:after="120"/>
        <w:ind w:firstLine="720"/>
        <w:contextualSpacing/>
      </w:pPr>
      <w:r>
        <w:t xml:space="preserve">Acting </w:t>
      </w:r>
      <w:r w:rsidR="008478D1">
        <w:t>Chair</w:t>
      </w:r>
      <w:r>
        <w:t>wo</w:t>
      </w:r>
      <w:r w:rsidR="008478D1">
        <w:t xml:space="preserve">man </w:t>
      </w:r>
      <w:r>
        <w:t xml:space="preserve">Jessica Rosenworcel </w:t>
      </w:r>
      <w:r w:rsidR="008478D1">
        <w:t xml:space="preserve">today announced </w:t>
      </w:r>
      <w:r w:rsidR="00E17CE9">
        <w:rPr>
          <w:szCs w:val="22"/>
        </w:rPr>
        <w:t>the appointment of</w:t>
      </w:r>
      <w:r w:rsidR="00A14E24">
        <w:rPr>
          <w:szCs w:val="22"/>
        </w:rPr>
        <w:t xml:space="preserve"> three</w:t>
      </w:r>
      <w:r w:rsidR="00D24656">
        <w:rPr>
          <w:szCs w:val="22"/>
        </w:rPr>
        <w:t xml:space="preserve"> </w:t>
      </w:r>
      <w:r w:rsidR="00E17CE9">
        <w:rPr>
          <w:szCs w:val="22"/>
        </w:rPr>
        <w:t xml:space="preserve">new members to </w:t>
      </w:r>
      <w:r w:rsidR="008478D1">
        <w:t>the FCC’s Intergovernmental Advisory Committee (IAC)</w:t>
      </w:r>
      <w:r w:rsidR="007150D7">
        <w:t>:</w:t>
      </w:r>
      <w:bookmarkStart w:id="1" w:name="_Hlk77240779"/>
      <w:r w:rsidR="00D24656">
        <w:t xml:space="preserve"> </w:t>
      </w:r>
      <w:r w:rsidRPr="00D24656" w:rsidR="00D24656">
        <w:t>Lisa Babcock, City Council Member, East Lansing, Michigan</w:t>
      </w:r>
      <w:r w:rsidR="007150D7">
        <w:t>;</w:t>
      </w:r>
      <w:r w:rsidR="0021731C">
        <w:t xml:space="preserve"> </w:t>
      </w:r>
      <w:r w:rsidRPr="00D24656" w:rsidR="00D24656">
        <w:t>Lynn Board, City Attorney of Gaithersburg, Maryland</w:t>
      </w:r>
      <w:r w:rsidR="007150D7">
        <w:t>;</w:t>
      </w:r>
      <w:r w:rsidR="0021731C">
        <w:t xml:space="preserve"> and </w:t>
      </w:r>
      <w:r w:rsidRPr="00CC02A9" w:rsidR="0021731C">
        <w:t>Ted Wheeler, Mayor, City of Portland, Oregon</w:t>
      </w:r>
      <w:bookmarkEnd w:id="1"/>
      <w:r w:rsidRPr="00040D6E" w:rsidR="00D24656">
        <w:t>.  The IAC provides policy guidance, expertise, and recommendations to the Commission on a range of communications issues for which local, state</w:t>
      </w:r>
      <w:r w:rsidRPr="00D24656" w:rsidR="00D24656">
        <w:t>, and Tribal governments share responsibility or administration with the Commission.</w:t>
      </w:r>
      <w:bookmarkStart w:id="2" w:name="_Hlk41563981"/>
    </w:p>
    <w:p w:rsidR="00916DB6" w:rsidP="008E1431" w14:paraId="776617DF" w14:textId="4A63B5F4">
      <w:pPr>
        <w:spacing w:after="120"/>
        <w:ind w:firstLine="720"/>
        <w:contextualSpacing/>
      </w:pPr>
    </w:p>
    <w:bookmarkEnd w:id="2"/>
    <w:p w:rsidR="008E1431" w:rsidP="00916DB6" w14:paraId="5D78774A" w14:textId="310D4EDD">
      <w:pPr>
        <w:spacing w:after="120"/>
        <w:ind w:firstLine="720"/>
        <w:contextualSpacing/>
        <w:rPr>
          <w:color w:val="010101"/>
        </w:rPr>
      </w:pPr>
      <w:r>
        <w:t>On November 6, 2019, the Commission announced the reauthorization of the IAC</w:t>
      </w:r>
      <w:r w:rsidR="00522840">
        <w:t xml:space="preserve"> for a term of two years</w:t>
      </w:r>
      <w:r>
        <w:rPr>
          <w:szCs w:val="22"/>
        </w:rPr>
        <w:t>.</w:t>
      </w:r>
      <w:r>
        <w:rPr>
          <w:rStyle w:val="FootnoteReference"/>
        </w:rPr>
        <w:footnoteReference w:id="3"/>
      </w:r>
      <w:r>
        <w:rPr>
          <w:szCs w:val="22"/>
        </w:rPr>
        <w:t xml:space="preserve">  </w:t>
      </w:r>
      <w:r w:rsidR="00570401">
        <w:rPr>
          <w:szCs w:val="22"/>
        </w:rPr>
        <w:t xml:space="preserve">On August 13, 2020, the Commission </w:t>
      </w:r>
      <w:r w:rsidR="00E7060B">
        <w:rPr>
          <w:szCs w:val="22"/>
        </w:rPr>
        <w:t>named</w:t>
      </w:r>
      <w:r w:rsidR="00570401">
        <w:rPr>
          <w:szCs w:val="22"/>
        </w:rPr>
        <w:t xml:space="preserve"> the membership of the reauthorized IAC</w:t>
      </w:r>
      <w:r w:rsidR="00DC42DB">
        <w:rPr>
          <w:szCs w:val="22"/>
        </w:rPr>
        <w:t xml:space="preserve"> and </w:t>
      </w:r>
      <w:r w:rsidR="00E7060B">
        <w:rPr>
          <w:szCs w:val="22"/>
        </w:rPr>
        <w:t xml:space="preserve">declared </w:t>
      </w:r>
      <w:r w:rsidR="00DC42DB">
        <w:rPr>
          <w:szCs w:val="22"/>
        </w:rPr>
        <w:t>that the IAC’s two-year term would begin with its first meeting,</w:t>
      </w:r>
      <w:r>
        <w:rPr>
          <w:rStyle w:val="FootnoteReference"/>
          <w:szCs w:val="22"/>
        </w:rPr>
        <w:footnoteReference w:id="4"/>
      </w:r>
      <w:r w:rsidR="00DC42DB">
        <w:rPr>
          <w:szCs w:val="22"/>
        </w:rPr>
        <w:t xml:space="preserve"> which </w:t>
      </w:r>
      <w:r w:rsidR="00E7060B">
        <w:rPr>
          <w:szCs w:val="22"/>
        </w:rPr>
        <w:t xml:space="preserve">occurred on </w:t>
      </w:r>
      <w:r w:rsidR="00562BFA">
        <w:rPr>
          <w:color w:val="010101"/>
        </w:rPr>
        <w:t>September 22, 2020</w:t>
      </w:r>
      <w:r w:rsidR="00DC42DB">
        <w:rPr>
          <w:color w:val="010101"/>
        </w:rPr>
        <w:t>.</w:t>
      </w:r>
      <w:r>
        <w:rPr>
          <w:rStyle w:val="FootnoteReference"/>
        </w:rPr>
        <w:footnoteReference w:id="5"/>
      </w:r>
      <w:r w:rsidR="0096398B">
        <w:rPr>
          <w:color w:val="010101"/>
        </w:rPr>
        <w:t xml:space="preserve">  </w:t>
      </w:r>
      <w:r w:rsidR="0096398B">
        <w:rPr>
          <w:szCs w:val="22"/>
        </w:rPr>
        <w:t>The new m</w:t>
      </w:r>
      <w:r w:rsidRPr="00F963B6" w:rsidR="0096398B">
        <w:rPr>
          <w:szCs w:val="22"/>
        </w:rPr>
        <w:t xml:space="preserve">embers will serve through the end of the IAC’s current term, which </w:t>
      </w:r>
      <w:r w:rsidR="0096398B">
        <w:rPr>
          <w:szCs w:val="22"/>
        </w:rPr>
        <w:t>runs</w:t>
      </w:r>
      <w:r w:rsidRPr="00F963B6" w:rsidR="0096398B">
        <w:rPr>
          <w:szCs w:val="22"/>
        </w:rPr>
        <w:t xml:space="preserve"> through </w:t>
      </w:r>
      <w:r w:rsidR="0096398B">
        <w:rPr>
          <w:szCs w:val="22"/>
        </w:rPr>
        <w:t>September 22</w:t>
      </w:r>
      <w:r w:rsidRPr="00F963B6" w:rsidR="0096398B">
        <w:rPr>
          <w:szCs w:val="22"/>
        </w:rPr>
        <w:t>, 20</w:t>
      </w:r>
      <w:r w:rsidR="0096398B">
        <w:rPr>
          <w:szCs w:val="22"/>
        </w:rPr>
        <w:t>22</w:t>
      </w:r>
      <w:r w:rsidRPr="00F963B6" w:rsidR="0096398B">
        <w:rPr>
          <w:szCs w:val="22"/>
        </w:rPr>
        <w:t>.</w:t>
      </w:r>
      <w:r w:rsidR="0096398B">
        <w:rPr>
          <w:szCs w:val="22"/>
        </w:rPr>
        <w:t xml:space="preserve">  The next meeting date for the IAC will be announced in a subsequent public notice.</w:t>
      </w:r>
    </w:p>
    <w:p w:rsidR="008E1431" w:rsidP="008E1431" w14:paraId="49CABC8E" w14:textId="77777777">
      <w:pPr>
        <w:jc w:val="center"/>
        <w:rPr>
          <w:b/>
          <w:szCs w:val="22"/>
        </w:rPr>
      </w:pPr>
    </w:p>
    <w:p w:rsidR="00563C5A" w:rsidP="008E1431" w14:paraId="28AFC886" w14:textId="77777777">
      <w:pPr>
        <w:widowControl/>
        <w:spacing w:after="120"/>
        <w:ind w:firstLine="720"/>
        <w:contextualSpacing/>
        <w:rPr>
          <w:color w:val="010101"/>
          <w:szCs w:val="22"/>
        </w:rPr>
      </w:pPr>
      <w:r>
        <w:t>Pursuant to Section 0.701(b) of the Commission’s rules, the IAC consists of thirty members (or their designated employees)</w:t>
      </w:r>
      <w:r w:rsidR="000856CC">
        <w:t>,</w:t>
      </w:r>
      <w:r w:rsidRPr="000856CC" w:rsidR="000856CC">
        <w:t xml:space="preserve"> with a minimum </w:t>
      </w:r>
      <w:r>
        <w:t xml:space="preserve">of </w:t>
      </w:r>
      <w:r>
        <w:rPr>
          <w:color w:val="010101"/>
          <w:szCs w:val="22"/>
        </w:rPr>
        <w:t>four elected municipal officials (city mayors and city council members); two elected county officials (county commissioners or council members); one elected or appointed local government attorney; one elected state executive (governor or lieutenant governor); three elected state legislators; one elected or appointed public utilities or public service commissioner; and three elected or appointed Tribal representatives.</w:t>
      </w:r>
      <w:r>
        <w:rPr>
          <w:rStyle w:val="FootnoteReference"/>
          <w:color w:val="010101"/>
          <w:szCs w:val="22"/>
        </w:rPr>
        <w:footnoteReference w:id="6"/>
      </w:r>
      <w:r w:rsidR="00E17CE9">
        <w:rPr>
          <w:color w:val="010101"/>
          <w:szCs w:val="22"/>
        </w:rPr>
        <w:t xml:space="preserve">  </w:t>
      </w:r>
    </w:p>
    <w:p w:rsidR="00563C5A" w:rsidP="008E1431" w14:paraId="4A0BBE81" w14:textId="77777777">
      <w:pPr>
        <w:widowControl/>
        <w:spacing w:after="120"/>
        <w:ind w:firstLine="720"/>
        <w:contextualSpacing/>
        <w:rPr>
          <w:color w:val="010101"/>
          <w:szCs w:val="22"/>
        </w:rPr>
      </w:pPr>
    </w:p>
    <w:p w:rsidR="008E1431" w:rsidP="008E1431" w14:paraId="01B06D6E" w14:textId="588D6398">
      <w:pPr>
        <w:widowControl/>
        <w:spacing w:after="120"/>
        <w:ind w:firstLine="720"/>
        <w:contextualSpacing/>
        <w:rPr>
          <w:color w:val="010101"/>
          <w:szCs w:val="22"/>
        </w:rPr>
      </w:pPr>
      <w:r>
        <w:rPr>
          <w:szCs w:val="22"/>
        </w:rPr>
        <w:t>T</w:t>
      </w:r>
      <w:r w:rsidR="00727EA2">
        <w:rPr>
          <w:szCs w:val="22"/>
        </w:rPr>
        <w:t xml:space="preserve">wo </w:t>
      </w:r>
      <w:r w:rsidR="00A14E24">
        <w:rPr>
          <w:szCs w:val="22"/>
        </w:rPr>
        <w:t xml:space="preserve">of the </w:t>
      </w:r>
      <w:r w:rsidR="00727EA2">
        <w:rPr>
          <w:szCs w:val="22"/>
        </w:rPr>
        <w:t xml:space="preserve">new appointments </w:t>
      </w:r>
      <w:r>
        <w:rPr>
          <w:szCs w:val="22"/>
        </w:rPr>
        <w:t xml:space="preserve">will fill vacancies created by </w:t>
      </w:r>
      <w:r w:rsidR="0066029B">
        <w:rPr>
          <w:szCs w:val="22"/>
        </w:rPr>
        <w:t xml:space="preserve">the departure of </w:t>
      </w:r>
      <w:r w:rsidR="00916DB6">
        <w:rPr>
          <w:color w:val="010101"/>
          <w:szCs w:val="22"/>
        </w:rPr>
        <w:t xml:space="preserve">former </w:t>
      </w:r>
      <w:r w:rsidR="00F65A01">
        <w:rPr>
          <w:color w:val="010101"/>
          <w:szCs w:val="22"/>
        </w:rPr>
        <w:t>Gilbert, Arizona</w:t>
      </w:r>
      <w:r w:rsidR="00231AFF">
        <w:rPr>
          <w:color w:val="010101"/>
          <w:szCs w:val="22"/>
        </w:rPr>
        <w:t xml:space="preserve"> Mayor Jenn Daniels</w:t>
      </w:r>
      <w:r>
        <w:rPr>
          <w:color w:val="010101"/>
          <w:szCs w:val="22"/>
        </w:rPr>
        <w:t>, who left office</w:t>
      </w:r>
      <w:r w:rsidR="00AE500A">
        <w:rPr>
          <w:color w:val="010101"/>
          <w:szCs w:val="22"/>
        </w:rPr>
        <w:t xml:space="preserve">, </w:t>
      </w:r>
      <w:r w:rsidR="00231AFF">
        <w:rPr>
          <w:color w:val="010101"/>
          <w:szCs w:val="22"/>
        </w:rPr>
        <w:t xml:space="preserve">and </w:t>
      </w:r>
      <w:r w:rsidR="00916DB6">
        <w:rPr>
          <w:color w:val="010101"/>
          <w:szCs w:val="22"/>
        </w:rPr>
        <w:t xml:space="preserve">former </w:t>
      </w:r>
      <w:r w:rsidR="00231AFF">
        <w:rPr>
          <w:color w:val="010101"/>
          <w:szCs w:val="22"/>
        </w:rPr>
        <w:t xml:space="preserve">Virginia Beach, Virginia </w:t>
      </w:r>
      <w:r w:rsidR="00916DB6">
        <w:rPr>
          <w:color w:val="010101"/>
          <w:szCs w:val="22"/>
        </w:rPr>
        <w:t xml:space="preserve">Associate </w:t>
      </w:r>
      <w:r w:rsidR="00F65A01">
        <w:rPr>
          <w:color w:val="010101"/>
          <w:szCs w:val="22"/>
        </w:rPr>
        <w:t xml:space="preserve">City </w:t>
      </w:r>
      <w:r w:rsidR="00231AFF">
        <w:rPr>
          <w:color w:val="010101"/>
          <w:szCs w:val="22"/>
        </w:rPr>
        <w:t>Attorney Debra Bryan</w:t>
      </w:r>
      <w:r>
        <w:rPr>
          <w:color w:val="010101"/>
          <w:szCs w:val="22"/>
        </w:rPr>
        <w:t>, who took another position with the City of Virginia Beach</w:t>
      </w:r>
      <w:r w:rsidR="00AE500A">
        <w:rPr>
          <w:color w:val="010101"/>
          <w:szCs w:val="22"/>
        </w:rPr>
        <w:t xml:space="preserve">.  East Lansing Michigan City Councilwoman </w:t>
      </w:r>
      <w:r w:rsidR="00563C5A">
        <w:rPr>
          <w:color w:val="010101"/>
          <w:szCs w:val="22"/>
        </w:rPr>
        <w:t>Lisa Babcock</w:t>
      </w:r>
      <w:r w:rsidR="00AE500A">
        <w:rPr>
          <w:color w:val="010101"/>
          <w:szCs w:val="22"/>
        </w:rPr>
        <w:t xml:space="preserve"> will </w:t>
      </w:r>
      <w:r w:rsidR="00727EA2">
        <w:rPr>
          <w:color w:val="010101"/>
          <w:szCs w:val="22"/>
        </w:rPr>
        <w:t>fill the vacancy of an elected municipal official and</w:t>
      </w:r>
      <w:r w:rsidR="00563C5A">
        <w:rPr>
          <w:color w:val="010101"/>
          <w:szCs w:val="22"/>
        </w:rPr>
        <w:t xml:space="preserve"> </w:t>
      </w:r>
      <w:r w:rsidR="00AE500A">
        <w:rPr>
          <w:color w:val="010101"/>
          <w:szCs w:val="22"/>
        </w:rPr>
        <w:t xml:space="preserve">Gaithersburg Maryland City Attorney </w:t>
      </w:r>
      <w:r w:rsidR="00563C5A">
        <w:rPr>
          <w:color w:val="010101"/>
          <w:szCs w:val="22"/>
        </w:rPr>
        <w:t>Lynn Board</w:t>
      </w:r>
      <w:r w:rsidR="00AE500A">
        <w:rPr>
          <w:color w:val="010101"/>
          <w:szCs w:val="22"/>
        </w:rPr>
        <w:t xml:space="preserve"> will </w:t>
      </w:r>
      <w:r w:rsidR="00727EA2">
        <w:rPr>
          <w:color w:val="010101"/>
          <w:szCs w:val="22"/>
        </w:rPr>
        <w:t>fill the vacancy of an elected or appointed local government attorney</w:t>
      </w:r>
      <w:r w:rsidR="00563C5A">
        <w:rPr>
          <w:color w:val="010101"/>
          <w:szCs w:val="22"/>
        </w:rPr>
        <w:t>.</w:t>
      </w:r>
    </w:p>
    <w:p w:rsidR="00A14E24" w:rsidP="008E1431" w14:paraId="0B675711" w14:textId="1683CEBE">
      <w:pPr>
        <w:widowControl/>
        <w:spacing w:after="120"/>
        <w:ind w:firstLine="720"/>
        <w:contextualSpacing/>
        <w:rPr>
          <w:color w:val="010101"/>
          <w:szCs w:val="22"/>
        </w:rPr>
      </w:pPr>
    </w:p>
    <w:p w:rsidR="00A14E24" w:rsidP="00A14E24" w14:paraId="16FE777D" w14:textId="26864B6F">
      <w:pPr>
        <w:widowControl/>
        <w:ind w:firstLine="720"/>
        <w:contextualSpacing/>
        <w:rPr>
          <w:color w:val="010101"/>
          <w:szCs w:val="22"/>
        </w:rPr>
      </w:pPr>
      <w:r>
        <w:rPr>
          <w:color w:val="010101"/>
          <w:szCs w:val="22"/>
        </w:rPr>
        <w:t xml:space="preserve">The third appointment results from the expansion of the IAC from thirty to thirty-one members by temporary waiver of </w:t>
      </w:r>
      <w:r>
        <w:t>Section 0.701(b) of the Commission’s rules</w:t>
      </w:r>
      <w:r w:rsidRPr="00FF3A80" w:rsidR="00FF3A80">
        <w:rPr>
          <w:color w:val="010101"/>
          <w:szCs w:val="22"/>
        </w:rPr>
        <w:t xml:space="preserve"> </w:t>
      </w:r>
      <w:r w:rsidR="00FF3A80">
        <w:rPr>
          <w:color w:val="010101"/>
          <w:szCs w:val="22"/>
        </w:rPr>
        <w:t>to increase the geographic diversity of voices on the IAC</w:t>
      </w:r>
      <w:r>
        <w:t>.</w:t>
      </w:r>
      <w:r>
        <w:rPr>
          <w:rStyle w:val="FootnoteReference"/>
        </w:rPr>
        <w:footnoteReference w:id="7"/>
      </w:r>
      <w:r>
        <w:rPr>
          <w:color w:val="010101"/>
          <w:szCs w:val="22"/>
        </w:rPr>
        <w:t xml:space="preserve">  By this temporary waiver, the Acting Chairwoman has appointed Portland, Oregon Mayor Ted Wheeler to fill the role of an elected municipal official</w:t>
      </w:r>
      <w:r w:rsidR="00F950B2">
        <w:rPr>
          <w:color w:val="010101"/>
          <w:szCs w:val="22"/>
        </w:rPr>
        <w:t xml:space="preserve"> through the end of </w:t>
      </w:r>
      <w:r w:rsidRPr="00DF3F00" w:rsidR="00F950B2">
        <w:rPr>
          <w:color w:val="000000" w:themeColor="text1"/>
          <w:bdr w:val="none" w:sz="0" w:space="0" w:color="auto" w:frame="1"/>
          <w:shd w:val="clear" w:color="auto" w:fill="FFFFFF"/>
        </w:rPr>
        <w:t>the IAC’s present</w:t>
      </w:r>
      <w:r w:rsidR="00F950B2">
        <w:rPr>
          <w:color w:val="000000" w:themeColor="text1"/>
          <w:bdr w:val="none" w:sz="0" w:space="0" w:color="auto" w:frame="1"/>
          <w:shd w:val="clear" w:color="auto" w:fill="FFFFFF"/>
        </w:rPr>
        <w:t xml:space="preserve"> term</w:t>
      </w:r>
      <w:r w:rsidRPr="00DF3F00" w:rsidR="00F950B2">
        <w:rPr>
          <w:color w:val="000000" w:themeColor="text1"/>
          <w:shd w:val="clear" w:color="auto" w:fill="FFFFFF"/>
        </w:rPr>
        <w:t>.  </w:t>
      </w:r>
      <w:r w:rsidRPr="00DF3F00" w:rsidR="00F950B2">
        <w:rPr>
          <w:color w:val="000000" w:themeColor="text1"/>
          <w:bdr w:val="none" w:sz="0" w:space="0" w:color="auto" w:frame="1"/>
          <w:shd w:val="clear" w:color="auto" w:fill="FFFFFF"/>
        </w:rPr>
        <w:t>Mayor Wheeler will serve under this temporary waiver as the thirty-first member of the IAC</w:t>
      </w:r>
      <w:r w:rsidR="00F950B2">
        <w:rPr>
          <w:color w:val="000000" w:themeColor="text1"/>
          <w:bdr w:val="none" w:sz="0" w:space="0" w:color="auto" w:frame="1"/>
          <w:shd w:val="clear" w:color="auto" w:fill="FFFFFF"/>
        </w:rPr>
        <w:t xml:space="preserve"> t</w:t>
      </w:r>
      <w:r w:rsidRPr="00DF3F00" w:rsidR="00F950B2">
        <w:rPr>
          <w:color w:val="000000" w:themeColor="text1"/>
          <w:bdr w:val="none" w:sz="0" w:space="0" w:color="auto" w:frame="1"/>
          <w:shd w:val="clear" w:color="auto" w:fill="FFFFFF"/>
        </w:rPr>
        <w:t>hrough December 31, 2021</w:t>
      </w:r>
      <w:r w:rsidRPr="00DF3F00" w:rsidR="00F950B2">
        <w:rPr>
          <w:color w:val="000000" w:themeColor="text1"/>
          <w:shd w:val="clear" w:color="auto" w:fill="FFFFFF"/>
        </w:rPr>
        <w:t xml:space="preserve">.  </w:t>
      </w:r>
      <w:r w:rsidR="00F950B2">
        <w:rPr>
          <w:color w:val="000000" w:themeColor="text1"/>
          <w:shd w:val="clear" w:color="auto" w:fill="FFFFFF"/>
        </w:rPr>
        <w:t>Thereafter, Mayor Wheeler’s appointment will convert to a regular appointment to fill an upcoming vacancy and will run through the end of the IAC’s present term, September 22, 2022</w:t>
      </w:r>
      <w:r>
        <w:rPr>
          <w:color w:val="010101"/>
          <w:szCs w:val="22"/>
        </w:rPr>
        <w:t>.</w:t>
      </w:r>
      <w:r w:rsidR="000A144C">
        <w:rPr>
          <w:color w:val="010101"/>
          <w:szCs w:val="22"/>
        </w:rPr>
        <w:t xml:space="preserve">  Mayor Wheeler has appointed </w:t>
      </w:r>
      <w:r w:rsidR="00EB68C5">
        <w:rPr>
          <w:color w:val="010101"/>
          <w:szCs w:val="22"/>
        </w:rPr>
        <w:t>Elisabeth Perez</w:t>
      </w:r>
      <w:r w:rsidR="000A144C">
        <w:rPr>
          <w:color w:val="010101"/>
          <w:szCs w:val="22"/>
        </w:rPr>
        <w:t xml:space="preserve"> as his designee.  </w:t>
      </w:r>
    </w:p>
    <w:p w:rsidR="008E1431" w:rsidP="008E1431" w14:paraId="09D26923" w14:textId="77777777">
      <w:pPr>
        <w:contextualSpacing/>
        <w:rPr>
          <w:szCs w:val="22"/>
        </w:rPr>
      </w:pPr>
    </w:p>
    <w:p w:rsidR="004A6529" w:rsidP="004A6529" w14:paraId="0FAE4341" w14:textId="77777777">
      <w:pPr>
        <w:pStyle w:val="ListParagraph"/>
        <w:ind w:left="0"/>
        <w:contextualSpacing/>
        <w:jc w:val="center"/>
        <w:rPr>
          <w:b/>
          <w:szCs w:val="22"/>
        </w:rPr>
      </w:pPr>
      <w:r>
        <w:rPr>
          <w:b/>
          <w:szCs w:val="22"/>
        </w:rPr>
        <w:t>EXEMPTION FROM THE FEDERAL ADVISORY COMMITTEE ACT</w:t>
      </w:r>
    </w:p>
    <w:p w:rsidR="004A6529" w:rsidP="004A6529" w14:paraId="2B56BB5A" w14:textId="77777777">
      <w:pPr>
        <w:pStyle w:val="ListParagraph"/>
        <w:ind w:left="0"/>
        <w:contextualSpacing/>
        <w:rPr>
          <w:b/>
          <w:szCs w:val="22"/>
        </w:rPr>
      </w:pPr>
    </w:p>
    <w:p w:rsidR="004A6529" w:rsidP="004A6529" w14:paraId="395E4203" w14:textId="77777777">
      <w:pPr>
        <w:autoSpaceDE w:val="0"/>
        <w:autoSpaceDN w:val="0"/>
        <w:adjustRightInd w:val="0"/>
        <w:rPr>
          <w:szCs w:val="22"/>
        </w:rPr>
      </w:pPr>
      <w:r>
        <w:rPr>
          <w:b/>
          <w:szCs w:val="22"/>
        </w:rPr>
        <w:tab/>
      </w:r>
      <w:r>
        <w:rPr>
          <w:szCs w:val="22"/>
        </w:rPr>
        <w:t>Pursuant to the “intergovernmental communication” exemption of UMRA,</w:t>
      </w:r>
      <w:r>
        <w:rPr>
          <w:rStyle w:val="FootnoteReference"/>
          <w:szCs w:val="22"/>
        </w:rPr>
        <w:footnoteReference w:id="8"/>
      </w:r>
      <w:r>
        <w:rPr>
          <w:szCs w:val="22"/>
        </w:rPr>
        <w:t xml:space="preserve"> the IAC is not subject to, and is not required to follow, the procedures set forth in the Federal Advisory Committee Act (FACA), 5 U.S.C. App 2 (1988).</w:t>
      </w:r>
      <w:r>
        <w:rPr>
          <w:rStyle w:val="FootnoteReference"/>
          <w:szCs w:val="22"/>
        </w:rPr>
        <w:footnoteReference w:id="9"/>
      </w:r>
    </w:p>
    <w:p w:rsidR="004A6529" w:rsidP="004A6529" w14:paraId="70175084" w14:textId="77777777">
      <w:pPr>
        <w:autoSpaceDE w:val="0"/>
        <w:autoSpaceDN w:val="0"/>
        <w:adjustRightInd w:val="0"/>
        <w:rPr>
          <w:szCs w:val="22"/>
        </w:rPr>
      </w:pPr>
    </w:p>
    <w:p w:rsidR="004A6529" w:rsidP="004A6529" w14:paraId="4978D994" w14:textId="77777777">
      <w:pPr>
        <w:autoSpaceDE w:val="0"/>
        <w:autoSpaceDN w:val="0"/>
        <w:adjustRightInd w:val="0"/>
        <w:jc w:val="center"/>
        <w:rPr>
          <w:b/>
          <w:szCs w:val="22"/>
        </w:rPr>
      </w:pPr>
      <w:r>
        <w:rPr>
          <w:b/>
          <w:szCs w:val="22"/>
        </w:rPr>
        <w:t>ACCESSIBLE FORMATS</w:t>
      </w:r>
    </w:p>
    <w:p w:rsidR="004A6529" w:rsidP="004A6529" w14:paraId="3C3FE5E5" w14:textId="77777777">
      <w:pPr>
        <w:autoSpaceDE w:val="0"/>
        <w:autoSpaceDN w:val="0"/>
        <w:adjustRightInd w:val="0"/>
        <w:rPr>
          <w:szCs w:val="22"/>
        </w:rPr>
      </w:pPr>
    </w:p>
    <w:p w:rsidR="004A6529" w:rsidP="004A6529" w14:paraId="7A6367F1" w14:textId="77777777">
      <w:pPr>
        <w:autoSpaceDE w:val="0"/>
        <w:autoSpaceDN w:val="0"/>
        <w:adjustRightInd w:val="0"/>
        <w:ind w:firstLine="720"/>
        <w:rPr>
          <w:szCs w:val="22"/>
        </w:rPr>
      </w:pPr>
      <w:r>
        <w:rPr>
          <w:szCs w:val="22"/>
        </w:rPr>
        <w:t xml:space="preserve">To request materials in accessible formats for people with disabilities (Braille, large print, electronic files, audio format), send an e-mail to </w:t>
      </w:r>
      <w:hyperlink r:id="rId5" w:history="1">
        <w:r>
          <w:rPr>
            <w:rStyle w:val="Hyperlink"/>
            <w:szCs w:val="22"/>
          </w:rPr>
          <w:t>fcc504@fcc.gov</w:t>
        </w:r>
      </w:hyperlink>
      <w:r>
        <w:rPr>
          <w:szCs w:val="22"/>
        </w:rPr>
        <w:t xml:space="preserve"> or call the Consumer and Governmental Affairs Bureau at (202) 418-0530 (voice) or (202) 418-0432 (TTY).</w:t>
      </w:r>
    </w:p>
    <w:p w:rsidR="004A6529" w:rsidP="004A6529" w14:paraId="52977C04" w14:textId="77777777">
      <w:pPr>
        <w:autoSpaceDE w:val="0"/>
        <w:autoSpaceDN w:val="0"/>
        <w:adjustRightInd w:val="0"/>
        <w:ind w:firstLine="720"/>
        <w:rPr>
          <w:szCs w:val="22"/>
        </w:rPr>
      </w:pPr>
    </w:p>
    <w:p w:rsidR="004A6529" w:rsidP="004A6529" w14:paraId="187D7BD9" w14:textId="77777777">
      <w:pPr>
        <w:autoSpaceDE w:val="0"/>
        <w:autoSpaceDN w:val="0"/>
        <w:adjustRightInd w:val="0"/>
        <w:jc w:val="center"/>
        <w:rPr>
          <w:b/>
          <w:szCs w:val="22"/>
        </w:rPr>
      </w:pPr>
      <w:r>
        <w:rPr>
          <w:b/>
          <w:szCs w:val="22"/>
        </w:rPr>
        <w:t>FURTHER INFORMATION</w:t>
      </w:r>
    </w:p>
    <w:p w:rsidR="004A6529" w:rsidP="004A6529" w14:paraId="2104F7DE" w14:textId="77777777">
      <w:pPr>
        <w:autoSpaceDE w:val="0"/>
        <w:autoSpaceDN w:val="0"/>
        <w:adjustRightInd w:val="0"/>
        <w:jc w:val="center"/>
        <w:rPr>
          <w:b/>
          <w:color w:val="010101"/>
          <w:szCs w:val="22"/>
        </w:rPr>
      </w:pPr>
    </w:p>
    <w:p w:rsidR="00930ECF" w:rsidRPr="008E1431" w:rsidP="00DD4D01" w14:paraId="270B1D32" w14:textId="6E6C7686">
      <w:pPr>
        <w:spacing w:after="120"/>
        <w:ind w:firstLine="720"/>
        <w:contextualSpacing/>
      </w:pPr>
      <w:r>
        <w:rPr>
          <w:szCs w:val="22"/>
        </w:rPr>
        <w:t xml:space="preserve">For further information, please contact:  Donna Cyrus, Senior Attorney Advisor, Office of Intergovernmental Affairs, Consumer and Governmental Affairs Bureau, Federal Communications Commission, (202) 418-7325, </w:t>
      </w:r>
      <w:hyperlink r:id="rId6" w:history="1">
        <w:r w:rsidRPr="004A6529">
          <w:rPr>
            <w:rStyle w:val="Hyperlink"/>
            <w:szCs w:val="22"/>
          </w:rPr>
          <w:t>donna.cyrus@fcc.gov</w:t>
        </w:r>
      </w:hyperlink>
      <w:r>
        <w:rPr>
          <w:szCs w:val="22"/>
        </w:rPr>
        <w:t xml:space="preserve">. </w:t>
      </w:r>
      <w:bookmarkEnd w:id="0"/>
    </w:p>
    <w:sectPr w:rsidSect="000E588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D70A5F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59BFA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78CE" w:rsidP="009351CF" w14:paraId="759B291B" w14:textId="548423E8">
    <w:pPr>
      <w:pStyle w:val="Footer"/>
      <w:jc w:val="center"/>
      <w:rPr>
        <w:noProof/>
      </w:rPr>
    </w:pPr>
    <w:r>
      <w:fldChar w:fldCharType="begin"/>
    </w:r>
    <w:r>
      <w:instrText xml:space="preserve"> PAGE   \* MERGEFORMAT </w:instrText>
    </w:r>
    <w:r>
      <w:fldChar w:fldCharType="separate"/>
    </w:r>
    <w:r w:rsidR="007A011D">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3627" w14:paraId="2081CD3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1215" w14:paraId="55795A35" w14:textId="77777777">
      <w:r>
        <w:separator/>
      </w:r>
    </w:p>
  </w:footnote>
  <w:footnote w:type="continuationSeparator" w:id="1">
    <w:p w:rsidR="00081215" w14:paraId="64F7CB2B" w14:textId="77777777">
      <w:pPr>
        <w:rPr>
          <w:sz w:val="20"/>
        </w:rPr>
      </w:pPr>
      <w:r>
        <w:rPr>
          <w:sz w:val="20"/>
        </w:rPr>
        <w:t xml:space="preserve">(Continued from previous page)  </w:t>
      </w:r>
      <w:r>
        <w:rPr>
          <w:sz w:val="20"/>
        </w:rPr>
        <w:separator/>
      </w:r>
    </w:p>
  </w:footnote>
  <w:footnote w:type="continuationNotice" w:id="2">
    <w:p w:rsidR="00081215" w:rsidP="00910F12" w14:paraId="7E05DC20" w14:textId="77777777">
      <w:pPr>
        <w:jc w:val="right"/>
        <w:rPr>
          <w:sz w:val="20"/>
        </w:rPr>
      </w:pPr>
      <w:r>
        <w:rPr>
          <w:sz w:val="20"/>
        </w:rPr>
        <w:t>(continued….)</w:t>
      </w:r>
    </w:p>
  </w:footnote>
  <w:footnote w:id="3">
    <w:p w:rsidR="008E1431" w:rsidP="008E1431" w14:paraId="35C61C6F" w14:textId="5A1B87D8">
      <w:pPr>
        <w:pStyle w:val="FootnoteText"/>
      </w:pPr>
      <w:r>
        <w:rPr>
          <w:rStyle w:val="FootnoteReference"/>
        </w:rPr>
        <w:footnoteRef/>
      </w:r>
      <w:r>
        <w:t xml:space="preserve"> </w:t>
      </w:r>
      <w:bookmarkStart w:id="3" w:name="_Hlk34846722"/>
      <w:r>
        <w:rPr>
          <w:i/>
          <w:iCs/>
        </w:rPr>
        <w:t>FCC Announces Reauthorization of Its Intergovernmental Advisory Committee and Solicits Nominations for Membership on the Committee</w:t>
      </w:r>
      <w:r>
        <w:t>, Public Notice, 34 FCC Rcd 10332 (2019)</w:t>
      </w:r>
      <w:r w:rsidR="001C08C9">
        <w:t xml:space="preserve">; </w:t>
      </w:r>
      <w:bookmarkEnd w:id="3"/>
      <w:r>
        <w:rPr>
          <w:i/>
          <w:iCs/>
        </w:rPr>
        <w:t>FCC Announces Extension of Deadline to Submit Nominations for Membership on the Intergovernmental Advisory Committee</w:t>
      </w:r>
      <w:r>
        <w:t xml:space="preserve">, 34 FCC Rcd 11208 (2019); </w:t>
      </w:r>
      <w:r>
        <w:rPr>
          <w:i/>
          <w:iCs/>
        </w:rPr>
        <w:t>FCC Further Extends Deadline to Submit Nominations for Membership on the Intergovernmental Advisory Committee</w:t>
      </w:r>
      <w:r>
        <w:t>, Public Notice, DA 20-37 2020, WL 133096 (CGB Jan. 10, 2020).</w:t>
      </w:r>
    </w:p>
  </w:footnote>
  <w:footnote w:id="4">
    <w:p w:rsidR="00570401" w14:paraId="66AA09FA" w14:textId="15C8BEDE">
      <w:pPr>
        <w:pStyle w:val="FootnoteText"/>
      </w:pPr>
      <w:r>
        <w:rPr>
          <w:rStyle w:val="FootnoteReference"/>
        </w:rPr>
        <w:footnoteRef/>
      </w:r>
      <w:r>
        <w:t xml:space="preserve"> </w:t>
      </w:r>
      <w:r w:rsidRPr="006C5C27" w:rsidR="00DC42DB">
        <w:rPr>
          <w:i/>
          <w:iCs/>
        </w:rPr>
        <w:t xml:space="preserve">Chairman Pai Announces </w:t>
      </w:r>
      <w:r w:rsidRPr="006C5C27" w:rsidR="006C5C27">
        <w:rPr>
          <w:i/>
          <w:iCs/>
        </w:rPr>
        <w:t>t</w:t>
      </w:r>
      <w:r w:rsidRPr="006C5C27" w:rsidR="00DC42DB">
        <w:rPr>
          <w:i/>
          <w:iCs/>
        </w:rPr>
        <w:t xml:space="preserve">he New Members </w:t>
      </w:r>
      <w:r w:rsidRPr="006C5C27" w:rsidR="006C5C27">
        <w:rPr>
          <w:i/>
          <w:iCs/>
        </w:rPr>
        <w:t>of</w:t>
      </w:r>
      <w:r w:rsidRPr="006C5C27" w:rsidR="00DC42DB">
        <w:rPr>
          <w:i/>
          <w:iCs/>
        </w:rPr>
        <w:t xml:space="preserve"> The Intergovernmental Advisory Committee</w:t>
      </w:r>
      <w:r w:rsidR="00DC42DB">
        <w:t>, Public Notice</w:t>
      </w:r>
      <w:r w:rsidR="007A011D">
        <w:t>,</w:t>
      </w:r>
      <w:r w:rsidRPr="007A011D" w:rsidR="007A011D">
        <w:t xml:space="preserve"> </w:t>
      </w:r>
      <w:r w:rsidR="007A011D">
        <w:t>DA 20-878 2020, WL 4744729 (CGB Aug. 13, 2020)</w:t>
      </w:r>
      <w:r w:rsidR="00DC42DB">
        <w:t>.</w:t>
      </w:r>
    </w:p>
  </w:footnote>
  <w:footnote w:id="5">
    <w:p w:rsidR="00DC42DB" w14:paraId="676CC2A2" w14:textId="755E40CB">
      <w:pPr>
        <w:pStyle w:val="FootnoteText"/>
      </w:pPr>
      <w:r>
        <w:rPr>
          <w:rStyle w:val="FootnoteReference"/>
        </w:rPr>
        <w:footnoteRef/>
      </w:r>
      <w:r>
        <w:t xml:space="preserve"> </w:t>
      </w:r>
      <w:r w:rsidRPr="006C5C27" w:rsidR="006C5C27">
        <w:rPr>
          <w:i/>
          <w:iCs/>
        </w:rPr>
        <w:t>FCC Announces the First Meeting of the 2020 Intergovernmental Advisory Committee</w:t>
      </w:r>
      <w:r w:rsidR="006C5C27">
        <w:t>,</w:t>
      </w:r>
      <w:r w:rsidRPr="006C5C27" w:rsidR="006C5C27">
        <w:t xml:space="preserve"> Public Notice, </w:t>
      </w:r>
      <w:r w:rsidR="007A011D">
        <w:t>DA 20-979 2020, WL 5104453 (CGB Aug. 28, 2020)</w:t>
      </w:r>
      <w:r w:rsidRPr="006C5C27" w:rsidR="006C5C27">
        <w:t>.</w:t>
      </w:r>
    </w:p>
  </w:footnote>
  <w:footnote w:id="6">
    <w:p w:rsidR="008E1431" w:rsidP="008E1431" w14:paraId="34F8DE77" w14:textId="77777777">
      <w:pPr>
        <w:pStyle w:val="FootnoteText"/>
      </w:pPr>
      <w:r>
        <w:rPr>
          <w:rStyle w:val="FootnoteReference"/>
        </w:rPr>
        <w:footnoteRef/>
      </w:r>
      <w:r>
        <w:t xml:space="preserve"> </w:t>
      </w:r>
      <w:r>
        <w:rPr>
          <w:i/>
        </w:rPr>
        <w:t>See</w:t>
      </w:r>
      <w:r>
        <w:t xml:space="preserve"> 47 CFR § 0.701 (b).</w:t>
      </w:r>
    </w:p>
  </w:footnote>
  <w:footnote w:id="7">
    <w:p w:rsidR="00A14E24" w:rsidRPr="00040D6E" w:rsidP="00A14E24" w14:paraId="3B3AB9FF" w14:textId="364A1AC0">
      <w:pPr>
        <w:pStyle w:val="FootnoteText"/>
      </w:pPr>
      <w:r>
        <w:rPr>
          <w:rStyle w:val="FootnoteReference"/>
        </w:rPr>
        <w:footnoteRef/>
      </w:r>
      <w:r>
        <w:t xml:space="preserve"> </w:t>
      </w:r>
      <w:r w:rsidRPr="0096398B">
        <w:rPr>
          <w:i/>
          <w:iCs/>
        </w:rPr>
        <w:t>Id.</w:t>
      </w:r>
      <w:r w:rsidRPr="00A26BB2" w:rsidR="00512460">
        <w:t xml:space="preserve">  </w:t>
      </w:r>
      <w:r w:rsidR="00512460">
        <w:t xml:space="preserve">The </w:t>
      </w:r>
      <w:r w:rsidRPr="00272071" w:rsidR="00272071">
        <w:t>Commission</w:t>
      </w:r>
      <w:r w:rsidR="00272071">
        <w:t xml:space="preserve"> </w:t>
      </w:r>
      <w:r w:rsidRPr="00272071" w:rsidR="00272071">
        <w:t>may waive any provision of its rules if good cause is shown</w:t>
      </w:r>
      <w:r w:rsidR="00272071">
        <w:t>.  47 CFR § 1.3</w:t>
      </w:r>
      <w:r w:rsidR="00214F15">
        <w:t>;</w:t>
      </w:r>
      <w:r w:rsidR="00272071">
        <w:t xml:space="preserve"> </w:t>
      </w:r>
      <w:r w:rsidRPr="00E90A96" w:rsidR="00214F15">
        <w:rPr>
          <w:i/>
          <w:iCs/>
        </w:rPr>
        <w:t>Northeast Cellular Telephone Co. v. FCC</w:t>
      </w:r>
      <w:r w:rsidRPr="00E90A96" w:rsidR="00214F15">
        <w:t>, 897 F.2d 1164, 1166 (D.C. Cir. 1990)</w:t>
      </w:r>
      <w:r w:rsidR="00214F15">
        <w:t xml:space="preserve">; </w:t>
      </w:r>
      <w:r w:rsidRPr="00E90A96" w:rsidR="00214F15">
        <w:rPr>
          <w:i/>
          <w:iCs/>
        </w:rPr>
        <w:t>WAIT Radio v. FCC</w:t>
      </w:r>
      <w:r w:rsidRPr="00E90A96" w:rsidR="00214F15">
        <w:t>, 418 F.2d 1153, 1159 (D.C. Cir. 1969).</w:t>
      </w:r>
      <w:r w:rsidR="00FF3A80">
        <w:t xml:space="preserve">  </w:t>
      </w:r>
      <w:r w:rsidR="002B7570">
        <w:t>The Consumer and Governmental Affairs Bureau, under delegated authority</w:t>
      </w:r>
      <w:r w:rsidR="00356EAB">
        <w:t>,</w:t>
      </w:r>
      <w:r w:rsidR="002B7570">
        <w:t xml:space="preserve"> may grant such w</w:t>
      </w:r>
      <w:r w:rsidR="00FF3A80">
        <w:t>aivers</w:t>
      </w:r>
      <w:r w:rsidR="002B7570">
        <w:t xml:space="preserve">.  </w:t>
      </w:r>
      <w:r w:rsidRPr="00FF3A80" w:rsidR="00FF3A80">
        <w:t>47 CFR § 0.</w:t>
      </w:r>
      <w:r w:rsidR="00FF3A80">
        <w:t>363</w:t>
      </w:r>
      <w:r w:rsidRPr="00FF3A80" w:rsidR="00FF3A80">
        <w:t>.</w:t>
      </w:r>
      <w:r w:rsidR="00214F15">
        <w:t xml:space="preserve">  </w:t>
      </w:r>
      <w:r w:rsidRPr="00A26BB2" w:rsidR="00272071">
        <w:rPr>
          <w:i/>
          <w:iCs/>
        </w:rPr>
        <w:t>See also</w:t>
      </w:r>
      <w:r w:rsidR="00272071">
        <w:t xml:space="preserve"> </w:t>
      </w:r>
      <w:r w:rsidRPr="00A26BB2" w:rsidR="00A26BB2">
        <w:rPr>
          <w:i/>
          <w:iCs/>
        </w:rPr>
        <w:t>Chairman Wheeler Announces Intergovernmental Advisory Committee Members</w:t>
      </w:r>
      <w:r w:rsidRPr="00A26BB2" w:rsidR="00A26BB2">
        <w:t>, Public Notice, 29 FCC Rcd 5961 (CGB 2014) (waiving FCC rules to increase the size of the IAC to allow an extra municipal official to serve).</w:t>
      </w:r>
      <w:r w:rsidR="004E407D">
        <w:rPr>
          <w:i/>
          <w:iCs/>
        </w:rPr>
        <w:t xml:space="preserve"> </w:t>
      </w:r>
    </w:p>
  </w:footnote>
  <w:footnote w:id="8">
    <w:p w:rsidR="004A6529" w:rsidP="004A6529" w14:paraId="332DE6BD" w14:textId="77777777">
      <w:pPr>
        <w:pStyle w:val="FootnoteText"/>
      </w:pPr>
      <w:r>
        <w:rPr>
          <w:rStyle w:val="FootnoteReference"/>
        </w:rPr>
        <w:footnoteRef/>
      </w:r>
      <w:r>
        <w:t xml:space="preserve"> </w:t>
      </w:r>
      <w:r>
        <w:rPr>
          <w:i/>
        </w:rPr>
        <w:t>See</w:t>
      </w:r>
      <w:r>
        <w:t xml:space="preserve"> 2 U.S.C. § 1534 (b).</w:t>
      </w:r>
    </w:p>
  </w:footnote>
  <w:footnote w:id="9">
    <w:p w:rsidR="004A6529" w:rsidP="004A6529" w14:paraId="02F9B4F5" w14:textId="77777777">
      <w:pPr>
        <w:pStyle w:val="FootnoteText"/>
      </w:pPr>
      <w:r>
        <w:rPr>
          <w:rStyle w:val="FootnoteReference"/>
        </w:rPr>
        <w:footnoteRef/>
      </w:r>
      <w:r>
        <w:t xml:space="preserve"> </w:t>
      </w:r>
      <w:r>
        <w:rPr>
          <w:i/>
        </w:rPr>
        <w:t xml:space="preserve">See </w:t>
      </w:r>
      <w:r>
        <w:t>47 CFR § 0.701(a).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3627" w14:paraId="6D664A8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05D3BC1" w14:textId="1999A131">
    <w:pPr>
      <w:tabs>
        <w:tab w:val="center" w:pos="4680"/>
        <w:tab w:val="right" w:pos="9360"/>
      </w:tabs>
    </w:pPr>
    <w:r w:rsidRPr="009838BC">
      <w:rPr>
        <w:b/>
      </w:rPr>
      <w:tab/>
      <w:t>Federal Communications Commission</w:t>
    </w:r>
    <w:r w:rsidRPr="009838BC">
      <w:rPr>
        <w:b/>
      </w:rPr>
      <w:tab/>
    </w:r>
    <w:r w:rsidR="0014734A">
      <w:rPr>
        <w:b/>
      </w:rPr>
      <w:t>DA 2</w:t>
    </w:r>
    <w:r w:rsidR="00AE500A">
      <w:rPr>
        <w:b/>
      </w:rPr>
      <w:t>1</w:t>
    </w:r>
    <w:r w:rsidR="0014734A">
      <w:rPr>
        <w:b/>
      </w:rPr>
      <w:t>-</w:t>
    </w:r>
    <w:r w:rsidR="00CC3627">
      <w:rPr>
        <w:b/>
      </w:rPr>
      <w:t>951</w:t>
    </w:r>
  </w:p>
  <w:p w:rsidR="009838BC" w:rsidRPr="009838BC" w:rsidP="009838BC" w14:paraId="53CA2FA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9838BC" w:rsidRPr="009838BC" w:rsidP="009838BC" w14:paraId="0E922F7F"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FF4364E"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0993AB7">
                          <w:pPr>
                            <w:rPr>
                              <w:rFonts w:ascii="Arial" w:hAnsi="Arial"/>
                              <w:b/>
                            </w:rPr>
                          </w:pPr>
                          <w:r>
                            <w:rPr>
                              <w:rFonts w:ascii="Arial" w:hAnsi="Arial"/>
                              <w:b/>
                            </w:rPr>
                            <w:t xml:space="preserve">45 </w:t>
                          </w:r>
                          <w:r w:rsidR="00F65A01">
                            <w:rPr>
                              <w:rFonts w:ascii="Arial" w:hAnsi="Arial"/>
                              <w:b/>
                            </w:rPr>
                            <w:t>L</w:t>
                          </w:r>
                          <w:r>
                            <w:rPr>
                              <w:rFonts w:ascii="Arial" w:hAnsi="Arial"/>
                              <w:b/>
                            </w:rPr>
                            <w:t xml:space="preserve"> St., </w:t>
                          </w:r>
                          <w:r w:rsidR="00F65A01">
                            <w:rPr>
                              <w:rFonts w:ascii="Arial" w:hAnsi="Arial"/>
                              <w:b/>
                            </w:rPr>
                            <w:t>N</w:t>
                          </w:r>
                          <w:r>
                            <w:rPr>
                              <w:rFonts w:ascii="Arial" w:hAnsi="Arial"/>
                              <w:b/>
                            </w:rPr>
                            <w:t>.</w:t>
                          </w:r>
                          <w:r w:rsidR="00F65A01">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14748D4A" w14:textId="77777777">
                    <w:pPr>
                      <w:rPr>
                        <w:rFonts w:ascii="Arial" w:hAnsi="Arial"/>
                        <w:b/>
                      </w:rPr>
                    </w:pPr>
                    <w:r>
                      <w:rPr>
                        <w:rFonts w:ascii="Arial" w:hAnsi="Arial"/>
                        <w:b/>
                      </w:rPr>
                      <w:t>Federal Communications Commission</w:t>
                    </w:r>
                  </w:p>
                  <w:p w:rsidR="009838BC" w:rsidP="009838BC" w14:paraId="565CFBF1" w14:textId="70993AB7">
                    <w:pPr>
                      <w:rPr>
                        <w:rFonts w:ascii="Arial" w:hAnsi="Arial"/>
                        <w:b/>
                      </w:rPr>
                    </w:pPr>
                    <w:r>
                      <w:rPr>
                        <w:rFonts w:ascii="Arial" w:hAnsi="Arial"/>
                        <w:b/>
                      </w:rPr>
                      <w:t xml:space="preserve">45 </w:t>
                    </w:r>
                    <w:r w:rsidR="00F65A01">
                      <w:rPr>
                        <w:rFonts w:ascii="Arial" w:hAnsi="Arial"/>
                        <w:b/>
                      </w:rPr>
                      <w:t>L</w:t>
                    </w:r>
                    <w:r>
                      <w:rPr>
                        <w:rFonts w:ascii="Arial" w:hAnsi="Arial"/>
                        <w:b/>
                      </w:rPr>
                      <w:t xml:space="preserve"> St., </w:t>
                    </w:r>
                    <w:r w:rsidR="00F65A01">
                      <w:rPr>
                        <w:rFonts w:ascii="Arial" w:hAnsi="Arial"/>
                        <w:b/>
                      </w:rPr>
                      <w:t>N</w:t>
                    </w:r>
                    <w:r>
                      <w:rPr>
                        <w:rFonts w:ascii="Arial" w:hAnsi="Arial"/>
                        <w:b/>
                      </w:rPr>
                      <w:t>.</w:t>
                    </w:r>
                    <w:r w:rsidR="00F65A01">
                      <w:rPr>
                        <w:rFonts w:ascii="Arial" w:hAnsi="Arial"/>
                        <w:b/>
                      </w:rPr>
                      <w:t>E</w:t>
                    </w:r>
                    <w:r>
                      <w:rPr>
                        <w:rFonts w:ascii="Arial" w:hAnsi="Arial"/>
                        <w:b/>
                      </w:rPr>
                      <w:t>.</w:t>
                    </w:r>
                  </w:p>
                  <w:p w:rsidR="009838BC" w:rsidP="009838BC" w14:paraId="483A1EE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6598F4DB" w:rsidR="6598F4DB">
      <w:rPr>
        <w:rFonts w:ascii="Arial" w:hAnsi="Arial" w:cs="Arial"/>
        <w:b/>
        <w:bCs/>
        <w:sz w:val="96"/>
        <w:szCs w:val="96"/>
      </w:rPr>
      <w:t>PUBLIC NOTICE</w:t>
    </w:r>
  </w:p>
  <w:p w:rsidR="009838BC" w:rsidRPr="00357D50" w:rsidP="009838BC" w14:paraId="06D439F0"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EEF2852" w14:textId="77777777">
                    <w:pPr>
                      <w:spacing w:before="40"/>
                      <w:jc w:val="right"/>
                      <w:rPr>
                        <w:rFonts w:ascii="Arial" w:hAnsi="Arial"/>
                        <w:b/>
                        <w:sz w:val="16"/>
                      </w:rPr>
                    </w:pPr>
                    <w:r>
                      <w:rPr>
                        <w:rFonts w:ascii="Arial" w:hAnsi="Arial"/>
                        <w:b/>
                        <w:sz w:val="16"/>
                      </w:rPr>
                      <w:t>News Media Information 202 / 418-0500</w:t>
                    </w:r>
                  </w:p>
                  <w:p w:rsidR="009838BC" w:rsidP="009838BC" w14:paraId="37EAC75A"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44EEA162" w14:textId="77777777">
                    <w:pPr>
                      <w:jc w:val="right"/>
                    </w:pPr>
                    <w:r>
                      <w:rPr>
                        <w:rFonts w:ascii="Arial" w:hAnsi="Arial"/>
                        <w:b/>
                        <w:sz w:val="16"/>
                      </w:rPr>
                      <w:t>TTY: 1-888-835-5322</w:t>
                    </w:r>
                  </w:p>
                </w:txbxContent>
              </v:textbox>
            </v:shape>
          </w:pict>
        </mc:Fallback>
      </mc:AlternateContent>
    </w:r>
  </w:p>
  <w:p w:rsidR="006F7393" w:rsidRPr="009838BC" w:rsidP="009838BC" w14:paraId="16BF595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431"/>
    <w:rsid w:val="000072CE"/>
    <w:rsid w:val="00013A8B"/>
    <w:rsid w:val="00020AA3"/>
    <w:rsid w:val="00021445"/>
    <w:rsid w:val="00036039"/>
    <w:rsid w:val="00037F90"/>
    <w:rsid w:val="00040D6E"/>
    <w:rsid w:val="00052350"/>
    <w:rsid w:val="000751E6"/>
    <w:rsid w:val="00081215"/>
    <w:rsid w:val="00082DD5"/>
    <w:rsid w:val="000856CC"/>
    <w:rsid w:val="000875BF"/>
    <w:rsid w:val="00096D8C"/>
    <w:rsid w:val="000A144C"/>
    <w:rsid w:val="000C0B65"/>
    <w:rsid w:val="000C5A5E"/>
    <w:rsid w:val="000E3D42"/>
    <w:rsid w:val="000E5884"/>
    <w:rsid w:val="000F3A4B"/>
    <w:rsid w:val="00122BD5"/>
    <w:rsid w:val="00134D96"/>
    <w:rsid w:val="00140A49"/>
    <w:rsid w:val="0014734A"/>
    <w:rsid w:val="001979D9"/>
    <w:rsid w:val="001A0B98"/>
    <w:rsid w:val="001A3608"/>
    <w:rsid w:val="001C08C9"/>
    <w:rsid w:val="001D6BCF"/>
    <w:rsid w:val="001E01CA"/>
    <w:rsid w:val="002060D9"/>
    <w:rsid w:val="00214F15"/>
    <w:rsid w:val="0021731C"/>
    <w:rsid w:val="00221A0B"/>
    <w:rsid w:val="00226822"/>
    <w:rsid w:val="00231AFF"/>
    <w:rsid w:val="0023242E"/>
    <w:rsid w:val="00234167"/>
    <w:rsid w:val="00256E85"/>
    <w:rsid w:val="00260594"/>
    <w:rsid w:val="002675B0"/>
    <w:rsid w:val="00272071"/>
    <w:rsid w:val="00285017"/>
    <w:rsid w:val="002A2D2E"/>
    <w:rsid w:val="002A70DA"/>
    <w:rsid w:val="002B7570"/>
    <w:rsid w:val="002E713B"/>
    <w:rsid w:val="00327863"/>
    <w:rsid w:val="00343749"/>
    <w:rsid w:val="00356623"/>
    <w:rsid w:val="00356EAB"/>
    <w:rsid w:val="00357D50"/>
    <w:rsid w:val="00381F95"/>
    <w:rsid w:val="003925DC"/>
    <w:rsid w:val="003A363E"/>
    <w:rsid w:val="003B0550"/>
    <w:rsid w:val="003B694F"/>
    <w:rsid w:val="003C6DDC"/>
    <w:rsid w:val="003F171C"/>
    <w:rsid w:val="00412FC5"/>
    <w:rsid w:val="00422276"/>
    <w:rsid w:val="004242F1"/>
    <w:rsid w:val="00440DE9"/>
    <w:rsid w:val="00443294"/>
    <w:rsid w:val="00445A00"/>
    <w:rsid w:val="00451B0F"/>
    <w:rsid w:val="0046125F"/>
    <w:rsid w:val="00463F4A"/>
    <w:rsid w:val="00481DA5"/>
    <w:rsid w:val="00487524"/>
    <w:rsid w:val="00496106"/>
    <w:rsid w:val="004A6529"/>
    <w:rsid w:val="004C12D0"/>
    <w:rsid w:val="004C2EE3"/>
    <w:rsid w:val="004E381B"/>
    <w:rsid w:val="004E407D"/>
    <w:rsid w:val="004E4A22"/>
    <w:rsid w:val="00511968"/>
    <w:rsid w:val="00512460"/>
    <w:rsid w:val="00512AB2"/>
    <w:rsid w:val="00522840"/>
    <w:rsid w:val="005257A5"/>
    <w:rsid w:val="0054402A"/>
    <w:rsid w:val="0055614C"/>
    <w:rsid w:val="00562BFA"/>
    <w:rsid w:val="00563C5A"/>
    <w:rsid w:val="00564A2E"/>
    <w:rsid w:val="005665C3"/>
    <w:rsid w:val="00570401"/>
    <w:rsid w:val="00574CBF"/>
    <w:rsid w:val="005F3855"/>
    <w:rsid w:val="00607BA5"/>
    <w:rsid w:val="00626EB6"/>
    <w:rsid w:val="006353A3"/>
    <w:rsid w:val="00655D03"/>
    <w:rsid w:val="0066029B"/>
    <w:rsid w:val="00683F84"/>
    <w:rsid w:val="00697BF8"/>
    <w:rsid w:val="006A6A81"/>
    <w:rsid w:val="006C5C27"/>
    <w:rsid w:val="006D429A"/>
    <w:rsid w:val="006D529F"/>
    <w:rsid w:val="006D7637"/>
    <w:rsid w:val="006E1232"/>
    <w:rsid w:val="006E26AF"/>
    <w:rsid w:val="006F7393"/>
    <w:rsid w:val="0070224F"/>
    <w:rsid w:val="007115F7"/>
    <w:rsid w:val="007150D7"/>
    <w:rsid w:val="007271E0"/>
    <w:rsid w:val="00727EA2"/>
    <w:rsid w:val="00731DDF"/>
    <w:rsid w:val="0075734B"/>
    <w:rsid w:val="00785689"/>
    <w:rsid w:val="0079754B"/>
    <w:rsid w:val="007978CE"/>
    <w:rsid w:val="007A011D"/>
    <w:rsid w:val="007A1E6D"/>
    <w:rsid w:val="007A41CB"/>
    <w:rsid w:val="007C509E"/>
    <w:rsid w:val="007E0CA3"/>
    <w:rsid w:val="00822CE0"/>
    <w:rsid w:val="00837C62"/>
    <w:rsid w:val="00841AB1"/>
    <w:rsid w:val="008478D1"/>
    <w:rsid w:val="0087167D"/>
    <w:rsid w:val="00881FEF"/>
    <w:rsid w:val="008B1FD3"/>
    <w:rsid w:val="008C22FD"/>
    <w:rsid w:val="008C7903"/>
    <w:rsid w:val="008E1431"/>
    <w:rsid w:val="008E65EF"/>
    <w:rsid w:val="008F1E32"/>
    <w:rsid w:val="00910F12"/>
    <w:rsid w:val="00916DB6"/>
    <w:rsid w:val="009172DC"/>
    <w:rsid w:val="00921C2C"/>
    <w:rsid w:val="00926503"/>
    <w:rsid w:val="00930ECF"/>
    <w:rsid w:val="009351CF"/>
    <w:rsid w:val="0096398B"/>
    <w:rsid w:val="009838BC"/>
    <w:rsid w:val="009A6EA4"/>
    <w:rsid w:val="009F1741"/>
    <w:rsid w:val="009F27D5"/>
    <w:rsid w:val="00A14E24"/>
    <w:rsid w:val="00A26BB2"/>
    <w:rsid w:val="00A45F4F"/>
    <w:rsid w:val="00A479CD"/>
    <w:rsid w:val="00A600A9"/>
    <w:rsid w:val="00A7172F"/>
    <w:rsid w:val="00A866AC"/>
    <w:rsid w:val="00AA55B7"/>
    <w:rsid w:val="00AA5B9E"/>
    <w:rsid w:val="00AB2407"/>
    <w:rsid w:val="00AB2B95"/>
    <w:rsid w:val="00AB53DF"/>
    <w:rsid w:val="00AE500A"/>
    <w:rsid w:val="00B07E5C"/>
    <w:rsid w:val="00B326E3"/>
    <w:rsid w:val="00B811F7"/>
    <w:rsid w:val="00BA5DC6"/>
    <w:rsid w:val="00BA6196"/>
    <w:rsid w:val="00BA6B0E"/>
    <w:rsid w:val="00BB1A5B"/>
    <w:rsid w:val="00BC68AE"/>
    <w:rsid w:val="00BC6D8C"/>
    <w:rsid w:val="00C067A2"/>
    <w:rsid w:val="00C16AF2"/>
    <w:rsid w:val="00C34006"/>
    <w:rsid w:val="00C426B1"/>
    <w:rsid w:val="00C449A4"/>
    <w:rsid w:val="00C547E6"/>
    <w:rsid w:val="00C56297"/>
    <w:rsid w:val="00C82B6B"/>
    <w:rsid w:val="00C90D6A"/>
    <w:rsid w:val="00CC02A9"/>
    <w:rsid w:val="00CC3627"/>
    <w:rsid w:val="00CC72B6"/>
    <w:rsid w:val="00CD2DBE"/>
    <w:rsid w:val="00D0218D"/>
    <w:rsid w:val="00D216CD"/>
    <w:rsid w:val="00D24656"/>
    <w:rsid w:val="00D43ED4"/>
    <w:rsid w:val="00D76E97"/>
    <w:rsid w:val="00D77108"/>
    <w:rsid w:val="00DA2529"/>
    <w:rsid w:val="00DB130A"/>
    <w:rsid w:val="00DB4D10"/>
    <w:rsid w:val="00DC10A1"/>
    <w:rsid w:val="00DC42DB"/>
    <w:rsid w:val="00DC655F"/>
    <w:rsid w:val="00DD1B59"/>
    <w:rsid w:val="00DD4D01"/>
    <w:rsid w:val="00DD7EBD"/>
    <w:rsid w:val="00DF3F00"/>
    <w:rsid w:val="00DF62B6"/>
    <w:rsid w:val="00E07225"/>
    <w:rsid w:val="00E1175E"/>
    <w:rsid w:val="00E155B7"/>
    <w:rsid w:val="00E17CE9"/>
    <w:rsid w:val="00E26753"/>
    <w:rsid w:val="00E47388"/>
    <w:rsid w:val="00E5409F"/>
    <w:rsid w:val="00E7060B"/>
    <w:rsid w:val="00E802A0"/>
    <w:rsid w:val="00E90A96"/>
    <w:rsid w:val="00E973F3"/>
    <w:rsid w:val="00EB68C5"/>
    <w:rsid w:val="00EC0185"/>
    <w:rsid w:val="00EC7F95"/>
    <w:rsid w:val="00F021FA"/>
    <w:rsid w:val="00F31697"/>
    <w:rsid w:val="00F57ACA"/>
    <w:rsid w:val="00F62E97"/>
    <w:rsid w:val="00F64209"/>
    <w:rsid w:val="00F65A01"/>
    <w:rsid w:val="00F77E35"/>
    <w:rsid w:val="00F93BF5"/>
    <w:rsid w:val="00F950B2"/>
    <w:rsid w:val="00F963B6"/>
    <w:rsid w:val="00F96F63"/>
    <w:rsid w:val="00FF3A80"/>
    <w:rsid w:val="6598F4D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A829FF5"/>
  <w15:docId w15:val="{C035A719-40FF-4FAD-9B27-5CD048FC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E143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semiHidden/>
    <w:rsid w:val="000E3D42"/>
    <w:pPr>
      <w:spacing w:after="120"/>
    </w:pPr>
  </w:style>
  <w:style w:type="character" w:styleId="FootnoteReference">
    <w:name w:val="footnote reference"/>
    <w:aliases w:val="(NECG) Footnote Reference,Appel note de bas de p,FR,Footnote Reference/,Style 12,Style 124,Style 13,Style 17,Style 3,Style 6,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locked/>
    <w:rsid w:val="008E1431"/>
  </w:style>
  <w:style w:type="character" w:customStyle="1" w:styleId="HeaderChar">
    <w:name w:val="Header Char"/>
    <w:link w:val="Header"/>
    <w:locked/>
    <w:rsid w:val="008E1431"/>
    <w:rPr>
      <w:rFonts w:ascii="Arial" w:hAnsi="Arial" w:cs="Arial"/>
      <w:b/>
      <w:snapToGrid w:val="0"/>
      <w:kern w:val="28"/>
      <w:sz w:val="96"/>
      <w:szCs w:val="96"/>
    </w:rPr>
  </w:style>
  <w:style w:type="paragraph" w:styleId="ListParagraph">
    <w:name w:val="List Paragraph"/>
    <w:basedOn w:val="Normal"/>
    <w:uiPriority w:val="34"/>
    <w:qFormat/>
    <w:rsid w:val="008E1431"/>
    <w:pPr>
      <w:ind w:left="720"/>
    </w:pPr>
  </w:style>
  <w:style w:type="paragraph" w:styleId="BalloonText">
    <w:name w:val="Balloon Text"/>
    <w:basedOn w:val="Normal"/>
    <w:link w:val="BalloonTextChar"/>
    <w:uiPriority w:val="99"/>
    <w:semiHidden/>
    <w:unhideWhenUsed/>
    <w:rsid w:val="009F1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741"/>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56623"/>
    <w:rPr>
      <w:sz w:val="16"/>
      <w:szCs w:val="16"/>
    </w:rPr>
  </w:style>
  <w:style w:type="paragraph" w:styleId="CommentText">
    <w:name w:val="annotation text"/>
    <w:basedOn w:val="Normal"/>
    <w:link w:val="CommentTextChar"/>
    <w:uiPriority w:val="99"/>
    <w:semiHidden/>
    <w:unhideWhenUsed/>
    <w:rsid w:val="00356623"/>
    <w:rPr>
      <w:sz w:val="20"/>
    </w:rPr>
  </w:style>
  <w:style w:type="character" w:customStyle="1" w:styleId="CommentTextChar">
    <w:name w:val="Comment Text Char"/>
    <w:basedOn w:val="DefaultParagraphFont"/>
    <w:link w:val="CommentText"/>
    <w:uiPriority w:val="99"/>
    <w:semiHidden/>
    <w:rsid w:val="00356623"/>
    <w:rPr>
      <w:snapToGrid w:val="0"/>
      <w:kern w:val="28"/>
    </w:rPr>
  </w:style>
  <w:style w:type="paragraph" w:styleId="CommentSubject">
    <w:name w:val="annotation subject"/>
    <w:basedOn w:val="CommentText"/>
    <w:next w:val="CommentText"/>
    <w:link w:val="CommentSubjectChar"/>
    <w:uiPriority w:val="99"/>
    <w:semiHidden/>
    <w:unhideWhenUsed/>
    <w:rsid w:val="00356623"/>
    <w:rPr>
      <w:b/>
      <w:bCs/>
    </w:rPr>
  </w:style>
  <w:style w:type="character" w:customStyle="1" w:styleId="CommentSubjectChar">
    <w:name w:val="Comment Subject Char"/>
    <w:basedOn w:val="CommentTextChar"/>
    <w:link w:val="CommentSubject"/>
    <w:uiPriority w:val="99"/>
    <w:semiHidden/>
    <w:rsid w:val="00356623"/>
    <w:rPr>
      <w:b/>
      <w:bCs/>
      <w:snapToGrid w:val="0"/>
      <w:kern w:val="28"/>
    </w:rPr>
  </w:style>
  <w:style w:type="character" w:customStyle="1" w:styleId="UnresolvedMention1">
    <w:name w:val="Unresolved Mention1"/>
    <w:basedOn w:val="DefaultParagraphFont"/>
    <w:uiPriority w:val="99"/>
    <w:semiHidden/>
    <w:unhideWhenUsed/>
    <w:rsid w:val="004A6529"/>
    <w:rPr>
      <w:color w:val="605E5C"/>
      <w:shd w:val="clear" w:color="auto" w:fill="E1DFDD"/>
    </w:rPr>
  </w:style>
  <w:style w:type="paragraph" w:styleId="Revision">
    <w:name w:val="Revision"/>
    <w:hidden/>
    <w:uiPriority w:val="99"/>
    <w:semiHidden/>
    <w:rsid w:val="00040D6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or" TargetMode="External" /><Relationship Id="rId6" Type="http://schemas.openxmlformats.org/officeDocument/2006/relationships/hyperlink" Target="mailto:donna.cyrus@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