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90" w:rsidP="671E321A" w14:paraId="5E98AFF4" w14:textId="56ACF513">
      <w:pPr>
        <w:jc w:val="right"/>
        <w:rPr>
          <w:b/>
          <w:bCs/>
          <w:noProof/>
          <w:sz w:val="24"/>
          <w:szCs w:val="24"/>
        </w:rPr>
      </w:pPr>
      <w:r>
        <w:rPr>
          <w:b/>
          <w:bCs/>
          <w:sz w:val="24"/>
          <w:szCs w:val="24"/>
        </w:rPr>
        <w:t>DA 21-</w:t>
      </w:r>
      <w:r w:rsidR="00185333">
        <w:rPr>
          <w:b/>
          <w:bCs/>
          <w:sz w:val="24"/>
          <w:szCs w:val="24"/>
        </w:rPr>
        <w:t>957</w:t>
      </w:r>
    </w:p>
    <w:p w:rsidR="00B94890" w:rsidP="671E321A" w14:paraId="22A3031A" w14:textId="7F1CB1F1">
      <w:pPr>
        <w:spacing w:before="60"/>
        <w:jc w:val="right"/>
        <w:rPr>
          <w:b/>
          <w:bCs/>
          <w:sz w:val="24"/>
          <w:szCs w:val="24"/>
        </w:rPr>
      </w:pPr>
      <w:r w:rsidRPr="671E321A">
        <w:rPr>
          <w:b/>
          <w:bCs/>
          <w:sz w:val="24"/>
          <w:szCs w:val="24"/>
        </w:rPr>
        <w:t>Released:</w:t>
      </w:r>
      <w:r w:rsidR="00E06D84">
        <w:rPr>
          <w:b/>
          <w:bCs/>
          <w:sz w:val="24"/>
          <w:szCs w:val="24"/>
        </w:rPr>
        <w:t xml:space="preserve"> </w:t>
      </w:r>
      <w:r w:rsidR="00F24427">
        <w:rPr>
          <w:b/>
          <w:bCs/>
          <w:sz w:val="24"/>
          <w:szCs w:val="24"/>
        </w:rPr>
        <w:t xml:space="preserve">August </w:t>
      </w:r>
      <w:r w:rsidR="00DF79C4">
        <w:rPr>
          <w:b/>
          <w:bCs/>
          <w:sz w:val="24"/>
          <w:szCs w:val="24"/>
        </w:rPr>
        <w:t>4</w:t>
      </w:r>
      <w:r w:rsidR="00E06D84">
        <w:rPr>
          <w:b/>
          <w:bCs/>
          <w:sz w:val="24"/>
          <w:szCs w:val="24"/>
        </w:rPr>
        <w:t>, 2021</w:t>
      </w:r>
      <w:r w:rsidRPr="671E321A">
        <w:rPr>
          <w:b/>
          <w:bCs/>
          <w:sz w:val="24"/>
          <w:szCs w:val="24"/>
        </w:rPr>
        <w:t xml:space="preserve">  </w:t>
      </w:r>
    </w:p>
    <w:p w:rsidR="00B94890" w14:paraId="62BABFA7" w14:textId="77777777">
      <w:pPr>
        <w:jc w:val="right"/>
        <w:rPr>
          <w:sz w:val="24"/>
        </w:rPr>
      </w:pPr>
    </w:p>
    <w:p w:rsidR="00B94890" w:rsidP="671E321A" w14:paraId="31576740" w14:textId="59BE39D6">
      <w:pPr>
        <w:spacing w:after="240"/>
        <w:jc w:val="center"/>
        <w:rPr>
          <w:rFonts w:ascii="Times New Roman Bold" w:hAnsi="Times New Roman Bold"/>
          <w:b/>
          <w:bCs/>
          <w:caps/>
          <w:sz w:val="24"/>
          <w:szCs w:val="24"/>
        </w:rPr>
      </w:pPr>
      <w:r w:rsidRPr="671E321A">
        <w:rPr>
          <w:rFonts w:ascii="Times New Roman Bold" w:hAnsi="Times New Roman Bold"/>
          <w:b/>
          <w:bCs/>
          <w:caps/>
          <w:sz w:val="24"/>
          <w:szCs w:val="24"/>
        </w:rPr>
        <w:t xml:space="preserve">The wireless telecommunications bureau </w:t>
      </w:r>
      <w:r w:rsidR="00391573">
        <w:rPr>
          <w:rFonts w:ascii="Times New Roman Bold" w:hAnsi="Times New Roman Bold"/>
          <w:b/>
          <w:bCs/>
          <w:caps/>
          <w:sz w:val="24"/>
          <w:szCs w:val="24"/>
        </w:rPr>
        <w:t xml:space="preserve">opens </w:t>
      </w:r>
      <w:r w:rsidRPr="671E321A">
        <w:rPr>
          <w:rFonts w:ascii="Times New Roman Bold" w:hAnsi="Times New Roman Bold"/>
          <w:b/>
          <w:bCs/>
          <w:caps/>
          <w:sz w:val="24"/>
          <w:szCs w:val="24"/>
        </w:rPr>
        <w:t xml:space="preserve">a new docket and </w:t>
      </w:r>
      <w:r w:rsidRPr="671E321A" w:rsidR="00391573">
        <w:rPr>
          <w:rFonts w:ascii="Times New Roman Bold" w:hAnsi="Times New Roman Bold"/>
          <w:b/>
          <w:bCs/>
          <w:caps/>
          <w:sz w:val="24"/>
          <w:szCs w:val="24"/>
        </w:rPr>
        <w:t xml:space="preserve">establishes </w:t>
      </w:r>
      <w:r w:rsidRPr="671E321A">
        <w:rPr>
          <w:rFonts w:ascii="Times New Roman Bold" w:hAnsi="Times New Roman Bold"/>
          <w:b/>
          <w:bCs/>
          <w:caps/>
          <w:sz w:val="24"/>
          <w:szCs w:val="24"/>
        </w:rPr>
        <w:t xml:space="preserve">the process for </w:t>
      </w:r>
      <w:r w:rsidR="00CB1641">
        <w:rPr>
          <w:rFonts w:ascii="Times New Roman Bold" w:hAnsi="Times New Roman Bold"/>
          <w:b/>
          <w:bCs/>
          <w:caps/>
          <w:sz w:val="24"/>
          <w:szCs w:val="24"/>
        </w:rPr>
        <w:t xml:space="preserve">c-band </w:t>
      </w:r>
      <w:r w:rsidRPr="671E321A" w:rsidR="563E5909">
        <w:rPr>
          <w:rFonts w:ascii="Times New Roman Bold" w:hAnsi="Times New Roman Bold"/>
          <w:b/>
          <w:bCs/>
          <w:caps/>
          <w:sz w:val="24"/>
          <w:szCs w:val="24"/>
        </w:rPr>
        <w:t xml:space="preserve">space station operator </w:t>
      </w:r>
      <w:r w:rsidR="00F24427">
        <w:rPr>
          <w:rFonts w:ascii="Times New Roman Bold" w:hAnsi="Times New Roman Bold"/>
          <w:b/>
          <w:bCs/>
          <w:caps/>
          <w:sz w:val="24"/>
          <w:szCs w:val="24"/>
        </w:rPr>
        <w:t xml:space="preserve">   PHASE I </w:t>
      </w:r>
      <w:r w:rsidRPr="671E321A">
        <w:rPr>
          <w:rFonts w:ascii="Times New Roman Bold" w:hAnsi="Times New Roman Bold"/>
          <w:b/>
          <w:bCs/>
          <w:caps/>
          <w:sz w:val="24"/>
          <w:szCs w:val="24"/>
        </w:rPr>
        <w:t>certification of accelerated relocation</w:t>
      </w:r>
    </w:p>
    <w:p w:rsidR="00B94890" w:rsidP="002068E2" w14:paraId="5AF68DDC" w14:textId="39427D59">
      <w:pPr>
        <w:jc w:val="center"/>
      </w:pPr>
      <w:r w:rsidRPr="671E321A">
        <w:rPr>
          <w:b/>
          <w:bCs/>
          <w:sz w:val="24"/>
          <w:szCs w:val="24"/>
        </w:rPr>
        <w:fldChar w:fldCharType="begin">
          <w:ffData>
            <w:name w:val="Text4"/>
            <w:enabled/>
            <w:calcOnExit w:val="0"/>
            <w:textInput>
              <w:default w:val="[Click to enter Subtitle]"/>
            </w:textInput>
          </w:ffData>
        </w:fldChar>
      </w:r>
      <w:r w:rsidRPr="671E321A">
        <w:rPr>
          <w:b/>
          <w:bCs/>
          <w:sz w:val="24"/>
          <w:szCs w:val="24"/>
        </w:rPr>
        <w:instrText xml:space="preserve"> </w:instrText>
      </w:r>
      <w:bookmarkStart w:id="0" w:name="Text4"/>
      <w:r w:rsidRPr="671E321A">
        <w:rPr>
          <w:b/>
          <w:bCs/>
          <w:sz w:val="24"/>
          <w:szCs w:val="24"/>
        </w:rPr>
        <w:instrText xml:space="preserve">FORMTEXT </w:instrText>
      </w:r>
      <w:r w:rsidR="0010572D">
        <w:rPr>
          <w:b/>
          <w:bCs/>
          <w:sz w:val="24"/>
          <w:szCs w:val="24"/>
        </w:rPr>
        <w:fldChar w:fldCharType="separate"/>
      </w:r>
      <w:r w:rsidRPr="671E321A">
        <w:rPr>
          <w:b/>
          <w:bCs/>
          <w:sz w:val="24"/>
          <w:szCs w:val="24"/>
        </w:rPr>
        <w:fldChar w:fldCharType="end"/>
      </w:r>
      <w:bookmarkEnd w:id="0"/>
      <w:r w:rsidR="002068E2">
        <w:rPr>
          <w:b/>
          <w:sz w:val="24"/>
        </w:rPr>
        <w:t xml:space="preserve"> GN Docket No. </w:t>
      </w:r>
      <w:r w:rsidR="00965B7F">
        <w:rPr>
          <w:b/>
          <w:sz w:val="24"/>
        </w:rPr>
        <w:t>18</w:t>
      </w:r>
      <w:r w:rsidR="002068E2">
        <w:rPr>
          <w:b/>
          <w:sz w:val="24"/>
        </w:rPr>
        <w:t>-</w:t>
      </w:r>
      <w:r w:rsidR="00965B7F">
        <w:rPr>
          <w:b/>
          <w:sz w:val="24"/>
        </w:rPr>
        <w:t>122</w:t>
      </w:r>
      <w:r w:rsidR="002068E2">
        <w:rPr>
          <w:b/>
          <w:sz w:val="24"/>
        </w:rPr>
        <w:t xml:space="preserve">; </w:t>
      </w:r>
      <w:r w:rsidRPr="00DF79C4" w:rsidR="4F863FFF">
        <w:rPr>
          <w:b/>
          <w:bCs/>
          <w:noProof/>
          <w:sz w:val="24"/>
          <w:szCs w:val="24"/>
        </w:rPr>
        <w:t>GN Docket No. 21-</w:t>
      </w:r>
      <w:bookmarkStart w:id="1" w:name="TOChere"/>
      <w:r w:rsidR="004115A0">
        <w:rPr>
          <w:b/>
          <w:bCs/>
          <w:noProof/>
          <w:sz w:val="24"/>
          <w:szCs w:val="24"/>
        </w:rPr>
        <w:t>320</w:t>
      </w:r>
    </w:p>
    <w:p w:rsidR="00B94890" w14:paraId="3FAD104E" w14:textId="77777777"/>
    <w:p w:rsidR="00B94890" w:rsidP="00975C45" w14:paraId="6D5762F0" w14:textId="49C433CE">
      <w:pPr>
        <w:ind w:firstLine="720"/>
      </w:pPr>
      <w:r w:rsidRPr="00211C8E">
        <w:t>With this Public Notice, the Wireless Telecommunications Bureau (WTB</w:t>
      </w:r>
      <w:r w:rsidR="00E002FE">
        <w:t xml:space="preserve"> or Bureau</w:t>
      </w:r>
      <w:r w:rsidRPr="00211C8E">
        <w:t>)</w:t>
      </w:r>
      <w:r>
        <w:t xml:space="preserve"> </w:t>
      </w:r>
      <w:r w:rsidR="00391573">
        <w:t>prescribes the form</w:t>
      </w:r>
      <w:r>
        <w:t xml:space="preserve"> </w:t>
      </w:r>
      <w:r w:rsidR="00391573">
        <w:t xml:space="preserve">by which eligible </w:t>
      </w:r>
      <w:r w:rsidR="00CB1641">
        <w:t xml:space="preserve">C-band </w:t>
      </w:r>
      <w:r w:rsidR="00391573">
        <w:t>space station operators should submit</w:t>
      </w:r>
      <w:r>
        <w:t xml:space="preserve"> </w:t>
      </w:r>
      <w:r w:rsidR="00F24427">
        <w:t xml:space="preserve">Phase I </w:t>
      </w:r>
      <w:r w:rsidR="0668401A">
        <w:t xml:space="preserve">Certifications of </w:t>
      </w:r>
      <w:r>
        <w:t>A</w:t>
      </w:r>
      <w:r w:rsidR="00146150">
        <w:t xml:space="preserve">ccelerated </w:t>
      </w:r>
      <w:r>
        <w:t>R</w:t>
      </w:r>
      <w:r w:rsidR="00146150">
        <w:t>elocation</w:t>
      </w:r>
      <w:r>
        <w:t xml:space="preserve"> </w:t>
      </w:r>
      <w:r w:rsidR="79DD7B67">
        <w:t>(Certifications)</w:t>
      </w:r>
      <w:r w:rsidR="00444670">
        <w:t xml:space="preserve"> </w:t>
      </w:r>
      <w:r>
        <w:t>and</w:t>
      </w:r>
      <w:r w:rsidR="00391573">
        <w:t xml:space="preserve"> establishes the process by which</w:t>
      </w:r>
      <w:r>
        <w:t xml:space="preserve"> </w:t>
      </w:r>
      <w:r w:rsidR="00420E2A">
        <w:t xml:space="preserve">stakeholders can file </w:t>
      </w:r>
      <w:r>
        <w:t>related challenges</w:t>
      </w:r>
      <w:r w:rsidR="00391573">
        <w:t xml:space="preserve"> to those Certifications</w:t>
      </w:r>
      <w:r>
        <w:t xml:space="preserve">.  </w:t>
      </w:r>
      <w:r w:rsidR="00327AFA">
        <w:t xml:space="preserve">The </w:t>
      </w:r>
      <w:r w:rsidRPr="671E321A" w:rsidR="00327AFA">
        <w:rPr>
          <w:i/>
          <w:iCs/>
        </w:rPr>
        <w:t xml:space="preserve">3.7 GHz Report and Order </w:t>
      </w:r>
      <w:r w:rsidR="00327AFA">
        <w:t>required that</w:t>
      </w:r>
      <w:r w:rsidRPr="00211C8E" w:rsidR="00327AFA">
        <w:t xml:space="preserve">, </w:t>
      </w:r>
      <w:r w:rsidRPr="00211C8E" w:rsidR="00327AFA">
        <w:t>in order to</w:t>
      </w:r>
      <w:r w:rsidRPr="00211C8E" w:rsidR="00327AFA">
        <w:t xml:space="preserve"> be eligible for an Accelerated Relocation Payment (ARP), a</w:t>
      </w:r>
      <w:r w:rsidR="00327AFA">
        <w:t>n eligible space station</w:t>
      </w:r>
      <w:r w:rsidRPr="00211C8E" w:rsidR="00327AFA">
        <w:t xml:space="preserve"> operator must file a Certification “demonstrating, in good faith, that it has completed the necessary clearing actions to satisfy each deadline</w:t>
      </w:r>
      <w:r w:rsidRPr="00344A2E" w:rsidR="00475105">
        <w:t>.</w:t>
      </w:r>
      <w:r w:rsidRPr="00344A2E" w:rsidR="00327AFA">
        <w:t>”</w:t>
      </w:r>
      <w:r>
        <w:rPr>
          <w:rStyle w:val="FootnoteReference"/>
        </w:rPr>
        <w:footnoteReference w:id="3"/>
      </w:r>
      <w:r w:rsidR="00327AFA">
        <w:t xml:space="preserve">  </w:t>
      </w:r>
      <w:r w:rsidR="009F1D2C">
        <w:t>A</w:t>
      </w:r>
      <w:r w:rsidR="00F117CE">
        <w:t xml:space="preserve">n eligible space station operator </w:t>
      </w:r>
      <w:r w:rsidR="009F1D2C">
        <w:t xml:space="preserve">is required to </w:t>
      </w:r>
      <w:r w:rsidR="00047DB7">
        <w:t xml:space="preserve">complete its obligations </w:t>
      </w:r>
      <w:r w:rsidR="009F1D2C">
        <w:t xml:space="preserve">and then </w:t>
      </w:r>
      <w:r w:rsidR="00F117CE">
        <w:t xml:space="preserve">file </w:t>
      </w:r>
      <w:r w:rsidR="00327AFA">
        <w:t>a</w:t>
      </w:r>
      <w:r w:rsidR="00F117CE">
        <w:t xml:space="preserve"> Certification </w:t>
      </w:r>
      <w:r w:rsidR="009F1D2C">
        <w:t xml:space="preserve">by </w:t>
      </w:r>
      <w:r w:rsidR="00F117CE">
        <w:t>the applicable Accelerated Relocation Deadline</w:t>
      </w:r>
      <w:r w:rsidR="00F24427">
        <w:t>, which for Phase I is December 5, 2021</w:t>
      </w:r>
      <w:r w:rsidR="00F117CE">
        <w:t>.</w:t>
      </w:r>
      <w:r w:rsidR="004A2C1F">
        <w:t xml:space="preserve">  Certifications should be filed both in GN Docket No. 18-122 and in the new docket the</w:t>
      </w:r>
      <w:r w:rsidR="00F117CE">
        <w:t xml:space="preserve"> Bureau opens </w:t>
      </w:r>
      <w:r w:rsidR="004A2C1F">
        <w:t>here</w:t>
      </w:r>
      <w:r w:rsidR="00F117CE">
        <w:t xml:space="preserve">, </w:t>
      </w:r>
      <w:r w:rsidRPr="00DF79C4" w:rsidR="00F117CE">
        <w:t>GN Docket No. 21-</w:t>
      </w:r>
      <w:r w:rsidR="004115A0">
        <w:t>320</w:t>
      </w:r>
      <w:r w:rsidR="004A2C1F">
        <w:t xml:space="preserve">; stakeholders </w:t>
      </w:r>
      <w:r w:rsidR="00BA3183">
        <w:t xml:space="preserve">should file any related challenges </w:t>
      </w:r>
      <w:r w:rsidR="00975C45">
        <w:t>in</w:t>
      </w:r>
      <w:r w:rsidR="00BA3183">
        <w:t xml:space="preserve"> </w:t>
      </w:r>
      <w:r w:rsidRPr="00DF79C4" w:rsidR="00BA3183">
        <w:t>GN Docket No. 21-</w:t>
      </w:r>
      <w:r w:rsidR="004115A0">
        <w:t>320</w:t>
      </w:r>
      <w:r w:rsidR="00F117CE">
        <w:t>.</w:t>
      </w:r>
      <w:r>
        <w:rPr>
          <w:rStyle w:val="FootnoteReference"/>
        </w:rPr>
        <w:footnoteReference w:id="4"/>
      </w:r>
      <w:r w:rsidR="00F117CE">
        <w:t xml:space="preserve">  </w:t>
      </w:r>
      <w:r w:rsidR="00327AFA">
        <w:t xml:space="preserve"> </w:t>
      </w:r>
    </w:p>
    <w:p w:rsidR="00E002FE" w:rsidP="00211C8E" w14:paraId="4C7B92E3" w14:textId="17FE33EB">
      <w:pPr>
        <w:ind w:firstLine="720"/>
      </w:pPr>
      <w:r>
        <w:t xml:space="preserve"> </w:t>
      </w:r>
    </w:p>
    <w:p w:rsidR="000E7AD6" w:rsidP="000E7AD6" w14:paraId="7B7855DD" w14:textId="6B339BD1">
      <w:pPr>
        <w:tabs>
          <w:tab w:val="left" w:pos="5490"/>
        </w:tabs>
        <w:spacing w:after="120"/>
        <w:ind w:firstLine="720"/>
      </w:pPr>
      <w:r>
        <w:t xml:space="preserve">In the </w:t>
      </w:r>
      <w:r w:rsidRPr="3F1352D4">
        <w:rPr>
          <w:i/>
          <w:iCs/>
        </w:rPr>
        <w:t>3.7 GHz Report and Order</w:t>
      </w:r>
      <w:r>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rsidR="00EB5A14">
        <w:t xml:space="preserve"> (</w:t>
      </w:r>
      <w:r w:rsidRPr="00EB5A14" w:rsidR="00EB5A14">
        <w:rPr>
          <w:i/>
          <w:iCs/>
        </w:rPr>
        <w:t>i.e</w:t>
      </w:r>
      <w:r w:rsidR="00EB5A14">
        <w:t>., 4.0-4.2 GHz)</w:t>
      </w:r>
      <w:r>
        <w:t>.</w:t>
      </w:r>
      <w:r>
        <w:rPr>
          <w:rStyle w:val="FootnoteReference"/>
          <w:sz w:val="24"/>
          <w:szCs w:val="24"/>
        </w:rPr>
        <w:footnoteReference w:id="5"/>
      </w:r>
      <w:r>
        <w:t xml:space="preserve">  The </w:t>
      </w:r>
      <w:r w:rsidRPr="3F1352D4">
        <w:rPr>
          <w:i/>
          <w:iCs/>
        </w:rPr>
        <w:t xml:space="preserve">3.7 GHz Report and Order </w:t>
      </w:r>
      <w:r>
        <w:t>established that new 3.7 GHz Service licensees would reimburse the reasonable</w:t>
      </w:r>
      <w:r w:rsidR="218F614F">
        <w:t>, actual</w:t>
      </w:r>
      <w:r>
        <w:t xml:space="preserve"> relocation costs of eligible FSS space station operators, incumbent FSS earth station operators, and incumbent Fixed Service licensees (collectively, incumbents) to transition out of the band.</w:t>
      </w:r>
      <w:r>
        <w:rPr>
          <w:vertAlign w:val="superscript"/>
        </w:rPr>
        <w:footnoteReference w:id="6"/>
      </w:r>
      <w:r>
        <w:t xml:space="preserve">  </w:t>
      </w:r>
    </w:p>
    <w:p w:rsidR="000E7AD6" w:rsidP="000E7AD6" w14:paraId="1364D1C0" w14:textId="4EE4882E">
      <w:pPr>
        <w:tabs>
          <w:tab w:val="left" w:pos="5490"/>
        </w:tabs>
        <w:spacing w:after="120"/>
        <w:ind w:firstLine="720"/>
      </w:pPr>
      <w:r w:rsidRPr="671E321A">
        <w:t xml:space="preserve">The </w:t>
      </w:r>
      <w:r w:rsidRPr="3F1352D4">
        <w:rPr>
          <w:i/>
          <w:iCs/>
        </w:rPr>
        <w:t>3.7 GHz Report and Order</w:t>
      </w:r>
      <w:r w:rsidRPr="671E321A">
        <w:t xml:space="preserve"> established a deadline of December 5, 2025, by which</w:t>
      </w:r>
      <w:r w:rsidRPr="002E1558">
        <w:rPr>
          <w:szCs w:val="22"/>
        </w:rPr>
        <w:t xml:space="preserve"> </w:t>
      </w:r>
      <w:r w:rsidRPr="671E321A">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rStyle w:val="FootnoteReference"/>
        </w:rPr>
        <w:footnoteReference w:id="7"/>
      </w:r>
      <w:r w:rsidRPr="002E1558">
        <w:rPr>
          <w:szCs w:val="22"/>
        </w:rPr>
        <w:t xml:space="preserve"> </w:t>
      </w:r>
      <w:r w:rsidRPr="671E321A">
        <w:t xml:space="preserve"> All five eligible space station operators elected accelerated relocation.</w:t>
      </w:r>
      <w:r>
        <w:rPr>
          <w:rStyle w:val="FootnoteReference"/>
        </w:rPr>
        <w:footnoteReference w:id="8"/>
      </w:r>
      <w:r w:rsidRPr="671E321A">
        <w:t xml:space="preserve">  By electing accelerated relocation, the eligible space station operators, among other things,</w:t>
      </w:r>
      <w:r w:rsidRPr="002E1558">
        <w:rPr>
          <w:szCs w:val="22"/>
        </w:rPr>
        <w:t xml:space="preserve"> </w:t>
      </w:r>
      <w:r w:rsidRPr="671E321A" w:rsidR="00CA6B4C">
        <w:t xml:space="preserve">have </w:t>
      </w:r>
      <w:r w:rsidRPr="671E321A">
        <w:t xml:space="preserve">voluntarily committed to perform all the tasks necessary to enable any incumbent earth station that receives or sends </w:t>
      </w:r>
      <w:r w:rsidRPr="00344A2E" w:rsidR="00441018">
        <w:t>C-band</w:t>
      </w:r>
      <w:r w:rsidR="00441018">
        <w:t xml:space="preserve"> </w:t>
      </w:r>
      <w:r w:rsidRPr="671E321A">
        <w:t>signals to a space station owned by that operator to maintain that functionality</w:t>
      </w:r>
      <w:r w:rsidR="00441018">
        <w:t xml:space="preserve"> </w:t>
      </w:r>
      <w:r w:rsidRPr="00344A2E" w:rsidR="00441018">
        <w:t>in the upper 200 megahertz of the band</w:t>
      </w:r>
      <w:r w:rsidRPr="671E321A">
        <w:t>.</w:t>
      </w:r>
      <w:r>
        <w:rPr>
          <w:rStyle w:val="FootnoteReference"/>
        </w:rPr>
        <w:footnoteReference w:id="9"/>
      </w:r>
      <w:r>
        <w:rPr>
          <w:szCs w:val="22"/>
        </w:rPr>
        <w:t xml:space="preserve"> </w:t>
      </w:r>
      <w:r w:rsidR="00900B3E">
        <w:rPr>
          <w:szCs w:val="22"/>
        </w:rPr>
        <w:t xml:space="preserve"> </w:t>
      </w:r>
      <w:bookmarkStart w:id="4" w:name="_Hlk77147742"/>
      <w:r w:rsidRPr="3F1352D4" w:rsidR="00FD6BA8">
        <w:t xml:space="preserve">The </w:t>
      </w:r>
      <w:r w:rsidRPr="3F1352D4" w:rsidR="00FD6BA8">
        <w:rPr>
          <w:i/>
          <w:iCs/>
        </w:rPr>
        <w:t xml:space="preserve">3.7 GHz Report and Order </w:t>
      </w:r>
      <w:r w:rsidRPr="3F1352D4" w:rsidR="00FD6BA8">
        <w:t>stated that</w:t>
      </w:r>
      <w:r w:rsidR="4C4260E8">
        <w:rPr>
          <w:szCs w:val="22"/>
        </w:rPr>
        <w:t xml:space="preserve"> “</w:t>
      </w:r>
      <w:r w:rsidRPr="3F1352D4" w:rsidR="00DC71F6">
        <w:t>[t]</w:t>
      </w:r>
      <w:r w:rsidRPr="3F1352D4" w:rsidR="4C4260E8">
        <w:t>o the extent eligible space station operators can meet the Phase I and Phase II Accelerated Relocation Deadlines, they will be eli</w:t>
      </w:r>
      <w:r w:rsidRPr="3F1352D4" w:rsidR="2B94D381">
        <w:t>gible to receive the accelerated relocation payments associated with those deadlines."</w:t>
      </w:r>
      <w:r>
        <w:rPr>
          <w:rStyle w:val="FootnoteReference"/>
        </w:rPr>
        <w:footnoteReference w:id="10"/>
      </w:r>
      <w:r w:rsidRPr="3F1352D4" w:rsidR="2B764F9B">
        <w:rPr>
          <w:sz w:val="20"/>
        </w:rPr>
        <w:t xml:space="preserve"> </w:t>
      </w:r>
      <w:r w:rsidR="2B764F9B">
        <w:t xml:space="preserve"> </w:t>
      </w:r>
      <w:r w:rsidR="00196A25">
        <w:t xml:space="preserve">Once </w:t>
      </w:r>
      <w:r w:rsidR="00427221">
        <w:t xml:space="preserve">the eligible space station operator’s Certification is </w:t>
      </w:r>
      <w:r w:rsidR="00C725E4">
        <w:t>validated</w:t>
      </w:r>
      <w:r w:rsidR="00196A25">
        <w:t xml:space="preserve">, the </w:t>
      </w:r>
      <w:r w:rsidR="2B764F9B">
        <w:t>ARPs will be disbursed by the Relocation Payment Clearinghouse (Clearinghouse).</w:t>
      </w:r>
      <w:r>
        <w:rPr>
          <w:rStyle w:val="FootnoteReference"/>
        </w:rPr>
        <w:footnoteReference w:id="11"/>
      </w:r>
      <w:r w:rsidR="00FD6BA8">
        <w:t xml:space="preserve"> </w:t>
      </w:r>
      <w:bookmarkEnd w:id="4"/>
    </w:p>
    <w:p w:rsidR="002F763A" w:rsidP="002F763A" w14:paraId="76316E2E" w14:textId="4613E8F5">
      <w:pPr>
        <w:tabs>
          <w:tab w:val="left" w:pos="5490"/>
        </w:tabs>
        <w:spacing w:after="120"/>
        <w:ind w:firstLine="720"/>
      </w:pPr>
      <w:r>
        <w:t xml:space="preserve">The </w:t>
      </w:r>
      <w:r w:rsidRPr="671E321A">
        <w:rPr>
          <w:i/>
          <w:iCs/>
        </w:rPr>
        <w:t>3.7 GHz Report and Order</w:t>
      </w:r>
      <w:r>
        <w:t xml:space="preserve"> </w:t>
      </w:r>
      <w:r w:rsidR="60FE68CB">
        <w:t>specifie</w:t>
      </w:r>
      <w:r w:rsidR="00E06D84">
        <w:t>d</w:t>
      </w:r>
      <w:r w:rsidR="60FE68CB">
        <w:t xml:space="preserve"> </w:t>
      </w:r>
      <w:r>
        <w:t>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rsidR="00CA6B4C">
        <w:t xml:space="preserve"> </w:t>
      </w:r>
      <w:r w:rsidRPr="00F344EB" w:rsidR="00CA6B4C">
        <w:t>and directed WTB to prescribe the form of such Certifications</w:t>
      </w:r>
      <w:r w:rsidR="00CA6B4C">
        <w:t>.</w:t>
      </w:r>
      <w:r>
        <w:rPr>
          <w:rStyle w:val="FootnoteReference"/>
        </w:rPr>
        <w:footnoteReference w:id="12"/>
      </w:r>
      <w:r w:rsidR="0015698E">
        <w:t xml:space="preserve"> </w:t>
      </w:r>
      <w:r w:rsidRPr="671E321A" w:rsidR="693F8D88">
        <w:rPr>
          <w:i/>
          <w:iCs/>
        </w:rPr>
        <w:t xml:space="preserve"> </w:t>
      </w:r>
      <w:bookmarkStart w:id="5" w:name="_Hlk77151704"/>
      <w:r w:rsidRPr="00FD6BA8" w:rsidR="693F8D88">
        <w:t>Further</w:t>
      </w:r>
      <w:r w:rsidR="00E002FE">
        <w:t>, “the Bureau, Clearinghouse, and relevant stakeholders will have the opportunity to review the Certification of Accelerated Relocation and identify potential deficiencies</w:t>
      </w:r>
      <w:r w:rsidR="009A1504">
        <w:t>.</w:t>
      </w:r>
      <w:r w:rsidR="00E002FE">
        <w:t>”</w:t>
      </w:r>
      <w:r>
        <w:rPr>
          <w:rStyle w:val="FootnoteReference"/>
        </w:rPr>
        <w:footnoteReference w:id="13"/>
      </w:r>
      <w:r w:rsidR="00734803">
        <w:t xml:space="preserve"> </w:t>
      </w:r>
      <w:bookmarkEnd w:id="5"/>
      <w:r w:rsidR="00734803">
        <w:t xml:space="preserve"> </w:t>
      </w:r>
      <w:bookmarkStart w:id="7" w:name="_Hlk77151729"/>
    </w:p>
    <w:p w:rsidR="005009CE" w:rsidP="0015698E" w14:paraId="3C89B75F" w14:textId="3EEFC72D">
      <w:pPr>
        <w:ind w:firstLine="720"/>
      </w:pPr>
      <w:r>
        <w:t xml:space="preserve">The </w:t>
      </w:r>
      <w:r w:rsidRPr="671E321A">
        <w:rPr>
          <w:i/>
          <w:iCs/>
        </w:rPr>
        <w:t>3.7 GHz Report and Order</w:t>
      </w:r>
      <w:r>
        <w:t xml:space="preserve"> </w:t>
      </w:r>
      <w:r w:rsidR="502863D5">
        <w:t xml:space="preserve">also </w:t>
      </w:r>
      <w:r>
        <w:t>direct</w:t>
      </w:r>
      <w:r w:rsidR="00E06D84">
        <w:t>ed</w:t>
      </w:r>
      <w:r>
        <w:t xml:space="preserve"> that if “credible challenges as to the space station operator’s satisfaction of the relevant deadline are made, the Bureau will issue a public notice identifying such challenges and will render a final decision as to the validity of the certification no later than 60 days from its filing.”</w:t>
      </w:r>
      <w:r>
        <w:rPr>
          <w:rStyle w:val="FootnoteReference"/>
        </w:rPr>
        <w:footnoteReference w:id="14"/>
      </w:r>
      <w:r w:rsidR="008958D9">
        <w:t xml:space="preserve"> </w:t>
      </w:r>
      <w:bookmarkEnd w:id="7"/>
      <w:r w:rsidR="00054E3E">
        <w:t xml:space="preserve"> </w:t>
      </w:r>
      <w:r w:rsidRPr="008958D9" w:rsidR="008958D9">
        <w:t xml:space="preserve">Absent notice from WTB of deficiencies in </w:t>
      </w:r>
      <w:r w:rsidR="00167619">
        <w:t>the</w:t>
      </w:r>
      <w:r w:rsidRPr="008958D9" w:rsidR="2E2C8538">
        <w:t xml:space="preserve"> </w:t>
      </w:r>
      <w:r w:rsidRPr="008958D9" w:rsidR="008958D9">
        <w:t>Certification within 30 days of its filin</w:t>
      </w:r>
      <w:r w:rsidR="008958D9">
        <w:t>g</w:t>
      </w:r>
      <w:r w:rsidRPr="008958D9" w:rsidR="008958D9">
        <w:t>, the Certification will be deemed validated.</w:t>
      </w:r>
      <w:r>
        <w:rPr>
          <w:rStyle w:val="FootnoteReference"/>
        </w:rPr>
        <w:footnoteReference w:id="15"/>
      </w:r>
      <w:r w:rsidRPr="008958D9" w:rsidR="008958D9">
        <w:t xml:space="preserve">  </w:t>
      </w:r>
      <w:r w:rsidRPr="00811399" w:rsidR="00811399">
        <w:t>Following validation, the C</w:t>
      </w:r>
      <w:r w:rsidR="00811399">
        <w:t>learinghouse</w:t>
      </w:r>
      <w:r w:rsidRPr="00811399" w:rsidR="00811399">
        <w:t xml:space="preserve"> shall promptly notify overlay licensees, who must pay the ARP to the </w:t>
      </w:r>
      <w:r w:rsidR="0092405A">
        <w:t xml:space="preserve">Clearinghouse </w:t>
      </w:r>
      <w:r w:rsidRPr="00811399" w:rsidR="00811399">
        <w:t xml:space="preserve">within 60 days of the </w:t>
      </w:r>
      <w:r w:rsidRPr="00811399" w:rsidR="00811399">
        <w:t>notice</w:t>
      </w:r>
      <w:r w:rsidR="00811399">
        <w:t>.</w:t>
      </w:r>
      <w:r>
        <w:rPr>
          <w:rStyle w:val="FootnoteReference"/>
        </w:rPr>
        <w:footnoteReference w:id="16"/>
      </w:r>
      <w:r w:rsidRPr="00811399" w:rsidR="00811399">
        <w:t xml:space="preserve"> </w:t>
      </w:r>
      <w:r w:rsidR="0092405A">
        <w:t xml:space="preserve"> T</w:t>
      </w:r>
      <w:r w:rsidRPr="00811399" w:rsidR="00811399">
        <w:t xml:space="preserve">he </w:t>
      </w:r>
      <w:r w:rsidR="0092405A">
        <w:t>Clearinghouse</w:t>
      </w:r>
      <w:r w:rsidRPr="00811399" w:rsidR="00811399">
        <w:t xml:space="preserve"> must disburse the ARP to</w:t>
      </w:r>
      <w:r w:rsidR="00BD586F">
        <w:t xml:space="preserve"> the </w:t>
      </w:r>
      <w:r w:rsidR="008C3C88">
        <w:t xml:space="preserve">eligible </w:t>
      </w:r>
      <w:r w:rsidR="005D52CD">
        <w:t>space station</w:t>
      </w:r>
      <w:r w:rsidR="00BD586F">
        <w:t xml:space="preserve"> operator</w:t>
      </w:r>
      <w:r w:rsidRPr="00811399" w:rsidR="00811399">
        <w:t xml:space="preserve"> within </w:t>
      </w:r>
      <w:r w:rsidR="0092405A">
        <w:t>seven (</w:t>
      </w:r>
      <w:r w:rsidRPr="00811399" w:rsidR="00811399">
        <w:t>7</w:t>
      </w:r>
      <w:r w:rsidR="0092405A">
        <w:t>)</w:t>
      </w:r>
      <w:r w:rsidRPr="00811399" w:rsidR="00811399">
        <w:t xml:space="preserve"> days of receipt</w:t>
      </w:r>
      <w:r w:rsidR="0092405A">
        <w:t>.</w:t>
      </w:r>
      <w:r>
        <w:rPr>
          <w:rStyle w:val="FootnoteReference"/>
        </w:rPr>
        <w:footnoteReference w:id="17"/>
      </w:r>
      <w:r w:rsidR="0054338D">
        <w:t xml:space="preserve"> </w:t>
      </w:r>
      <w:r w:rsidR="009D0E17">
        <w:t xml:space="preserve"> </w:t>
      </w:r>
      <w:r w:rsidR="001948DF">
        <w:t xml:space="preserve">Should </w:t>
      </w:r>
      <w:r w:rsidR="2585B23F">
        <w:t xml:space="preserve">an eligible space station operator </w:t>
      </w:r>
      <w:bookmarkStart w:id="11" w:name="_Hlk77151814"/>
      <w:r w:rsidR="001948DF">
        <w:t xml:space="preserve">miss the </w:t>
      </w:r>
      <w:r w:rsidR="04D824D8">
        <w:t xml:space="preserve">Phase I or Phase II </w:t>
      </w:r>
      <w:r w:rsidR="001948DF">
        <w:t>deadline</w:t>
      </w:r>
      <w:r w:rsidR="1A1B747D">
        <w:t>,</w:t>
      </w:r>
      <w:r w:rsidR="009D0E17">
        <w:t xml:space="preserve"> </w:t>
      </w:r>
      <w:r w:rsidR="0B3EBB3C">
        <w:t xml:space="preserve">it may still </w:t>
      </w:r>
      <w:r w:rsidR="009D0E17">
        <w:t xml:space="preserve">receive </w:t>
      </w:r>
      <w:r w:rsidR="00167619">
        <w:t xml:space="preserve">a </w:t>
      </w:r>
      <w:r w:rsidR="009D0E17">
        <w:t xml:space="preserve">reduced, but non-zero, </w:t>
      </w:r>
      <w:r w:rsidR="45175179">
        <w:t>ARP</w:t>
      </w:r>
      <w:r w:rsidR="00167619">
        <w:t xml:space="preserve"> </w:t>
      </w:r>
      <w:r w:rsidRPr="00F344EB" w:rsidR="00167619">
        <w:t>if it otherwise meets the Certification requirements</w:t>
      </w:r>
      <w:r w:rsidR="45175179">
        <w:t xml:space="preserve"> </w:t>
      </w:r>
      <w:r w:rsidR="739FC0BB">
        <w:t xml:space="preserve">within six months </w:t>
      </w:r>
      <w:r w:rsidR="00167619">
        <w:t xml:space="preserve">after </w:t>
      </w:r>
      <w:r w:rsidR="739FC0BB">
        <w:t>the relevant Accelerated Relocation Deadline</w:t>
      </w:r>
      <w:r w:rsidR="009D0E17">
        <w:t>.</w:t>
      </w:r>
      <w:r>
        <w:rPr>
          <w:rStyle w:val="FootnoteReference"/>
        </w:rPr>
        <w:footnoteReference w:id="18"/>
      </w:r>
      <w:r w:rsidR="00AD4AC5">
        <w:t xml:space="preserve"> </w:t>
      </w:r>
      <w:r w:rsidR="001129A0">
        <w:t xml:space="preserve"> </w:t>
      </w:r>
      <w:bookmarkEnd w:id="11"/>
    </w:p>
    <w:p w:rsidR="005009CE" w:rsidP="0015698E" w14:paraId="34407496" w14:textId="77777777">
      <w:pPr>
        <w:ind w:firstLine="720"/>
      </w:pPr>
    </w:p>
    <w:p w:rsidR="001948DF" w:rsidP="0015698E" w14:paraId="3A511102" w14:textId="0DF541D7">
      <w:pPr>
        <w:ind w:firstLine="720"/>
      </w:pPr>
      <w:r w:rsidRPr="001948DF">
        <w:t xml:space="preserve">The </w:t>
      </w:r>
      <w:r w:rsidRPr="6242C072">
        <w:rPr>
          <w:i/>
          <w:iCs/>
        </w:rPr>
        <w:t xml:space="preserve">3.7 GHz </w:t>
      </w:r>
      <w:r w:rsidRPr="6242C072" w:rsidR="0224D748">
        <w:rPr>
          <w:i/>
          <w:iCs/>
        </w:rPr>
        <w:t>Report and Order</w:t>
      </w:r>
      <w:r w:rsidRPr="001948DF">
        <w:t xml:space="preserve"> directed WTB to: (1) “prescribe the form” of Certifications and any challenges by relevant stakeholders</w:t>
      </w:r>
      <w:r w:rsidRPr="001948DF" w:rsidR="02F47766">
        <w:t>;</w:t>
      </w:r>
      <w:r w:rsidRPr="001948DF">
        <w:t xml:space="preserve"> and (2) establish the process for how such challenges will impact the incremental decreases in the ARP.</w:t>
      </w:r>
      <w:r>
        <w:rPr>
          <w:rStyle w:val="FootnoteReference"/>
        </w:rPr>
        <w:footnoteReference w:id="19"/>
      </w:r>
      <w:r w:rsidRPr="001948DF">
        <w:t xml:space="preserve"> </w:t>
      </w:r>
      <w:r w:rsidR="0B65FA8E">
        <w:t xml:space="preserve"> </w:t>
      </w:r>
      <w:r w:rsidR="6D675147">
        <w:t xml:space="preserve">With this Public Notice, the Bureau </w:t>
      </w:r>
      <w:r w:rsidR="3911BDE2">
        <w:t xml:space="preserve">establishes </w:t>
      </w:r>
      <w:r w:rsidR="6D675147">
        <w:t xml:space="preserve">the </w:t>
      </w:r>
      <w:r w:rsidR="64F809E6">
        <w:t xml:space="preserve">requisite </w:t>
      </w:r>
      <w:r w:rsidR="6D675147">
        <w:t>filing procedures</w:t>
      </w:r>
      <w:r w:rsidR="2A9F22AC">
        <w:t xml:space="preserve"> and</w:t>
      </w:r>
      <w:r w:rsidR="6D675147">
        <w:t xml:space="preserve"> </w:t>
      </w:r>
      <w:r w:rsidR="3B5013E2">
        <w:t>challenge process</w:t>
      </w:r>
      <w:r w:rsidR="2A9F22AC">
        <w:t xml:space="preserve"> </w:t>
      </w:r>
      <w:r w:rsidR="24646D4D">
        <w:t xml:space="preserve">relating to </w:t>
      </w:r>
      <w:r w:rsidR="2A9F22AC">
        <w:t xml:space="preserve">the </w:t>
      </w:r>
      <w:r w:rsidR="00F24427">
        <w:t xml:space="preserve">Phase I </w:t>
      </w:r>
      <w:r w:rsidR="2A9F22AC">
        <w:t>Accelerated Relocation Certification</w:t>
      </w:r>
      <w:r w:rsidR="13869F4C">
        <w:t xml:space="preserve"> process</w:t>
      </w:r>
      <w:r w:rsidR="3B5013E2">
        <w:t>.</w:t>
      </w:r>
      <w:r>
        <w:rPr>
          <w:rStyle w:val="FootnoteReference"/>
        </w:rPr>
        <w:footnoteReference w:id="20"/>
      </w:r>
      <w:r w:rsidR="3B5013E2">
        <w:t xml:space="preserve"> </w:t>
      </w:r>
    </w:p>
    <w:p w:rsidR="001948DF" w:rsidP="007357E8" w14:paraId="39E87288" w14:textId="234CF344">
      <w:pPr>
        <w:rPr>
          <w:i/>
          <w:iCs/>
        </w:rPr>
      </w:pPr>
      <w:r>
        <w:rPr>
          <w:i/>
          <w:iCs/>
        </w:rPr>
        <w:tab/>
      </w:r>
    </w:p>
    <w:p w:rsidR="007357E8" w:rsidP="007357E8" w14:paraId="5A1D38D1" w14:textId="6822CD6E">
      <w:r>
        <w:rPr>
          <w:i/>
          <w:iCs/>
        </w:rPr>
        <w:tab/>
      </w:r>
      <w:r w:rsidRPr="671E321A">
        <w:rPr>
          <w:i/>
          <w:iCs/>
        </w:rPr>
        <w:t>Filing Procedures</w:t>
      </w:r>
      <w:r>
        <w:t xml:space="preserve">.  </w:t>
      </w:r>
      <w:r w:rsidR="006B4171">
        <w:t>To claim an ARP, e</w:t>
      </w:r>
      <w:r w:rsidR="2CE673CD">
        <w:t xml:space="preserve">ligible </w:t>
      </w:r>
      <w:r w:rsidR="41A7553A">
        <w:t>s</w:t>
      </w:r>
      <w:r w:rsidR="005D52CD">
        <w:t>pace station</w:t>
      </w:r>
      <w:r w:rsidR="00BD586F">
        <w:t xml:space="preserve"> operators</w:t>
      </w:r>
      <w:r>
        <w:t xml:space="preserve"> </w:t>
      </w:r>
      <w:r w:rsidR="006B4171">
        <w:t xml:space="preserve">must </w:t>
      </w:r>
      <w:r>
        <w:t xml:space="preserve">submit </w:t>
      </w:r>
      <w:r w:rsidR="623EC06D">
        <w:t>C</w:t>
      </w:r>
      <w:r>
        <w:t xml:space="preserve">ertifications to the Clearinghouse via </w:t>
      </w:r>
      <w:r w:rsidR="605BAB72">
        <w:t xml:space="preserve">any </w:t>
      </w:r>
      <w:r w:rsidR="008C5F4C">
        <w:t xml:space="preserve">of the </w:t>
      </w:r>
      <w:r>
        <w:t>communication methods</w:t>
      </w:r>
      <w:r w:rsidR="001129A0">
        <w:t xml:space="preserve"> </w:t>
      </w:r>
      <w:r w:rsidR="008C5F4C">
        <w:t xml:space="preserve">established </w:t>
      </w:r>
      <w:r w:rsidR="3356CEF4">
        <w:t>between those parties</w:t>
      </w:r>
      <w:r w:rsidR="00A61D7F">
        <w:t xml:space="preserve">.  In addition, these space station operators must file their Certifications with </w:t>
      </w:r>
      <w:r w:rsidR="001129A0">
        <w:t xml:space="preserve">WTB, </w:t>
      </w:r>
      <w:r w:rsidR="00A61D7F">
        <w:t>which</w:t>
      </w:r>
      <w:r w:rsidR="00D15A01">
        <w:t xml:space="preserve"> </w:t>
      </w:r>
      <w:r w:rsidR="00A61D7F">
        <w:t xml:space="preserve">may be done </w:t>
      </w:r>
      <w:r w:rsidR="00D15A01">
        <w:t xml:space="preserve">electronically with a submission to </w:t>
      </w:r>
      <w:r w:rsidRPr="00344A2E" w:rsidR="000E2528">
        <w:t>the FCC’s Electronic Comment Filing System (</w:t>
      </w:r>
      <w:r w:rsidR="001129A0">
        <w:t>ECFS</w:t>
      </w:r>
      <w:r w:rsidRPr="00344A2E" w:rsidR="000E2528">
        <w:t>)</w:t>
      </w:r>
      <w:r>
        <w:t xml:space="preserve">.  </w:t>
      </w:r>
      <w:r w:rsidR="009879D1">
        <w:t>While Certifications must be filed in GN Docket No. 18-122</w:t>
      </w:r>
      <w:r w:rsidR="62C6F92C">
        <w:t xml:space="preserve">, </w:t>
      </w:r>
      <w:r>
        <w:t xml:space="preserve">WTB </w:t>
      </w:r>
      <w:r w:rsidR="726B6B1E">
        <w:t xml:space="preserve">hereby </w:t>
      </w:r>
      <w:r>
        <w:t xml:space="preserve">creates new docket, </w:t>
      </w:r>
      <w:r w:rsidRPr="00DF79C4" w:rsidR="1B1FAA35">
        <w:t xml:space="preserve">GN </w:t>
      </w:r>
      <w:r w:rsidRPr="00DF79C4" w:rsidR="000A3CB4">
        <w:t xml:space="preserve">Docket No. </w:t>
      </w:r>
      <w:r w:rsidRPr="00DF79C4">
        <w:t>21-</w:t>
      </w:r>
      <w:r w:rsidR="004115A0">
        <w:t>320</w:t>
      </w:r>
      <w:r>
        <w:t xml:space="preserve">, </w:t>
      </w:r>
      <w:r w:rsidR="009879D1">
        <w:t xml:space="preserve">in which </w:t>
      </w:r>
      <w:r>
        <w:t>Certifications</w:t>
      </w:r>
      <w:r w:rsidR="009879D1">
        <w:t xml:space="preserve"> should also be filed</w:t>
      </w:r>
      <w:r w:rsidRPr="00344A2E" w:rsidR="00761DB7">
        <w:t xml:space="preserve">.  In addition, </w:t>
      </w:r>
      <w:r w:rsidRPr="00344A2E" w:rsidR="5A794730">
        <w:t xml:space="preserve">any </w:t>
      </w:r>
      <w:r w:rsidRPr="00344A2E" w:rsidR="65C10DF0">
        <w:t xml:space="preserve">related </w:t>
      </w:r>
      <w:r w:rsidRPr="00344A2E" w:rsidR="4849951E">
        <w:t>challenges</w:t>
      </w:r>
      <w:r w:rsidRPr="00344A2E" w:rsidR="00021B17">
        <w:t xml:space="preserve"> </w:t>
      </w:r>
      <w:r w:rsidRPr="00344A2E" w:rsidR="009879D1">
        <w:t>from stakeholders</w:t>
      </w:r>
      <w:r w:rsidRPr="00344A2E" w:rsidR="00761DB7">
        <w:t xml:space="preserve"> </w:t>
      </w:r>
      <w:r w:rsidRPr="00344A2E" w:rsidR="0020484A">
        <w:t>must be filed in this new docket</w:t>
      </w:r>
      <w:r w:rsidRPr="00344A2E">
        <w:t>.</w:t>
      </w:r>
      <w:r>
        <w:t xml:space="preserve">  If a </w:t>
      </w:r>
      <w:r w:rsidR="008F65F7">
        <w:t xml:space="preserve">stakeholder </w:t>
      </w:r>
      <w:r w:rsidR="0032717B">
        <w:t xml:space="preserve">seeks to </w:t>
      </w:r>
      <w:r w:rsidR="07C51CB3">
        <w:t>challenge</w:t>
      </w:r>
      <w:r>
        <w:t xml:space="preserve"> multiple </w:t>
      </w:r>
      <w:r w:rsidR="2A485764">
        <w:t xml:space="preserve">eligible </w:t>
      </w:r>
      <w:r w:rsidR="005D52CD">
        <w:t>space station</w:t>
      </w:r>
      <w:r w:rsidR="00BD586F">
        <w:t xml:space="preserve"> operator</w:t>
      </w:r>
      <w:r>
        <w:t xml:space="preserve"> Certifications, each </w:t>
      </w:r>
      <w:r w:rsidR="1E069F48">
        <w:t>challenge</w:t>
      </w:r>
      <w:r w:rsidR="342BCD80">
        <w:t xml:space="preserve"> </w:t>
      </w:r>
      <w:r>
        <w:t xml:space="preserve">must be filed separately with respect to each </w:t>
      </w:r>
      <w:r w:rsidR="13B1C128">
        <w:t>C</w:t>
      </w:r>
      <w:r>
        <w:t>ertification</w:t>
      </w:r>
      <w:r w:rsidR="00A6083B">
        <w:t xml:space="preserve"> in </w:t>
      </w:r>
      <w:r w:rsidRPr="00DF79C4" w:rsidR="008F65F7">
        <w:t xml:space="preserve">GN </w:t>
      </w:r>
      <w:r w:rsidRPr="00DF79C4" w:rsidR="000A3CB4">
        <w:t xml:space="preserve">Docket No. </w:t>
      </w:r>
      <w:r w:rsidRPr="00DF79C4" w:rsidR="008F65F7">
        <w:t>21-</w:t>
      </w:r>
      <w:r w:rsidR="004115A0">
        <w:t>320</w:t>
      </w:r>
      <w:r>
        <w:t>.</w:t>
      </w:r>
    </w:p>
    <w:p w:rsidR="007357E8" w:rsidP="007357E8" w14:paraId="409BAD2B" w14:textId="2F4F20B7"/>
    <w:p w:rsidR="00AD4AC5" w:rsidP="00AD4AC5" w14:paraId="33484EFE" w14:textId="4357FFBB">
      <w:pPr>
        <w:ind w:firstLine="720"/>
      </w:pPr>
      <w:r w:rsidRPr="671E321A">
        <w:rPr>
          <w:i/>
          <w:iCs/>
        </w:rPr>
        <w:t>Certification Content</w:t>
      </w:r>
      <w:r>
        <w:t xml:space="preserve">.  </w:t>
      </w:r>
      <w:r w:rsidR="00720A5C">
        <w:t xml:space="preserve">To satisfy the </w:t>
      </w:r>
      <w:r w:rsidR="00F24427">
        <w:t>Phase I d</w:t>
      </w:r>
      <w:r w:rsidR="00720A5C">
        <w:t>eadline, t</w:t>
      </w:r>
      <w:r>
        <w:t xml:space="preserve">he </w:t>
      </w:r>
      <w:r w:rsidR="08773020">
        <w:t>C</w:t>
      </w:r>
      <w:r>
        <w:t>ertification must describe in detail each action that was taken</w:t>
      </w:r>
      <w:r w:rsidR="5256A659">
        <w:t xml:space="preserve"> by the eligible space station operator</w:t>
      </w:r>
      <w:r>
        <w:t xml:space="preserve">, including the date of completion, in a similar format and content to </w:t>
      </w:r>
      <w:r w:rsidR="76306265">
        <w:t xml:space="preserve">that </w:t>
      </w:r>
      <w:r w:rsidR="005D52CD">
        <w:t>operator</w:t>
      </w:r>
      <w:r>
        <w:t>’s Transition Plan</w:t>
      </w:r>
      <w:r w:rsidR="00D02C70">
        <w:t>.  This description should</w:t>
      </w:r>
      <w:r>
        <w:t xml:space="preserve"> includ</w:t>
      </w:r>
      <w:r w:rsidR="00C95CDA">
        <w:t>e</w:t>
      </w:r>
      <w:r>
        <w:t xml:space="preserve"> (but </w:t>
      </w:r>
      <w:r w:rsidR="00C95CDA">
        <w:t xml:space="preserve">is </w:t>
      </w:r>
      <w:r>
        <w:t>not limited to):</w:t>
      </w:r>
    </w:p>
    <w:p w:rsidR="00F871F6" w:rsidP="00AD4AC5" w14:paraId="21FA895E" w14:textId="77777777">
      <w:pPr>
        <w:ind w:firstLine="720"/>
      </w:pPr>
    </w:p>
    <w:p w:rsidR="00AD4AC5" w:rsidP="671E321A" w14:paraId="0C9B8BA1" w14:textId="1CB4DF1C">
      <w:pPr>
        <w:numPr>
          <w:ilvl w:val="0"/>
          <w:numId w:val="7"/>
        </w:numPr>
        <w:rPr>
          <w:szCs w:val="22"/>
        </w:rPr>
      </w:pPr>
      <w:r>
        <w:t xml:space="preserve">The operations that were repacked to satisfy the </w:t>
      </w:r>
      <w:r w:rsidR="00F24427">
        <w:t xml:space="preserve">Phase I </w:t>
      </w:r>
      <w:r w:rsidR="00F24427">
        <w:t>d</w:t>
      </w:r>
      <w:r w:rsidR="78D85EE8">
        <w:t>eadline</w:t>
      </w:r>
      <w:r>
        <w:t>;</w:t>
      </w:r>
      <w:r>
        <w:t xml:space="preserve"> </w:t>
      </w:r>
    </w:p>
    <w:p w:rsidR="00AD4AC5" w:rsidP="00AD4AC5" w14:paraId="4048896E" w14:textId="38E40D50">
      <w:pPr>
        <w:numPr>
          <w:ilvl w:val="0"/>
          <w:numId w:val="7"/>
        </w:numPr>
      </w:pPr>
      <w:r>
        <w:t>The number of new satellites, if any, that the</w:t>
      </w:r>
      <w:r w:rsidR="005D52CD">
        <w:t xml:space="preserve"> </w:t>
      </w:r>
      <w:r w:rsidR="01782926">
        <w:t xml:space="preserve">eligible </w:t>
      </w:r>
      <w:r w:rsidR="005D52CD">
        <w:t>space station</w:t>
      </w:r>
      <w:r w:rsidR="006914E6">
        <w:t xml:space="preserve"> operator</w:t>
      </w:r>
      <w:r>
        <w:t xml:space="preserve"> launched, including</w:t>
      </w:r>
      <w:r w:rsidR="5FF92BA8">
        <w:t xml:space="preserve"> the</w:t>
      </w:r>
      <w:r>
        <w:t xml:space="preserve"> date</w:t>
      </w:r>
      <w:r w:rsidR="089EA3D4">
        <w:t>s</w:t>
      </w:r>
      <w:r>
        <w:t xml:space="preserve"> of launch, reaching final orbit, and </w:t>
      </w:r>
      <w:r w:rsidR="07DEBF8A">
        <w:t xml:space="preserve">start of </w:t>
      </w:r>
      <w:r>
        <w:t>operation</w:t>
      </w:r>
      <w:r w:rsidR="0AF508A5">
        <w:t>s</w:t>
      </w:r>
      <w:r>
        <w:t>;</w:t>
      </w:r>
      <w:r>
        <w:t xml:space="preserve"> </w:t>
      </w:r>
    </w:p>
    <w:p w:rsidR="00AD4AC5" w:rsidP="00AD4AC5" w14:paraId="61473424" w14:textId="2A471444">
      <w:pPr>
        <w:numPr>
          <w:ilvl w:val="0"/>
          <w:numId w:val="7"/>
        </w:numPr>
      </w:pPr>
      <w:r>
        <w:t xml:space="preserve">A description of how services were migrated to </w:t>
      </w:r>
      <w:r w:rsidR="00EB5A14">
        <w:t xml:space="preserve">the </w:t>
      </w:r>
      <w:r>
        <w:t>upper portion of the band, including the pre- and post-transition frequencies that each customer occupied</w:t>
      </w:r>
      <w:r w:rsidR="00720A5C">
        <w:t xml:space="preserve"> and </w:t>
      </w:r>
      <w:r>
        <w:t xml:space="preserve">now </w:t>
      </w:r>
      <w:r>
        <w:t>occupies;</w:t>
      </w:r>
      <w:r>
        <w:t xml:space="preserve"> </w:t>
      </w:r>
    </w:p>
    <w:p w:rsidR="00AD4AC5" w:rsidP="00AD4AC5" w14:paraId="702272D6" w14:textId="453FD57B">
      <w:pPr>
        <w:numPr>
          <w:ilvl w:val="0"/>
          <w:numId w:val="7"/>
        </w:numPr>
      </w:pPr>
      <w:r>
        <w:t xml:space="preserve">Any necessary technology upgrades or other solutions, such as video compression or modulation, that the </w:t>
      </w:r>
      <w:r w:rsidR="2F4B0CBA">
        <w:t xml:space="preserve">eligible </w:t>
      </w:r>
      <w:r w:rsidR="005D52CD">
        <w:t>space station operator</w:t>
      </w:r>
      <w:r>
        <w:t xml:space="preserve"> implemented</w:t>
      </w:r>
      <w:r w:rsidR="000B7983">
        <w:t>,</w:t>
      </w:r>
      <w:r w:rsidR="00720A5C">
        <w:t xml:space="preserve"> described on a per antenna and</w:t>
      </w:r>
      <w:r w:rsidR="0032717B">
        <w:t>/or</w:t>
      </w:r>
      <w:r w:rsidR="00720A5C">
        <w:t xml:space="preserve"> feed basis</w:t>
      </w:r>
      <w:r w:rsidR="0032717B">
        <w:t xml:space="preserve">, as </w:t>
      </w:r>
      <w:r w:rsidR="0032717B">
        <w:t>appropriate</w:t>
      </w:r>
      <w:r>
        <w:t>;</w:t>
      </w:r>
      <w:r>
        <w:t xml:space="preserve"> </w:t>
      </w:r>
    </w:p>
    <w:p w:rsidR="00AD4AC5" w:rsidP="671E321A" w14:paraId="7E7B7F3C" w14:textId="6E297AA8">
      <w:pPr>
        <w:numPr>
          <w:ilvl w:val="0"/>
          <w:numId w:val="7"/>
        </w:numPr>
        <w:rPr>
          <w:szCs w:val="22"/>
        </w:rPr>
      </w:pPr>
      <w:r>
        <w:t xml:space="preserve">The number and location of antennas and feeds that were transitioned to satisfy the </w:t>
      </w:r>
      <w:r w:rsidR="00F24427">
        <w:t>Phase I d</w:t>
      </w:r>
      <w:r w:rsidR="01FC5B48">
        <w:t>eadline</w:t>
      </w:r>
      <w:r>
        <w:t>, including the actions taken (</w:t>
      </w:r>
      <w:r w:rsidRPr="008C3782">
        <w:rPr>
          <w:i/>
          <w:iCs/>
        </w:rPr>
        <w:t>e.g.</w:t>
      </w:r>
      <w:r>
        <w:t>, retuning</w:t>
      </w:r>
      <w:r w:rsidR="00720A5C">
        <w:t xml:space="preserve"> and </w:t>
      </w:r>
      <w:r>
        <w:t>repointing)</w:t>
      </w:r>
      <w:r w:rsidR="00720A5C">
        <w:t xml:space="preserve"> for </w:t>
      </w:r>
      <w:r w:rsidR="00720A5C">
        <w:t>each</w:t>
      </w:r>
      <w:r>
        <w:t>;</w:t>
      </w:r>
    </w:p>
    <w:p w:rsidR="00AD4AC5" w:rsidP="00AD4AC5" w14:paraId="0F4268A6" w14:textId="77777777">
      <w:pPr>
        <w:numPr>
          <w:ilvl w:val="0"/>
          <w:numId w:val="7"/>
        </w:numPr>
      </w:pPr>
      <w:r>
        <w:t xml:space="preserve">The date of completion of the above </w:t>
      </w:r>
      <w:r>
        <w:t>items;</w:t>
      </w:r>
    </w:p>
    <w:p w:rsidR="00AD4AC5" w:rsidP="00AD4AC5" w14:paraId="4EC20F27" w14:textId="485376EB">
      <w:pPr>
        <w:numPr>
          <w:ilvl w:val="0"/>
          <w:numId w:val="7"/>
        </w:numPr>
      </w:pPr>
      <w:r>
        <w:t xml:space="preserve">A description of the steps </w:t>
      </w:r>
      <w:r w:rsidR="004E1F39">
        <w:t xml:space="preserve">that </w:t>
      </w:r>
      <w:r w:rsidR="076E085F">
        <w:t xml:space="preserve">the eligible space station operator </w:t>
      </w:r>
      <w:r>
        <w:t>has taken to identify all associated earth stations, antennas, and feeds</w:t>
      </w:r>
      <w:r w:rsidR="4707B974">
        <w:t>,</w:t>
      </w:r>
      <w:r>
        <w:t xml:space="preserve"> and </w:t>
      </w:r>
      <w:r w:rsidR="4707B974">
        <w:t xml:space="preserve">to </w:t>
      </w:r>
      <w:r>
        <w:t xml:space="preserve">ensure that </w:t>
      </w:r>
      <w:r w:rsidR="31246542">
        <w:t>they are all</w:t>
      </w:r>
      <w:r>
        <w:t xml:space="preserve"> are transitioned as of the date of </w:t>
      </w:r>
      <w:r w:rsidR="00F24427">
        <w:t>C</w:t>
      </w:r>
      <w:r>
        <w:t>ertification</w:t>
      </w:r>
      <w:r w:rsidR="60E11C72">
        <w:t>;</w:t>
      </w:r>
    </w:p>
    <w:p w:rsidR="00B95C34" w:rsidP="00B95C34" w14:paraId="694A9E8D" w14:textId="3473B8CD">
      <w:pPr>
        <w:numPr>
          <w:ilvl w:val="0"/>
          <w:numId w:val="7"/>
        </w:numPr>
      </w:pPr>
      <w:r w:rsidRPr="00B95C34">
        <w:t xml:space="preserve">Details relating to any variances from the </w:t>
      </w:r>
      <w:r w:rsidRPr="00B95C34" w:rsidR="317F5305">
        <w:t xml:space="preserve">eligible </w:t>
      </w:r>
      <w:r w:rsidR="005D52CD">
        <w:t>space station operator</w:t>
      </w:r>
      <w:r w:rsidRPr="00B95C34">
        <w:t>’s Transition Plan, such as antennas</w:t>
      </w:r>
      <w:r>
        <w:t xml:space="preserve"> and </w:t>
      </w:r>
      <w:r w:rsidRPr="00B95C34">
        <w:t xml:space="preserve">feeds </w:t>
      </w:r>
      <w:r w:rsidR="00E71618">
        <w:t>involving</w:t>
      </w:r>
      <w:r w:rsidRPr="006C6BEC" w:rsidR="006C6BEC">
        <w:t xml:space="preserve"> circumstances beyond the control of the </w:t>
      </w:r>
      <w:r w:rsidR="007379F7">
        <w:t xml:space="preserve">eligible </w:t>
      </w:r>
      <w:r w:rsidRPr="006C6BEC" w:rsidR="006C6BEC">
        <w:t xml:space="preserve">space station operator and </w:t>
      </w:r>
      <w:r w:rsidR="006C6BEC">
        <w:t xml:space="preserve">therefore </w:t>
      </w:r>
      <w:r w:rsidRPr="00B95C34">
        <w:t xml:space="preserve">subject to a </w:t>
      </w:r>
      <w:r w:rsidRPr="00B95C34" w:rsidR="14E8D6E6">
        <w:t xml:space="preserve">transition delay </w:t>
      </w:r>
      <w:r w:rsidRPr="00B95C34">
        <w:t>notice</w:t>
      </w:r>
      <w:r w:rsidR="0032717B">
        <w:t>,</w:t>
      </w:r>
      <w:r>
        <w:rPr>
          <w:rStyle w:val="FootnoteReference"/>
        </w:rPr>
        <w:footnoteReference w:id="21"/>
      </w:r>
      <w:r w:rsidRPr="00B95C34">
        <w:t xml:space="preserve"> </w:t>
      </w:r>
      <w:r w:rsidR="001014EA">
        <w:t xml:space="preserve">and antennas and feeds that are </w:t>
      </w:r>
      <w:r w:rsidRPr="00B95C34">
        <w:t xml:space="preserve">otherwise pending removal from </w:t>
      </w:r>
      <w:r w:rsidRPr="00B95C34" w:rsidR="428D9AFE">
        <w:t>the most recent</w:t>
      </w:r>
      <w:r w:rsidRPr="00B95C34">
        <w:t xml:space="preserve"> Incumbent Earth Station list</w:t>
      </w:r>
      <w:r>
        <w:rPr>
          <w:rStyle w:val="FootnoteReference"/>
        </w:rPr>
        <w:footnoteReference w:id="22"/>
      </w:r>
      <w:r w:rsidR="0032717B">
        <w:t xml:space="preserve"> or subject to an agreement </w:t>
      </w:r>
      <w:r w:rsidR="346D1138">
        <w:t>regarding the transition</w:t>
      </w:r>
      <w:r w:rsidR="2310A9BB">
        <w:t xml:space="preserve"> </w:t>
      </w:r>
      <w:r w:rsidR="0032717B">
        <w:t xml:space="preserve">between the </w:t>
      </w:r>
      <w:r w:rsidR="0BE50B07">
        <w:t xml:space="preserve">eligible </w:t>
      </w:r>
      <w:r w:rsidR="0032717B">
        <w:t>space station operator and the earth station operator</w:t>
      </w:r>
      <w:r w:rsidRPr="00B95C34">
        <w:t>.</w:t>
      </w:r>
      <w:r>
        <w:rPr>
          <w:rStyle w:val="FootnoteReference"/>
        </w:rPr>
        <w:footnoteReference w:id="23"/>
      </w:r>
      <w:r w:rsidR="008C3782">
        <w:t xml:space="preserve"> </w:t>
      </w:r>
    </w:p>
    <w:p w:rsidR="00AD4AC5" w:rsidP="00AD4AC5" w14:paraId="2F2C6CB7" w14:textId="77777777"/>
    <w:p w:rsidR="009E0C4C" w:rsidP="00642AA6" w14:paraId="6D037534" w14:textId="5C928D58">
      <w:pPr>
        <w:ind w:firstLine="720"/>
      </w:pPr>
      <w:r>
        <w:t>The</w:t>
      </w:r>
      <w:r w:rsidR="6384FE9B">
        <w:t xml:space="preserve"> </w:t>
      </w:r>
      <w:r w:rsidR="61D7718C">
        <w:t xml:space="preserve">eligible </w:t>
      </w:r>
      <w:r w:rsidR="0D6F4D69">
        <w:t>space station</w:t>
      </w:r>
      <w:r w:rsidR="6384FE9B">
        <w:t xml:space="preserve"> operator</w:t>
      </w:r>
      <w:r>
        <w:t xml:space="preserve"> must certify that it attests to the truthfulness of </w:t>
      </w:r>
      <w:r w:rsidR="041C8F67">
        <w:t xml:space="preserve">the </w:t>
      </w:r>
      <w:r>
        <w:t>above information and is making the Certification in good faith.</w:t>
      </w:r>
      <w:r>
        <w:rPr>
          <w:rStyle w:val="FootnoteReference"/>
        </w:rPr>
        <w:footnoteReference w:id="24"/>
      </w:r>
      <w:r w:rsidR="00A96C69">
        <w:t xml:space="preserve"> </w:t>
      </w:r>
      <w:r w:rsidR="00B41EDC">
        <w:t xml:space="preserve"> Eligible space stations operators are reminded that </w:t>
      </w:r>
      <w:r w:rsidRPr="006F3C95" w:rsidR="00B41EDC">
        <w:t>Certification</w:t>
      </w:r>
      <w:r w:rsidR="00B41EDC">
        <w:t>s</w:t>
      </w:r>
      <w:r w:rsidRPr="006F3C95" w:rsidR="00B41EDC">
        <w:t xml:space="preserve"> </w:t>
      </w:r>
      <w:r w:rsidR="00B41EDC">
        <w:t>are subject to section 1.17 of the Commission’s rules and violators will be subject to potential</w:t>
      </w:r>
      <w:r w:rsidRPr="006F3C95" w:rsidR="00B41EDC">
        <w:t xml:space="preserve"> enforcement action, including </w:t>
      </w:r>
      <w:r w:rsidR="00B41EDC">
        <w:t xml:space="preserve">monetary penalties or </w:t>
      </w:r>
      <w:r w:rsidRPr="006F3C95" w:rsidR="00B41EDC">
        <w:t>actions affect</w:t>
      </w:r>
      <w:r w:rsidR="00B41EDC">
        <w:t>ing</w:t>
      </w:r>
      <w:r w:rsidRPr="006F3C95" w:rsidR="00B41EDC">
        <w:t xml:space="preserve"> the </w:t>
      </w:r>
      <w:r w:rsidR="00B41EDC">
        <w:t xml:space="preserve">eligible </w:t>
      </w:r>
      <w:r w:rsidRPr="006F3C95" w:rsidR="00B41EDC">
        <w:t>space station operator’s market access authorization or status as a licensee</w:t>
      </w:r>
      <w:r w:rsidRPr="00071847" w:rsidR="00B41EDC">
        <w:t>.</w:t>
      </w:r>
      <w:r>
        <w:rPr>
          <w:rStyle w:val="FootnoteReference"/>
        </w:rPr>
        <w:footnoteReference w:id="25"/>
      </w:r>
      <w:r w:rsidRPr="00071847" w:rsidR="00B41EDC">
        <w:t xml:space="preserve">  </w:t>
      </w:r>
      <w:r w:rsidR="00B41EDC">
        <w:t xml:space="preserve">The </w:t>
      </w:r>
      <w:r w:rsidR="00EB5A14">
        <w:t xml:space="preserve">Bureau </w:t>
      </w:r>
      <w:r w:rsidR="00B41EDC">
        <w:t xml:space="preserve">will determine </w:t>
      </w:r>
      <w:r w:rsidR="00272537">
        <w:t xml:space="preserve">that </w:t>
      </w:r>
      <w:r w:rsidR="00B41EDC">
        <w:t xml:space="preserve">a </w:t>
      </w:r>
      <w:r w:rsidR="00B41EDC">
        <w:t xml:space="preserve">Certification </w:t>
      </w:r>
      <w:r w:rsidR="00272537">
        <w:t xml:space="preserve">has been </w:t>
      </w:r>
      <w:r w:rsidR="00B41EDC">
        <w:t>made in bad faith if</w:t>
      </w:r>
      <w:r w:rsidR="00E71618">
        <w:t>, for example,</w:t>
      </w:r>
      <w:r w:rsidR="00B41EDC">
        <w:t xml:space="preserve"> the certifying party makes a statement that is false and if it finds the party did not </w:t>
      </w:r>
      <w:r w:rsidRPr="002068E2" w:rsidR="00B41EDC">
        <w:t>use due diligence in providing information that is correct and not misleading to the Commission, including taking appropriate affirmative steps to determine the truthfulness of what is being submitted</w:t>
      </w:r>
      <w:r w:rsidR="00B41EDC">
        <w:t>.</w:t>
      </w:r>
      <w:r>
        <w:rPr>
          <w:rStyle w:val="FootnoteReference"/>
        </w:rPr>
        <w:footnoteReference w:id="26"/>
      </w:r>
      <w:r w:rsidR="00B41EDC">
        <w:t xml:space="preserve">  </w:t>
      </w:r>
      <w:r w:rsidRPr="00071847" w:rsidR="00B41EDC">
        <w:t>In cases where</w:t>
      </w:r>
      <w:r w:rsidR="00B41EDC">
        <w:t xml:space="preserve"> it is found that</w:t>
      </w:r>
      <w:r w:rsidRPr="00071847" w:rsidR="00B41EDC">
        <w:t xml:space="preserve"> the</w:t>
      </w:r>
      <w:r w:rsidR="00B41EDC">
        <w:t xml:space="preserve"> ARP was disbursed based on </w:t>
      </w:r>
      <w:r w:rsidRPr="00071847" w:rsidR="00B41EDC">
        <w:t xml:space="preserve">a Certification </w:t>
      </w:r>
      <w:r w:rsidR="00B41EDC">
        <w:t xml:space="preserve">that the eligible space station operator had filed </w:t>
      </w:r>
      <w:r w:rsidRPr="00071847" w:rsidR="00B41EDC">
        <w:t xml:space="preserve">in bad faith, </w:t>
      </w:r>
      <w:r w:rsidR="00B41EDC">
        <w:t xml:space="preserve">the operator </w:t>
      </w:r>
      <w:r w:rsidRPr="00071847" w:rsidR="00B41EDC">
        <w:t>may be subject to the additional consequence of having to return</w:t>
      </w:r>
      <w:r w:rsidR="00B41EDC">
        <w:t xml:space="preserve"> some or all of</w:t>
      </w:r>
      <w:r w:rsidRPr="00071847" w:rsidR="00B41EDC">
        <w:t xml:space="preserve"> the ARP</w:t>
      </w:r>
      <w:r w:rsidR="00B41EDC">
        <w:t>, depending on the circumstances.</w:t>
      </w:r>
      <w:r>
        <w:rPr>
          <w:rStyle w:val="FootnoteReference"/>
        </w:rPr>
        <w:footnoteReference w:id="27"/>
      </w:r>
      <w:r>
        <w:t xml:space="preserve"> </w:t>
      </w:r>
      <w:r w:rsidR="0000691E">
        <w:t xml:space="preserve"> </w:t>
      </w:r>
    </w:p>
    <w:p w:rsidR="00E145F4" w:rsidP="6242C072" w14:paraId="254DEF72" w14:textId="77777777"/>
    <w:p w:rsidR="005E238A" w14:paraId="67B25AF8" w14:textId="4B354A59">
      <w:pPr>
        <w:ind w:firstLine="720"/>
      </w:pPr>
      <w:r>
        <w:t xml:space="preserve">We note that </w:t>
      </w:r>
      <w:r w:rsidR="00B41EDC">
        <w:t>subsequent to</w:t>
      </w:r>
      <w:r w:rsidR="00B41EDC">
        <w:t xml:space="preserve"> the filing of the </w:t>
      </w:r>
      <w:r w:rsidR="6452D0BA">
        <w:t>C</w:t>
      </w:r>
      <w:r w:rsidR="00B41EDC">
        <w:t xml:space="preserve">ertification </w:t>
      </w:r>
      <w:r>
        <w:t>t</w:t>
      </w:r>
      <w:r w:rsidR="00AF463A">
        <w:t>he Bureau may, based on the information filed by the eligible space station operator</w:t>
      </w:r>
      <w:r w:rsidR="0076453C">
        <w:t xml:space="preserve"> or </w:t>
      </w:r>
      <w:r w:rsidR="007534AA">
        <w:t>contained in a challenge to th</w:t>
      </w:r>
      <w:r w:rsidR="00A77038">
        <w:t>at operator’s</w:t>
      </w:r>
      <w:r w:rsidR="007534AA">
        <w:t xml:space="preserve"> Certification</w:t>
      </w:r>
      <w:r w:rsidR="00AF463A">
        <w:t xml:space="preserve">, </w:t>
      </w:r>
      <w:r w:rsidR="0076453C">
        <w:t>request additional information from th</w:t>
      </w:r>
      <w:r w:rsidR="007534AA">
        <w:t>e operator</w:t>
      </w:r>
      <w:r w:rsidR="006C2982">
        <w:t xml:space="preserve">.  </w:t>
      </w:r>
      <w:r w:rsidR="008A57AE">
        <w:t xml:space="preserve">Because such information may prove necessary to determine whether </w:t>
      </w:r>
      <w:r w:rsidR="008871E6">
        <w:t>the elig</w:t>
      </w:r>
      <w:r w:rsidR="00397032">
        <w:t>i</w:t>
      </w:r>
      <w:r w:rsidR="008871E6">
        <w:t xml:space="preserve">ble space station operator </w:t>
      </w:r>
      <w:r w:rsidR="00397032">
        <w:t>completed the</w:t>
      </w:r>
      <w:r w:rsidR="00DB1BFC">
        <w:t xml:space="preserve"> relocation by the relevant accelerated deadline, </w:t>
      </w:r>
      <w:r w:rsidR="00243159">
        <w:t>eligible space station operators must respond to such requests for information</w:t>
      </w:r>
      <w:r w:rsidR="00A96C69">
        <w:t xml:space="preserve"> </w:t>
      </w:r>
      <w:r w:rsidR="008404FE">
        <w:t xml:space="preserve">in a </w:t>
      </w:r>
      <w:r w:rsidR="00B92B74">
        <w:t xml:space="preserve">prompt </w:t>
      </w:r>
      <w:r w:rsidR="00131CAA">
        <w:t xml:space="preserve">and complete </w:t>
      </w:r>
      <w:r w:rsidR="00B92B74">
        <w:t>manner.</w:t>
      </w:r>
    </w:p>
    <w:p w:rsidR="00E145F4" w:rsidP="00A96C69" w14:paraId="0BBC289E" w14:textId="77777777">
      <w:pPr>
        <w:ind w:firstLine="720"/>
      </w:pPr>
    </w:p>
    <w:p w:rsidR="00F262A1" w:rsidP="00A96C69" w14:paraId="5E06D8D1" w14:textId="692B392E">
      <w:pPr>
        <w:ind w:firstLine="720"/>
      </w:pPr>
      <w:r>
        <w:t>If</w:t>
      </w:r>
      <w:r w:rsidR="00216860">
        <w:t>,</w:t>
      </w:r>
      <w:r w:rsidR="5F61774D">
        <w:t xml:space="preserve"> </w:t>
      </w:r>
      <w:r w:rsidRPr="007B619B" w:rsidR="5F61774D">
        <w:t>after the resolution of any credible challenges and the disbursement of the ARP</w:t>
      </w:r>
      <w:r w:rsidR="4146D4CB">
        <w:t>,</w:t>
      </w:r>
      <w:r w:rsidRPr="007B619B" w:rsidR="5F61774D">
        <w:t xml:space="preserve"> </w:t>
      </w:r>
      <w:r>
        <w:t>it is subsequently found</w:t>
      </w:r>
      <w:r w:rsidR="5F61774D">
        <w:t xml:space="preserve">, </w:t>
      </w:r>
      <w:r>
        <w:t>by the Relocation Coordinator</w:t>
      </w:r>
      <w:r w:rsidR="041C8F67">
        <w:t>, Clearinghouse,</w:t>
      </w:r>
      <w:r w:rsidR="5F61774D">
        <w:t xml:space="preserve"> </w:t>
      </w:r>
      <w:r w:rsidR="198E618D">
        <w:t xml:space="preserve">or </w:t>
      </w:r>
      <w:r w:rsidR="041C8F67">
        <w:t>WTB</w:t>
      </w:r>
      <w:r w:rsidR="198E618D">
        <w:t>,</w:t>
      </w:r>
      <w:r>
        <w:t xml:space="preserve"> </w:t>
      </w:r>
      <w:r w:rsidRPr="00071847" w:rsidR="148649A0">
        <w:t xml:space="preserve">that the </w:t>
      </w:r>
      <w:r w:rsidRPr="00071847" w:rsidR="7FF4060A">
        <w:t xml:space="preserve">eligible </w:t>
      </w:r>
      <w:r w:rsidR="0D6F4D69">
        <w:t>space station</w:t>
      </w:r>
      <w:r w:rsidR="6384FE9B">
        <w:t xml:space="preserve"> operator </w:t>
      </w:r>
      <w:r w:rsidRPr="00071847" w:rsidR="148649A0">
        <w:t xml:space="preserve">should have transitioned additional earth stations, antennas, or feeds that it did not account for in its </w:t>
      </w:r>
      <w:r w:rsidRPr="00071847" w:rsidR="2BDC059D">
        <w:t xml:space="preserve">Transition Plan and </w:t>
      </w:r>
      <w:r w:rsidRPr="00071847" w:rsidR="148649A0">
        <w:t>Certification</w:t>
      </w:r>
      <w:r w:rsidR="041C8F67">
        <w:t>(s)</w:t>
      </w:r>
      <w:r w:rsidRPr="00071847" w:rsidR="148649A0">
        <w:t xml:space="preserve">, the </w:t>
      </w:r>
      <w:r w:rsidRPr="00071847" w:rsidR="43B6D2B9">
        <w:t xml:space="preserve">eligible </w:t>
      </w:r>
      <w:r w:rsidR="0D6F4D69">
        <w:t>space station</w:t>
      </w:r>
      <w:r w:rsidR="6384FE9B">
        <w:t xml:space="preserve"> operator</w:t>
      </w:r>
      <w:r w:rsidR="0B65FA8E">
        <w:t xml:space="preserve"> </w:t>
      </w:r>
      <w:r w:rsidR="041C8F67">
        <w:t xml:space="preserve">will be required to </w:t>
      </w:r>
      <w:r w:rsidRPr="00071847" w:rsidR="48DC4CA1">
        <w:t xml:space="preserve">remediate </w:t>
      </w:r>
      <w:r w:rsidRPr="00071847" w:rsidR="148649A0">
        <w:t xml:space="preserve">such </w:t>
      </w:r>
      <w:r w:rsidRPr="00071847" w:rsidR="3A67FC8F">
        <w:t>earth stations, antennas</w:t>
      </w:r>
      <w:r w:rsidR="1317CF74">
        <w:t>,</w:t>
      </w:r>
      <w:r w:rsidRPr="00071847" w:rsidR="3A67FC8F">
        <w:t xml:space="preserve"> or feeds</w:t>
      </w:r>
      <w:r w:rsidR="3EA056B1">
        <w:t xml:space="preserve"> in a prompt and effective manner</w:t>
      </w:r>
      <w:r w:rsidR="148649A0">
        <w:t>.</w:t>
      </w:r>
      <w:r>
        <w:rPr>
          <w:rStyle w:val="FootnoteReference"/>
        </w:rPr>
        <w:footnoteReference w:id="28"/>
      </w:r>
      <w:r w:rsidR="148649A0">
        <w:t xml:space="preserve">  </w:t>
      </w:r>
      <w:r w:rsidR="04B24DC5">
        <w:t xml:space="preserve">  </w:t>
      </w:r>
    </w:p>
    <w:bookmarkEnd w:id="1"/>
    <w:p w:rsidR="00B94890" w14:paraId="284FAE13" w14:textId="330BDC98">
      <w:r>
        <w:tab/>
      </w:r>
    </w:p>
    <w:p w:rsidR="00AD4AC5" w:rsidP="00BB091E" w14:paraId="691A76F4" w14:textId="119C4556">
      <w:pPr>
        <w:widowControl/>
      </w:pPr>
      <w:r>
        <w:tab/>
      </w:r>
      <w:r w:rsidRPr="541D9277" w:rsidR="0BA1236C">
        <w:rPr>
          <w:i/>
          <w:iCs/>
        </w:rPr>
        <w:t>Challenges.</w:t>
      </w:r>
      <w:r w:rsidR="0BA1236C">
        <w:t xml:space="preserve"> </w:t>
      </w:r>
      <w:r w:rsidR="00742249">
        <w:t xml:space="preserve"> </w:t>
      </w:r>
      <w:r w:rsidR="64D571C8">
        <w:t xml:space="preserve">Challenges to </w:t>
      </w:r>
      <w:r w:rsidR="33E07A95">
        <w:t xml:space="preserve">a </w:t>
      </w:r>
      <w:r w:rsidR="64D571C8">
        <w:t xml:space="preserve">Certification must be filed in </w:t>
      </w:r>
      <w:r w:rsidRPr="00DF79C4" w:rsidR="33E07A95">
        <w:t>GN Docket No. 21-</w:t>
      </w:r>
      <w:r w:rsidR="004115A0">
        <w:t>320</w:t>
      </w:r>
      <w:r w:rsidR="64D571C8">
        <w:t xml:space="preserve"> within ten (10) days after the Certification is </w:t>
      </w:r>
      <w:r w:rsidR="0B4828F2">
        <w:t>published in ECFS</w:t>
      </w:r>
      <w:r w:rsidR="64D571C8">
        <w:t xml:space="preserve"> and the eligible space station operators’ replies must be filed</w:t>
      </w:r>
      <w:r w:rsidR="33E07A95">
        <w:t xml:space="preserve"> in that docket</w:t>
      </w:r>
      <w:r w:rsidR="64D571C8">
        <w:t xml:space="preserve"> within five (5) days.</w:t>
      </w:r>
      <w:r>
        <w:rPr>
          <w:rStyle w:val="FootnoteReference"/>
        </w:rPr>
        <w:footnoteReference w:id="29"/>
      </w:r>
      <w:r w:rsidR="64D571C8">
        <w:t xml:space="preserve">  </w:t>
      </w:r>
      <w:r w:rsidR="79D8157E">
        <w:t>Pursuant to the</w:t>
      </w:r>
      <w:r w:rsidR="7D102912">
        <w:t xml:space="preserve"> </w:t>
      </w:r>
      <w:r w:rsidRPr="541D9277" w:rsidR="7D102912">
        <w:rPr>
          <w:i/>
          <w:iCs/>
        </w:rPr>
        <w:t>3.7 GHz Report and Order</w:t>
      </w:r>
      <w:r w:rsidR="79D8157E">
        <w:t>,</w:t>
      </w:r>
      <w:r w:rsidR="7D102912">
        <w:t xml:space="preserve"> WTB will announce </w:t>
      </w:r>
      <w:r w:rsidR="34E3723B">
        <w:t xml:space="preserve">by </w:t>
      </w:r>
      <w:r w:rsidR="34095C74">
        <w:t>P</w:t>
      </w:r>
      <w:r w:rsidR="34E3723B">
        <w:t xml:space="preserve">ublic </w:t>
      </w:r>
      <w:r w:rsidR="2DEE95B2">
        <w:t>N</w:t>
      </w:r>
      <w:r w:rsidR="34E3723B">
        <w:t xml:space="preserve">otice </w:t>
      </w:r>
      <w:r w:rsidR="7D102912">
        <w:t>whether credible challenges have been made within 30 days of the Certification’s filing.</w:t>
      </w:r>
      <w:r>
        <w:rPr>
          <w:rStyle w:val="FootnoteReference"/>
        </w:rPr>
        <w:footnoteReference w:id="30"/>
      </w:r>
      <w:r w:rsidR="0730A887">
        <w:t xml:space="preserve">  </w:t>
      </w:r>
      <w:r w:rsidR="7CC13408">
        <w:t xml:space="preserve">After reviewing </w:t>
      </w:r>
      <w:r w:rsidR="42BE1F20">
        <w:t xml:space="preserve">a </w:t>
      </w:r>
      <w:r w:rsidR="53A43289">
        <w:t>C</w:t>
      </w:r>
      <w:r w:rsidR="7CC13408">
        <w:t xml:space="preserve">ertification and </w:t>
      </w:r>
      <w:r w:rsidRPr="00344A2E" w:rsidR="0C050290">
        <w:t>any</w:t>
      </w:r>
      <w:r w:rsidR="0C050290">
        <w:t xml:space="preserve"> </w:t>
      </w:r>
      <w:r w:rsidR="7CC13408">
        <w:t>relevant challenges</w:t>
      </w:r>
      <w:r w:rsidR="5A4927D3">
        <w:t>,</w:t>
      </w:r>
      <w:r w:rsidR="0F57E8BF">
        <w:t xml:space="preserve"> WTB wi</w:t>
      </w:r>
      <w:r w:rsidR="0730A887">
        <w:t>ll</w:t>
      </w:r>
      <w:r w:rsidR="0F57E8BF">
        <w:t xml:space="preserve"> issue one of two Public Notices. </w:t>
      </w:r>
      <w:r w:rsidR="62178E23">
        <w:t xml:space="preserve"> </w:t>
      </w:r>
      <w:r w:rsidR="0F57E8BF">
        <w:t>If there are no credible challenges, WTB will</w:t>
      </w:r>
      <w:r w:rsidR="7CC13408">
        <w:t xml:space="preserve"> issue a </w:t>
      </w:r>
      <w:r w:rsidR="6C74CB4D">
        <w:t>P</w:t>
      </w:r>
      <w:r w:rsidR="7CC13408">
        <w:t xml:space="preserve">ublic </w:t>
      </w:r>
      <w:r w:rsidR="4716DB90">
        <w:t>N</w:t>
      </w:r>
      <w:r w:rsidR="7CC13408">
        <w:t xml:space="preserve">otice that lists the submitted challenges (if any), states that none constitutes a “credible challenge” to the validity of the </w:t>
      </w:r>
      <w:r w:rsidR="7CC13408">
        <w:t>Certification</w:t>
      </w:r>
      <w:r w:rsidR="673ECD31">
        <w:t>,</w:t>
      </w:r>
      <w:r w:rsidR="7CC13408">
        <w:t xml:space="preserve"> and</w:t>
      </w:r>
      <w:r w:rsidR="7CC13408">
        <w:t xml:space="preserve"> provides a brief explanation for the finding</w:t>
      </w:r>
      <w:r w:rsidR="11D170AC">
        <w:t xml:space="preserve"> that</w:t>
      </w:r>
      <w:r w:rsidR="7CC13408">
        <w:t xml:space="preserve"> </w:t>
      </w:r>
      <w:r w:rsidR="73417550">
        <w:t xml:space="preserve">said </w:t>
      </w:r>
      <w:r w:rsidR="7CC13408">
        <w:t xml:space="preserve">challenges </w:t>
      </w:r>
      <w:r w:rsidR="34FF344D">
        <w:t xml:space="preserve">are </w:t>
      </w:r>
      <w:r w:rsidR="7CC13408">
        <w:t xml:space="preserve">non-credible.  </w:t>
      </w:r>
      <w:r w:rsidR="35CC75D9">
        <w:t xml:space="preserve">If there is at least one credible challenge, WTB will issue a Public Notice announcing that one or more credible challenges have been made and instructing the Clearinghouse not to issue the ARP until WTB has made a final determination as to the validity of the challenge.  </w:t>
      </w:r>
      <w:r w:rsidR="537D980B">
        <w:t>WTB will issue a</w:t>
      </w:r>
      <w:r w:rsidR="62178E23">
        <w:t xml:space="preserve"> </w:t>
      </w:r>
      <w:r w:rsidR="03632F3E">
        <w:t>final</w:t>
      </w:r>
      <w:r w:rsidR="62178E23">
        <w:t xml:space="preserve"> </w:t>
      </w:r>
      <w:r w:rsidR="537D980B">
        <w:t xml:space="preserve">determination on the challenge </w:t>
      </w:r>
      <w:r w:rsidR="42BE1F20">
        <w:t xml:space="preserve">no later than </w:t>
      </w:r>
      <w:r w:rsidR="79D8157E">
        <w:t>sixty (</w:t>
      </w:r>
      <w:r w:rsidR="537D980B">
        <w:t>60</w:t>
      </w:r>
      <w:r w:rsidR="79D8157E">
        <w:t>)</w:t>
      </w:r>
      <w:r w:rsidR="537D980B">
        <w:t xml:space="preserve"> days after the </w:t>
      </w:r>
      <w:r w:rsidR="39EE08EC">
        <w:t xml:space="preserve">eligible </w:t>
      </w:r>
      <w:r w:rsidR="0D6F4D69">
        <w:t>space station</w:t>
      </w:r>
      <w:r w:rsidR="0F57E8BF">
        <w:t xml:space="preserve"> operator</w:t>
      </w:r>
      <w:r w:rsidR="537D980B">
        <w:t xml:space="preserve"> files </w:t>
      </w:r>
      <w:r w:rsidR="1CA565BE">
        <w:t xml:space="preserve">its </w:t>
      </w:r>
      <w:r w:rsidR="537D980B">
        <w:t>Certification.</w:t>
      </w:r>
      <w:r>
        <w:rPr>
          <w:rStyle w:val="FootnoteReference"/>
        </w:rPr>
        <w:footnoteReference w:id="31"/>
      </w:r>
      <w:r w:rsidR="537D980B">
        <w:t xml:space="preserve"> </w:t>
      </w:r>
      <w:r w:rsidR="67D30BEC">
        <w:t xml:space="preserve"> If WTB </w:t>
      </w:r>
      <w:r w:rsidR="1E7165BE">
        <w:t xml:space="preserve">ultimately </w:t>
      </w:r>
      <w:r w:rsidR="67D30BEC">
        <w:t xml:space="preserve">finds the Certification was valid, </w:t>
      </w:r>
      <w:r w:rsidR="0132F6BE">
        <w:t xml:space="preserve">disbursement of the </w:t>
      </w:r>
      <w:r w:rsidR="00427221">
        <w:t xml:space="preserve">Phase I </w:t>
      </w:r>
      <w:r w:rsidR="0132F6BE">
        <w:t>ARP</w:t>
      </w:r>
      <w:r w:rsidR="52AF7866">
        <w:t xml:space="preserve"> </w:t>
      </w:r>
      <w:r w:rsidR="67D30BEC">
        <w:t xml:space="preserve">to the </w:t>
      </w:r>
      <w:r w:rsidR="7A0DF3CE">
        <w:t>eligible</w:t>
      </w:r>
      <w:r w:rsidR="67D30BEC">
        <w:t xml:space="preserve"> </w:t>
      </w:r>
      <w:r w:rsidR="0D6F4D69">
        <w:t>space station</w:t>
      </w:r>
      <w:r w:rsidR="0F57E8BF">
        <w:t xml:space="preserve"> operator</w:t>
      </w:r>
      <w:r w:rsidR="3D613945">
        <w:t xml:space="preserve"> will proceed as outlined above and in the </w:t>
      </w:r>
      <w:r w:rsidRPr="541D9277" w:rsidR="3D613945">
        <w:rPr>
          <w:i/>
          <w:iCs/>
        </w:rPr>
        <w:t>3.7 GHz Report and Order</w:t>
      </w:r>
      <w:r w:rsidR="67D30BEC">
        <w:t>.</w:t>
      </w:r>
      <w:r>
        <w:rPr>
          <w:rStyle w:val="FootnoteReference"/>
        </w:rPr>
        <w:footnoteReference w:id="32"/>
      </w:r>
      <w:r w:rsidR="67D30BEC">
        <w:t xml:space="preserve">  </w:t>
      </w:r>
    </w:p>
    <w:p w:rsidR="007C1E5A" w:rsidP="00D66E08" w14:paraId="751A7411" w14:textId="77777777">
      <w:pPr>
        <w:ind w:firstLine="720"/>
        <w:jc w:val="center"/>
        <w:rPr>
          <w:i/>
          <w:iCs/>
        </w:rPr>
      </w:pPr>
    </w:p>
    <w:p w:rsidR="00D66E08" w:rsidP="00D66E08" w14:paraId="5228FCCC" w14:textId="553B358F">
      <w:pPr>
        <w:ind w:firstLine="720"/>
        <w:jc w:val="center"/>
      </w:pPr>
      <w:r>
        <w:t>***</w:t>
      </w:r>
    </w:p>
    <w:p w:rsidR="00CC1F95" w:rsidP="00D66E08" w14:paraId="5B828A96" w14:textId="77777777">
      <w:pPr>
        <w:ind w:firstLine="720"/>
        <w:jc w:val="center"/>
      </w:pPr>
    </w:p>
    <w:p w:rsidR="00483327" w:rsidRPr="00270255" w:rsidP="6242C072" w14:paraId="09E4674B" w14:textId="11C63D31">
      <w:pPr>
        <w:spacing w:after="120"/>
        <w:ind w:firstLine="720"/>
      </w:pPr>
      <w:r w:rsidRPr="6242C072">
        <w:rPr>
          <w:i/>
          <w:iCs/>
        </w:rPr>
        <w:t>Filing Requirements</w:t>
      </w:r>
      <w:r>
        <w:t>.</w:t>
      </w:r>
      <w:r w:rsidRPr="6242C072">
        <w:rPr>
          <w:i/>
          <w:iCs/>
        </w:rPr>
        <w:t xml:space="preserve"> </w:t>
      </w:r>
      <w:r w:rsidR="11D4AC18">
        <w:t xml:space="preserve">All Certifications must reference GN Docket No. 18-122 and </w:t>
      </w:r>
      <w:r w:rsidRPr="00DF79C4" w:rsidR="11D4AC18">
        <w:t>GN Docket No. 21-</w:t>
      </w:r>
      <w:r w:rsidRPr="004115A0" w:rsidR="004115A0">
        <w:t>320</w:t>
      </w:r>
      <w:r w:rsidRPr="004115A0" w:rsidR="11D4AC18">
        <w:t>.</w:t>
      </w:r>
      <w:r w:rsidR="11D4AC18">
        <w:t xml:space="preserve"> </w:t>
      </w:r>
      <w:r w:rsidR="75F2ECFD">
        <w:t xml:space="preserve">All </w:t>
      </w:r>
      <w:r w:rsidR="4557825A">
        <w:t xml:space="preserve">challenges and replies </w:t>
      </w:r>
      <w:r w:rsidR="75F2ECFD">
        <w:t xml:space="preserve">must reference </w:t>
      </w:r>
      <w:r w:rsidRPr="00DF79C4" w:rsidR="75F2ECFD">
        <w:t>GN Docket No. 21-</w:t>
      </w:r>
      <w:r w:rsidR="004115A0">
        <w:t>320</w:t>
      </w:r>
      <w:r w:rsidR="75F2ECFD">
        <w:t xml:space="preserve">.  </w:t>
      </w:r>
      <w:r w:rsidR="3F29198D">
        <w:t xml:space="preserve">Submissions </w:t>
      </w:r>
      <w:r w:rsidR="75F2ECFD">
        <w:t xml:space="preserve">may be filed using the Commission’s Electronic Comment Filing System (ECFS). </w:t>
      </w:r>
    </w:p>
    <w:p w:rsidR="00483327" w:rsidRPr="00270255" w:rsidP="00483327" w14:paraId="1A5B7127" w14:textId="3B1865B2">
      <w:pPr>
        <w:numPr>
          <w:ilvl w:val="0"/>
          <w:numId w:val="8"/>
        </w:numPr>
        <w:spacing w:after="120"/>
        <w:ind w:left="720"/>
      </w:pPr>
      <w:r>
        <w:t xml:space="preserve">Electronic Filers:  </w:t>
      </w:r>
      <w:r w:rsidR="22A59585">
        <w:t xml:space="preserve">Submissions </w:t>
      </w:r>
      <w:r>
        <w:t xml:space="preserve">may be filed electronically using the internet by accessing the ECFS: </w:t>
      </w:r>
      <w:hyperlink r:id="rId5" w:history="1">
        <w:r w:rsidRPr="1F14123A">
          <w:rPr>
            <w:rStyle w:val="Hyperlink"/>
          </w:rPr>
          <w:t>https://www.fcc.gov/ecfs/</w:t>
        </w:r>
      </w:hyperlink>
      <w:r>
        <w:t xml:space="preserve">. </w:t>
      </w:r>
    </w:p>
    <w:p w:rsidR="00742249" w:rsidP="00742249" w14:paraId="4B1A6F0F" w14:textId="77777777">
      <w:pPr>
        <w:numPr>
          <w:ilvl w:val="0"/>
          <w:numId w:val="8"/>
        </w:numPr>
        <w:spacing w:after="120"/>
        <w:ind w:left="720"/>
        <w:rPr>
          <w:szCs w:val="22"/>
        </w:rPr>
      </w:pPr>
      <w:r w:rsidRPr="00270255">
        <w:rPr>
          <w:szCs w:val="22"/>
        </w:rPr>
        <w:t xml:space="preserve">Paper Filers:  Parties who choose to file by paper must file an original and one copy of each filing.  </w:t>
      </w:r>
    </w:p>
    <w:p w:rsidR="00483327" w:rsidRPr="00742249" w:rsidP="00742249" w14:paraId="38F872DC" w14:textId="03395FBC">
      <w:pPr>
        <w:numPr>
          <w:ilvl w:val="0"/>
          <w:numId w:val="8"/>
        </w:numPr>
        <w:spacing w:after="120"/>
        <w:ind w:left="720"/>
        <w:rPr>
          <w:szCs w:val="22"/>
        </w:rPr>
      </w:pPr>
      <w:r w:rsidRPr="00742249">
        <w:rPr>
          <w:szCs w:val="22"/>
        </w:rPr>
        <w:t>Filings can be sent by commercial courier or by the U.S. Postal Service.  All filings must be addressed to the Commission’s Secretary, Office of the Secretary, Federal Communications Commission.</w:t>
      </w:r>
    </w:p>
    <w:p w:rsidR="00483327" w:rsidRPr="00270255" w:rsidP="00483327" w14:paraId="2E5B2835" w14:textId="77777777">
      <w:pPr>
        <w:numPr>
          <w:ilvl w:val="0"/>
          <w:numId w:val="8"/>
        </w:numPr>
        <w:spacing w:after="120"/>
        <w:rPr>
          <w:szCs w:val="22"/>
        </w:rPr>
      </w:pPr>
      <w:r w:rsidRPr="00270255">
        <w:rPr>
          <w:szCs w:val="22"/>
        </w:rPr>
        <w:t xml:space="preserve">Commercial deliveries (other than U.S. Postal Service Express Mail and Priority Mail) must be sent to 9050 Junction Drive, Annapolis Junction, MD 20701. </w:t>
      </w:r>
    </w:p>
    <w:p w:rsidR="00483327" w:rsidRPr="00270255" w:rsidP="00483327" w14:paraId="7A223B43" w14:textId="77777777">
      <w:pPr>
        <w:numPr>
          <w:ilvl w:val="0"/>
          <w:numId w:val="8"/>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p>
    <w:p w:rsidR="00483327" w:rsidRPr="00270255" w:rsidP="00483327" w14:paraId="0E487A85" w14:textId="77777777">
      <w:pPr>
        <w:pStyle w:val="ListParagraph"/>
        <w:numPr>
          <w:ilvl w:val="0"/>
          <w:numId w:val="8"/>
        </w:numPr>
        <w:rPr>
          <w:rStyle w:val="Hyperlink"/>
          <w:rFonts w:ascii="Times New Roman" w:hAnsi="Times New Roman"/>
          <w:color w:val="auto"/>
        </w:rPr>
      </w:pPr>
      <w:r w:rsidRPr="00270255">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483327" w:rsidP="00483327" w14:paraId="29B99F22" w14:textId="54F12459">
      <w:pPr>
        <w:ind w:firstLine="720"/>
        <w:rPr>
          <w:b/>
          <w:bCs/>
          <w:szCs w:val="22"/>
        </w:rPr>
      </w:pPr>
      <w:r w:rsidRPr="00270255">
        <w:rPr>
          <w:b/>
          <w:bCs/>
          <w:szCs w:val="22"/>
        </w:rPr>
        <w:t xml:space="preserve">During the time the Commission’s building is closed to the </w:t>
      </w:r>
      <w:r w:rsidRPr="00270255">
        <w:rPr>
          <w:b/>
          <w:bCs/>
          <w:szCs w:val="22"/>
        </w:rPr>
        <w:t>general public</w:t>
      </w:r>
      <w:r w:rsidRPr="00270255">
        <w:rPr>
          <w:b/>
          <w:bCs/>
          <w:szCs w:val="22"/>
        </w:rPr>
        <w:t xml:space="preserve"> and until further notice, if more than one docket or rulemaking number appears in the caption of a proceeding, paper filers need not submit two additional copies for each additional docket or rulemaking number; an original and one copy are sufficient.</w:t>
      </w:r>
    </w:p>
    <w:p w:rsidR="00483327" w:rsidP="00483327" w14:paraId="420C5A93" w14:textId="77777777">
      <w:pPr>
        <w:ind w:firstLine="720"/>
      </w:pPr>
    </w:p>
    <w:p w:rsidR="00D66E08" w:rsidP="00D66E08" w14:paraId="0976FEB2" w14:textId="4D900917">
      <w:pPr>
        <w:ind w:firstLine="720"/>
      </w:pPr>
      <w:r w:rsidRPr="00483327">
        <w:rPr>
          <w:i/>
          <w:iCs/>
        </w:rPr>
        <w:t>People with Disabilities</w:t>
      </w:r>
      <w:r>
        <w:t>: To request materials in accessible formats for people with disabilities</w:t>
      </w:r>
    </w:p>
    <w:p w:rsidR="00DA05BE" w:rsidP="00D66E08" w14:paraId="1A24CC04" w14:textId="5FA2A81E">
      <w:r>
        <w:t xml:space="preserve">(braille, large print, electronic files, audio format), send an e-mail to </w:t>
      </w:r>
      <w:hyperlink r:id="rId7" w:history="1">
        <w:r w:rsidRPr="00A7153D">
          <w:rPr>
            <w:rStyle w:val="Hyperlink"/>
          </w:rPr>
          <w:t>fcc504@fcc.gov</w:t>
        </w:r>
      </w:hyperlink>
      <w:r>
        <w:t xml:space="preserve"> or call the Consumer &amp; Government Affairs Bureau at 202-418-0530 (voice, 202-418-0432 (</w:t>
      </w:r>
      <w:r>
        <w:t>tty</w:t>
      </w:r>
      <w:r>
        <w:t>).</w:t>
      </w:r>
    </w:p>
    <w:p w:rsidR="00483327" w:rsidP="00D66E08" w14:paraId="7E188393" w14:textId="0D7CA833"/>
    <w:p w:rsidR="00483327" w:rsidRPr="00483327" w:rsidP="00483327" w14:paraId="024D6181" w14:textId="0051457A">
      <w:pPr>
        <w:spacing w:after="120"/>
        <w:ind w:firstLine="720"/>
        <w:rPr>
          <w:szCs w:val="22"/>
        </w:rPr>
      </w:pPr>
      <w:r w:rsidRPr="6242C072">
        <w:rPr>
          <w:i/>
          <w:iCs/>
        </w:rPr>
        <w:t xml:space="preserve">Ex </w:t>
      </w:r>
      <w:r w:rsidRPr="6242C072">
        <w:rPr>
          <w:i/>
          <w:iCs/>
        </w:rPr>
        <w:t>Parte</w:t>
      </w:r>
      <w:r w:rsidRPr="6242C072">
        <w:rPr>
          <w:i/>
          <w:iCs/>
        </w:rPr>
        <w:t xml:space="preserve"> Rules</w:t>
      </w:r>
      <w:r w:rsidRPr="671E321A">
        <w:t xml:space="preserve">.  This proceeding shall be treated as a “permit-but-disclose” proceeding in accordance with the Commission’s </w:t>
      </w:r>
      <w:r w:rsidRPr="6242C072">
        <w:rPr>
          <w:i/>
          <w:iCs/>
        </w:rPr>
        <w:t xml:space="preserve">ex </w:t>
      </w:r>
      <w:r w:rsidRPr="6242C072">
        <w:rPr>
          <w:i/>
          <w:iCs/>
        </w:rPr>
        <w:t>parte</w:t>
      </w:r>
      <w:r w:rsidRPr="671E321A">
        <w:t xml:space="preserve"> rules.</w:t>
      </w:r>
      <w:r>
        <w:rPr>
          <w:rStyle w:val="FootnoteReference"/>
        </w:rPr>
        <w:footnoteReference w:id="33"/>
      </w:r>
      <w:r w:rsidRPr="671E321A">
        <w:t xml:space="preserve">  Persons making </w:t>
      </w:r>
      <w:r w:rsidRPr="6242C072">
        <w:rPr>
          <w:i/>
          <w:iCs/>
        </w:rPr>
        <w:t xml:space="preserve">ex </w:t>
      </w:r>
      <w:r w:rsidRPr="6242C072">
        <w:rPr>
          <w:i/>
          <w:iCs/>
        </w:rPr>
        <w:t>parte</w:t>
      </w:r>
      <w:r w:rsidRPr="671E321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6242C072">
        <w:rPr>
          <w:i/>
          <w:iCs/>
        </w:rPr>
        <w:t xml:space="preserve">ex </w:t>
      </w:r>
      <w:r w:rsidRPr="6242C072">
        <w:rPr>
          <w:i/>
          <w:iCs/>
        </w:rPr>
        <w:t>parte</w:t>
      </w:r>
      <w:r w:rsidRPr="671E321A">
        <w:t xml:space="preserve"> presentations are reminded that memoranda summarizing the presentation must: (1) list all persons attending or otherwise participating in the meeting at which the </w:t>
      </w:r>
      <w:r w:rsidRPr="6242C072">
        <w:rPr>
          <w:i/>
          <w:iCs/>
        </w:rPr>
        <w:t xml:space="preserve">ex </w:t>
      </w:r>
      <w:r w:rsidRPr="6242C072">
        <w:rPr>
          <w:i/>
          <w:iCs/>
        </w:rPr>
        <w:t>parte</w:t>
      </w:r>
      <w:r w:rsidRPr="671E321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242C072">
        <w:rPr>
          <w:i/>
          <w:iCs/>
        </w:rPr>
        <w:t xml:space="preserve">ex </w:t>
      </w:r>
      <w:r w:rsidRPr="6242C072">
        <w:rPr>
          <w:i/>
          <w:iCs/>
        </w:rPr>
        <w:t>parte</w:t>
      </w:r>
      <w:r w:rsidRPr="671E321A">
        <w:t xml:space="preserve"> meetings are deemed to be written </w:t>
      </w:r>
      <w:r w:rsidRPr="6242C072">
        <w:rPr>
          <w:i/>
          <w:iCs/>
        </w:rPr>
        <w:t xml:space="preserve">ex </w:t>
      </w:r>
      <w:r w:rsidRPr="6242C072">
        <w:rPr>
          <w:i/>
          <w:iCs/>
        </w:rPr>
        <w:t>parte</w:t>
      </w:r>
      <w:r w:rsidRPr="671E321A">
        <w:t xml:space="preserve"> presentations and must be filed consistent with section 1.1206(b) of the Commission’s rules.  In proceedings governed by section 1.49(f) </w:t>
      </w:r>
      <w:r w:rsidRPr="671E321A">
        <w:t xml:space="preserve">of the rules or for which the Commission has made available a method of electronic filing, written </w:t>
      </w:r>
      <w:r w:rsidRPr="6242C072">
        <w:rPr>
          <w:i/>
          <w:iCs/>
        </w:rPr>
        <w:t xml:space="preserve">ex </w:t>
      </w:r>
      <w:r w:rsidRPr="6242C072">
        <w:rPr>
          <w:i/>
          <w:iCs/>
        </w:rPr>
        <w:t>parte</w:t>
      </w:r>
      <w:r w:rsidRPr="671E321A">
        <w:t xml:space="preserve"> presentations and memoranda summarizing oral </w:t>
      </w:r>
      <w:r w:rsidRPr="6242C072">
        <w:rPr>
          <w:i/>
          <w:iCs/>
        </w:rPr>
        <w:t xml:space="preserve">ex </w:t>
      </w:r>
      <w:r w:rsidRPr="6242C072">
        <w:rPr>
          <w:i/>
          <w:iCs/>
        </w:rPr>
        <w:t>parte</w:t>
      </w:r>
      <w:r w:rsidRPr="6242C072">
        <w:rPr>
          <w:i/>
          <w:iCs/>
        </w:rPr>
        <w:t xml:space="preserve"> </w:t>
      </w:r>
      <w:r w:rsidRPr="671E321A">
        <w:t>presentations, and all attachments thereto, must be filed through the electronic comment filing system available for that proceeding, and must be filed in their native format (</w:t>
      </w:r>
      <w:r w:rsidRPr="6242C072">
        <w:rPr>
          <w:i/>
          <w:iCs/>
        </w:rPr>
        <w:t>e.g.</w:t>
      </w:r>
      <w:r w:rsidRPr="671E321A">
        <w:t>, .doc, .xml., .ppt, searchable .pdf).</w:t>
      </w:r>
      <w:r>
        <w:rPr>
          <w:rStyle w:val="FootnoteReference"/>
        </w:rPr>
        <w:footnoteReference w:id="34"/>
      </w:r>
      <w:r w:rsidRPr="671E321A">
        <w:t xml:space="preserve">  Participants in this proceeding should familiarize themselves with the Commission’s </w:t>
      </w:r>
      <w:r w:rsidRPr="6242C072">
        <w:rPr>
          <w:i/>
          <w:iCs/>
        </w:rPr>
        <w:t xml:space="preserve">ex </w:t>
      </w:r>
      <w:r w:rsidRPr="6242C072">
        <w:rPr>
          <w:i/>
          <w:iCs/>
        </w:rPr>
        <w:t>parte</w:t>
      </w:r>
      <w:r w:rsidRPr="671E321A">
        <w:t xml:space="preserve"> rules.</w:t>
      </w:r>
    </w:p>
    <w:p w:rsidR="003207AB" w:rsidP="00E94B57" w14:paraId="7F1F7A80" w14:textId="77777777">
      <w:pPr>
        <w:ind w:firstLine="720"/>
      </w:pPr>
    </w:p>
    <w:p w:rsidR="00DA05BE" w:rsidP="00DA05BE" w14:paraId="5018B597" w14:textId="048F29A9">
      <w:pPr>
        <w:ind w:firstLine="720"/>
      </w:pPr>
      <w:r>
        <w:rPr>
          <w:i/>
          <w:iCs/>
        </w:rPr>
        <w:t>Additional Information</w:t>
      </w:r>
      <w:r>
        <w:t>.</w:t>
      </w:r>
      <w:r>
        <w:rPr>
          <w:i/>
          <w:iCs/>
        </w:rPr>
        <w:t xml:space="preserve"> </w:t>
      </w:r>
      <w:r>
        <w:t xml:space="preserve">For further information concerning this Public Notice, please contact Susan Mort, Wireless Telecommunications Bureau, (202) 418-2429, </w:t>
      </w:r>
      <w:hyperlink r:id="rId8" w:history="1">
        <w:r w:rsidRPr="00A7153D">
          <w:rPr>
            <w:rStyle w:val="Hyperlink"/>
          </w:rPr>
          <w:t>Susan.Mort@fcc.gov</w:t>
        </w:r>
      </w:hyperlink>
      <w:r>
        <w:t>.</w:t>
      </w:r>
    </w:p>
    <w:p w:rsidR="00DA05BE" w:rsidP="00DA05BE" w14:paraId="59A619EE" w14:textId="77777777">
      <w:pPr>
        <w:ind w:firstLine="720"/>
      </w:pPr>
    </w:p>
    <w:p w:rsidR="00D66E08" w:rsidP="00DA05BE" w14:paraId="5C7FCA66" w14:textId="77777777">
      <w:pPr>
        <w:ind w:firstLine="720"/>
      </w:pPr>
    </w:p>
    <w:p w:rsidR="00D66E08" w:rsidRPr="00543624" w:rsidP="00543624" w14:paraId="19930FA4" w14:textId="4EACF6AB">
      <w:pPr>
        <w:jc w:val="center"/>
        <w:rPr>
          <w:b/>
          <w:bCs/>
        </w:rPr>
      </w:pPr>
      <w:r w:rsidRPr="00543624">
        <w:rPr>
          <w:b/>
          <w:bCs/>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FA" w14:paraId="0B19A1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D4EFA" w14:paraId="716279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FA" w14:paraId="3BE9901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FA" w14:paraId="6ED8896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2BE" w14:paraId="59D499D7" w14:textId="77777777">
      <w:r>
        <w:separator/>
      </w:r>
    </w:p>
  </w:footnote>
  <w:footnote w:type="continuationSeparator" w:id="1">
    <w:p w:rsidR="006C32BE" w14:paraId="52641C24" w14:textId="77777777">
      <w:pPr>
        <w:rPr>
          <w:sz w:val="20"/>
        </w:rPr>
      </w:pPr>
      <w:r>
        <w:rPr>
          <w:sz w:val="20"/>
        </w:rPr>
        <w:t xml:space="preserve">(Continued from previous page)  </w:t>
      </w:r>
      <w:r>
        <w:rPr>
          <w:sz w:val="20"/>
        </w:rPr>
        <w:separator/>
      </w:r>
    </w:p>
  </w:footnote>
  <w:footnote w:type="continuationNotice" w:id="2">
    <w:p w:rsidR="006C32BE" w14:paraId="24951C2C" w14:textId="77777777">
      <w:pPr>
        <w:jc w:val="right"/>
        <w:rPr>
          <w:sz w:val="20"/>
        </w:rPr>
      </w:pPr>
      <w:r>
        <w:rPr>
          <w:sz w:val="20"/>
        </w:rPr>
        <w:t>(continued….)</w:t>
      </w:r>
    </w:p>
  </w:footnote>
  <w:footnote w:id="3">
    <w:p w:rsidR="00DD4EFA" w:rsidP="00327AFA" w14:paraId="407AD379" w14:textId="77777777">
      <w:pPr>
        <w:pStyle w:val="FootnoteText"/>
      </w:pPr>
      <w:r>
        <w:rPr>
          <w:rStyle w:val="FootnoteReference"/>
        </w:rPr>
        <w:footnoteRef/>
      </w:r>
      <w:r>
        <w:t xml:space="preserve"> </w:t>
      </w:r>
      <w:r w:rsidRPr="00211C8E">
        <w:rPr>
          <w:i/>
          <w:iCs/>
        </w:rPr>
        <w:t>Expanding Flexible Use of the 3.7 to 4.2 GHz Band, Report and Order and Proposed Modification</w:t>
      </w:r>
      <w:r>
        <w:t xml:space="preserve">, 35 FCC </w:t>
      </w:r>
      <w:r>
        <w:t>Rcd</w:t>
      </w:r>
      <w:r>
        <w:t xml:space="preserve"> 2343, 2457 at para. 298 (2020) (</w:t>
      </w:r>
      <w:r w:rsidRPr="00211C8E">
        <w:rPr>
          <w:i/>
          <w:iCs/>
        </w:rPr>
        <w:t>3.7 GHz Report and Order</w:t>
      </w:r>
      <w:r>
        <w:t>); 47 CFR § 27.1412(g).</w:t>
      </w:r>
    </w:p>
  </w:footnote>
  <w:footnote w:id="4">
    <w:p w:rsidR="00DD4EFA" w:rsidP="00F117CE" w14:paraId="2FAF1A6C" w14:textId="69054400">
      <w:pPr>
        <w:pStyle w:val="FootnoteText"/>
      </w:pPr>
      <w:r>
        <w:rPr>
          <w:rStyle w:val="FootnoteReference"/>
        </w:rPr>
        <w:footnoteRef/>
      </w:r>
      <w:r>
        <w:t xml:space="preserve"> While eligible space station operators are required to file their Certifications in both GN Docket No. 18-122 and </w:t>
      </w:r>
      <w:r w:rsidRPr="00DF79C4">
        <w:t>GN Docket No</w:t>
      </w:r>
      <w:r w:rsidRPr="00DF79C4">
        <w:rPr>
          <w:i/>
          <w:iCs/>
        </w:rPr>
        <w:t xml:space="preserve">. </w:t>
      </w:r>
      <w:r w:rsidRPr="00DF79C4">
        <w:t>21-</w:t>
      </w:r>
      <w:r w:rsidR="004115A0">
        <w:t>320</w:t>
      </w:r>
      <w:r w:rsidR="00022498">
        <w:t>,</w:t>
      </w:r>
      <w:r w:rsidRPr="002068E2">
        <w:t xml:space="preserve"> </w:t>
      </w:r>
      <w:r>
        <w:rPr>
          <w:i/>
          <w:iCs/>
        </w:rPr>
        <w:t>3.7 GHz Report and Order</w:t>
      </w:r>
      <w:r>
        <w:t xml:space="preserve">, 35 FCC </w:t>
      </w:r>
      <w:r>
        <w:t>Rcd</w:t>
      </w:r>
      <w:r>
        <w:rPr>
          <w:i/>
          <w:iCs/>
        </w:rPr>
        <w:t xml:space="preserve"> </w:t>
      </w:r>
      <w:r w:rsidRPr="00FA17BB">
        <w:t>at 2458, n.692</w:t>
      </w:r>
      <w:r w:rsidR="00022498">
        <w:t>,</w:t>
      </w:r>
      <w:r w:rsidRPr="00FA17BB">
        <w:t xml:space="preserve"> </w:t>
      </w:r>
      <w:r w:rsidR="00022498">
        <w:t>c</w:t>
      </w:r>
      <w:r w:rsidRPr="00FA17BB">
        <w:t>hallenges</w:t>
      </w:r>
      <w:r w:rsidRPr="002068E2">
        <w:t xml:space="preserve">, replies or </w:t>
      </w:r>
      <w:r w:rsidRPr="004E4417">
        <w:rPr>
          <w:i/>
          <w:iCs/>
        </w:rPr>
        <w:t xml:space="preserve">ex </w:t>
      </w:r>
      <w:r w:rsidRPr="004E4417">
        <w:rPr>
          <w:i/>
          <w:iCs/>
        </w:rPr>
        <w:t>partes</w:t>
      </w:r>
      <w:r w:rsidRPr="00FA17BB">
        <w:t xml:space="preserve"> </w:t>
      </w:r>
      <w:r w:rsidR="00022498">
        <w:t xml:space="preserve">are only required to </w:t>
      </w:r>
      <w:r>
        <w:t>be filed</w:t>
      </w:r>
      <w:r w:rsidRPr="004E4417">
        <w:t xml:space="preserve"> in </w:t>
      </w:r>
      <w:r w:rsidRPr="00DF79C4">
        <w:t>GN Docket No. 21-</w:t>
      </w:r>
      <w:r w:rsidR="004115A0">
        <w:t>320</w:t>
      </w:r>
      <w:r w:rsidRPr="00FA17BB">
        <w:t>.</w:t>
      </w:r>
    </w:p>
  </w:footnote>
  <w:footnote w:id="5">
    <w:p w:rsidR="00DD4EFA" w:rsidRPr="007B2775" w:rsidP="000E7AD6" w14:paraId="52830A47" w14:textId="5814FBB2">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p>
  </w:footnote>
  <w:footnote w:id="6">
    <w:p w:rsidR="00DD4EFA" w:rsidP="000E7AD6" w14:paraId="082E1D8A" w14:textId="5B0D5228">
      <w:pPr>
        <w:pStyle w:val="FootnoteText"/>
      </w:pPr>
      <w:r>
        <w:rPr>
          <w:rStyle w:val="FootnoteReference"/>
        </w:rPr>
        <w:footnoteRef/>
      </w:r>
      <w:r>
        <w:t xml:space="preserve"> </w:t>
      </w:r>
      <w:r w:rsidR="00B21FA5">
        <w:rPr>
          <w:i/>
          <w:iCs/>
        </w:rPr>
        <w:t>Id.</w:t>
      </w:r>
      <w:r>
        <w:rPr>
          <w:i/>
          <w:iCs/>
        </w:rPr>
        <w:t xml:space="preserve"> </w:t>
      </w:r>
      <w:r>
        <w:t xml:space="preserve">at 2391, 2465-66, paras. 111, 326; 47 CFR § 27.4.  The </w:t>
      </w:r>
      <w:r>
        <w:rPr>
          <w:i/>
          <w:iCs/>
        </w:rPr>
        <w:t xml:space="preserve">3.7 GHz Band Report and Order </w:t>
      </w:r>
      <w:r>
        <w:t xml:space="preserve">defined the incumbents that will be eligible to </w:t>
      </w:r>
      <w:bookmarkStart w:id="2" w:name="_Hlk43828054"/>
      <w:r>
        <w:t>be reimbursed for</w:t>
      </w:r>
      <w:bookmarkEnd w:id="2"/>
      <w:r>
        <w:t xml:space="preserve"> their reasonable relocation costs.  An eligible space station operator is 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3" w:name="_Hlk37840202"/>
      <w:r>
        <w:rPr>
          <w:i/>
          <w:iCs/>
        </w:rPr>
        <w:t xml:space="preserve">id. </w:t>
      </w:r>
      <w:r>
        <w:t xml:space="preserve">at 2426, para. 200; 47 CFR § 27.1411(b)(1)-(2).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at 2392, para. 116; 47 CFR §§ 25.138(c), 27.1411(b)(3).  Incumbent Fixed Service licensees are defined as “[</w:t>
      </w:r>
      <w:r>
        <w:t>i</w:t>
      </w:r>
      <w:r>
        <w:t>]</w:t>
      </w:r>
      <w:r>
        <w:t>ncumbent</w:t>
      </w:r>
      <w:r>
        <w:t xml:space="preserve"> licensees of point-to-point Fixed Service links that relocate out of the 3.7-4.2 GHz band by December 5, 2023.”  </w:t>
      </w:r>
      <w:r>
        <w:rPr>
          <w:i/>
          <w:iCs/>
        </w:rPr>
        <w:t>3.7 GHz Report and Order</w:t>
      </w:r>
      <w:r>
        <w:t xml:space="preserve">, 35 FCC </w:t>
      </w:r>
      <w:r>
        <w:t>Rcd</w:t>
      </w:r>
      <w:r>
        <w:rPr>
          <w:i/>
          <w:iCs/>
        </w:rPr>
        <w:t xml:space="preserve"> </w:t>
      </w:r>
      <w:r>
        <w:t xml:space="preserve">at 2465, para. 326.  </w:t>
      </w:r>
      <w:bookmarkEnd w:id="3"/>
      <w:r>
        <w:t xml:space="preserve">The </w:t>
      </w:r>
      <w:r>
        <w:rPr>
          <w:i/>
          <w:iCs/>
        </w:rPr>
        <w:t xml:space="preserve">3.7 GHz Band Report and Order </w:t>
      </w:r>
      <w:r>
        <w:t xml:space="preserve">provided for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they can demonstrate that the system modifications for which reimbursement is sought is a direct result of the C-band transition).  The process by which costs will be determined to be reimbursable is defined in 47 CFR § 25.1416.  The </w:t>
      </w:r>
      <w:r w:rsidRPr="003B6A37">
        <w:rPr>
          <w:i/>
        </w:rPr>
        <w:t xml:space="preserve">3.7 GHz Report and Order </w:t>
      </w:r>
      <w:r>
        <w:t xml:space="preserve">also established that incumbent FSS earth station operators may opt out of the formal relocation process and, in lieu of reimbursement, elect to receive a lump sum payment based on an amount to be announced by the Bureau.  </w:t>
      </w:r>
      <w:r>
        <w:rPr>
          <w:i/>
          <w:iCs/>
        </w:rPr>
        <w:t xml:space="preserve">3.7 GHz Report and </w:t>
      </w:r>
      <w:r w:rsidRPr="002E1558">
        <w:rPr>
          <w:i/>
          <w:iCs/>
        </w:rPr>
        <w:t>Order</w:t>
      </w:r>
      <w:r w:rsidRPr="002E1558">
        <w:t xml:space="preserve">, 35 FCC </w:t>
      </w:r>
      <w:r w:rsidRPr="002E1558">
        <w:t>Rcd</w:t>
      </w:r>
      <w:r>
        <w:t xml:space="preserve"> at 2427-28, paras. 202-03.  Earth station operators electing the lump sum are “responsible for performing any necessary actions” to accommodate the changes in the C-band. </w:t>
      </w:r>
      <w:r>
        <w:rPr>
          <w:i/>
          <w:iCs/>
        </w:rPr>
        <w:t>Id.</w:t>
      </w:r>
      <w:r>
        <w:t xml:space="preserve"> at 2428, para. 203.  </w:t>
      </w:r>
    </w:p>
  </w:footnote>
  <w:footnote w:id="7">
    <w:p w:rsidR="00DD4EFA" w:rsidRPr="002E1558" w:rsidP="000E7AD6" w14:paraId="1DCF7F8E"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 2408, para. 155; 47 CFR § 27.1412(b)(1)-(2). </w:t>
      </w:r>
    </w:p>
  </w:footnote>
  <w:footnote w:id="8">
    <w:p w:rsidR="00DD4EFA" w:rsidRPr="000F6539" w:rsidP="000E7AD6" w14:paraId="3C5D2508"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9">
    <w:p w:rsidR="00DD4EFA" w:rsidRPr="00E4548C" w:rsidP="000E7AD6" w14:paraId="5C627175"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10">
    <w:p w:rsidR="00DD4EFA" w:rsidRPr="00FD6BA8" w14:paraId="6BEFD173" w14:textId="3EDD5E5B">
      <w:pPr>
        <w:pStyle w:val="FootnoteText"/>
      </w:pPr>
      <w:r>
        <w:rPr>
          <w:rStyle w:val="FootnoteReference"/>
        </w:rPr>
        <w:footnoteRef/>
      </w:r>
      <w:r>
        <w:t xml:space="preserve"> </w:t>
      </w:r>
      <w:r w:rsidR="00B21FA5">
        <w:rPr>
          <w:i/>
          <w:iCs/>
        </w:rPr>
        <w:t>Id.</w:t>
      </w:r>
      <w:r>
        <w:t xml:space="preserve"> at 2456, para. 297; 47 CFR § 27.1412(b).</w:t>
      </w:r>
    </w:p>
  </w:footnote>
  <w:footnote w:id="11">
    <w:p w:rsidR="00DD4EFA" w:rsidRPr="00FD6BA8" w14:paraId="4691D682" w14:textId="01DB5B9F">
      <w:pPr>
        <w:pStyle w:val="FootnoteText"/>
      </w:pPr>
      <w:r>
        <w:rPr>
          <w:rStyle w:val="FootnoteReference"/>
        </w:rPr>
        <w:footnoteRef/>
      </w:r>
      <w:r>
        <w:t xml:space="preserve"> </w:t>
      </w:r>
      <w:r>
        <w:rPr>
          <w:i/>
          <w:iCs/>
        </w:rPr>
        <w:t>3.7 GHz Report and Order</w:t>
      </w:r>
      <w:r>
        <w:t xml:space="preserve">, 35 FCC </w:t>
      </w:r>
      <w:r>
        <w:t>Rcd</w:t>
      </w:r>
      <w:r>
        <w:t xml:space="preserve"> at 2457, para. 300. </w:t>
      </w:r>
    </w:p>
  </w:footnote>
  <w:footnote w:id="12">
    <w:p w:rsidR="00DD4EFA" w:rsidRPr="000E7AD6" w14:paraId="37164022" w14:textId="5C611F43">
      <w:pPr>
        <w:pStyle w:val="FootnoteText"/>
      </w:pPr>
      <w:r>
        <w:rPr>
          <w:rStyle w:val="FootnoteReference"/>
        </w:rPr>
        <w:footnoteRef/>
      </w:r>
      <w:r>
        <w:t xml:space="preserve"> </w:t>
      </w:r>
      <w:r w:rsidR="00B21FA5">
        <w:rPr>
          <w:i/>
          <w:iCs/>
        </w:rPr>
        <w:t>Id.</w:t>
      </w:r>
      <w:r>
        <w:t xml:space="preserve"> at 2457, para. 298; 47 CFR § 27.1412(g). </w:t>
      </w:r>
    </w:p>
  </w:footnote>
  <w:footnote w:id="13">
    <w:p w:rsidR="00DD4EFA" w:rsidRPr="00E002FE" w14:paraId="4C1F434D" w14:textId="0CB19A76">
      <w:pPr>
        <w:pStyle w:val="FootnoteText"/>
      </w:pPr>
      <w:r>
        <w:rPr>
          <w:rStyle w:val="FootnoteReference"/>
        </w:rPr>
        <w:footnoteRef/>
      </w:r>
      <w:r>
        <w:t xml:space="preserve"> </w:t>
      </w:r>
      <w:bookmarkStart w:id="6" w:name="_Hlk77148554"/>
      <w:r>
        <w:rPr>
          <w:i/>
          <w:iCs/>
        </w:rPr>
        <w:t>3.7 GHz Report and Order</w:t>
      </w:r>
      <w:r>
        <w:t>,</w:t>
      </w:r>
      <w:r>
        <w:rPr>
          <w:i/>
          <w:iCs/>
        </w:rPr>
        <w:t xml:space="preserve"> </w:t>
      </w:r>
      <w:r w:rsidRPr="0054338D">
        <w:t xml:space="preserve">35 FCC </w:t>
      </w:r>
      <w:r w:rsidRPr="0054338D">
        <w:t>Rcd</w:t>
      </w:r>
      <w:r w:rsidRPr="0054338D">
        <w:t xml:space="preserve"> at 2457</w:t>
      </w:r>
      <w:r w:rsidR="00A24274">
        <w:t>,</w:t>
      </w:r>
      <w:r>
        <w:t xml:space="preserve"> para. 299; 47 CFR § 27.1412(g)(1).</w:t>
      </w:r>
      <w:bookmarkEnd w:id="6"/>
    </w:p>
  </w:footnote>
  <w:footnote w:id="14">
    <w:p w:rsidR="00DD4EFA" w:rsidRPr="00734803" w14:paraId="448C98BF" w14:textId="75013BB2">
      <w:pPr>
        <w:pStyle w:val="FootnoteText"/>
      </w:pPr>
      <w:r>
        <w:rPr>
          <w:rStyle w:val="FootnoteReference"/>
        </w:rPr>
        <w:footnoteRef/>
      </w:r>
      <w:bookmarkStart w:id="8" w:name="_Hlk77148586"/>
      <w:r>
        <w:rPr>
          <w:i/>
          <w:iCs/>
        </w:rPr>
        <w:t xml:space="preserve"> 3.7 GHz Report and </w:t>
      </w:r>
      <w:r w:rsidRPr="00472103">
        <w:rPr>
          <w:i/>
          <w:iCs/>
        </w:rPr>
        <w:t>Order</w:t>
      </w:r>
      <w:r>
        <w:rPr>
          <w:i/>
          <w:iCs/>
        </w:rPr>
        <w:t xml:space="preserve">, </w:t>
      </w:r>
      <w:r>
        <w:t xml:space="preserve">35 FCC </w:t>
      </w:r>
      <w:r>
        <w:t>Rcd</w:t>
      </w:r>
      <w:r>
        <w:t xml:space="preserve"> at 2457, para. 299; 47 CFR § 27.1412(g)(2). </w:t>
      </w:r>
      <w:bookmarkEnd w:id="8"/>
    </w:p>
  </w:footnote>
  <w:footnote w:id="15">
    <w:p w:rsidR="00DD4EFA" w:rsidRPr="00967A69" w14:paraId="012AA513" w14:textId="34497D45">
      <w:pPr>
        <w:pStyle w:val="FootnoteText"/>
      </w:pPr>
      <w:r>
        <w:rPr>
          <w:rStyle w:val="FootnoteReference"/>
        </w:rPr>
        <w:footnoteRef/>
      </w:r>
      <w:r>
        <w:t xml:space="preserve"> </w:t>
      </w:r>
      <w:r w:rsidR="00B21FA5">
        <w:rPr>
          <w:i/>
          <w:iCs/>
        </w:rPr>
        <w:t>Id</w:t>
      </w:r>
      <w:r w:rsidRPr="00967A69">
        <w:t>.</w:t>
      </w:r>
    </w:p>
  </w:footnote>
  <w:footnote w:id="16">
    <w:p w:rsidR="00DD4EFA" w:rsidRPr="00811399" w14:paraId="316426BD" w14:textId="00CF03AF">
      <w:pPr>
        <w:pStyle w:val="FootnoteText"/>
      </w:pPr>
      <w:r>
        <w:rPr>
          <w:rStyle w:val="FootnoteReference"/>
        </w:rPr>
        <w:footnoteRef/>
      </w:r>
      <w:r>
        <w:t xml:space="preserve"> </w:t>
      </w:r>
      <w:bookmarkStart w:id="9" w:name="_Hlk77148656"/>
      <w:r>
        <w:rPr>
          <w:i/>
          <w:iCs/>
        </w:rPr>
        <w:t>3.7 GHz Report and Order</w:t>
      </w:r>
      <w:r>
        <w:t>,</w:t>
      </w:r>
      <w:r>
        <w:rPr>
          <w:i/>
          <w:iCs/>
        </w:rPr>
        <w:t xml:space="preserve"> </w:t>
      </w:r>
      <w:r w:rsidRPr="00472103">
        <w:t xml:space="preserve">35 FCC </w:t>
      </w:r>
      <w:r w:rsidRPr="00472103">
        <w:t>Rcd</w:t>
      </w:r>
      <w:r w:rsidRPr="00472103">
        <w:t xml:space="preserve"> at 2457</w:t>
      </w:r>
      <w:r>
        <w:t>, para. 300; 47 CFR § 27.1422(c).</w:t>
      </w:r>
      <w:bookmarkEnd w:id="9"/>
    </w:p>
  </w:footnote>
  <w:footnote w:id="17">
    <w:p w:rsidR="00DD4EFA" w:rsidRPr="0092405A" w14:paraId="62218C32" w14:textId="64F0B216">
      <w:pPr>
        <w:pStyle w:val="FootnoteText"/>
      </w:pPr>
      <w:r>
        <w:rPr>
          <w:rStyle w:val="FootnoteReference"/>
        </w:rPr>
        <w:footnoteRef/>
      </w:r>
      <w:r>
        <w:t xml:space="preserve"> </w:t>
      </w:r>
      <w:bookmarkStart w:id="10" w:name="_Hlk77148683"/>
      <w:r w:rsidR="00731A80">
        <w:rPr>
          <w:i/>
          <w:iCs/>
        </w:rPr>
        <w:t>Id</w:t>
      </w:r>
      <w:r w:rsidRPr="0054338D">
        <w:t>.</w:t>
      </w:r>
      <w:bookmarkEnd w:id="10"/>
    </w:p>
  </w:footnote>
  <w:footnote w:id="18">
    <w:p w:rsidR="00DD4EFA" w:rsidRPr="009D0E17" w14:paraId="73149880" w14:textId="75CC419D">
      <w:pPr>
        <w:pStyle w:val="FootnoteText"/>
      </w:pPr>
      <w:r>
        <w:rPr>
          <w:rStyle w:val="FootnoteReference"/>
        </w:rPr>
        <w:footnoteRef/>
      </w:r>
      <w:r>
        <w:t xml:space="preserve"> </w:t>
      </w:r>
      <w:bookmarkStart w:id="12" w:name="_Hlk77148713"/>
      <w:r w:rsidR="005C0723">
        <w:rPr>
          <w:i/>
          <w:iCs/>
        </w:rPr>
        <w:t>Id.</w:t>
      </w:r>
      <w:r>
        <w:t xml:space="preserve"> at 2456, para. 297; </w:t>
      </w:r>
      <w:r w:rsidRPr="0054338D">
        <w:t>47 CFR § 27.1422(</w:t>
      </w:r>
      <w:r>
        <w:t>d</w:t>
      </w:r>
      <w:r w:rsidRPr="0054338D">
        <w:t>).</w:t>
      </w:r>
      <w:r>
        <w:t xml:space="preserve"> </w:t>
      </w:r>
      <w:bookmarkEnd w:id="12"/>
    </w:p>
  </w:footnote>
  <w:footnote w:id="19">
    <w:p w:rsidR="00DD4EFA" w:rsidRPr="004F177B" w14:paraId="085A3FCF" w14:textId="02BF0CA4">
      <w:pPr>
        <w:pStyle w:val="FootnoteText"/>
      </w:pPr>
      <w:r>
        <w:rPr>
          <w:rStyle w:val="FootnoteReference"/>
        </w:rPr>
        <w:footnoteRef/>
      </w:r>
      <w:r>
        <w:t xml:space="preserve"> </w:t>
      </w:r>
      <w:bookmarkStart w:id="13" w:name="_Hlk77148743"/>
      <w:r>
        <w:rPr>
          <w:i/>
          <w:iCs/>
        </w:rPr>
        <w:t xml:space="preserve">3.7 </w:t>
      </w:r>
      <w:r w:rsidR="00B814AA">
        <w:rPr>
          <w:i/>
          <w:iCs/>
        </w:rPr>
        <w:t xml:space="preserve">GHz </w:t>
      </w:r>
      <w:r>
        <w:rPr>
          <w:i/>
          <w:iCs/>
        </w:rPr>
        <w:t>Report and Order</w:t>
      </w:r>
      <w:r>
        <w:t xml:space="preserve">, 35 FCC </w:t>
      </w:r>
      <w:r>
        <w:t>Rcd</w:t>
      </w:r>
      <w:r>
        <w:t xml:space="preserve"> at 2457, paras. 298-99.</w:t>
      </w:r>
      <w:bookmarkEnd w:id="13"/>
    </w:p>
  </w:footnote>
  <w:footnote w:id="20">
    <w:p w:rsidR="00956F44" w:rsidRPr="00E02ABD" w14:paraId="5FE974AE" w14:textId="19476C27">
      <w:pPr>
        <w:pStyle w:val="FootnoteText"/>
      </w:pPr>
      <w:r>
        <w:rPr>
          <w:rStyle w:val="FootnoteReference"/>
        </w:rPr>
        <w:footnoteRef/>
      </w:r>
      <w:r w:rsidR="6242C072">
        <w:t xml:space="preserve"> </w:t>
      </w:r>
      <w:r w:rsidRPr="6242C072" w:rsidR="00391DBF">
        <w:t xml:space="preserve">While this Public Notice is not intended to lay out procedures for how </w:t>
      </w:r>
      <w:r w:rsidRPr="6242C072" w:rsidR="00391DBF">
        <w:rPr>
          <w:i/>
          <w:iCs/>
        </w:rPr>
        <w:t>sua</w:t>
      </w:r>
      <w:r w:rsidRPr="6242C072" w:rsidR="00391DBF">
        <w:rPr>
          <w:i/>
          <w:iCs/>
        </w:rPr>
        <w:t xml:space="preserve"> sponte</w:t>
      </w:r>
      <w:r w:rsidRPr="6242C072" w:rsidR="00391DBF">
        <w:t xml:space="preserve"> agency action might intersect with the Certification challenge process, the Bureau has the independent authority to reject a defective Certification even in the absence of a third-party challenge; </w:t>
      </w:r>
      <w:r w:rsidR="005C0723">
        <w:rPr>
          <w:i/>
          <w:iCs/>
        </w:rPr>
        <w:t>Id.</w:t>
      </w:r>
      <w:r w:rsidRPr="6242C072" w:rsidR="00391DBF">
        <w:t xml:space="preserve"> at 2457, para. 298 (“</w:t>
      </w:r>
      <w:r w:rsidRPr="6242C072" w:rsidR="00391DBF">
        <w:rPr>
          <w:color w:val="231F20"/>
        </w:rPr>
        <w:t>Subject to confirmation as to the validity of the certification,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rsidR="00391DBF">
        <w:rPr>
          <w:color w:val="231F20"/>
        </w:rPr>
        <w:t xml:space="preserve">  </w:t>
      </w:r>
      <w:r w:rsidRPr="00F24427" w:rsidR="6242C072">
        <w:rPr>
          <w:i/>
          <w:iCs/>
        </w:rPr>
        <w:t xml:space="preserve">See also Wireless Telecommunications Bureau Seeks Comment on </w:t>
      </w:r>
      <w:r w:rsidRPr="00F24427" w:rsidR="002A48B4">
        <w:rPr>
          <w:i/>
          <w:iCs/>
        </w:rPr>
        <w:t xml:space="preserve">Implementation of the Commission’s </w:t>
      </w:r>
      <w:r w:rsidRPr="00F24427" w:rsidR="6242C072">
        <w:rPr>
          <w:i/>
          <w:iCs/>
        </w:rPr>
        <w:t xml:space="preserve">Incremental Reduction </w:t>
      </w:r>
      <w:r w:rsidRPr="00F24427" w:rsidR="000162E5">
        <w:rPr>
          <w:i/>
          <w:iCs/>
        </w:rPr>
        <w:t>P</w:t>
      </w:r>
      <w:r w:rsidR="000162E5">
        <w:rPr>
          <w:i/>
          <w:iCs/>
        </w:rPr>
        <w:t>lan</w:t>
      </w:r>
      <w:r w:rsidRPr="00F24427" w:rsidR="000162E5">
        <w:rPr>
          <w:i/>
          <w:iCs/>
        </w:rPr>
        <w:t xml:space="preserve"> </w:t>
      </w:r>
      <w:r w:rsidRPr="00F24427" w:rsidR="6242C072">
        <w:rPr>
          <w:i/>
          <w:iCs/>
        </w:rPr>
        <w:t xml:space="preserve">for </w:t>
      </w:r>
      <w:r w:rsidRPr="00F24427" w:rsidR="00F24427">
        <w:rPr>
          <w:i/>
          <w:iCs/>
        </w:rPr>
        <w:t xml:space="preserve">Phase I </w:t>
      </w:r>
      <w:r w:rsidRPr="00F24427" w:rsidR="6242C072">
        <w:rPr>
          <w:i/>
          <w:iCs/>
        </w:rPr>
        <w:t>Accelerated Relocation Payments</w:t>
      </w:r>
      <w:r w:rsidRPr="00F24427" w:rsidR="6242C072">
        <w:t xml:space="preserve">, </w:t>
      </w:r>
      <w:bookmarkStart w:id="14" w:name="_Hlk78472133"/>
      <w:r w:rsidRPr="00A068BA" w:rsidR="00263964">
        <w:t xml:space="preserve">GN Docket Nos. 18-122 and </w:t>
      </w:r>
      <w:r w:rsidRPr="002373A6" w:rsidR="00263964">
        <w:t>21-</w:t>
      </w:r>
      <w:r w:rsidR="00263964">
        <w:t>320</w:t>
      </w:r>
      <w:r w:rsidRPr="00F24427" w:rsidR="6242C072">
        <w:t>, Public Notice, (WTB 2021</w:t>
      </w:r>
      <w:r w:rsidRPr="00924D9D" w:rsidR="6242C072">
        <w:t>)</w:t>
      </w:r>
      <w:r w:rsidR="00924D9D">
        <w:t xml:space="preserve"> (</w:t>
      </w:r>
      <w:r w:rsidRPr="009075C1" w:rsidR="00924D9D">
        <w:rPr>
          <w:i/>
          <w:iCs/>
        </w:rPr>
        <w:t>Phase I Incremental Reduction Comment PN</w:t>
      </w:r>
      <w:r w:rsidR="00924D9D">
        <w:t>)</w:t>
      </w:r>
      <w:r w:rsidRPr="00924D9D" w:rsidR="6242C072">
        <w:t>.</w:t>
      </w:r>
      <w:bookmarkEnd w:id="14"/>
      <w:r w:rsidR="00924D9D">
        <w:t xml:space="preserve">  As with the </w:t>
      </w:r>
      <w:r w:rsidRPr="004B48C7" w:rsidR="00924D9D">
        <w:rPr>
          <w:i/>
          <w:iCs/>
        </w:rPr>
        <w:t xml:space="preserve">Phase I </w:t>
      </w:r>
      <w:r w:rsidR="00924D9D">
        <w:rPr>
          <w:i/>
          <w:iCs/>
        </w:rPr>
        <w:t>Incremental Reduction Comment</w:t>
      </w:r>
      <w:r w:rsidRPr="004B48C7" w:rsidR="00924D9D">
        <w:rPr>
          <w:i/>
          <w:iCs/>
        </w:rPr>
        <w:t xml:space="preserve"> PN</w:t>
      </w:r>
      <w:r w:rsidR="00924D9D">
        <w:t xml:space="preserve">, in the instant PN the Bureau is only establishing procedures for Certifications and related challenges for Phase I of the C-band transition.  </w:t>
      </w:r>
      <w:r w:rsidRPr="004B48C7" w:rsidR="00924D9D">
        <w:rPr>
          <w:i/>
          <w:iCs/>
        </w:rPr>
        <w:t>Id</w:t>
      </w:r>
      <w:r w:rsidR="00924D9D">
        <w:t xml:space="preserve">.  This targeted approach will enable the Bureau to evaluate how well these </w:t>
      </w:r>
      <w:r w:rsidR="00427221">
        <w:t xml:space="preserve">procedures </w:t>
      </w:r>
      <w:r w:rsidR="00924D9D">
        <w:t>work in practice and afford an opportunity to amend or revise them as appropriate for the Phase II deadline.</w:t>
      </w:r>
    </w:p>
  </w:footnote>
  <w:footnote w:id="21">
    <w:p w:rsidR="00DD4EFA" w:rsidRPr="00A96C69" w:rsidP="00D23D71" w14:paraId="12E36F46" w14:textId="59E47045">
      <w:pPr>
        <w:pStyle w:val="FootnoteText"/>
      </w:pPr>
      <w:r>
        <w:rPr>
          <w:rStyle w:val="FootnoteReference"/>
        </w:rPr>
        <w:footnoteRef/>
      </w:r>
      <w:r>
        <w:t xml:space="preserve"> The </w:t>
      </w:r>
      <w:r>
        <w:rPr>
          <w:i/>
          <w:iCs/>
        </w:rPr>
        <w:t xml:space="preserve">3.7 GHz Report and Order </w:t>
      </w:r>
      <w:r>
        <w:t xml:space="preserve">stated, “Only incumbent earth station transition delays that are beyond the control of the incumbent space station operators will not impact their eligibility for the accelerated relocation payment. However, to partake of this exception, we require that any eligible space station operator submit a notice of any incumbent earth station transition delays to the Wireless Telecommunications Bureau within seven days of discovering an inability to accomplish the assigned earth station transition task.  Such a request must include supporting documentation to allow for resolution as soon as practicable and must be submitted before the Accelerated Relocation Deadlines.” </w:t>
      </w:r>
      <w:r w:rsidR="0057303F">
        <w:rPr>
          <w:i/>
          <w:iCs/>
        </w:rPr>
        <w:t>3.7 GHz Report and Order</w:t>
      </w:r>
      <w:r w:rsidR="0057303F">
        <w:t xml:space="preserve">, 35 FCC </w:t>
      </w:r>
      <w:r w:rsidR="0057303F">
        <w:t>Rcd</w:t>
      </w:r>
      <w:r>
        <w:t xml:space="preserve"> at 2455, para. 294.</w:t>
      </w:r>
      <w:r w:rsidR="0057303F">
        <w:t xml:space="preserve"> </w:t>
      </w:r>
      <w:r>
        <w:t xml:space="preserve"> </w:t>
      </w:r>
      <w:r w:rsidR="2BFA554D">
        <w:t xml:space="preserve">The filing of </w:t>
      </w:r>
      <w:r w:rsidR="61953216">
        <w:t>such notice</w:t>
      </w:r>
      <w:r w:rsidR="106013C2">
        <w:t xml:space="preserve"> in circumstances</w:t>
      </w:r>
      <w:r w:rsidR="61953216">
        <w:t xml:space="preserve"> </w:t>
      </w:r>
      <w:r w:rsidR="1DED62CE">
        <w:t xml:space="preserve">that the eligible </w:t>
      </w:r>
      <w:r w:rsidR="5BD0290F">
        <w:t>space station operator</w:t>
      </w:r>
      <w:r w:rsidR="64918EDC">
        <w:t xml:space="preserve"> </w:t>
      </w:r>
      <w:r w:rsidR="3A9CE0DB">
        <w:t xml:space="preserve">believes </w:t>
      </w:r>
      <w:r w:rsidR="04A4E0E5">
        <w:t>are</w:t>
      </w:r>
      <w:r w:rsidR="12D8A9C8">
        <w:t xml:space="preserve"> likely to </w:t>
      </w:r>
      <w:r w:rsidR="5B56ACBA">
        <w:t>jeopardize</w:t>
      </w:r>
      <w:r w:rsidR="7997E293">
        <w:t xml:space="preserve"> its ability to meet </w:t>
      </w:r>
      <w:r w:rsidR="552D9115">
        <w:t xml:space="preserve">the </w:t>
      </w:r>
      <w:r w:rsidR="00F24427">
        <w:t>Phase I d</w:t>
      </w:r>
      <w:r w:rsidR="638E24A9">
        <w:t>eadline does</w:t>
      </w:r>
      <w:r w:rsidR="2A582BF8">
        <w:t xml:space="preserve"> not</w:t>
      </w:r>
      <w:r w:rsidR="36A372D6">
        <w:t xml:space="preserve">, in </w:t>
      </w:r>
      <w:r w:rsidR="00427221">
        <w:t xml:space="preserve">and </w:t>
      </w:r>
      <w:r w:rsidR="36A372D6">
        <w:t xml:space="preserve">of </w:t>
      </w:r>
      <w:r w:rsidR="40F9B898">
        <w:t xml:space="preserve">itself, </w:t>
      </w:r>
      <w:r w:rsidR="4722D43D">
        <w:t xml:space="preserve">remove an earth </w:t>
      </w:r>
      <w:r w:rsidR="4A59DD87">
        <w:t>station</w:t>
      </w:r>
      <w:r w:rsidR="546B2C5A">
        <w:t xml:space="preserve">, antenna, or feed from </w:t>
      </w:r>
      <w:r w:rsidR="602295F9">
        <w:t>said operator’s</w:t>
      </w:r>
      <w:r w:rsidR="1A856A8B">
        <w:t xml:space="preserve"> Transition </w:t>
      </w:r>
      <w:r w:rsidR="2E84BDA2">
        <w:t>Plan.</w:t>
      </w:r>
      <w:r w:rsidR="39F33EDB">
        <w:t xml:space="preserve">  </w:t>
      </w:r>
      <w:r w:rsidR="2E3FC6B3">
        <w:t>Further, the</w:t>
      </w:r>
      <w:r w:rsidR="715FA156">
        <w:t xml:space="preserve"> </w:t>
      </w:r>
      <w:r w:rsidR="7F7B3DFB">
        <w:t xml:space="preserve">eligible space station operator </w:t>
      </w:r>
      <w:r w:rsidR="24EC21D6">
        <w:t xml:space="preserve">remains </w:t>
      </w:r>
      <w:r w:rsidR="323479F3">
        <w:t xml:space="preserve">responsible for </w:t>
      </w:r>
      <w:r w:rsidR="0402304C">
        <w:t>transitioning the earth station</w:t>
      </w:r>
      <w:r w:rsidR="32C5EFB5">
        <w:t>, antenna, or feed</w:t>
      </w:r>
      <w:r w:rsidR="0402304C">
        <w:t xml:space="preserve"> at issue </w:t>
      </w:r>
      <w:r w:rsidR="6DF87261">
        <w:t xml:space="preserve">until the </w:t>
      </w:r>
      <w:r w:rsidR="7DE9862F">
        <w:t>Certification process is complete.</w:t>
      </w:r>
      <w:r w:rsidR="4F724599">
        <w:t xml:space="preserve"> </w:t>
      </w:r>
      <w:r w:rsidR="0057303F">
        <w:t xml:space="preserve"> </w:t>
      </w:r>
      <w:r w:rsidR="4ADF0608">
        <w:t>Any such</w:t>
      </w:r>
      <w:r w:rsidR="2B07F41B">
        <w:t xml:space="preserve"> notices and supporting information should be </w:t>
      </w:r>
      <w:r w:rsidR="1D533638">
        <w:t xml:space="preserve">publicly </w:t>
      </w:r>
      <w:r w:rsidR="4E5A0A22">
        <w:t xml:space="preserve">filed </w:t>
      </w:r>
      <w:r w:rsidR="259268DC">
        <w:t xml:space="preserve">in </w:t>
      </w:r>
      <w:r w:rsidRPr="00DF79C4" w:rsidR="259268DC">
        <w:t>GN Docket No.</w:t>
      </w:r>
      <w:r w:rsidRPr="00DF79C4" w:rsidR="6C3694EA">
        <w:t xml:space="preserve"> </w:t>
      </w:r>
      <w:r w:rsidRPr="00DF79C4" w:rsidR="71682559">
        <w:t>21-</w:t>
      </w:r>
      <w:r w:rsidR="004115A0">
        <w:t>320</w:t>
      </w:r>
      <w:r w:rsidR="71682559">
        <w:t xml:space="preserve"> </w:t>
      </w:r>
      <w:r w:rsidR="512C685B">
        <w:t xml:space="preserve">and </w:t>
      </w:r>
      <w:r w:rsidR="61CC4732">
        <w:t>be</w:t>
      </w:r>
      <w:r w:rsidR="47DD7E43">
        <w:t xml:space="preserve"> simultaneously</w:t>
      </w:r>
      <w:r w:rsidR="61CC4732">
        <w:t xml:space="preserve"> </w:t>
      </w:r>
      <w:r w:rsidR="512C685B">
        <w:t xml:space="preserve">provided </w:t>
      </w:r>
      <w:r w:rsidR="37EBA127">
        <w:t>to the</w:t>
      </w:r>
      <w:r w:rsidR="3A0A6EFA">
        <w:t xml:space="preserve"> affected</w:t>
      </w:r>
      <w:r w:rsidR="37EBA127">
        <w:t xml:space="preserve"> earth station operator</w:t>
      </w:r>
      <w:r w:rsidR="3E59B3BB">
        <w:t>.</w:t>
      </w:r>
      <w:r w:rsidR="03B1E83B">
        <w:t xml:space="preserve">  </w:t>
      </w:r>
      <w:r w:rsidR="15B5B80E">
        <w:t>The Bureau will take such notices</w:t>
      </w:r>
      <w:r w:rsidR="00A854BA">
        <w:t>,</w:t>
      </w:r>
      <w:r w:rsidR="15B5B80E">
        <w:t xml:space="preserve"> </w:t>
      </w:r>
      <w:r w:rsidR="00427221">
        <w:t>and the weight, if any, they should be accorded</w:t>
      </w:r>
      <w:r w:rsidR="00A854BA">
        <w:t>, into account</w:t>
      </w:r>
      <w:r w:rsidR="0DC3370E">
        <w:t xml:space="preserve"> when </w:t>
      </w:r>
      <w:r w:rsidR="020FBEE6">
        <w:t xml:space="preserve">determining whether the eligible space </w:t>
      </w:r>
      <w:r w:rsidR="3E5DA532">
        <w:t xml:space="preserve">station operator </w:t>
      </w:r>
      <w:r w:rsidR="2EC1F9DC">
        <w:t>has met its transition</w:t>
      </w:r>
      <w:r w:rsidR="18FD32E1">
        <w:t xml:space="preserve"> obligations for </w:t>
      </w:r>
      <w:r w:rsidR="46A58EAA">
        <w:t xml:space="preserve">ARP </w:t>
      </w:r>
      <w:r w:rsidR="5F5C6800">
        <w:t>purposes.</w:t>
      </w:r>
    </w:p>
  </w:footnote>
  <w:footnote w:id="22">
    <w:p w:rsidR="00A433F8" w14:paraId="611AC987" w14:textId="764C2EF4">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2-205, GN Docket No. 20-305, Public Notice, DA 21-731 (IB June 22, 2021).</w:t>
      </w:r>
    </w:p>
  </w:footnote>
  <w:footnote w:id="23">
    <w:p w:rsidR="00DD4EFA" w:rsidRPr="008C3782" w14:paraId="173E5F0A" w14:textId="399D631D">
      <w:pPr>
        <w:pStyle w:val="FootnoteText"/>
      </w:pPr>
      <w:r>
        <w:rPr>
          <w:rStyle w:val="FootnoteReference"/>
        </w:rPr>
        <w:footnoteRef/>
      </w:r>
      <w:r>
        <w:t xml:space="preserve"> </w:t>
      </w:r>
      <w:r w:rsidR="48B5247C">
        <w:t>Such</w:t>
      </w:r>
      <w:r w:rsidR="7134A6AA">
        <w:t xml:space="preserve"> agreements </w:t>
      </w:r>
      <w:r w:rsidR="5E34F488">
        <w:t xml:space="preserve">may, </w:t>
      </w:r>
      <w:r w:rsidR="01870A90">
        <w:t xml:space="preserve">for example, </w:t>
      </w:r>
      <w:r w:rsidR="52817C60">
        <w:t>reflect</w:t>
      </w:r>
      <w:r w:rsidR="7134A6AA">
        <w:t xml:space="preserve"> that the earth station operator</w:t>
      </w:r>
      <w:r w:rsidR="12066BF7">
        <w:t xml:space="preserve">, whose station is </w:t>
      </w:r>
      <w:r w:rsidR="1DAC9ABF">
        <w:t xml:space="preserve">associated </w:t>
      </w:r>
      <w:r w:rsidR="13115E0E">
        <w:t xml:space="preserve">with the </w:t>
      </w:r>
      <w:r w:rsidR="16486758">
        <w:t xml:space="preserve">eligible </w:t>
      </w:r>
      <w:r w:rsidR="0E10EF69">
        <w:t xml:space="preserve">space station operator and </w:t>
      </w:r>
      <w:r w:rsidR="517E122D">
        <w:t>included on</w:t>
      </w:r>
      <w:r w:rsidR="12066BF7">
        <w:t xml:space="preserve"> </w:t>
      </w:r>
      <w:r w:rsidR="349A0EBA">
        <w:t xml:space="preserve">its </w:t>
      </w:r>
      <w:r w:rsidR="12066BF7">
        <w:t>Transition Plan,</w:t>
      </w:r>
      <w:r w:rsidR="7134A6AA">
        <w:t xml:space="preserve"> has relieved </w:t>
      </w:r>
      <w:r w:rsidR="2FC0DC1B">
        <w:t>said</w:t>
      </w:r>
      <w:r w:rsidR="7134A6AA">
        <w:t xml:space="preserve"> </w:t>
      </w:r>
      <w:r w:rsidR="6C0EC267">
        <w:t xml:space="preserve">eligible </w:t>
      </w:r>
      <w:r w:rsidR="7134A6AA">
        <w:t>space station operator of any obligation to effectuate the transition (in whole or in part, as per the agreement) of the subject earth station</w:t>
      </w:r>
      <w:r w:rsidR="2D6D88E2">
        <w:t>.</w:t>
      </w:r>
    </w:p>
  </w:footnote>
  <w:footnote w:id="24">
    <w:p w:rsidR="00DD4EFA" w:rsidRPr="00582A1E" w:rsidP="00582A1E" w14:paraId="40102B4F" w14:textId="6D0781D8">
      <w:pPr>
        <w:pStyle w:val="FootnoteText"/>
        <w:ind w:left="720" w:hanging="720"/>
      </w:pPr>
      <w:r>
        <w:rPr>
          <w:rStyle w:val="FootnoteReference"/>
        </w:rPr>
        <w:footnoteRef/>
      </w:r>
      <w:r>
        <w:t xml:space="preserve"> </w:t>
      </w:r>
      <w:r>
        <w:rPr>
          <w:i/>
          <w:iCs/>
        </w:rPr>
        <w:t>3.7 GHz Report and Order</w:t>
      </w:r>
      <w:r>
        <w:t xml:space="preserve">, 35 FCC </w:t>
      </w:r>
      <w:r>
        <w:t>Rcd</w:t>
      </w:r>
      <w:r>
        <w:rPr>
          <w:i/>
          <w:iCs/>
        </w:rPr>
        <w:t>.</w:t>
      </w:r>
      <w:r w:rsidR="0018187F">
        <w:rPr>
          <w:i/>
          <w:iCs/>
        </w:rPr>
        <w:t xml:space="preserve"> </w:t>
      </w:r>
      <w:r>
        <w:t xml:space="preserve">at 2457, para. 298. </w:t>
      </w:r>
    </w:p>
  </w:footnote>
  <w:footnote w:id="25">
    <w:p w:rsidR="00B41EDC" w:rsidP="00B41EDC" w14:paraId="22107325" w14:textId="32CA44BE">
      <w:pPr>
        <w:pStyle w:val="FootnoteText"/>
      </w:pPr>
      <w:r>
        <w:rPr>
          <w:rStyle w:val="FootnoteReference"/>
        </w:rPr>
        <w:footnoteRef/>
      </w:r>
      <w:r>
        <w:t xml:space="preserve"> </w:t>
      </w:r>
      <w:r w:rsidRPr="00A96C69">
        <w:rPr>
          <w:i/>
          <w:iCs/>
        </w:rPr>
        <w:t>Id.</w:t>
      </w:r>
      <w:r w:rsidR="00EB5A14">
        <w:rPr>
          <w:i/>
          <w:iCs/>
        </w:rPr>
        <w:t xml:space="preserve"> </w:t>
      </w:r>
      <w:r>
        <w:t xml:space="preserve"> No entity may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47 CFR § 1.17(a)(2).</w:t>
      </w:r>
      <w:r w:rsidR="000162E5">
        <w:t xml:space="preserve">  </w:t>
      </w:r>
      <w:r>
        <w:t>“</w:t>
      </w:r>
      <w:r w:rsidR="00EB5A14">
        <w:t xml:space="preserve"> </w:t>
      </w:r>
      <w:r>
        <w:t>In any investigatory or adjudicatory matter within the Commission's jurisdiction (including, but not limited to, any informal adjudication or informal investigation but excluding any declaratory ruling proceeding) and in any proceeding to amend the FM or Television Table of Allotments (with respect to expressions of interest) or any tariff proceeding, no person subject to this rule shall; (1) In any written or oral statement of fact, intentionally provide material factual information that is incorrect or intentionally omit material information that is necessary to prevent any material factual statement that is made from being incorrect or misleading; and (2)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47 CFR § 1.17(a)(1)-(2).</w:t>
      </w:r>
    </w:p>
  </w:footnote>
  <w:footnote w:id="26">
    <w:p w:rsidR="00B41EDC" w:rsidP="00B41EDC" w14:paraId="6C1E0F22" w14:textId="77777777">
      <w:pPr>
        <w:pStyle w:val="FootnoteText"/>
      </w:pPr>
      <w:r>
        <w:rPr>
          <w:rStyle w:val="FootnoteReference"/>
        </w:rPr>
        <w:footnoteRef/>
      </w:r>
      <w:r>
        <w:t xml:space="preserve"> </w:t>
      </w:r>
      <w:r w:rsidRPr="6242C072">
        <w:rPr>
          <w:i/>
          <w:iCs/>
        </w:rPr>
        <w:t>In Re Amend. of Section 1.17 of Commission's Rules Concerning Truthful Statements to Comm'n</w:t>
      </w:r>
      <w:r>
        <w:t xml:space="preserve">, 18 FCC </w:t>
      </w:r>
      <w:r>
        <w:t>Rcd</w:t>
      </w:r>
      <w:r>
        <w:t>. 4016, 4021 at para. 12 (2003).</w:t>
      </w:r>
    </w:p>
  </w:footnote>
  <w:footnote w:id="27">
    <w:p w:rsidR="00C5285B" w14:paraId="779C526F" w14:textId="19867995">
      <w:pPr>
        <w:pStyle w:val="FootnoteText"/>
      </w:pPr>
      <w:r>
        <w:rPr>
          <w:rStyle w:val="FootnoteReference"/>
        </w:rPr>
        <w:footnoteRef/>
      </w:r>
      <w:r>
        <w:t xml:space="preserve"> </w:t>
      </w:r>
      <w:r w:rsidRPr="00A96C69" w:rsidR="00E145F4">
        <w:rPr>
          <w:i/>
          <w:iCs/>
        </w:rPr>
        <w:t>See</w:t>
      </w:r>
      <w:r w:rsidRPr="00E145F4" w:rsidR="00E145F4">
        <w:t xml:space="preserve"> 47 CFR § 27.1412(a).</w:t>
      </w:r>
    </w:p>
  </w:footnote>
  <w:footnote w:id="28">
    <w:p w:rsidR="00E145F4" w14:paraId="06493B39" w14:textId="317796AA">
      <w:pPr>
        <w:pStyle w:val="FootnoteText"/>
      </w:pPr>
      <w:r w:rsidRPr="00913372">
        <w:rPr>
          <w:rStyle w:val="FootnoteReference"/>
        </w:rPr>
        <w:footnoteRef/>
      </w:r>
      <w:r w:rsidRPr="00A96C69">
        <w:rPr>
          <w:rStyle w:val="FootnoteReference"/>
        </w:rPr>
        <w:t xml:space="preserve"> </w:t>
      </w:r>
      <w:r w:rsidRPr="00642AA6" w:rsidR="00CC1F95">
        <w:rPr>
          <w:i/>
          <w:iCs/>
        </w:rPr>
        <w:t>Id</w:t>
      </w:r>
      <w:r w:rsidR="00CC1F95">
        <w:t>.</w:t>
      </w:r>
      <w:r w:rsidRPr="00E145F4">
        <w:t xml:space="preserve"> ("Eligible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rsidR="00E71618">
        <w:t xml:space="preserve">  The obligation to remediate is independent from, and without prejudice to, any determination that the Certification </w:t>
      </w:r>
      <w:r w:rsidR="00427221">
        <w:t xml:space="preserve">(or any subsequent remediation effort) </w:t>
      </w:r>
      <w:r w:rsidR="00E71618">
        <w:t xml:space="preserve">was made in bad faith. </w:t>
      </w:r>
    </w:p>
  </w:footnote>
  <w:footnote w:id="29">
    <w:p w:rsidR="00DD4EFA" w:rsidP="00A25B75" w14:paraId="0CF22DE5" w14:textId="6D1B713C">
      <w:pPr>
        <w:pStyle w:val="FootnoteText"/>
      </w:pPr>
      <w:r>
        <w:rPr>
          <w:rStyle w:val="FootnoteReference"/>
        </w:rPr>
        <w:footnoteRef/>
      </w:r>
      <w:r>
        <w:t xml:space="preserve"> </w:t>
      </w:r>
      <w:r w:rsidRPr="000531F8">
        <w:t>47 CFR § 1.45(b)-(c)</w:t>
      </w:r>
      <w:r>
        <w:t>.</w:t>
      </w:r>
      <w:r w:rsidR="007E3A6B">
        <w:t xml:space="preserve">  This requirement applies to all </w:t>
      </w:r>
      <w:r w:rsidR="005E2F15">
        <w:t xml:space="preserve">challenges filed by </w:t>
      </w:r>
      <w:r w:rsidR="007E3A6B">
        <w:t>stakeholders as well as the Clearinghouse.</w:t>
      </w:r>
    </w:p>
  </w:footnote>
  <w:footnote w:id="30">
    <w:p w:rsidR="00DD4EFA" w:rsidRPr="000531F8" w14:paraId="5EA573D1" w14:textId="0D56C9F9">
      <w:pPr>
        <w:pStyle w:val="FootnoteText"/>
      </w:pPr>
      <w:r>
        <w:rPr>
          <w:rStyle w:val="FootnoteReference"/>
        </w:rPr>
        <w:footnoteRef/>
      </w:r>
      <w:r>
        <w:t xml:space="preserve"> </w:t>
      </w:r>
      <w:r>
        <w:rPr>
          <w:i/>
          <w:iCs/>
        </w:rPr>
        <w:t>3.7 GHz Report and Order</w:t>
      </w:r>
      <w:r>
        <w:t xml:space="preserve">, 35 FCC </w:t>
      </w:r>
      <w:r>
        <w:t>Rcd</w:t>
      </w:r>
      <w:r>
        <w:t xml:space="preserve"> at</w:t>
      </w:r>
      <w:r>
        <w:rPr>
          <w:i/>
          <w:iCs/>
        </w:rPr>
        <w:t xml:space="preserve"> </w:t>
      </w:r>
      <w:r>
        <w:t>2457, para. 299.</w:t>
      </w:r>
    </w:p>
  </w:footnote>
  <w:footnote w:id="31">
    <w:p w:rsidR="00DD4EFA" w:rsidRPr="00BB2878" w14:paraId="070BFFFB" w14:textId="71A52364">
      <w:pPr>
        <w:pStyle w:val="FootnoteText"/>
      </w:pPr>
      <w:r>
        <w:rPr>
          <w:rStyle w:val="FootnoteReference"/>
        </w:rPr>
        <w:footnoteRef/>
      </w:r>
      <w:r>
        <w:t xml:space="preserve"> </w:t>
      </w:r>
      <w:r w:rsidR="00CC1F95">
        <w:rPr>
          <w:i/>
          <w:iCs/>
        </w:rPr>
        <w:t>Id.</w:t>
      </w:r>
      <w:r>
        <w:t xml:space="preserve">; 47 CFR § 27.1412(g)(2). </w:t>
      </w:r>
    </w:p>
  </w:footnote>
  <w:footnote w:id="32">
    <w:p w:rsidR="00DD4EFA" w14:paraId="10049D32" w14:textId="542E209C">
      <w:pPr>
        <w:pStyle w:val="FootnoteText"/>
      </w:pPr>
      <w:r>
        <w:rPr>
          <w:rStyle w:val="FootnoteReference"/>
        </w:rPr>
        <w:footnoteRef/>
      </w:r>
      <w:r>
        <w:t xml:space="preserve"> </w:t>
      </w:r>
      <w:r>
        <w:rPr>
          <w:i/>
          <w:iCs/>
        </w:rPr>
        <w:t>3.7 GHz Report and Order</w:t>
      </w:r>
      <w:r>
        <w:t xml:space="preserve">, 35 FCC </w:t>
      </w:r>
      <w:r>
        <w:t>Rcd</w:t>
      </w:r>
      <w:r>
        <w:t xml:space="preserve"> at 2456, para. 297; 47 CFR § 27.1422 (a)-(b).</w:t>
      </w:r>
    </w:p>
  </w:footnote>
  <w:footnote w:id="33">
    <w:p w:rsidR="00DD4EFA" w:rsidRPr="00526349" w:rsidP="00483327" w14:paraId="7AF5EB84"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34">
    <w:p w:rsidR="00DD4EFA" w:rsidRPr="0014668A" w:rsidP="00483327" w14:paraId="4759164C"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FA" w14:paraId="7722B718" w14:textId="33E0A73A">
    <w:pPr>
      <w:tabs>
        <w:tab w:val="center" w:pos="4680"/>
        <w:tab w:val="right" w:pos="9360"/>
      </w:tabs>
    </w:pPr>
    <w:r>
      <w:rPr>
        <w:b/>
      </w:rPr>
      <w:tab/>
      <w:t>Federal Communications Commission</w:t>
    </w:r>
    <w:r>
      <w:rPr>
        <w:b/>
      </w:rPr>
      <w:tab/>
      <w:t>DA 21-</w:t>
    </w:r>
    <w:r w:rsidR="00185333">
      <w:rPr>
        <w:b/>
      </w:rPr>
      <w:t>957</w:t>
    </w:r>
  </w:p>
  <w:p w:rsidR="00DD4EFA" w14:paraId="09D71D11" w14:textId="54CA61F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D4EFA" w14:paraId="1C82C6B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4EFA" w14:paraId="6DC505FE" w14:textId="1FDAC9A0">
    <w:pPr>
      <w:pStyle w:val="Header"/>
    </w:pPr>
    <w:r>
      <w:rPr>
        <w:noProof/>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360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03"/>
    <w:rsid w:val="000016EA"/>
    <w:rsid w:val="00005502"/>
    <w:rsid w:val="0000691E"/>
    <w:rsid w:val="00010297"/>
    <w:rsid w:val="00010DBF"/>
    <w:rsid w:val="0001215B"/>
    <w:rsid w:val="0001310D"/>
    <w:rsid w:val="00014010"/>
    <w:rsid w:val="000144AF"/>
    <w:rsid w:val="00014CE7"/>
    <w:rsid w:val="000162E5"/>
    <w:rsid w:val="00017FD2"/>
    <w:rsid w:val="00020CEE"/>
    <w:rsid w:val="00020D1F"/>
    <w:rsid w:val="00021B17"/>
    <w:rsid w:val="00022498"/>
    <w:rsid w:val="00022838"/>
    <w:rsid w:val="00022B32"/>
    <w:rsid w:val="0002381C"/>
    <w:rsid w:val="00023B9B"/>
    <w:rsid w:val="000302AE"/>
    <w:rsid w:val="00030BC5"/>
    <w:rsid w:val="0003192E"/>
    <w:rsid w:val="00037E58"/>
    <w:rsid w:val="00040C87"/>
    <w:rsid w:val="00041501"/>
    <w:rsid w:val="00047DB7"/>
    <w:rsid w:val="000519A0"/>
    <w:rsid w:val="000531F8"/>
    <w:rsid w:val="00054E3E"/>
    <w:rsid w:val="00056740"/>
    <w:rsid w:val="00056B5C"/>
    <w:rsid w:val="00064A6E"/>
    <w:rsid w:val="00065B5C"/>
    <w:rsid w:val="00066F6C"/>
    <w:rsid w:val="00071847"/>
    <w:rsid w:val="0007584E"/>
    <w:rsid w:val="00075BD9"/>
    <w:rsid w:val="00081939"/>
    <w:rsid w:val="00084E17"/>
    <w:rsid w:val="00086942"/>
    <w:rsid w:val="00086F73"/>
    <w:rsid w:val="000909D3"/>
    <w:rsid w:val="00094D6E"/>
    <w:rsid w:val="00094EAB"/>
    <w:rsid w:val="000A07D2"/>
    <w:rsid w:val="000A1A3F"/>
    <w:rsid w:val="000A3CB4"/>
    <w:rsid w:val="000A773E"/>
    <w:rsid w:val="000A7C14"/>
    <w:rsid w:val="000B1E3E"/>
    <w:rsid w:val="000B3493"/>
    <w:rsid w:val="000B5630"/>
    <w:rsid w:val="000B7983"/>
    <w:rsid w:val="000C045C"/>
    <w:rsid w:val="000C147F"/>
    <w:rsid w:val="000C1491"/>
    <w:rsid w:val="000C6418"/>
    <w:rsid w:val="000D70BF"/>
    <w:rsid w:val="000E2528"/>
    <w:rsid w:val="000E2AB8"/>
    <w:rsid w:val="000E601A"/>
    <w:rsid w:val="000E67D7"/>
    <w:rsid w:val="000E7339"/>
    <w:rsid w:val="000E7AD6"/>
    <w:rsid w:val="000F0064"/>
    <w:rsid w:val="000F0A88"/>
    <w:rsid w:val="000F5734"/>
    <w:rsid w:val="000F6539"/>
    <w:rsid w:val="001011EE"/>
    <w:rsid w:val="001014EA"/>
    <w:rsid w:val="001073FA"/>
    <w:rsid w:val="00107C15"/>
    <w:rsid w:val="001129A0"/>
    <w:rsid w:val="0011456D"/>
    <w:rsid w:val="00120676"/>
    <w:rsid w:val="001216B1"/>
    <w:rsid w:val="00121E64"/>
    <w:rsid w:val="00124D68"/>
    <w:rsid w:val="00127688"/>
    <w:rsid w:val="001278F3"/>
    <w:rsid w:val="00131CAA"/>
    <w:rsid w:val="00133DF7"/>
    <w:rsid w:val="001353F5"/>
    <w:rsid w:val="00143D57"/>
    <w:rsid w:val="00144403"/>
    <w:rsid w:val="00146150"/>
    <w:rsid w:val="0014668A"/>
    <w:rsid w:val="00147036"/>
    <w:rsid w:val="0015160C"/>
    <w:rsid w:val="0015241C"/>
    <w:rsid w:val="00155835"/>
    <w:rsid w:val="0015698E"/>
    <w:rsid w:val="00166A8E"/>
    <w:rsid w:val="00167619"/>
    <w:rsid w:val="00170C20"/>
    <w:rsid w:val="001711E6"/>
    <w:rsid w:val="00174826"/>
    <w:rsid w:val="00175BCA"/>
    <w:rsid w:val="0018187F"/>
    <w:rsid w:val="0018404D"/>
    <w:rsid w:val="0018527F"/>
    <w:rsid w:val="00185333"/>
    <w:rsid w:val="001860A5"/>
    <w:rsid w:val="0018626E"/>
    <w:rsid w:val="00190D5A"/>
    <w:rsid w:val="00191459"/>
    <w:rsid w:val="001948DF"/>
    <w:rsid w:val="00196A25"/>
    <w:rsid w:val="001A1010"/>
    <w:rsid w:val="001A2B07"/>
    <w:rsid w:val="001A648D"/>
    <w:rsid w:val="001B07BD"/>
    <w:rsid w:val="001C0C79"/>
    <w:rsid w:val="001C0F9A"/>
    <w:rsid w:val="001C1707"/>
    <w:rsid w:val="001C4E69"/>
    <w:rsid w:val="001C517C"/>
    <w:rsid w:val="001C5C6D"/>
    <w:rsid w:val="001C7D6F"/>
    <w:rsid w:val="001C7F22"/>
    <w:rsid w:val="001D3829"/>
    <w:rsid w:val="001D51C2"/>
    <w:rsid w:val="001E32E3"/>
    <w:rsid w:val="001E40ED"/>
    <w:rsid w:val="001E6296"/>
    <w:rsid w:val="001F03F7"/>
    <w:rsid w:val="001F5452"/>
    <w:rsid w:val="001F5C8A"/>
    <w:rsid w:val="00202238"/>
    <w:rsid w:val="00202AFA"/>
    <w:rsid w:val="00204356"/>
    <w:rsid w:val="0020484A"/>
    <w:rsid w:val="002050C4"/>
    <w:rsid w:val="002068E2"/>
    <w:rsid w:val="0020724C"/>
    <w:rsid w:val="00211C8E"/>
    <w:rsid w:val="00215F2C"/>
    <w:rsid w:val="00216860"/>
    <w:rsid w:val="002220AA"/>
    <w:rsid w:val="00222C4D"/>
    <w:rsid w:val="00232E3D"/>
    <w:rsid w:val="002373A6"/>
    <w:rsid w:val="00243159"/>
    <w:rsid w:val="00243DE9"/>
    <w:rsid w:val="00247DB4"/>
    <w:rsid w:val="002513B1"/>
    <w:rsid w:val="0025247F"/>
    <w:rsid w:val="00257A14"/>
    <w:rsid w:val="002616D3"/>
    <w:rsid w:val="00263964"/>
    <w:rsid w:val="00265869"/>
    <w:rsid w:val="00270255"/>
    <w:rsid w:val="00271F11"/>
    <w:rsid w:val="00272537"/>
    <w:rsid w:val="00272766"/>
    <w:rsid w:val="002735F0"/>
    <w:rsid w:val="0027421D"/>
    <w:rsid w:val="00276707"/>
    <w:rsid w:val="00281E2D"/>
    <w:rsid w:val="00283675"/>
    <w:rsid w:val="0028422C"/>
    <w:rsid w:val="002913A0"/>
    <w:rsid w:val="0029491F"/>
    <w:rsid w:val="00295C58"/>
    <w:rsid w:val="00297E55"/>
    <w:rsid w:val="002A3945"/>
    <w:rsid w:val="002A48B4"/>
    <w:rsid w:val="002A4BC8"/>
    <w:rsid w:val="002A5FC6"/>
    <w:rsid w:val="002B4C8E"/>
    <w:rsid w:val="002B5EE0"/>
    <w:rsid w:val="002B6D8F"/>
    <w:rsid w:val="002B7930"/>
    <w:rsid w:val="002B7946"/>
    <w:rsid w:val="002C35A2"/>
    <w:rsid w:val="002C506A"/>
    <w:rsid w:val="002C60F2"/>
    <w:rsid w:val="002D415D"/>
    <w:rsid w:val="002D63FF"/>
    <w:rsid w:val="002E1558"/>
    <w:rsid w:val="002E6E5C"/>
    <w:rsid w:val="002F5DCA"/>
    <w:rsid w:val="002F763A"/>
    <w:rsid w:val="002F7829"/>
    <w:rsid w:val="0030189E"/>
    <w:rsid w:val="00307123"/>
    <w:rsid w:val="00307FA1"/>
    <w:rsid w:val="0031363D"/>
    <w:rsid w:val="003207AB"/>
    <w:rsid w:val="003214F6"/>
    <w:rsid w:val="003222B7"/>
    <w:rsid w:val="00322D9A"/>
    <w:rsid w:val="00323935"/>
    <w:rsid w:val="0032498E"/>
    <w:rsid w:val="0032717B"/>
    <w:rsid w:val="0032767D"/>
    <w:rsid w:val="00327AFA"/>
    <w:rsid w:val="00330003"/>
    <w:rsid w:val="0033144E"/>
    <w:rsid w:val="003347AB"/>
    <w:rsid w:val="00337AEC"/>
    <w:rsid w:val="00337B6B"/>
    <w:rsid w:val="00344A2E"/>
    <w:rsid w:val="003461C0"/>
    <w:rsid w:val="00346793"/>
    <w:rsid w:val="0035093E"/>
    <w:rsid w:val="003540BE"/>
    <w:rsid w:val="00363D6D"/>
    <w:rsid w:val="00364E53"/>
    <w:rsid w:val="003650BA"/>
    <w:rsid w:val="00372EF9"/>
    <w:rsid w:val="003747BC"/>
    <w:rsid w:val="003802E3"/>
    <w:rsid w:val="00381BEB"/>
    <w:rsid w:val="00387601"/>
    <w:rsid w:val="003877A1"/>
    <w:rsid w:val="00387FF0"/>
    <w:rsid w:val="00391573"/>
    <w:rsid w:val="00391DBF"/>
    <w:rsid w:val="00391EB1"/>
    <w:rsid w:val="00397032"/>
    <w:rsid w:val="003A384E"/>
    <w:rsid w:val="003B0FAC"/>
    <w:rsid w:val="003B1678"/>
    <w:rsid w:val="003B6A37"/>
    <w:rsid w:val="003C56AA"/>
    <w:rsid w:val="003D019E"/>
    <w:rsid w:val="003D1C56"/>
    <w:rsid w:val="003D1CF2"/>
    <w:rsid w:val="003D250C"/>
    <w:rsid w:val="003D5840"/>
    <w:rsid w:val="003D6388"/>
    <w:rsid w:val="003E33BF"/>
    <w:rsid w:val="003E43F5"/>
    <w:rsid w:val="003F08D1"/>
    <w:rsid w:val="003F3157"/>
    <w:rsid w:val="004009F2"/>
    <w:rsid w:val="004021DF"/>
    <w:rsid w:val="004061E9"/>
    <w:rsid w:val="00407764"/>
    <w:rsid w:val="00410F79"/>
    <w:rsid w:val="004111AD"/>
    <w:rsid w:val="004115A0"/>
    <w:rsid w:val="00415D87"/>
    <w:rsid w:val="00420E2A"/>
    <w:rsid w:val="0042244C"/>
    <w:rsid w:val="00425999"/>
    <w:rsid w:val="00426ECD"/>
    <w:rsid w:val="004270C8"/>
    <w:rsid w:val="00427221"/>
    <w:rsid w:val="00431D0F"/>
    <w:rsid w:val="00432811"/>
    <w:rsid w:val="004328C6"/>
    <w:rsid w:val="00434721"/>
    <w:rsid w:val="00436D72"/>
    <w:rsid w:val="00437035"/>
    <w:rsid w:val="00440703"/>
    <w:rsid w:val="00441018"/>
    <w:rsid w:val="0044273E"/>
    <w:rsid w:val="00442B73"/>
    <w:rsid w:val="00444670"/>
    <w:rsid w:val="00445E85"/>
    <w:rsid w:val="00463A58"/>
    <w:rsid w:val="00466625"/>
    <w:rsid w:val="00472103"/>
    <w:rsid w:val="00475105"/>
    <w:rsid w:val="00480F30"/>
    <w:rsid w:val="00483327"/>
    <w:rsid w:val="004857E2"/>
    <w:rsid w:val="00493E42"/>
    <w:rsid w:val="004A2BED"/>
    <w:rsid w:val="004A2C1F"/>
    <w:rsid w:val="004A3E6D"/>
    <w:rsid w:val="004A5263"/>
    <w:rsid w:val="004A5D51"/>
    <w:rsid w:val="004A6CDF"/>
    <w:rsid w:val="004B48C7"/>
    <w:rsid w:val="004B6584"/>
    <w:rsid w:val="004C2B90"/>
    <w:rsid w:val="004C7DD7"/>
    <w:rsid w:val="004D2905"/>
    <w:rsid w:val="004D6D65"/>
    <w:rsid w:val="004E1F39"/>
    <w:rsid w:val="004E31D0"/>
    <w:rsid w:val="004E41EB"/>
    <w:rsid w:val="004E4417"/>
    <w:rsid w:val="004E7B4F"/>
    <w:rsid w:val="004F0DF9"/>
    <w:rsid w:val="004F177B"/>
    <w:rsid w:val="004F6146"/>
    <w:rsid w:val="004F6B10"/>
    <w:rsid w:val="004F7054"/>
    <w:rsid w:val="004F776D"/>
    <w:rsid w:val="005009CE"/>
    <w:rsid w:val="00502281"/>
    <w:rsid w:val="00504AD9"/>
    <w:rsid w:val="0050535B"/>
    <w:rsid w:val="00515331"/>
    <w:rsid w:val="00525016"/>
    <w:rsid w:val="00526349"/>
    <w:rsid w:val="00532EAE"/>
    <w:rsid w:val="00535091"/>
    <w:rsid w:val="0054338D"/>
    <w:rsid w:val="00543624"/>
    <w:rsid w:val="0054426B"/>
    <w:rsid w:val="00544E92"/>
    <w:rsid w:val="00545AE7"/>
    <w:rsid w:val="00546531"/>
    <w:rsid w:val="005479A8"/>
    <w:rsid w:val="00554044"/>
    <w:rsid w:val="00557B4A"/>
    <w:rsid w:val="00565FB4"/>
    <w:rsid w:val="00567E6C"/>
    <w:rsid w:val="0057303F"/>
    <w:rsid w:val="005758F1"/>
    <w:rsid w:val="00582A1E"/>
    <w:rsid w:val="005925D5"/>
    <w:rsid w:val="005926CB"/>
    <w:rsid w:val="00594A8E"/>
    <w:rsid w:val="005A0C76"/>
    <w:rsid w:val="005A1E28"/>
    <w:rsid w:val="005A51E5"/>
    <w:rsid w:val="005B0CB6"/>
    <w:rsid w:val="005B2C7F"/>
    <w:rsid w:val="005C0723"/>
    <w:rsid w:val="005C2AD7"/>
    <w:rsid w:val="005C5C38"/>
    <w:rsid w:val="005D11F7"/>
    <w:rsid w:val="005D2F2E"/>
    <w:rsid w:val="005D52CD"/>
    <w:rsid w:val="005E093F"/>
    <w:rsid w:val="005E1DCB"/>
    <w:rsid w:val="005E238A"/>
    <w:rsid w:val="005E2F15"/>
    <w:rsid w:val="005F14B8"/>
    <w:rsid w:val="005F3E40"/>
    <w:rsid w:val="005F620B"/>
    <w:rsid w:val="0060315A"/>
    <w:rsid w:val="006040A8"/>
    <w:rsid w:val="00605BDF"/>
    <w:rsid w:val="00612D77"/>
    <w:rsid w:val="00617A8A"/>
    <w:rsid w:val="00620D82"/>
    <w:rsid w:val="0062161F"/>
    <w:rsid w:val="00630E7C"/>
    <w:rsid w:val="0063316F"/>
    <w:rsid w:val="00633E48"/>
    <w:rsid w:val="006354BB"/>
    <w:rsid w:val="00636E2B"/>
    <w:rsid w:val="00637601"/>
    <w:rsid w:val="00637627"/>
    <w:rsid w:val="00640295"/>
    <w:rsid w:val="00642AA6"/>
    <w:rsid w:val="00645A52"/>
    <w:rsid w:val="006471F2"/>
    <w:rsid w:val="00650536"/>
    <w:rsid w:val="0066331A"/>
    <w:rsid w:val="00667020"/>
    <w:rsid w:val="00674042"/>
    <w:rsid w:val="006753C5"/>
    <w:rsid w:val="00683C8E"/>
    <w:rsid w:val="00684BD2"/>
    <w:rsid w:val="00687CE5"/>
    <w:rsid w:val="006912B2"/>
    <w:rsid w:val="006914E6"/>
    <w:rsid w:val="00693CD3"/>
    <w:rsid w:val="006953BB"/>
    <w:rsid w:val="00697F0A"/>
    <w:rsid w:val="006A303F"/>
    <w:rsid w:val="006B354D"/>
    <w:rsid w:val="006B4171"/>
    <w:rsid w:val="006B51CB"/>
    <w:rsid w:val="006B5707"/>
    <w:rsid w:val="006B6200"/>
    <w:rsid w:val="006B6522"/>
    <w:rsid w:val="006B6A17"/>
    <w:rsid w:val="006B7C45"/>
    <w:rsid w:val="006C0B21"/>
    <w:rsid w:val="006C11E3"/>
    <w:rsid w:val="006C1281"/>
    <w:rsid w:val="006C2982"/>
    <w:rsid w:val="006C32BE"/>
    <w:rsid w:val="006C4156"/>
    <w:rsid w:val="006C4B6D"/>
    <w:rsid w:val="006C6BEC"/>
    <w:rsid w:val="006E0B16"/>
    <w:rsid w:val="006F075E"/>
    <w:rsid w:val="006F07A3"/>
    <w:rsid w:val="006F11FE"/>
    <w:rsid w:val="006F3C95"/>
    <w:rsid w:val="006F4910"/>
    <w:rsid w:val="006F49A2"/>
    <w:rsid w:val="006F512E"/>
    <w:rsid w:val="00704098"/>
    <w:rsid w:val="007042B7"/>
    <w:rsid w:val="00705034"/>
    <w:rsid w:val="007117CA"/>
    <w:rsid w:val="007148A8"/>
    <w:rsid w:val="00714ACB"/>
    <w:rsid w:val="00717B33"/>
    <w:rsid w:val="00720A5C"/>
    <w:rsid w:val="007212A2"/>
    <w:rsid w:val="00725C70"/>
    <w:rsid w:val="00731A80"/>
    <w:rsid w:val="0073456D"/>
    <w:rsid w:val="00734803"/>
    <w:rsid w:val="00735621"/>
    <w:rsid w:val="007357E8"/>
    <w:rsid w:val="00736977"/>
    <w:rsid w:val="007379F7"/>
    <w:rsid w:val="0074145B"/>
    <w:rsid w:val="00742249"/>
    <w:rsid w:val="00744357"/>
    <w:rsid w:val="007534AA"/>
    <w:rsid w:val="007535DB"/>
    <w:rsid w:val="007538BB"/>
    <w:rsid w:val="00757F6F"/>
    <w:rsid w:val="00761DB7"/>
    <w:rsid w:val="007644FB"/>
    <w:rsid w:val="0076453C"/>
    <w:rsid w:val="00767EC9"/>
    <w:rsid w:val="007711C6"/>
    <w:rsid w:val="007730D9"/>
    <w:rsid w:val="007844A6"/>
    <w:rsid w:val="0078489D"/>
    <w:rsid w:val="007873F8"/>
    <w:rsid w:val="0079190F"/>
    <w:rsid w:val="007926AE"/>
    <w:rsid w:val="00792DB4"/>
    <w:rsid w:val="00793FBA"/>
    <w:rsid w:val="007978C7"/>
    <w:rsid w:val="00797940"/>
    <w:rsid w:val="007A0927"/>
    <w:rsid w:val="007A610B"/>
    <w:rsid w:val="007B2775"/>
    <w:rsid w:val="007B2DA9"/>
    <w:rsid w:val="007B3C51"/>
    <w:rsid w:val="007B44BA"/>
    <w:rsid w:val="007B4F4C"/>
    <w:rsid w:val="007B5A91"/>
    <w:rsid w:val="007B619B"/>
    <w:rsid w:val="007B752C"/>
    <w:rsid w:val="007B7BAB"/>
    <w:rsid w:val="007C0B8E"/>
    <w:rsid w:val="007C196B"/>
    <w:rsid w:val="007C1E5A"/>
    <w:rsid w:val="007D4DAF"/>
    <w:rsid w:val="007E3A6B"/>
    <w:rsid w:val="007E3FCD"/>
    <w:rsid w:val="007F2264"/>
    <w:rsid w:val="007F2FA4"/>
    <w:rsid w:val="007F5270"/>
    <w:rsid w:val="008068C7"/>
    <w:rsid w:val="00811399"/>
    <w:rsid w:val="00815554"/>
    <w:rsid w:val="008178C9"/>
    <w:rsid w:val="00824D76"/>
    <w:rsid w:val="00826B2D"/>
    <w:rsid w:val="00826D21"/>
    <w:rsid w:val="0083203C"/>
    <w:rsid w:val="008330D3"/>
    <w:rsid w:val="00833B9C"/>
    <w:rsid w:val="00837666"/>
    <w:rsid w:val="008404FE"/>
    <w:rsid w:val="008418A4"/>
    <w:rsid w:val="008518F4"/>
    <w:rsid w:val="0085309C"/>
    <w:rsid w:val="008543A3"/>
    <w:rsid w:val="00854772"/>
    <w:rsid w:val="00854BA1"/>
    <w:rsid w:val="0085619C"/>
    <w:rsid w:val="008641CE"/>
    <w:rsid w:val="0086651F"/>
    <w:rsid w:val="00867095"/>
    <w:rsid w:val="00872ABB"/>
    <w:rsid w:val="00876136"/>
    <w:rsid w:val="008815AD"/>
    <w:rsid w:val="00882B67"/>
    <w:rsid w:val="00883AAA"/>
    <w:rsid w:val="008862CF"/>
    <w:rsid w:val="008871E6"/>
    <w:rsid w:val="00891C50"/>
    <w:rsid w:val="008958D9"/>
    <w:rsid w:val="008961AF"/>
    <w:rsid w:val="0089697C"/>
    <w:rsid w:val="0089782D"/>
    <w:rsid w:val="008A299C"/>
    <w:rsid w:val="008A32E9"/>
    <w:rsid w:val="008A37CF"/>
    <w:rsid w:val="008A57AE"/>
    <w:rsid w:val="008A76CE"/>
    <w:rsid w:val="008B1F3C"/>
    <w:rsid w:val="008C20C6"/>
    <w:rsid w:val="008C3782"/>
    <w:rsid w:val="008C3C88"/>
    <w:rsid w:val="008C42A5"/>
    <w:rsid w:val="008C5F4C"/>
    <w:rsid w:val="008D23E7"/>
    <w:rsid w:val="008E3353"/>
    <w:rsid w:val="008E3F20"/>
    <w:rsid w:val="008F405C"/>
    <w:rsid w:val="008F65F7"/>
    <w:rsid w:val="00900B3E"/>
    <w:rsid w:val="00902731"/>
    <w:rsid w:val="009075C1"/>
    <w:rsid w:val="00913372"/>
    <w:rsid w:val="00913DF4"/>
    <w:rsid w:val="009156F0"/>
    <w:rsid w:val="00920958"/>
    <w:rsid w:val="0092186B"/>
    <w:rsid w:val="00921D79"/>
    <w:rsid w:val="0092405A"/>
    <w:rsid w:val="00924D9D"/>
    <w:rsid w:val="00926A5B"/>
    <w:rsid w:val="009315E9"/>
    <w:rsid w:val="0094156E"/>
    <w:rsid w:val="00946940"/>
    <w:rsid w:val="00952280"/>
    <w:rsid w:val="00954149"/>
    <w:rsid w:val="00956786"/>
    <w:rsid w:val="00956F44"/>
    <w:rsid w:val="0095791D"/>
    <w:rsid w:val="009602F9"/>
    <w:rsid w:val="00962710"/>
    <w:rsid w:val="00965B7F"/>
    <w:rsid w:val="00967A69"/>
    <w:rsid w:val="00970CCA"/>
    <w:rsid w:val="00973F83"/>
    <w:rsid w:val="00975C45"/>
    <w:rsid w:val="00980E8C"/>
    <w:rsid w:val="00981FEB"/>
    <w:rsid w:val="00984696"/>
    <w:rsid w:val="009858AE"/>
    <w:rsid w:val="00986F06"/>
    <w:rsid w:val="009878C5"/>
    <w:rsid w:val="009879D1"/>
    <w:rsid w:val="009905E7"/>
    <w:rsid w:val="009920C5"/>
    <w:rsid w:val="009938C8"/>
    <w:rsid w:val="00994482"/>
    <w:rsid w:val="00996AE6"/>
    <w:rsid w:val="009A1504"/>
    <w:rsid w:val="009A23A7"/>
    <w:rsid w:val="009A36C0"/>
    <w:rsid w:val="009A7AD6"/>
    <w:rsid w:val="009B0D64"/>
    <w:rsid w:val="009B1319"/>
    <w:rsid w:val="009B2682"/>
    <w:rsid w:val="009B2B51"/>
    <w:rsid w:val="009C322E"/>
    <w:rsid w:val="009D0462"/>
    <w:rsid w:val="009D0E17"/>
    <w:rsid w:val="009D33B9"/>
    <w:rsid w:val="009D5658"/>
    <w:rsid w:val="009E0C4C"/>
    <w:rsid w:val="009E3723"/>
    <w:rsid w:val="009F0927"/>
    <w:rsid w:val="009F1D2C"/>
    <w:rsid w:val="009F719F"/>
    <w:rsid w:val="00A0339C"/>
    <w:rsid w:val="00A06448"/>
    <w:rsid w:val="00A068BA"/>
    <w:rsid w:val="00A0736C"/>
    <w:rsid w:val="00A07D59"/>
    <w:rsid w:val="00A1128C"/>
    <w:rsid w:val="00A128FD"/>
    <w:rsid w:val="00A152AC"/>
    <w:rsid w:val="00A16029"/>
    <w:rsid w:val="00A24274"/>
    <w:rsid w:val="00A25AEF"/>
    <w:rsid w:val="00A25B75"/>
    <w:rsid w:val="00A31BEC"/>
    <w:rsid w:val="00A3215D"/>
    <w:rsid w:val="00A33048"/>
    <w:rsid w:val="00A433F8"/>
    <w:rsid w:val="00A442EC"/>
    <w:rsid w:val="00A545D6"/>
    <w:rsid w:val="00A6083B"/>
    <w:rsid w:val="00A61D7F"/>
    <w:rsid w:val="00A62142"/>
    <w:rsid w:val="00A6304D"/>
    <w:rsid w:val="00A708E0"/>
    <w:rsid w:val="00A7153D"/>
    <w:rsid w:val="00A77038"/>
    <w:rsid w:val="00A83054"/>
    <w:rsid w:val="00A831AD"/>
    <w:rsid w:val="00A84A73"/>
    <w:rsid w:val="00A854BA"/>
    <w:rsid w:val="00A93E03"/>
    <w:rsid w:val="00A95360"/>
    <w:rsid w:val="00A96C69"/>
    <w:rsid w:val="00AA2909"/>
    <w:rsid w:val="00AA423D"/>
    <w:rsid w:val="00AA53FD"/>
    <w:rsid w:val="00AA577B"/>
    <w:rsid w:val="00AB69A5"/>
    <w:rsid w:val="00AB6D99"/>
    <w:rsid w:val="00AB6F40"/>
    <w:rsid w:val="00AB76F1"/>
    <w:rsid w:val="00AC113B"/>
    <w:rsid w:val="00AD1D98"/>
    <w:rsid w:val="00AD4AC5"/>
    <w:rsid w:val="00AD4E04"/>
    <w:rsid w:val="00AD5AC4"/>
    <w:rsid w:val="00AD6846"/>
    <w:rsid w:val="00AD75DD"/>
    <w:rsid w:val="00AE278E"/>
    <w:rsid w:val="00AF0313"/>
    <w:rsid w:val="00AF0630"/>
    <w:rsid w:val="00AF131D"/>
    <w:rsid w:val="00AF463A"/>
    <w:rsid w:val="00B02FBB"/>
    <w:rsid w:val="00B0458C"/>
    <w:rsid w:val="00B04BE8"/>
    <w:rsid w:val="00B05186"/>
    <w:rsid w:val="00B14F02"/>
    <w:rsid w:val="00B15E05"/>
    <w:rsid w:val="00B17285"/>
    <w:rsid w:val="00B21FA5"/>
    <w:rsid w:val="00B23154"/>
    <w:rsid w:val="00B23C02"/>
    <w:rsid w:val="00B26FB5"/>
    <w:rsid w:val="00B41EDC"/>
    <w:rsid w:val="00B43F18"/>
    <w:rsid w:val="00B46557"/>
    <w:rsid w:val="00B46838"/>
    <w:rsid w:val="00B51694"/>
    <w:rsid w:val="00B52282"/>
    <w:rsid w:val="00B5286B"/>
    <w:rsid w:val="00B54261"/>
    <w:rsid w:val="00B54D97"/>
    <w:rsid w:val="00B558DA"/>
    <w:rsid w:val="00B55915"/>
    <w:rsid w:val="00B55CA6"/>
    <w:rsid w:val="00B642A9"/>
    <w:rsid w:val="00B6656C"/>
    <w:rsid w:val="00B71DFA"/>
    <w:rsid w:val="00B721DB"/>
    <w:rsid w:val="00B72DAD"/>
    <w:rsid w:val="00B80F2C"/>
    <w:rsid w:val="00B814AA"/>
    <w:rsid w:val="00B84DAF"/>
    <w:rsid w:val="00B86403"/>
    <w:rsid w:val="00B92B74"/>
    <w:rsid w:val="00B94890"/>
    <w:rsid w:val="00B95C34"/>
    <w:rsid w:val="00BA3183"/>
    <w:rsid w:val="00BA485C"/>
    <w:rsid w:val="00BA6858"/>
    <w:rsid w:val="00BA6DBE"/>
    <w:rsid w:val="00BA7747"/>
    <w:rsid w:val="00BB091E"/>
    <w:rsid w:val="00BB2878"/>
    <w:rsid w:val="00BB5F17"/>
    <w:rsid w:val="00BB71DB"/>
    <w:rsid w:val="00BC0759"/>
    <w:rsid w:val="00BC0F61"/>
    <w:rsid w:val="00BC1044"/>
    <w:rsid w:val="00BD0A64"/>
    <w:rsid w:val="00BD586F"/>
    <w:rsid w:val="00BE03FA"/>
    <w:rsid w:val="00BE0578"/>
    <w:rsid w:val="00BE264F"/>
    <w:rsid w:val="00BF0705"/>
    <w:rsid w:val="00BF48FB"/>
    <w:rsid w:val="00BF5569"/>
    <w:rsid w:val="00C00408"/>
    <w:rsid w:val="00C0286C"/>
    <w:rsid w:val="00C0452F"/>
    <w:rsid w:val="00C04D61"/>
    <w:rsid w:val="00C05229"/>
    <w:rsid w:val="00C06DE5"/>
    <w:rsid w:val="00C10074"/>
    <w:rsid w:val="00C11C0D"/>
    <w:rsid w:val="00C14544"/>
    <w:rsid w:val="00C160B7"/>
    <w:rsid w:val="00C2031F"/>
    <w:rsid w:val="00C25D78"/>
    <w:rsid w:val="00C311FB"/>
    <w:rsid w:val="00C43BC2"/>
    <w:rsid w:val="00C45835"/>
    <w:rsid w:val="00C513C9"/>
    <w:rsid w:val="00C5285B"/>
    <w:rsid w:val="00C5629B"/>
    <w:rsid w:val="00C606D8"/>
    <w:rsid w:val="00C613CB"/>
    <w:rsid w:val="00C63E23"/>
    <w:rsid w:val="00C63E8B"/>
    <w:rsid w:val="00C67E7B"/>
    <w:rsid w:val="00C7045C"/>
    <w:rsid w:val="00C70731"/>
    <w:rsid w:val="00C723BE"/>
    <w:rsid w:val="00C725E4"/>
    <w:rsid w:val="00C8010D"/>
    <w:rsid w:val="00C824AB"/>
    <w:rsid w:val="00C84B9C"/>
    <w:rsid w:val="00C876AB"/>
    <w:rsid w:val="00C9164F"/>
    <w:rsid w:val="00C939B9"/>
    <w:rsid w:val="00C95CDA"/>
    <w:rsid w:val="00C963B9"/>
    <w:rsid w:val="00C968B3"/>
    <w:rsid w:val="00C96FD0"/>
    <w:rsid w:val="00CA18DF"/>
    <w:rsid w:val="00CA271A"/>
    <w:rsid w:val="00CA3DA6"/>
    <w:rsid w:val="00CA5DC3"/>
    <w:rsid w:val="00CA68DC"/>
    <w:rsid w:val="00CA6B4C"/>
    <w:rsid w:val="00CB1641"/>
    <w:rsid w:val="00CB2576"/>
    <w:rsid w:val="00CB64AB"/>
    <w:rsid w:val="00CC1F95"/>
    <w:rsid w:val="00CC65FA"/>
    <w:rsid w:val="00CC7B59"/>
    <w:rsid w:val="00CD18BE"/>
    <w:rsid w:val="00CD3D52"/>
    <w:rsid w:val="00CD6D8D"/>
    <w:rsid w:val="00CE2FE7"/>
    <w:rsid w:val="00CE6127"/>
    <w:rsid w:val="00CE764E"/>
    <w:rsid w:val="00CF0A68"/>
    <w:rsid w:val="00CF3B56"/>
    <w:rsid w:val="00CF3C71"/>
    <w:rsid w:val="00D00FCF"/>
    <w:rsid w:val="00D02C70"/>
    <w:rsid w:val="00D06744"/>
    <w:rsid w:val="00D15A01"/>
    <w:rsid w:val="00D17754"/>
    <w:rsid w:val="00D1790D"/>
    <w:rsid w:val="00D22413"/>
    <w:rsid w:val="00D23D71"/>
    <w:rsid w:val="00D24213"/>
    <w:rsid w:val="00D24751"/>
    <w:rsid w:val="00D2606E"/>
    <w:rsid w:val="00D27A5F"/>
    <w:rsid w:val="00D27F5B"/>
    <w:rsid w:val="00D30586"/>
    <w:rsid w:val="00D31C29"/>
    <w:rsid w:val="00D3310C"/>
    <w:rsid w:val="00D34EB6"/>
    <w:rsid w:val="00D612F5"/>
    <w:rsid w:val="00D627BB"/>
    <w:rsid w:val="00D65D73"/>
    <w:rsid w:val="00D66E08"/>
    <w:rsid w:val="00D70228"/>
    <w:rsid w:val="00D71596"/>
    <w:rsid w:val="00D769AE"/>
    <w:rsid w:val="00D769D5"/>
    <w:rsid w:val="00D839D0"/>
    <w:rsid w:val="00D84F60"/>
    <w:rsid w:val="00D91ED7"/>
    <w:rsid w:val="00D96E87"/>
    <w:rsid w:val="00DA05BE"/>
    <w:rsid w:val="00DA3E06"/>
    <w:rsid w:val="00DA5843"/>
    <w:rsid w:val="00DA7C30"/>
    <w:rsid w:val="00DB1ACB"/>
    <w:rsid w:val="00DB1BFC"/>
    <w:rsid w:val="00DB2412"/>
    <w:rsid w:val="00DB3AF5"/>
    <w:rsid w:val="00DB4E12"/>
    <w:rsid w:val="00DB6F0A"/>
    <w:rsid w:val="00DC076C"/>
    <w:rsid w:val="00DC2A87"/>
    <w:rsid w:val="00DC5F15"/>
    <w:rsid w:val="00DC71F6"/>
    <w:rsid w:val="00DC75A8"/>
    <w:rsid w:val="00DD214F"/>
    <w:rsid w:val="00DD2A0C"/>
    <w:rsid w:val="00DD4EFA"/>
    <w:rsid w:val="00DF2FC4"/>
    <w:rsid w:val="00DF40A4"/>
    <w:rsid w:val="00DF50A6"/>
    <w:rsid w:val="00DF79C4"/>
    <w:rsid w:val="00E002FE"/>
    <w:rsid w:val="00E02ABD"/>
    <w:rsid w:val="00E043B8"/>
    <w:rsid w:val="00E06D84"/>
    <w:rsid w:val="00E12598"/>
    <w:rsid w:val="00E12975"/>
    <w:rsid w:val="00E12DEF"/>
    <w:rsid w:val="00E145F4"/>
    <w:rsid w:val="00E20B41"/>
    <w:rsid w:val="00E217DD"/>
    <w:rsid w:val="00E25676"/>
    <w:rsid w:val="00E32692"/>
    <w:rsid w:val="00E41A98"/>
    <w:rsid w:val="00E41FDD"/>
    <w:rsid w:val="00E4548C"/>
    <w:rsid w:val="00E463C3"/>
    <w:rsid w:val="00E466AF"/>
    <w:rsid w:val="00E51224"/>
    <w:rsid w:val="00E54229"/>
    <w:rsid w:val="00E61C1C"/>
    <w:rsid w:val="00E636E9"/>
    <w:rsid w:val="00E648AA"/>
    <w:rsid w:val="00E70219"/>
    <w:rsid w:val="00E711A1"/>
    <w:rsid w:val="00E71618"/>
    <w:rsid w:val="00E94B57"/>
    <w:rsid w:val="00E964D3"/>
    <w:rsid w:val="00E97684"/>
    <w:rsid w:val="00EA1548"/>
    <w:rsid w:val="00EA2383"/>
    <w:rsid w:val="00EA2507"/>
    <w:rsid w:val="00EA2BBA"/>
    <w:rsid w:val="00EA499D"/>
    <w:rsid w:val="00EB0034"/>
    <w:rsid w:val="00EB27E8"/>
    <w:rsid w:val="00EB5A14"/>
    <w:rsid w:val="00EB5FCB"/>
    <w:rsid w:val="00EC0C49"/>
    <w:rsid w:val="00EC60F4"/>
    <w:rsid w:val="00EC66C5"/>
    <w:rsid w:val="00EC7215"/>
    <w:rsid w:val="00ED2F56"/>
    <w:rsid w:val="00ED3EE7"/>
    <w:rsid w:val="00ED4813"/>
    <w:rsid w:val="00EE56AF"/>
    <w:rsid w:val="00EF183C"/>
    <w:rsid w:val="00EF19F1"/>
    <w:rsid w:val="00EF643C"/>
    <w:rsid w:val="00F10B08"/>
    <w:rsid w:val="00F117CE"/>
    <w:rsid w:val="00F223B6"/>
    <w:rsid w:val="00F2244E"/>
    <w:rsid w:val="00F228BD"/>
    <w:rsid w:val="00F24427"/>
    <w:rsid w:val="00F262A1"/>
    <w:rsid w:val="00F26DE5"/>
    <w:rsid w:val="00F274B9"/>
    <w:rsid w:val="00F2F4C6"/>
    <w:rsid w:val="00F33D68"/>
    <w:rsid w:val="00F344EB"/>
    <w:rsid w:val="00F36295"/>
    <w:rsid w:val="00F406DD"/>
    <w:rsid w:val="00F426DF"/>
    <w:rsid w:val="00F44290"/>
    <w:rsid w:val="00F46E7D"/>
    <w:rsid w:val="00F47EEE"/>
    <w:rsid w:val="00F56871"/>
    <w:rsid w:val="00F62DD2"/>
    <w:rsid w:val="00F748B0"/>
    <w:rsid w:val="00F765E8"/>
    <w:rsid w:val="00F80680"/>
    <w:rsid w:val="00F81199"/>
    <w:rsid w:val="00F83953"/>
    <w:rsid w:val="00F8592D"/>
    <w:rsid w:val="00F85A76"/>
    <w:rsid w:val="00F864C7"/>
    <w:rsid w:val="00F871F6"/>
    <w:rsid w:val="00F904EE"/>
    <w:rsid w:val="00F91209"/>
    <w:rsid w:val="00FA17BB"/>
    <w:rsid w:val="00FA5C75"/>
    <w:rsid w:val="00FB1105"/>
    <w:rsid w:val="00FB1247"/>
    <w:rsid w:val="00FB3FBF"/>
    <w:rsid w:val="00FC0038"/>
    <w:rsid w:val="00FC485C"/>
    <w:rsid w:val="00FC4A81"/>
    <w:rsid w:val="00FC7738"/>
    <w:rsid w:val="00FD6BA8"/>
    <w:rsid w:val="00FD7B3F"/>
    <w:rsid w:val="00FE15FA"/>
    <w:rsid w:val="00FE5B65"/>
    <w:rsid w:val="00FF3BB4"/>
    <w:rsid w:val="00FF4432"/>
    <w:rsid w:val="00FF46D6"/>
    <w:rsid w:val="00FF50DF"/>
    <w:rsid w:val="00FF6C19"/>
    <w:rsid w:val="012158C8"/>
    <w:rsid w:val="0132F6BE"/>
    <w:rsid w:val="013DB9BD"/>
    <w:rsid w:val="016519B5"/>
    <w:rsid w:val="016A4AD9"/>
    <w:rsid w:val="01782926"/>
    <w:rsid w:val="01870A90"/>
    <w:rsid w:val="01F8FF01"/>
    <w:rsid w:val="01FC5B48"/>
    <w:rsid w:val="020FBEE6"/>
    <w:rsid w:val="0224D748"/>
    <w:rsid w:val="025667F8"/>
    <w:rsid w:val="029034CB"/>
    <w:rsid w:val="02F47766"/>
    <w:rsid w:val="03632F3E"/>
    <w:rsid w:val="03633532"/>
    <w:rsid w:val="038CFA65"/>
    <w:rsid w:val="03B1E83B"/>
    <w:rsid w:val="03F2FE32"/>
    <w:rsid w:val="03FE99DF"/>
    <w:rsid w:val="0402304C"/>
    <w:rsid w:val="041C8F67"/>
    <w:rsid w:val="041F54B8"/>
    <w:rsid w:val="0438B8E1"/>
    <w:rsid w:val="0457370F"/>
    <w:rsid w:val="0477C693"/>
    <w:rsid w:val="04A4E0E5"/>
    <w:rsid w:val="04B24DC5"/>
    <w:rsid w:val="04C47F5E"/>
    <w:rsid w:val="04D824D8"/>
    <w:rsid w:val="0668401A"/>
    <w:rsid w:val="068FFD38"/>
    <w:rsid w:val="06D4F427"/>
    <w:rsid w:val="07116713"/>
    <w:rsid w:val="0730A887"/>
    <w:rsid w:val="07647358"/>
    <w:rsid w:val="076E085F"/>
    <w:rsid w:val="0785D0F2"/>
    <w:rsid w:val="07B1C384"/>
    <w:rsid w:val="07C51CB3"/>
    <w:rsid w:val="07DEBF8A"/>
    <w:rsid w:val="080BD8E9"/>
    <w:rsid w:val="0843BC6E"/>
    <w:rsid w:val="08579193"/>
    <w:rsid w:val="08773020"/>
    <w:rsid w:val="089EA3D4"/>
    <w:rsid w:val="08DC0454"/>
    <w:rsid w:val="08FA74FD"/>
    <w:rsid w:val="0927B663"/>
    <w:rsid w:val="094726A1"/>
    <w:rsid w:val="094D93E5"/>
    <w:rsid w:val="09A4AFED"/>
    <w:rsid w:val="0ABD71B4"/>
    <w:rsid w:val="0ADCAF21"/>
    <w:rsid w:val="0AF508A5"/>
    <w:rsid w:val="0B0A76D0"/>
    <w:rsid w:val="0B3EBB3C"/>
    <w:rsid w:val="0B4828F2"/>
    <w:rsid w:val="0B5BE677"/>
    <w:rsid w:val="0B65FA8E"/>
    <w:rsid w:val="0B714294"/>
    <w:rsid w:val="0BA1236C"/>
    <w:rsid w:val="0BE50B07"/>
    <w:rsid w:val="0BF11ADF"/>
    <w:rsid w:val="0C050290"/>
    <w:rsid w:val="0C437EB3"/>
    <w:rsid w:val="0C4AA45C"/>
    <w:rsid w:val="0C556590"/>
    <w:rsid w:val="0C9F85C7"/>
    <w:rsid w:val="0CACA534"/>
    <w:rsid w:val="0CEE0A60"/>
    <w:rsid w:val="0D05B2C2"/>
    <w:rsid w:val="0D3FC627"/>
    <w:rsid w:val="0D6F4D69"/>
    <w:rsid w:val="0D927AE6"/>
    <w:rsid w:val="0DAC7729"/>
    <w:rsid w:val="0DC3370E"/>
    <w:rsid w:val="0DE424B8"/>
    <w:rsid w:val="0DFE396B"/>
    <w:rsid w:val="0E0EAAF4"/>
    <w:rsid w:val="0E0EF30E"/>
    <w:rsid w:val="0E10EF69"/>
    <w:rsid w:val="0E144FE3"/>
    <w:rsid w:val="0E1B10E9"/>
    <w:rsid w:val="0E1D2DEF"/>
    <w:rsid w:val="0E333F03"/>
    <w:rsid w:val="0EB79E6C"/>
    <w:rsid w:val="0EE0E2E9"/>
    <w:rsid w:val="0EE75C1A"/>
    <w:rsid w:val="0F57E8BF"/>
    <w:rsid w:val="0F6FE6F1"/>
    <w:rsid w:val="0F8CCF3A"/>
    <w:rsid w:val="0FB4A036"/>
    <w:rsid w:val="0FC9D5F6"/>
    <w:rsid w:val="0FE69DE8"/>
    <w:rsid w:val="0FFE90DA"/>
    <w:rsid w:val="1037485B"/>
    <w:rsid w:val="106013C2"/>
    <w:rsid w:val="10A14C0B"/>
    <w:rsid w:val="10AE69B4"/>
    <w:rsid w:val="10C20239"/>
    <w:rsid w:val="10F299C8"/>
    <w:rsid w:val="11327629"/>
    <w:rsid w:val="11425E75"/>
    <w:rsid w:val="114C85E9"/>
    <w:rsid w:val="115B5835"/>
    <w:rsid w:val="11B5C9D7"/>
    <w:rsid w:val="11D0A091"/>
    <w:rsid w:val="11D170AC"/>
    <w:rsid w:val="11D4AC18"/>
    <w:rsid w:val="11D8D1A7"/>
    <w:rsid w:val="12066BF7"/>
    <w:rsid w:val="127C4763"/>
    <w:rsid w:val="12B795FE"/>
    <w:rsid w:val="12D8A9C8"/>
    <w:rsid w:val="12E8564A"/>
    <w:rsid w:val="12F2CE44"/>
    <w:rsid w:val="130FD6C8"/>
    <w:rsid w:val="13115E0E"/>
    <w:rsid w:val="1317CF74"/>
    <w:rsid w:val="13568C15"/>
    <w:rsid w:val="137B5D59"/>
    <w:rsid w:val="13869F4C"/>
    <w:rsid w:val="13B1C128"/>
    <w:rsid w:val="13BF07D1"/>
    <w:rsid w:val="13D85555"/>
    <w:rsid w:val="141D4C44"/>
    <w:rsid w:val="14380838"/>
    <w:rsid w:val="148649A0"/>
    <w:rsid w:val="14E8D6E6"/>
    <w:rsid w:val="15624899"/>
    <w:rsid w:val="15626CD2"/>
    <w:rsid w:val="15B5B80E"/>
    <w:rsid w:val="15D5090A"/>
    <w:rsid w:val="1631D517"/>
    <w:rsid w:val="16341A3B"/>
    <w:rsid w:val="1635B15A"/>
    <w:rsid w:val="16370368"/>
    <w:rsid w:val="1644A495"/>
    <w:rsid w:val="16486758"/>
    <w:rsid w:val="165BC91E"/>
    <w:rsid w:val="168E2CD7"/>
    <w:rsid w:val="16A6A177"/>
    <w:rsid w:val="1717EC5A"/>
    <w:rsid w:val="1779EF45"/>
    <w:rsid w:val="17B91F49"/>
    <w:rsid w:val="1805E57D"/>
    <w:rsid w:val="1821FCB3"/>
    <w:rsid w:val="1829FD38"/>
    <w:rsid w:val="183B33C8"/>
    <w:rsid w:val="18849C21"/>
    <w:rsid w:val="188E9E5A"/>
    <w:rsid w:val="18FD32E1"/>
    <w:rsid w:val="19197AF6"/>
    <w:rsid w:val="198E618D"/>
    <w:rsid w:val="1990BD87"/>
    <w:rsid w:val="199271E1"/>
    <w:rsid w:val="19A314B3"/>
    <w:rsid w:val="19EB47AD"/>
    <w:rsid w:val="1A03C442"/>
    <w:rsid w:val="1A1B747D"/>
    <w:rsid w:val="1A2FB265"/>
    <w:rsid w:val="1A856A8B"/>
    <w:rsid w:val="1AC25AA7"/>
    <w:rsid w:val="1AC8051A"/>
    <w:rsid w:val="1AFF73C0"/>
    <w:rsid w:val="1B147596"/>
    <w:rsid w:val="1B1FAA35"/>
    <w:rsid w:val="1B619DFA"/>
    <w:rsid w:val="1BAE3014"/>
    <w:rsid w:val="1BC810AC"/>
    <w:rsid w:val="1BCD5943"/>
    <w:rsid w:val="1BD94B83"/>
    <w:rsid w:val="1C2530D4"/>
    <w:rsid w:val="1C3FF2EF"/>
    <w:rsid w:val="1C580F32"/>
    <w:rsid w:val="1C8B9F9B"/>
    <w:rsid w:val="1C94D910"/>
    <w:rsid w:val="1CA565BE"/>
    <w:rsid w:val="1CB89A63"/>
    <w:rsid w:val="1CBE34A1"/>
    <w:rsid w:val="1CCD0E76"/>
    <w:rsid w:val="1CE9F89B"/>
    <w:rsid w:val="1CF0F2CF"/>
    <w:rsid w:val="1CFD6E5B"/>
    <w:rsid w:val="1D465E06"/>
    <w:rsid w:val="1D533638"/>
    <w:rsid w:val="1D8CE69D"/>
    <w:rsid w:val="1DAC9ABF"/>
    <w:rsid w:val="1DB744D8"/>
    <w:rsid w:val="1DC609EC"/>
    <w:rsid w:val="1DE7D328"/>
    <w:rsid w:val="1DED62CE"/>
    <w:rsid w:val="1E016AC4"/>
    <w:rsid w:val="1E055C3B"/>
    <w:rsid w:val="1E069F48"/>
    <w:rsid w:val="1E113A3D"/>
    <w:rsid w:val="1E7165BE"/>
    <w:rsid w:val="1E75397D"/>
    <w:rsid w:val="1E971DBC"/>
    <w:rsid w:val="1EB81074"/>
    <w:rsid w:val="1EB888F5"/>
    <w:rsid w:val="1EEDBE5C"/>
    <w:rsid w:val="1F14123A"/>
    <w:rsid w:val="1F773680"/>
    <w:rsid w:val="1FA68971"/>
    <w:rsid w:val="1FC98DA0"/>
    <w:rsid w:val="1FD7E9E4"/>
    <w:rsid w:val="1FD941C6"/>
    <w:rsid w:val="1FDF331F"/>
    <w:rsid w:val="2028BC9A"/>
    <w:rsid w:val="2043BC72"/>
    <w:rsid w:val="207BD452"/>
    <w:rsid w:val="2096BA3E"/>
    <w:rsid w:val="20C6DF7B"/>
    <w:rsid w:val="213DA8F3"/>
    <w:rsid w:val="218F614F"/>
    <w:rsid w:val="21A2F290"/>
    <w:rsid w:val="21B7A422"/>
    <w:rsid w:val="21CA706D"/>
    <w:rsid w:val="21D9DDE5"/>
    <w:rsid w:val="2206775A"/>
    <w:rsid w:val="222FC436"/>
    <w:rsid w:val="22989BCC"/>
    <w:rsid w:val="22A59585"/>
    <w:rsid w:val="22D606B7"/>
    <w:rsid w:val="2310A9BB"/>
    <w:rsid w:val="23537483"/>
    <w:rsid w:val="2355A3B2"/>
    <w:rsid w:val="235E5A86"/>
    <w:rsid w:val="23D5B664"/>
    <w:rsid w:val="23F5964D"/>
    <w:rsid w:val="240C5C41"/>
    <w:rsid w:val="241FBD69"/>
    <w:rsid w:val="242FD174"/>
    <w:rsid w:val="24379B66"/>
    <w:rsid w:val="2458724D"/>
    <w:rsid w:val="24646D4D"/>
    <w:rsid w:val="2465B3EA"/>
    <w:rsid w:val="24A237FB"/>
    <w:rsid w:val="24EC21D6"/>
    <w:rsid w:val="24FC608E"/>
    <w:rsid w:val="2504159D"/>
    <w:rsid w:val="253B1C42"/>
    <w:rsid w:val="255A9BC9"/>
    <w:rsid w:val="2567056C"/>
    <w:rsid w:val="2585B23F"/>
    <w:rsid w:val="259268DC"/>
    <w:rsid w:val="25DB1A51"/>
    <w:rsid w:val="25F69F7D"/>
    <w:rsid w:val="26A0417D"/>
    <w:rsid w:val="26A34B20"/>
    <w:rsid w:val="26B8EBAC"/>
    <w:rsid w:val="26F224A7"/>
    <w:rsid w:val="26F632CD"/>
    <w:rsid w:val="274CF140"/>
    <w:rsid w:val="27F921FB"/>
    <w:rsid w:val="280DBD49"/>
    <w:rsid w:val="2825B764"/>
    <w:rsid w:val="28269F29"/>
    <w:rsid w:val="2889A636"/>
    <w:rsid w:val="28A693B4"/>
    <w:rsid w:val="28CE9D25"/>
    <w:rsid w:val="290865FA"/>
    <w:rsid w:val="2938D18B"/>
    <w:rsid w:val="2958AE22"/>
    <w:rsid w:val="29598507"/>
    <w:rsid w:val="29866798"/>
    <w:rsid w:val="29D36793"/>
    <w:rsid w:val="29F080F7"/>
    <w:rsid w:val="2A3F039B"/>
    <w:rsid w:val="2A485764"/>
    <w:rsid w:val="2A582BF8"/>
    <w:rsid w:val="2A9F22AC"/>
    <w:rsid w:val="2B07F41B"/>
    <w:rsid w:val="2B149B6B"/>
    <w:rsid w:val="2B50DB86"/>
    <w:rsid w:val="2B764F9B"/>
    <w:rsid w:val="2B94D381"/>
    <w:rsid w:val="2BB3BA16"/>
    <w:rsid w:val="2BDC059D"/>
    <w:rsid w:val="2BDD6D8C"/>
    <w:rsid w:val="2BFA554D"/>
    <w:rsid w:val="2BFC42C3"/>
    <w:rsid w:val="2C1FF8A1"/>
    <w:rsid w:val="2C6C8FEB"/>
    <w:rsid w:val="2C84AD14"/>
    <w:rsid w:val="2CAAE6BE"/>
    <w:rsid w:val="2CE673CD"/>
    <w:rsid w:val="2D139225"/>
    <w:rsid w:val="2D19963F"/>
    <w:rsid w:val="2D3CE961"/>
    <w:rsid w:val="2D477C6E"/>
    <w:rsid w:val="2D6C82D4"/>
    <w:rsid w:val="2D6D88E2"/>
    <w:rsid w:val="2D8C16D1"/>
    <w:rsid w:val="2DDA5254"/>
    <w:rsid w:val="2DEE95B2"/>
    <w:rsid w:val="2E08603F"/>
    <w:rsid w:val="2E2C8538"/>
    <w:rsid w:val="2E30BC2D"/>
    <w:rsid w:val="2E3FC6B3"/>
    <w:rsid w:val="2E4995C4"/>
    <w:rsid w:val="2E84BDA2"/>
    <w:rsid w:val="2E84EC53"/>
    <w:rsid w:val="2EAF6286"/>
    <w:rsid w:val="2EB160D9"/>
    <w:rsid w:val="2EC1F9DC"/>
    <w:rsid w:val="2ED7C4C6"/>
    <w:rsid w:val="2ED8B298"/>
    <w:rsid w:val="2EEDFB3F"/>
    <w:rsid w:val="2F03E226"/>
    <w:rsid w:val="2F093E84"/>
    <w:rsid w:val="2F191ADC"/>
    <w:rsid w:val="2F4B0CBA"/>
    <w:rsid w:val="2F4CF005"/>
    <w:rsid w:val="2F9C2FCB"/>
    <w:rsid w:val="2FC0DC1B"/>
    <w:rsid w:val="3020BCB4"/>
    <w:rsid w:val="302DA58D"/>
    <w:rsid w:val="3031F78B"/>
    <w:rsid w:val="30775527"/>
    <w:rsid w:val="3091DC2E"/>
    <w:rsid w:val="3096411A"/>
    <w:rsid w:val="30A33BCB"/>
    <w:rsid w:val="31246542"/>
    <w:rsid w:val="317F5305"/>
    <w:rsid w:val="31B49F8F"/>
    <w:rsid w:val="31E43C7A"/>
    <w:rsid w:val="321CB357"/>
    <w:rsid w:val="322C5677"/>
    <w:rsid w:val="323479F3"/>
    <w:rsid w:val="323DEB5A"/>
    <w:rsid w:val="32463ECF"/>
    <w:rsid w:val="32C5EFB5"/>
    <w:rsid w:val="32D7AE99"/>
    <w:rsid w:val="331B9BB0"/>
    <w:rsid w:val="3353D24B"/>
    <w:rsid w:val="3356CEF4"/>
    <w:rsid w:val="33D75349"/>
    <w:rsid w:val="33E07A95"/>
    <w:rsid w:val="34095C74"/>
    <w:rsid w:val="342BCD80"/>
    <w:rsid w:val="3446C6B9"/>
    <w:rsid w:val="346D1138"/>
    <w:rsid w:val="349A0EBA"/>
    <w:rsid w:val="34DB057A"/>
    <w:rsid w:val="34E3723B"/>
    <w:rsid w:val="34FF344D"/>
    <w:rsid w:val="355DC56D"/>
    <w:rsid w:val="35AFD81C"/>
    <w:rsid w:val="35BD71C7"/>
    <w:rsid w:val="35CC75D9"/>
    <w:rsid w:val="35D73069"/>
    <w:rsid w:val="361C38B1"/>
    <w:rsid w:val="367E0F46"/>
    <w:rsid w:val="36A372D6"/>
    <w:rsid w:val="36DF627E"/>
    <w:rsid w:val="372CC3FF"/>
    <w:rsid w:val="37324D4F"/>
    <w:rsid w:val="374EE4DB"/>
    <w:rsid w:val="374F68D6"/>
    <w:rsid w:val="37D08053"/>
    <w:rsid w:val="37EBA127"/>
    <w:rsid w:val="3819DFA7"/>
    <w:rsid w:val="381EBB2F"/>
    <w:rsid w:val="386D5288"/>
    <w:rsid w:val="388806EA"/>
    <w:rsid w:val="389A904C"/>
    <w:rsid w:val="38A59414"/>
    <w:rsid w:val="38C632B9"/>
    <w:rsid w:val="3906692F"/>
    <w:rsid w:val="3911BDE2"/>
    <w:rsid w:val="394CC504"/>
    <w:rsid w:val="396EF954"/>
    <w:rsid w:val="39820602"/>
    <w:rsid w:val="39A23814"/>
    <w:rsid w:val="39C05DE3"/>
    <w:rsid w:val="39EE08EC"/>
    <w:rsid w:val="39F33EDB"/>
    <w:rsid w:val="39F8037A"/>
    <w:rsid w:val="39FF1CDD"/>
    <w:rsid w:val="3A0A6EFA"/>
    <w:rsid w:val="3A67FC8F"/>
    <w:rsid w:val="3A6891D1"/>
    <w:rsid w:val="3A70297F"/>
    <w:rsid w:val="3A8F9680"/>
    <w:rsid w:val="3A94A31B"/>
    <w:rsid w:val="3A9CE0DB"/>
    <w:rsid w:val="3AC12789"/>
    <w:rsid w:val="3AF4DF8C"/>
    <w:rsid w:val="3AF616D8"/>
    <w:rsid w:val="3B27D570"/>
    <w:rsid w:val="3B2E5AE4"/>
    <w:rsid w:val="3B332275"/>
    <w:rsid w:val="3B5013E2"/>
    <w:rsid w:val="3BA9832F"/>
    <w:rsid w:val="3BC26EA9"/>
    <w:rsid w:val="3BD6D468"/>
    <w:rsid w:val="3BD8E698"/>
    <w:rsid w:val="3C6FD0F0"/>
    <w:rsid w:val="3CC33597"/>
    <w:rsid w:val="3CCA2B45"/>
    <w:rsid w:val="3CCC8E7B"/>
    <w:rsid w:val="3D613945"/>
    <w:rsid w:val="3D9DC163"/>
    <w:rsid w:val="3E3FA7C8"/>
    <w:rsid w:val="3E59B3BB"/>
    <w:rsid w:val="3E5DA532"/>
    <w:rsid w:val="3E616E70"/>
    <w:rsid w:val="3EA056B1"/>
    <w:rsid w:val="3EA0EA09"/>
    <w:rsid w:val="3EED3A10"/>
    <w:rsid w:val="3F1352D4"/>
    <w:rsid w:val="3F29198D"/>
    <w:rsid w:val="3F3BCB9D"/>
    <w:rsid w:val="3FE8C878"/>
    <w:rsid w:val="400BC92F"/>
    <w:rsid w:val="4057E420"/>
    <w:rsid w:val="405B4368"/>
    <w:rsid w:val="4072BAF7"/>
    <w:rsid w:val="4088C046"/>
    <w:rsid w:val="40F9B898"/>
    <w:rsid w:val="4146D4CB"/>
    <w:rsid w:val="419877BA"/>
    <w:rsid w:val="41A7553A"/>
    <w:rsid w:val="41E2FEBA"/>
    <w:rsid w:val="42387E55"/>
    <w:rsid w:val="4262972A"/>
    <w:rsid w:val="428D9AFE"/>
    <w:rsid w:val="42BE1F20"/>
    <w:rsid w:val="42C74682"/>
    <w:rsid w:val="42DFAF2E"/>
    <w:rsid w:val="42E22AB6"/>
    <w:rsid w:val="43175BC2"/>
    <w:rsid w:val="437EF5EE"/>
    <w:rsid w:val="438412C5"/>
    <w:rsid w:val="43B6D2B9"/>
    <w:rsid w:val="43CB74C1"/>
    <w:rsid w:val="440D49C4"/>
    <w:rsid w:val="45175179"/>
    <w:rsid w:val="451E87D3"/>
    <w:rsid w:val="452AD331"/>
    <w:rsid w:val="453CDEC9"/>
    <w:rsid w:val="4557825A"/>
    <w:rsid w:val="45935F81"/>
    <w:rsid w:val="459AA72B"/>
    <w:rsid w:val="45A5EDB5"/>
    <w:rsid w:val="45DF321D"/>
    <w:rsid w:val="45FCDAF6"/>
    <w:rsid w:val="462E369D"/>
    <w:rsid w:val="46505903"/>
    <w:rsid w:val="4675D51C"/>
    <w:rsid w:val="46A58EAA"/>
    <w:rsid w:val="4707B974"/>
    <w:rsid w:val="4716DB90"/>
    <w:rsid w:val="4722D43D"/>
    <w:rsid w:val="47B449FF"/>
    <w:rsid w:val="47DD7E43"/>
    <w:rsid w:val="47EA35EB"/>
    <w:rsid w:val="4806BD1F"/>
    <w:rsid w:val="48097FA6"/>
    <w:rsid w:val="48307A0D"/>
    <w:rsid w:val="4832F153"/>
    <w:rsid w:val="4849951E"/>
    <w:rsid w:val="484E7695"/>
    <w:rsid w:val="485925A7"/>
    <w:rsid w:val="487BAAC0"/>
    <w:rsid w:val="4882A903"/>
    <w:rsid w:val="48B1550C"/>
    <w:rsid w:val="48B5247C"/>
    <w:rsid w:val="48D0D801"/>
    <w:rsid w:val="48DC4CA1"/>
    <w:rsid w:val="48E8A32B"/>
    <w:rsid w:val="4903649C"/>
    <w:rsid w:val="4932549E"/>
    <w:rsid w:val="4968190F"/>
    <w:rsid w:val="49A81D26"/>
    <w:rsid w:val="4A599975"/>
    <w:rsid w:val="4A59DD87"/>
    <w:rsid w:val="4A881074"/>
    <w:rsid w:val="4AA138D1"/>
    <w:rsid w:val="4ADF0608"/>
    <w:rsid w:val="4AFAD8AE"/>
    <w:rsid w:val="4B5CAB93"/>
    <w:rsid w:val="4B6BC18A"/>
    <w:rsid w:val="4B749F17"/>
    <w:rsid w:val="4B91276D"/>
    <w:rsid w:val="4BD6F6E0"/>
    <w:rsid w:val="4BF00FF5"/>
    <w:rsid w:val="4C13CC5B"/>
    <w:rsid w:val="4C4260E8"/>
    <w:rsid w:val="4C6839D1"/>
    <w:rsid w:val="4C7ECD5D"/>
    <w:rsid w:val="4C97F5BA"/>
    <w:rsid w:val="4CFE3EFD"/>
    <w:rsid w:val="4D4519CB"/>
    <w:rsid w:val="4D45C24A"/>
    <w:rsid w:val="4D70CBCD"/>
    <w:rsid w:val="4E55CB92"/>
    <w:rsid w:val="4E5A0A22"/>
    <w:rsid w:val="4E7508FF"/>
    <w:rsid w:val="4F4DBF99"/>
    <w:rsid w:val="4F724599"/>
    <w:rsid w:val="4F83E0F7"/>
    <w:rsid w:val="4F863FFF"/>
    <w:rsid w:val="4F8CA12D"/>
    <w:rsid w:val="4F91854B"/>
    <w:rsid w:val="4FD279C9"/>
    <w:rsid w:val="50098E8E"/>
    <w:rsid w:val="502863D5"/>
    <w:rsid w:val="502F161D"/>
    <w:rsid w:val="503B67EF"/>
    <w:rsid w:val="5077A3EA"/>
    <w:rsid w:val="50C32ABE"/>
    <w:rsid w:val="50CEC129"/>
    <w:rsid w:val="50D205BD"/>
    <w:rsid w:val="50EB62E3"/>
    <w:rsid w:val="50EB95B4"/>
    <w:rsid w:val="50FBD46C"/>
    <w:rsid w:val="512C685B"/>
    <w:rsid w:val="517E122D"/>
    <w:rsid w:val="518D6C54"/>
    <w:rsid w:val="5256A659"/>
    <w:rsid w:val="52817C60"/>
    <w:rsid w:val="52AF7866"/>
    <w:rsid w:val="52C441EF"/>
    <w:rsid w:val="52C88E95"/>
    <w:rsid w:val="52D8310C"/>
    <w:rsid w:val="52ED1EB2"/>
    <w:rsid w:val="5322CB38"/>
    <w:rsid w:val="537D980B"/>
    <w:rsid w:val="53A43289"/>
    <w:rsid w:val="541D9277"/>
    <w:rsid w:val="54436AEA"/>
    <w:rsid w:val="546B2C5A"/>
    <w:rsid w:val="5475E611"/>
    <w:rsid w:val="552D9115"/>
    <w:rsid w:val="55372DDD"/>
    <w:rsid w:val="55F982D5"/>
    <w:rsid w:val="5617914C"/>
    <w:rsid w:val="562D3CA2"/>
    <w:rsid w:val="562D73BA"/>
    <w:rsid w:val="563E5909"/>
    <w:rsid w:val="5668CAFD"/>
    <w:rsid w:val="567F5EB4"/>
    <w:rsid w:val="568AC37B"/>
    <w:rsid w:val="568F1EDB"/>
    <w:rsid w:val="56A5F866"/>
    <w:rsid w:val="570390D6"/>
    <w:rsid w:val="57217AE2"/>
    <w:rsid w:val="57356C32"/>
    <w:rsid w:val="576616BC"/>
    <w:rsid w:val="576BC913"/>
    <w:rsid w:val="57C8B1B1"/>
    <w:rsid w:val="57F345C9"/>
    <w:rsid w:val="58097558"/>
    <w:rsid w:val="5811C6DF"/>
    <w:rsid w:val="5841C8C7"/>
    <w:rsid w:val="5865A087"/>
    <w:rsid w:val="59099928"/>
    <w:rsid w:val="591B8C3A"/>
    <w:rsid w:val="597B6A78"/>
    <w:rsid w:val="5A02318F"/>
    <w:rsid w:val="5A4927D3"/>
    <w:rsid w:val="5A794730"/>
    <w:rsid w:val="5A7C8163"/>
    <w:rsid w:val="5A9EDA37"/>
    <w:rsid w:val="5AB75C9B"/>
    <w:rsid w:val="5AB91E8A"/>
    <w:rsid w:val="5B56ACBA"/>
    <w:rsid w:val="5B6D49A8"/>
    <w:rsid w:val="5BB64827"/>
    <w:rsid w:val="5BD0290F"/>
    <w:rsid w:val="5BF46FBD"/>
    <w:rsid w:val="5C185DCD"/>
    <w:rsid w:val="5C30D99C"/>
    <w:rsid w:val="5CDDA241"/>
    <w:rsid w:val="5D4554E2"/>
    <w:rsid w:val="5DBFECE9"/>
    <w:rsid w:val="5DEEE663"/>
    <w:rsid w:val="5E0964C8"/>
    <w:rsid w:val="5E1E4C11"/>
    <w:rsid w:val="5E34F488"/>
    <w:rsid w:val="5E422CC8"/>
    <w:rsid w:val="5F1744E7"/>
    <w:rsid w:val="5F2F46A7"/>
    <w:rsid w:val="5F3DFB77"/>
    <w:rsid w:val="5F5C6800"/>
    <w:rsid w:val="5F61774D"/>
    <w:rsid w:val="5FF92BA8"/>
    <w:rsid w:val="601CD8C4"/>
    <w:rsid w:val="602295F9"/>
    <w:rsid w:val="605BAB72"/>
    <w:rsid w:val="609B4900"/>
    <w:rsid w:val="60C78F4F"/>
    <w:rsid w:val="60E11C72"/>
    <w:rsid w:val="60F4DACC"/>
    <w:rsid w:val="60FCF09C"/>
    <w:rsid w:val="60FE68CB"/>
    <w:rsid w:val="61953216"/>
    <w:rsid w:val="61CC4732"/>
    <w:rsid w:val="61D7718C"/>
    <w:rsid w:val="61EA5ADB"/>
    <w:rsid w:val="62178E23"/>
    <w:rsid w:val="623EC06D"/>
    <w:rsid w:val="6242C072"/>
    <w:rsid w:val="6260453E"/>
    <w:rsid w:val="62832ACA"/>
    <w:rsid w:val="6289F128"/>
    <w:rsid w:val="62C6F92C"/>
    <w:rsid w:val="62DC6E00"/>
    <w:rsid w:val="62FC82F0"/>
    <w:rsid w:val="6384FE9B"/>
    <w:rsid w:val="638E24A9"/>
    <w:rsid w:val="6452D0BA"/>
    <w:rsid w:val="645E3EE1"/>
    <w:rsid w:val="64918EDC"/>
    <w:rsid w:val="6494B60A"/>
    <w:rsid w:val="64B5664B"/>
    <w:rsid w:val="64D571C8"/>
    <w:rsid w:val="64F18AD7"/>
    <w:rsid w:val="64F809E6"/>
    <w:rsid w:val="6521B587"/>
    <w:rsid w:val="65732504"/>
    <w:rsid w:val="658261B9"/>
    <w:rsid w:val="659B4335"/>
    <w:rsid w:val="65C10DF0"/>
    <w:rsid w:val="65D3CE2C"/>
    <w:rsid w:val="661EB41C"/>
    <w:rsid w:val="6640ECE8"/>
    <w:rsid w:val="6643C0F3"/>
    <w:rsid w:val="6657E89F"/>
    <w:rsid w:val="666AD405"/>
    <w:rsid w:val="66D2556A"/>
    <w:rsid w:val="66EA6483"/>
    <w:rsid w:val="671E321A"/>
    <w:rsid w:val="673A24AD"/>
    <w:rsid w:val="673ECD31"/>
    <w:rsid w:val="6768B9E8"/>
    <w:rsid w:val="676B114D"/>
    <w:rsid w:val="677EC5AF"/>
    <w:rsid w:val="67AFDF23"/>
    <w:rsid w:val="67CBE02D"/>
    <w:rsid w:val="67D30BEC"/>
    <w:rsid w:val="67DFC845"/>
    <w:rsid w:val="681EC1E4"/>
    <w:rsid w:val="68EB23C5"/>
    <w:rsid w:val="6907F209"/>
    <w:rsid w:val="693F8D88"/>
    <w:rsid w:val="6954F418"/>
    <w:rsid w:val="696D1B8D"/>
    <w:rsid w:val="69816D6D"/>
    <w:rsid w:val="69A375C1"/>
    <w:rsid w:val="69B84ECD"/>
    <w:rsid w:val="69CBADE6"/>
    <w:rsid w:val="6A44E697"/>
    <w:rsid w:val="6AA21A97"/>
    <w:rsid w:val="6AC16917"/>
    <w:rsid w:val="6ACE5788"/>
    <w:rsid w:val="6B374EFF"/>
    <w:rsid w:val="6B504F23"/>
    <w:rsid w:val="6B911732"/>
    <w:rsid w:val="6BCDDF61"/>
    <w:rsid w:val="6BF1A33D"/>
    <w:rsid w:val="6C02796D"/>
    <w:rsid w:val="6C0EC267"/>
    <w:rsid w:val="6C1A392A"/>
    <w:rsid w:val="6C2907C7"/>
    <w:rsid w:val="6C3694EA"/>
    <w:rsid w:val="6C3D51D7"/>
    <w:rsid w:val="6C3EED92"/>
    <w:rsid w:val="6C534E5E"/>
    <w:rsid w:val="6C74CB4D"/>
    <w:rsid w:val="6C8A5F33"/>
    <w:rsid w:val="6CF067E5"/>
    <w:rsid w:val="6D675147"/>
    <w:rsid w:val="6D956124"/>
    <w:rsid w:val="6DC8CAE1"/>
    <w:rsid w:val="6DF0486D"/>
    <w:rsid w:val="6DF87261"/>
    <w:rsid w:val="6DF9D869"/>
    <w:rsid w:val="6E1405FB"/>
    <w:rsid w:val="6E22955E"/>
    <w:rsid w:val="6E25F187"/>
    <w:rsid w:val="6E353F5C"/>
    <w:rsid w:val="6F71C6C3"/>
    <w:rsid w:val="6FBAF108"/>
    <w:rsid w:val="6FD73A99"/>
    <w:rsid w:val="6FFC01A7"/>
    <w:rsid w:val="70E2FCD8"/>
    <w:rsid w:val="7116E02E"/>
    <w:rsid w:val="711AAA67"/>
    <w:rsid w:val="712B8712"/>
    <w:rsid w:val="7134A6AA"/>
    <w:rsid w:val="715FA156"/>
    <w:rsid w:val="71682559"/>
    <w:rsid w:val="71957F13"/>
    <w:rsid w:val="71CB5FDB"/>
    <w:rsid w:val="71E3563F"/>
    <w:rsid w:val="7227FE08"/>
    <w:rsid w:val="7260E4C1"/>
    <w:rsid w:val="726B6B1E"/>
    <w:rsid w:val="727BCE44"/>
    <w:rsid w:val="728383DE"/>
    <w:rsid w:val="72AE2F16"/>
    <w:rsid w:val="72AE93D7"/>
    <w:rsid w:val="72C75773"/>
    <w:rsid w:val="73417550"/>
    <w:rsid w:val="73670C39"/>
    <w:rsid w:val="73966CDD"/>
    <w:rsid w:val="739FC0BB"/>
    <w:rsid w:val="740B6277"/>
    <w:rsid w:val="7454514C"/>
    <w:rsid w:val="746CA17B"/>
    <w:rsid w:val="7493F1D1"/>
    <w:rsid w:val="74B0890A"/>
    <w:rsid w:val="74B1986A"/>
    <w:rsid w:val="74BD7236"/>
    <w:rsid w:val="75124082"/>
    <w:rsid w:val="75A07309"/>
    <w:rsid w:val="75CC3259"/>
    <w:rsid w:val="75DE0837"/>
    <w:rsid w:val="75F2ECFD"/>
    <w:rsid w:val="7601069E"/>
    <w:rsid w:val="76110A2F"/>
    <w:rsid w:val="76306265"/>
    <w:rsid w:val="76598FAD"/>
    <w:rsid w:val="76D1D19B"/>
    <w:rsid w:val="76E7801C"/>
    <w:rsid w:val="773455E4"/>
    <w:rsid w:val="7781A039"/>
    <w:rsid w:val="77D4BC6E"/>
    <w:rsid w:val="7850205F"/>
    <w:rsid w:val="78A8E5F8"/>
    <w:rsid w:val="78D85EE8"/>
    <w:rsid w:val="7938A760"/>
    <w:rsid w:val="79460FDE"/>
    <w:rsid w:val="79522256"/>
    <w:rsid w:val="795602E8"/>
    <w:rsid w:val="7997E293"/>
    <w:rsid w:val="79CC2B8B"/>
    <w:rsid w:val="79D8157E"/>
    <w:rsid w:val="79DD7B67"/>
    <w:rsid w:val="79FEBA5C"/>
    <w:rsid w:val="7A0DF3CE"/>
    <w:rsid w:val="7A39C9DE"/>
    <w:rsid w:val="7A47CEB9"/>
    <w:rsid w:val="7A5A84B7"/>
    <w:rsid w:val="7AB66D61"/>
    <w:rsid w:val="7AD477C1"/>
    <w:rsid w:val="7AEBCB56"/>
    <w:rsid w:val="7AF78A29"/>
    <w:rsid w:val="7B117678"/>
    <w:rsid w:val="7B63D411"/>
    <w:rsid w:val="7B7A3810"/>
    <w:rsid w:val="7BC0A0C2"/>
    <w:rsid w:val="7BE3C2D7"/>
    <w:rsid w:val="7BEA7EEF"/>
    <w:rsid w:val="7BFD4BFF"/>
    <w:rsid w:val="7C8BD1D7"/>
    <w:rsid w:val="7CAC4ACC"/>
    <w:rsid w:val="7CC13408"/>
    <w:rsid w:val="7CC4C1B9"/>
    <w:rsid w:val="7D102912"/>
    <w:rsid w:val="7D991C60"/>
    <w:rsid w:val="7DA01917"/>
    <w:rsid w:val="7DB537F9"/>
    <w:rsid w:val="7DDEEEAB"/>
    <w:rsid w:val="7DE9862F"/>
    <w:rsid w:val="7E138E59"/>
    <w:rsid w:val="7E81F171"/>
    <w:rsid w:val="7E89AFF3"/>
    <w:rsid w:val="7F15C446"/>
    <w:rsid w:val="7F1C0038"/>
    <w:rsid w:val="7F7B3DFB"/>
    <w:rsid w:val="7FB6DC06"/>
    <w:rsid w:val="7FC8181F"/>
    <w:rsid w:val="7FE86D0F"/>
    <w:rsid w:val="7FF4060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8C08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paragraph" w:styleId="BalloonText">
    <w:name w:val="Balloon Text"/>
    <w:basedOn w:val="Normal"/>
    <w:link w:val="BalloonTextChar"/>
    <w:uiPriority w:val="99"/>
    <w:semiHidden/>
    <w:unhideWhenUsed/>
    <w:rsid w:val="0073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80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95C34"/>
    <w:rPr>
      <w:sz w:val="16"/>
      <w:szCs w:val="16"/>
    </w:rPr>
  </w:style>
  <w:style w:type="paragraph" w:styleId="CommentText">
    <w:name w:val="annotation text"/>
    <w:basedOn w:val="Normal"/>
    <w:link w:val="CommentTextChar"/>
    <w:uiPriority w:val="99"/>
    <w:unhideWhenUsed/>
    <w:rsid w:val="00B95C34"/>
    <w:rPr>
      <w:sz w:val="20"/>
    </w:rPr>
  </w:style>
  <w:style w:type="character" w:customStyle="1" w:styleId="CommentTextChar">
    <w:name w:val="Comment Text Char"/>
    <w:basedOn w:val="DefaultParagraphFont"/>
    <w:link w:val="CommentText"/>
    <w:uiPriority w:val="99"/>
    <w:rsid w:val="00B95C34"/>
    <w:rPr>
      <w:snapToGrid w:val="0"/>
      <w:kern w:val="28"/>
    </w:rPr>
  </w:style>
  <w:style w:type="paragraph" w:styleId="CommentSubject">
    <w:name w:val="annotation subject"/>
    <w:basedOn w:val="CommentText"/>
    <w:next w:val="CommentText"/>
    <w:link w:val="CommentSubjectChar"/>
    <w:uiPriority w:val="99"/>
    <w:semiHidden/>
    <w:unhideWhenUsed/>
    <w:rsid w:val="00B95C34"/>
    <w:rPr>
      <w:b/>
      <w:bCs/>
    </w:rPr>
  </w:style>
  <w:style w:type="character" w:customStyle="1" w:styleId="CommentSubjectChar">
    <w:name w:val="Comment Subject Char"/>
    <w:basedOn w:val="CommentTextChar"/>
    <w:link w:val="CommentSubject"/>
    <w:uiPriority w:val="99"/>
    <w:semiHidden/>
    <w:rsid w:val="00B95C34"/>
    <w:rPr>
      <w:b/>
      <w:bCs/>
      <w:snapToGrid w:val="0"/>
      <w:kern w:val="28"/>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0E7AD6"/>
  </w:style>
  <w:style w:type="paragraph" w:styleId="ListParagraph">
    <w:name w:val="List Paragraph"/>
    <w:basedOn w:val="Normal"/>
    <w:uiPriority w:val="34"/>
    <w:qFormat/>
    <w:rsid w:val="00483327"/>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344A2E"/>
    <w:rPr>
      <w:snapToGrid w:val="0"/>
      <w:kern w:val="28"/>
      <w:sz w:val="22"/>
    </w:rPr>
  </w:style>
  <w:style w:type="character" w:customStyle="1" w:styleId="HeaderChar">
    <w:name w:val="Header Char"/>
    <w:basedOn w:val="DefaultParagraphFont"/>
    <w:link w:val="Header"/>
    <w:uiPriority w:val="99"/>
    <w:rsid w:val="00CA6B4C"/>
    <w:rPr>
      <w:rFonts w:ascii="Arial" w:hAnsi="Arial" w:cs="Arial"/>
      <w:b/>
      <w:snapToGrid w:val="0"/>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