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E76D83" w14:paraId="0C786D2F" w14:textId="77777777">
      <w:pPr>
        <w:jc w:val="center"/>
        <w:rPr>
          <w:b/>
          <w:szCs w:val="22"/>
        </w:rPr>
      </w:pPr>
      <w:r w:rsidRPr="00E76D83">
        <w:rPr>
          <w:b/>
          <w:kern w:val="0"/>
          <w:szCs w:val="22"/>
        </w:rPr>
        <w:t>Before</w:t>
      </w:r>
      <w:r w:rsidRPr="00E76D83">
        <w:rPr>
          <w:b/>
          <w:szCs w:val="22"/>
        </w:rPr>
        <w:t xml:space="preserve"> the</w:t>
      </w:r>
    </w:p>
    <w:p w:rsidR="00921803" w:rsidRPr="00E76D83" w:rsidP="00921803" w14:paraId="0301541B" w14:textId="77777777">
      <w:pPr>
        <w:pStyle w:val="StyleBoldCentered"/>
        <w:rPr>
          <w:rFonts w:ascii="Times New Roman" w:hAnsi="Times New Roman"/>
        </w:rPr>
      </w:pPr>
      <w:r w:rsidRPr="00E76D83">
        <w:rPr>
          <w:rFonts w:ascii="Times New Roman" w:hAnsi="Times New Roman"/>
        </w:rPr>
        <w:t>F</w:t>
      </w:r>
      <w:r w:rsidRPr="00E76D83">
        <w:rPr>
          <w:rFonts w:ascii="Times New Roman" w:hAnsi="Times New Roman"/>
          <w:caps w:val="0"/>
        </w:rPr>
        <w:t>ederal Communications Commission</w:t>
      </w:r>
    </w:p>
    <w:p w:rsidR="004C2EE3" w:rsidRPr="00E76D83" w:rsidP="00096D8C" w14:paraId="650453D7" w14:textId="77777777">
      <w:pPr>
        <w:pStyle w:val="StyleBoldCentered"/>
        <w:rPr>
          <w:rFonts w:ascii="Times New Roman" w:hAnsi="Times New Roman"/>
        </w:rPr>
      </w:pPr>
      <w:r w:rsidRPr="00E76D83">
        <w:rPr>
          <w:rFonts w:ascii="Times New Roman" w:hAnsi="Times New Roman"/>
          <w:caps w:val="0"/>
        </w:rPr>
        <w:t>Washington, D.C. 20554</w:t>
      </w:r>
    </w:p>
    <w:p w:rsidR="004C2EE3" w:rsidRPr="00E76D83" w:rsidP="0070224F" w14:paraId="72115C9C" w14:textId="77777777">
      <w:pPr>
        <w:rPr>
          <w:szCs w:val="22"/>
        </w:rPr>
      </w:pPr>
    </w:p>
    <w:p w:rsidR="004C2EE3" w:rsidRPr="00E76D83" w:rsidP="0070224F" w14:paraId="1F1AC708" w14:textId="77777777">
      <w:pPr>
        <w:rPr>
          <w:szCs w:val="22"/>
        </w:rPr>
      </w:pPr>
    </w:p>
    <w:tbl>
      <w:tblPr>
        <w:tblW w:w="0" w:type="auto"/>
        <w:tblLayout w:type="fixed"/>
        <w:tblLook w:val="0000"/>
      </w:tblPr>
      <w:tblGrid>
        <w:gridCol w:w="4698"/>
        <w:gridCol w:w="630"/>
        <w:gridCol w:w="4248"/>
      </w:tblGrid>
      <w:tr w14:paraId="06968C53" w14:textId="77777777">
        <w:tblPrEx>
          <w:tblW w:w="0" w:type="auto"/>
          <w:tblLayout w:type="fixed"/>
          <w:tblLook w:val="0000"/>
        </w:tblPrEx>
        <w:tc>
          <w:tcPr>
            <w:tcW w:w="4698" w:type="dxa"/>
          </w:tcPr>
          <w:p w:rsidR="004C2EE3" w:rsidRPr="00E76D83" w14:paraId="61524935" w14:textId="77777777">
            <w:pPr>
              <w:tabs>
                <w:tab w:val="center" w:pos="4680"/>
              </w:tabs>
              <w:suppressAutoHyphens/>
              <w:rPr>
                <w:spacing w:val="-2"/>
                <w:szCs w:val="22"/>
              </w:rPr>
            </w:pPr>
            <w:r w:rsidRPr="00E76D83">
              <w:rPr>
                <w:spacing w:val="-2"/>
                <w:szCs w:val="22"/>
              </w:rPr>
              <w:t>In the Matter of</w:t>
            </w:r>
          </w:p>
          <w:p w:rsidR="004C2EE3" w:rsidRPr="00E76D83" w14:paraId="2CCF6526" w14:textId="77777777">
            <w:pPr>
              <w:tabs>
                <w:tab w:val="center" w:pos="4680"/>
              </w:tabs>
              <w:suppressAutoHyphens/>
              <w:rPr>
                <w:spacing w:val="-2"/>
                <w:szCs w:val="22"/>
              </w:rPr>
            </w:pPr>
          </w:p>
          <w:p w:rsidR="004C2EE3" w:rsidRPr="00D321D1" w:rsidP="007115F7" w14:paraId="2B68360D" w14:textId="419052B8">
            <w:pPr>
              <w:tabs>
                <w:tab w:val="center" w:pos="4680"/>
              </w:tabs>
              <w:suppressAutoHyphens/>
              <w:rPr>
                <w:bCs/>
                <w:spacing w:val="-2"/>
                <w:szCs w:val="22"/>
              </w:rPr>
            </w:pPr>
            <w:r w:rsidRPr="004B7250">
              <w:rPr>
                <w:bCs/>
                <w:spacing w:val="-2"/>
                <w:szCs w:val="22"/>
              </w:rPr>
              <w:t>ESPN</w:t>
            </w:r>
            <w:r w:rsidRPr="004B7250" w:rsidR="00BA4618">
              <w:rPr>
                <w:bCs/>
                <w:spacing w:val="-2"/>
                <w:szCs w:val="22"/>
              </w:rPr>
              <w:t>,</w:t>
            </w:r>
            <w:r w:rsidRPr="004B7250">
              <w:rPr>
                <w:bCs/>
                <w:spacing w:val="-2"/>
                <w:szCs w:val="22"/>
              </w:rPr>
              <w:t xml:space="preserve"> Inc</w:t>
            </w:r>
            <w:r w:rsidRPr="004B7250" w:rsidR="00EF26CF">
              <w:rPr>
                <w:bCs/>
                <w:spacing w:val="-2"/>
                <w:szCs w:val="22"/>
              </w:rPr>
              <w:t>.</w:t>
            </w:r>
          </w:p>
        </w:tc>
        <w:tc>
          <w:tcPr>
            <w:tcW w:w="630" w:type="dxa"/>
          </w:tcPr>
          <w:p w:rsidR="004C2EE3" w:rsidRPr="00E76D83" w14:paraId="57EE62FE" w14:textId="77777777">
            <w:pPr>
              <w:tabs>
                <w:tab w:val="center" w:pos="4680"/>
              </w:tabs>
              <w:suppressAutoHyphens/>
              <w:rPr>
                <w:b/>
                <w:spacing w:val="-2"/>
                <w:szCs w:val="22"/>
              </w:rPr>
            </w:pPr>
            <w:r w:rsidRPr="00E76D83">
              <w:rPr>
                <w:b/>
                <w:spacing w:val="-2"/>
                <w:szCs w:val="22"/>
              </w:rPr>
              <w:t>)</w:t>
            </w:r>
          </w:p>
          <w:p w:rsidR="004C2EE3" w:rsidRPr="00E76D83" w14:paraId="6F58950B" w14:textId="77777777">
            <w:pPr>
              <w:tabs>
                <w:tab w:val="center" w:pos="4680"/>
              </w:tabs>
              <w:suppressAutoHyphens/>
              <w:rPr>
                <w:b/>
                <w:spacing w:val="-2"/>
                <w:szCs w:val="22"/>
              </w:rPr>
            </w:pPr>
            <w:r w:rsidRPr="00E76D83">
              <w:rPr>
                <w:b/>
                <w:spacing w:val="-2"/>
                <w:szCs w:val="22"/>
              </w:rPr>
              <w:t>)</w:t>
            </w:r>
          </w:p>
          <w:p w:rsidR="004C2EE3" w:rsidRPr="00E76D83" w14:paraId="345AC0FB" w14:textId="77777777">
            <w:pPr>
              <w:tabs>
                <w:tab w:val="center" w:pos="4680"/>
              </w:tabs>
              <w:suppressAutoHyphens/>
              <w:rPr>
                <w:b/>
                <w:spacing w:val="-2"/>
                <w:szCs w:val="22"/>
              </w:rPr>
            </w:pPr>
            <w:r w:rsidRPr="00E76D83">
              <w:rPr>
                <w:b/>
                <w:spacing w:val="-2"/>
                <w:szCs w:val="22"/>
              </w:rPr>
              <w:t>)</w:t>
            </w:r>
          </w:p>
          <w:p w:rsidR="004C2EE3" w:rsidRPr="00E76D83" w14:paraId="18AA2BF0" w14:textId="77777777">
            <w:pPr>
              <w:tabs>
                <w:tab w:val="center" w:pos="4680"/>
              </w:tabs>
              <w:suppressAutoHyphens/>
              <w:rPr>
                <w:b/>
                <w:spacing w:val="-2"/>
                <w:szCs w:val="22"/>
              </w:rPr>
            </w:pPr>
            <w:r w:rsidRPr="00E76D83">
              <w:rPr>
                <w:b/>
                <w:spacing w:val="-2"/>
                <w:szCs w:val="22"/>
              </w:rPr>
              <w:t>)</w:t>
            </w:r>
          </w:p>
          <w:p w:rsidR="004C2EE3" w:rsidRPr="00E76D83" w14:paraId="536445FE" w14:textId="77777777">
            <w:pPr>
              <w:tabs>
                <w:tab w:val="center" w:pos="4680"/>
              </w:tabs>
              <w:suppressAutoHyphens/>
              <w:rPr>
                <w:b/>
                <w:spacing w:val="-2"/>
                <w:szCs w:val="22"/>
              </w:rPr>
            </w:pPr>
            <w:r w:rsidRPr="00E76D83">
              <w:rPr>
                <w:b/>
                <w:spacing w:val="-2"/>
                <w:szCs w:val="22"/>
              </w:rPr>
              <w:t>)</w:t>
            </w:r>
          </w:p>
          <w:p w:rsidR="004C2EE3" w:rsidRPr="00E76D83" w14:paraId="48DDF6C4" w14:textId="77777777">
            <w:pPr>
              <w:tabs>
                <w:tab w:val="center" w:pos="4680"/>
              </w:tabs>
              <w:suppressAutoHyphens/>
              <w:rPr>
                <w:b/>
                <w:spacing w:val="-2"/>
                <w:szCs w:val="22"/>
              </w:rPr>
            </w:pPr>
            <w:r w:rsidRPr="00E76D83">
              <w:rPr>
                <w:b/>
                <w:spacing w:val="-2"/>
                <w:szCs w:val="22"/>
              </w:rPr>
              <w:t>)</w:t>
            </w:r>
          </w:p>
          <w:p w:rsidR="004C2EE3" w:rsidRPr="00633670" w14:paraId="444E9F68" w14:textId="5F199305">
            <w:pPr>
              <w:tabs>
                <w:tab w:val="center" w:pos="4680"/>
              </w:tabs>
              <w:suppressAutoHyphens/>
              <w:rPr>
                <w:b/>
                <w:spacing w:val="-2"/>
                <w:szCs w:val="22"/>
              </w:rPr>
            </w:pPr>
            <w:r w:rsidRPr="00E76D83">
              <w:rPr>
                <w:b/>
                <w:spacing w:val="-2"/>
                <w:szCs w:val="22"/>
              </w:rPr>
              <w:t>)</w:t>
            </w:r>
          </w:p>
        </w:tc>
        <w:tc>
          <w:tcPr>
            <w:tcW w:w="4248" w:type="dxa"/>
          </w:tcPr>
          <w:p w:rsidR="004D3C0E" w:rsidP="00EF26CF" w14:paraId="5656999F" w14:textId="77777777">
            <w:pPr>
              <w:widowControl/>
              <w:tabs>
                <w:tab w:val="left" w:pos="72"/>
              </w:tabs>
              <w:rPr>
                <w:szCs w:val="22"/>
              </w:rPr>
            </w:pPr>
          </w:p>
          <w:p w:rsidR="00633670" w:rsidP="00EF26CF" w14:paraId="445628F7" w14:textId="77777777">
            <w:pPr>
              <w:widowControl/>
              <w:tabs>
                <w:tab w:val="left" w:pos="72"/>
              </w:tabs>
              <w:rPr>
                <w:szCs w:val="22"/>
              </w:rPr>
            </w:pPr>
          </w:p>
          <w:p w:rsidR="00EF26CF" w:rsidRPr="00E76D83" w:rsidP="00EF26CF" w14:paraId="32B78DE6" w14:textId="5FDD245D">
            <w:pPr>
              <w:widowControl/>
              <w:tabs>
                <w:tab w:val="left" w:pos="72"/>
              </w:tabs>
              <w:rPr>
                <w:szCs w:val="22"/>
                <w:highlight w:val="yellow"/>
              </w:rPr>
            </w:pPr>
            <w:r w:rsidRPr="00E76D83">
              <w:rPr>
                <w:szCs w:val="22"/>
              </w:rPr>
              <w:t>File No.: EB-IHD-</w:t>
            </w:r>
            <w:r w:rsidR="007D4187">
              <w:rPr>
                <w:szCs w:val="22"/>
              </w:rPr>
              <w:t>21-</w:t>
            </w:r>
            <w:r w:rsidRPr="00E76D83">
              <w:rPr>
                <w:szCs w:val="22"/>
              </w:rPr>
              <w:t>00</w:t>
            </w:r>
            <w:r w:rsidR="007D4187">
              <w:rPr>
                <w:szCs w:val="22"/>
              </w:rPr>
              <w:t>031798</w:t>
            </w:r>
          </w:p>
          <w:p w:rsidR="00EF26CF" w:rsidRPr="007D4187" w:rsidP="00EF26CF" w14:paraId="46CB7BA2" w14:textId="74042418">
            <w:pPr>
              <w:widowControl/>
              <w:tabs>
                <w:tab w:val="left" w:pos="252"/>
                <w:tab w:val="left" w:pos="612"/>
              </w:tabs>
              <w:rPr>
                <w:szCs w:val="22"/>
                <w:highlight w:val="green"/>
              </w:rPr>
            </w:pPr>
            <w:r w:rsidRPr="004B7250">
              <w:rPr>
                <w:szCs w:val="22"/>
              </w:rPr>
              <w:t xml:space="preserve">NAL/Acct. No. </w:t>
            </w:r>
            <w:r w:rsidRPr="004B7250" w:rsidR="009B46B7">
              <w:rPr>
                <w:szCs w:val="22"/>
              </w:rPr>
              <w:t>202132080026</w:t>
            </w:r>
            <w:r w:rsidRPr="007D4187">
              <w:rPr>
                <w:szCs w:val="22"/>
                <w:highlight w:val="green"/>
              </w:rPr>
              <w:t xml:space="preserve"> </w:t>
            </w:r>
          </w:p>
          <w:p w:rsidR="00EF26CF" w:rsidRPr="00E76D83" w:rsidP="00EF26CF" w14:paraId="0752CFD8" w14:textId="6CC9E386">
            <w:pPr>
              <w:widowControl/>
              <w:tabs>
                <w:tab w:val="left" w:pos="252"/>
                <w:tab w:val="left" w:pos="612"/>
              </w:tabs>
              <w:rPr>
                <w:szCs w:val="22"/>
              </w:rPr>
            </w:pPr>
            <w:r w:rsidRPr="00E76D83">
              <w:rPr>
                <w:szCs w:val="22"/>
              </w:rPr>
              <w:t xml:space="preserve">FRN: </w:t>
            </w:r>
            <w:r w:rsidR="007D4187">
              <w:rPr>
                <w:szCs w:val="22"/>
              </w:rPr>
              <w:t>0001548064</w:t>
            </w:r>
          </w:p>
          <w:p w:rsidR="004C2EE3" w:rsidRPr="00E76D83" w14:paraId="54E5951E" w14:textId="0B937336">
            <w:pPr>
              <w:tabs>
                <w:tab w:val="center" w:pos="4680"/>
              </w:tabs>
              <w:suppressAutoHyphens/>
              <w:rPr>
                <w:spacing w:val="-2"/>
                <w:szCs w:val="22"/>
              </w:rPr>
            </w:pPr>
          </w:p>
        </w:tc>
      </w:tr>
    </w:tbl>
    <w:p w:rsidR="004C2EE3" w:rsidRPr="00E76D83" w:rsidP="0070224F" w14:paraId="5891F942" w14:textId="77777777">
      <w:pPr>
        <w:rPr>
          <w:szCs w:val="22"/>
        </w:rPr>
      </w:pPr>
    </w:p>
    <w:p w:rsidR="00841AB1" w:rsidRPr="00E76D83" w:rsidP="00F021FA" w14:paraId="73144026" w14:textId="28DC1F2A">
      <w:pPr>
        <w:pStyle w:val="StyleBoldCentered"/>
        <w:rPr>
          <w:rFonts w:ascii="Times New Roman" w:hAnsi="Times New Roman"/>
        </w:rPr>
      </w:pPr>
      <w:bookmarkStart w:id="0" w:name="_Hlk7005750"/>
      <w:r w:rsidRPr="00E76D83">
        <w:rPr>
          <w:rFonts w:ascii="Times New Roman" w:hAnsi="Times New Roman"/>
        </w:rPr>
        <w:t>NOTICE OF APPARENT LIABILITY FOR FORFEITURE</w:t>
      </w:r>
      <w:bookmarkEnd w:id="0"/>
    </w:p>
    <w:p w:rsidR="004C2EE3" w:rsidRPr="00E76D83" w14:paraId="6AEDF693" w14:textId="77777777">
      <w:pPr>
        <w:tabs>
          <w:tab w:val="left" w:pos="-720"/>
        </w:tabs>
        <w:suppressAutoHyphens/>
        <w:spacing w:line="227" w:lineRule="auto"/>
        <w:rPr>
          <w:spacing w:val="-2"/>
          <w:szCs w:val="22"/>
        </w:rPr>
      </w:pPr>
    </w:p>
    <w:p w:rsidR="004C2EE3" w:rsidP="00133F79" w14:paraId="46196082" w14:textId="79222526">
      <w:pPr>
        <w:tabs>
          <w:tab w:val="left" w:pos="720"/>
          <w:tab w:val="right" w:pos="9360"/>
        </w:tabs>
        <w:suppressAutoHyphens/>
        <w:spacing w:line="227" w:lineRule="auto"/>
        <w:rPr>
          <w:b/>
          <w:spacing w:val="-2"/>
          <w:szCs w:val="22"/>
        </w:rPr>
      </w:pPr>
      <w:r w:rsidRPr="00E76D83">
        <w:rPr>
          <w:b/>
          <w:spacing w:val="-2"/>
          <w:szCs w:val="22"/>
        </w:rPr>
        <w:t xml:space="preserve">Adopted:  </w:t>
      </w:r>
      <w:r w:rsidR="00E20094">
        <w:rPr>
          <w:b/>
          <w:spacing w:val="-2"/>
          <w:szCs w:val="22"/>
        </w:rPr>
        <w:t xml:space="preserve">August </w:t>
      </w:r>
      <w:r w:rsidR="00C86F28">
        <w:rPr>
          <w:b/>
          <w:spacing w:val="-2"/>
          <w:szCs w:val="22"/>
        </w:rPr>
        <w:t>6</w:t>
      </w:r>
      <w:r w:rsidRPr="00E76D83" w:rsidR="009E5B1B">
        <w:rPr>
          <w:b/>
          <w:spacing w:val="-2"/>
          <w:szCs w:val="22"/>
        </w:rPr>
        <w:t>, 20</w:t>
      </w:r>
      <w:r w:rsidR="007D4187">
        <w:rPr>
          <w:b/>
          <w:spacing w:val="-2"/>
          <w:szCs w:val="22"/>
        </w:rPr>
        <w:t>21</w:t>
      </w:r>
      <w:r w:rsidRPr="00E76D83">
        <w:rPr>
          <w:b/>
          <w:spacing w:val="-2"/>
          <w:szCs w:val="22"/>
        </w:rPr>
        <w:tab/>
      </w:r>
      <w:r w:rsidRPr="00E76D83" w:rsidR="00822CE0">
        <w:rPr>
          <w:b/>
          <w:spacing w:val="-2"/>
          <w:szCs w:val="22"/>
        </w:rPr>
        <w:t>Released</w:t>
      </w:r>
      <w:r w:rsidRPr="00E76D83">
        <w:rPr>
          <w:b/>
          <w:spacing w:val="-2"/>
          <w:szCs w:val="22"/>
        </w:rPr>
        <w:t>:</w:t>
      </w:r>
      <w:r w:rsidRPr="00E76D83" w:rsidR="00822CE0">
        <w:rPr>
          <w:b/>
          <w:spacing w:val="-2"/>
          <w:szCs w:val="22"/>
        </w:rPr>
        <w:t xml:space="preserve"> </w:t>
      </w:r>
      <w:r w:rsidRPr="00E76D83">
        <w:rPr>
          <w:b/>
          <w:spacing w:val="-2"/>
          <w:szCs w:val="22"/>
        </w:rPr>
        <w:t xml:space="preserve"> </w:t>
      </w:r>
      <w:r w:rsidR="00E20094">
        <w:rPr>
          <w:b/>
          <w:spacing w:val="-2"/>
          <w:szCs w:val="22"/>
        </w:rPr>
        <w:t xml:space="preserve">August </w:t>
      </w:r>
      <w:r w:rsidR="00C86F28">
        <w:rPr>
          <w:b/>
          <w:spacing w:val="-2"/>
          <w:szCs w:val="22"/>
        </w:rPr>
        <w:t>6</w:t>
      </w:r>
      <w:r w:rsidR="00E20094">
        <w:rPr>
          <w:b/>
          <w:spacing w:val="-2"/>
          <w:szCs w:val="22"/>
        </w:rPr>
        <w:t>,</w:t>
      </w:r>
      <w:r w:rsidRPr="00E76D83" w:rsidR="007D6A36">
        <w:rPr>
          <w:b/>
          <w:spacing w:val="-2"/>
          <w:szCs w:val="22"/>
        </w:rPr>
        <w:t xml:space="preserve"> 20</w:t>
      </w:r>
      <w:r w:rsidR="007D4187">
        <w:rPr>
          <w:b/>
          <w:spacing w:val="-2"/>
          <w:szCs w:val="22"/>
        </w:rPr>
        <w:t>21</w:t>
      </w:r>
    </w:p>
    <w:p w:rsidR="00FA2EFE" w:rsidP="00133F79" w14:paraId="1CC88966" w14:textId="163C2592">
      <w:pPr>
        <w:tabs>
          <w:tab w:val="left" w:pos="720"/>
          <w:tab w:val="right" w:pos="9360"/>
        </w:tabs>
        <w:suppressAutoHyphens/>
        <w:spacing w:line="227" w:lineRule="auto"/>
        <w:rPr>
          <w:spacing w:val="-2"/>
          <w:szCs w:val="22"/>
        </w:rPr>
      </w:pPr>
    </w:p>
    <w:p w:rsidR="004D3C0E" w:rsidRPr="00E76D83" w:rsidP="004D3C0E" w14:paraId="1040C9FB" w14:textId="676A0C37">
      <w:pPr>
        <w:rPr>
          <w:spacing w:val="-2"/>
          <w:szCs w:val="22"/>
        </w:rPr>
      </w:pPr>
      <w:r w:rsidRPr="00E76D83">
        <w:rPr>
          <w:szCs w:val="22"/>
        </w:rPr>
        <w:t xml:space="preserve">By the </w:t>
      </w:r>
      <w:r w:rsidR="000F46D7">
        <w:rPr>
          <w:spacing w:val="-2"/>
          <w:szCs w:val="22"/>
        </w:rPr>
        <w:t>Chief, Enforcement Bureau</w:t>
      </w:r>
      <w:r w:rsidRPr="00E76D83">
        <w:rPr>
          <w:spacing w:val="-2"/>
          <w:szCs w:val="22"/>
        </w:rPr>
        <w:t>:</w:t>
      </w:r>
    </w:p>
    <w:p w:rsidR="00633670" w:rsidRPr="00E76D83" w14:paraId="54F20549" w14:textId="6B1CD311">
      <w:pPr>
        <w:rPr>
          <w:szCs w:val="22"/>
        </w:rPr>
      </w:pPr>
      <w:bookmarkStart w:id="1" w:name="start_here"/>
      <w:bookmarkEnd w:id="1"/>
    </w:p>
    <w:p w:rsidR="0042735F" w:rsidRPr="00E76D83" w:rsidP="004E5EE5" w14:paraId="5C64BA5A" w14:textId="77777777">
      <w:pPr>
        <w:pStyle w:val="Heading1"/>
      </w:pPr>
      <w:bookmarkStart w:id="2" w:name="_Toc7629831"/>
      <w:bookmarkStart w:id="3" w:name="_Toc7778355"/>
      <w:r w:rsidRPr="00E76D83">
        <w:t>INTRODUCTION</w:t>
      </w:r>
      <w:bookmarkEnd w:id="2"/>
      <w:bookmarkEnd w:id="3"/>
    </w:p>
    <w:p w:rsidR="003473C1" w:rsidRPr="00981F23" w:rsidP="003473C1" w14:paraId="21E3565E" w14:textId="5CD1C2E4">
      <w:pPr>
        <w:pStyle w:val="ParaNum"/>
        <w:rPr>
          <w:spacing w:val="-2"/>
        </w:rPr>
      </w:pPr>
      <w:r w:rsidRPr="00981F23">
        <w:t>We propose a penalty of $</w:t>
      </w:r>
      <w:r w:rsidR="006C13B0">
        <w:t xml:space="preserve">20,000 </w:t>
      </w:r>
      <w:r w:rsidRPr="00981F23">
        <w:t xml:space="preserve">against </w:t>
      </w:r>
      <w:r>
        <w:t xml:space="preserve">ESPN, Inc. </w:t>
      </w:r>
      <w:r w:rsidRPr="00981F23">
        <w:t>(</w:t>
      </w:r>
      <w:r>
        <w:t>ESPN</w:t>
      </w:r>
      <w:r w:rsidRPr="00981F23">
        <w:t xml:space="preserve">) for apparently </w:t>
      </w:r>
      <w:r w:rsidR="00EC4F25">
        <w:t xml:space="preserve">willfully </w:t>
      </w:r>
      <w:r w:rsidRPr="00AC64D6">
        <w:rPr>
          <w:szCs w:val="22"/>
        </w:rPr>
        <w:t>violat</w:t>
      </w:r>
      <w:r>
        <w:rPr>
          <w:szCs w:val="22"/>
        </w:rPr>
        <w:t xml:space="preserve">ing </w:t>
      </w:r>
      <w:r w:rsidRPr="00AC64D6">
        <w:rPr>
          <w:szCs w:val="22"/>
        </w:rPr>
        <w:t xml:space="preserve">the Commission’s rules </w:t>
      </w:r>
      <w:r w:rsidR="00F05F70">
        <w:rPr>
          <w:szCs w:val="22"/>
        </w:rPr>
        <w:t>that prohibit</w:t>
      </w:r>
      <w:r>
        <w:rPr>
          <w:szCs w:val="22"/>
        </w:rPr>
        <w:t xml:space="preserve"> </w:t>
      </w:r>
      <w:r w:rsidR="005C0A46">
        <w:rPr>
          <w:szCs w:val="22"/>
        </w:rPr>
        <w:t xml:space="preserve">the transmission of </w:t>
      </w:r>
      <w:r w:rsidR="004C1169">
        <w:rPr>
          <w:szCs w:val="22"/>
        </w:rPr>
        <w:t xml:space="preserve">false or deceptive </w:t>
      </w:r>
      <w:r w:rsidR="004C7676">
        <w:rPr>
          <w:szCs w:val="22"/>
        </w:rPr>
        <w:t xml:space="preserve">emergency alert system (EAS) </w:t>
      </w:r>
      <w:r w:rsidRPr="00E76D83">
        <w:rPr>
          <w:szCs w:val="22"/>
        </w:rPr>
        <w:t xml:space="preserve">codes or </w:t>
      </w:r>
      <w:r w:rsidR="004C7676">
        <w:rPr>
          <w:szCs w:val="22"/>
        </w:rPr>
        <w:t>EAS</w:t>
      </w:r>
      <w:r w:rsidRPr="00E76D83" w:rsidR="004C7676">
        <w:rPr>
          <w:szCs w:val="22"/>
        </w:rPr>
        <w:t xml:space="preserve"> </w:t>
      </w:r>
      <w:r w:rsidRPr="00E76D83">
        <w:rPr>
          <w:szCs w:val="22"/>
        </w:rPr>
        <w:t>Attention Signal</w:t>
      </w:r>
      <w:r w:rsidR="004C7676">
        <w:rPr>
          <w:szCs w:val="22"/>
        </w:rPr>
        <w:t>s</w:t>
      </w:r>
      <w:r w:rsidRPr="00E76D83">
        <w:rPr>
          <w:szCs w:val="22"/>
        </w:rPr>
        <w:t>, or recordings or simulations thereof</w:t>
      </w:r>
      <w:r>
        <w:rPr>
          <w:szCs w:val="22"/>
        </w:rPr>
        <w:t xml:space="preserve"> (</w:t>
      </w:r>
      <w:r w:rsidR="004C7676">
        <w:rPr>
          <w:szCs w:val="22"/>
        </w:rPr>
        <w:t xml:space="preserve">together, </w:t>
      </w:r>
      <w:r>
        <w:rPr>
          <w:szCs w:val="22"/>
        </w:rPr>
        <w:t>EAS Tones)</w:t>
      </w:r>
      <w:r w:rsidR="00F05F70">
        <w:rPr>
          <w:szCs w:val="22"/>
        </w:rPr>
        <w:t>.</w:t>
      </w:r>
      <w:r>
        <w:rPr>
          <w:szCs w:val="22"/>
        </w:rPr>
        <w:t xml:space="preserve"> </w:t>
      </w:r>
      <w:r w:rsidR="00F05F70">
        <w:rPr>
          <w:szCs w:val="22"/>
        </w:rPr>
        <w:t xml:space="preserve"> On October </w:t>
      </w:r>
      <w:r w:rsidR="00FE0490">
        <w:rPr>
          <w:szCs w:val="22"/>
        </w:rPr>
        <w:t>27</w:t>
      </w:r>
      <w:r w:rsidR="00F05F70">
        <w:rPr>
          <w:szCs w:val="22"/>
        </w:rPr>
        <w:t xml:space="preserve">, 2020, </w:t>
      </w:r>
      <w:r w:rsidR="004C7676">
        <w:rPr>
          <w:szCs w:val="22"/>
        </w:rPr>
        <w:t>ESPN</w:t>
      </w:r>
      <w:r w:rsidRPr="00AC64D6">
        <w:rPr>
          <w:szCs w:val="22"/>
        </w:rPr>
        <w:t xml:space="preserve"> </w:t>
      </w:r>
      <w:r w:rsidR="003A7491">
        <w:rPr>
          <w:szCs w:val="22"/>
        </w:rPr>
        <w:t>apparently</w:t>
      </w:r>
      <w:r w:rsidR="00885418">
        <w:rPr>
          <w:szCs w:val="22"/>
        </w:rPr>
        <w:t xml:space="preserve"> </w:t>
      </w:r>
      <w:r w:rsidRPr="00AC64D6">
        <w:rPr>
          <w:szCs w:val="22"/>
        </w:rPr>
        <w:t>transmitted</w:t>
      </w:r>
      <w:r w:rsidR="00EC4F25">
        <w:rPr>
          <w:szCs w:val="22"/>
        </w:rPr>
        <w:t xml:space="preserve"> or </w:t>
      </w:r>
      <w:r w:rsidRPr="00AC64D6">
        <w:rPr>
          <w:szCs w:val="22"/>
        </w:rPr>
        <w:t xml:space="preserve">caused the transmission of EAS Tones </w:t>
      </w:r>
      <w:r>
        <w:rPr>
          <w:szCs w:val="22"/>
        </w:rPr>
        <w:t>during th</w:t>
      </w:r>
      <w:r w:rsidRPr="00AC64D6">
        <w:rPr>
          <w:szCs w:val="22"/>
        </w:rPr>
        <w:t xml:space="preserve">e program </w:t>
      </w:r>
      <w:r w:rsidRPr="00AC64D6">
        <w:rPr>
          <w:i/>
          <w:iCs/>
          <w:szCs w:val="22"/>
        </w:rPr>
        <w:t>30 for 30:  Roll Tide/War Eagle</w:t>
      </w:r>
      <w:r w:rsidRPr="00AC64D6">
        <w:rPr>
          <w:szCs w:val="22"/>
        </w:rPr>
        <w:t>, in the absence of any actual emergency, authorized test of the EAS</w:t>
      </w:r>
      <w:r w:rsidR="00F2608B">
        <w:rPr>
          <w:szCs w:val="22"/>
        </w:rPr>
        <w:t>,</w:t>
      </w:r>
      <w:r>
        <w:rPr>
          <w:szCs w:val="22"/>
        </w:rPr>
        <w:t xml:space="preserve"> </w:t>
      </w:r>
      <w:r w:rsidRPr="00AC64D6">
        <w:rPr>
          <w:szCs w:val="22"/>
        </w:rPr>
        <w:t xml:space="preserve">or qualified </w:t>
      </w:r>
      <w:r>
        <w:rPr>
          <w:szCs w:val="22"/>
        </w:rPr>
        <w:t>public service announcement (</w:t>
      </w:r>
      <w:r w:rsidRPr="00AC64D6">
        <w:rPr>
          <w:szCs w:val="22"/>
        </w:rPr>
        <w:t>PSA</w:t>
      </w:r>
      <w:r>
        <w:rPr>
          <w:szCs w:val="22"/>
        </w:rPr>
        <w:t>)</w:t>
      </w:r>
      <w:r w:rsidRPr="00AC64D6">
        <w:rPr>
          <w:szCs w:val="22"/>
        </w:rPr>
        <w:t>.</w:t>
      </w:r>
    </w:p>
    <w:p w:rsidR="004E7F9F" w:rsidP="00131954" w14:paraId="77368213" w14:textId="05836E2B">
      <w:pPr>
        <w:pStyle w:val="ParaNum"/>
        <w:widowControl/>
        <w:rPr>
          <w:szCs w:val="22"/>
        </w:rPr>
      </w:pPr>
      <w:r w:rsidRPr="00E76D83">
        <w:rPr>
          <w:szCs w:val="22"/>
        </w:rPr>
        <w:t xml:space="preserve">The </w:t>
      </w:r>
      <w:r w:rsidR="003473C1">
        <w:rPr>
          <w:szCs w:val="22"/>
        </w:rPr>
        <w:t>EAS</w:t>
      </w:r>
      <w:r>
        <w:rPr>
          <w:szCs w:val="22"/>
        </w:rPr>
        <w:t xml:space="preserve"> </w:t>
      </w:r>
      <w:r w:rsidRPr="00E76D83">
        <w:rPr>
          <w:szCs w:val="22"/>
        </w:rPr>
        <w:t>is a national public warning system that requires broadcasters, cable television operators, wireless cable operators, wireline video service providers, satellite digital audio radio service providers, and direct broadcast satellite providers to supply the communications capability to the President of the United States to address the American public during a national emergency.</w:t>
      </w:r>
      <w:r>
        <w:rPr>
          <w:rStyle w:val="FootnoteReference"/>
          <w:sz w:val="22"/>
          <w:szCs w:val="22"/>
        </w:rPr>
        <w:footnoteReference w:id="3"/>
      </w:r>
      <w:r>
        <w:rPr>
          <w:szCs w:val="22"/>
        </w:rPr>
        <w:t xml:space="preserve">  </w:t>
      </w:r>
      <w:r w:rsidRPr="00E76D83">
        <w:rPr>
          <w:szCs w:val="22"/>
        </w:rPr>
        <w:t>Federal, state, and local authorities may also use the EAS to deliver important emergency information, such as AMBER alerts and weather information targeted to specific areas.</w:t>
      </w:r>
      <w:r>
        <w:rPr>
          <w:rStyle w:val="FootnoteReference"/>
          <w:sz w:val="22"/>
          <w:szCs w:val="22"/>
        </w:rPr>
        <w:footnoteReference w:id="4"/>
      </w:r>
      <w:r w:rsidRPr="00E76D83">
        <w:rPr>
          <w:szCs w:val="22"/>
        </w:rPr>
        <w:t xml:space="preserve">  </w:t>
      </w:r>
    </w:p>
    <w:p w:rsidR="0042735F" w:rsidP="00FE6213" w14:paraId="0B461CCA" w14:textId="7F14F19C">
      <w:pPr>
        <w:pStyle w:val="ParaNum"/>
        <w:widowControl/>
        <w:rPr>
          <w:szCs w:val="22"/>
        </w:rPr>
      </w:pPr>
      <w:r w:rsidRPr="00E76D83">
        <w:rPr>
          <w:szCs w:val="22"/>
        </w:rPr>
        <w:t xml:space="preserve">To preserve the unique purpose </w:t>
      </w:r>
      <w:r w:rsidR="00F23EB0">
        <w:rPr>
          <w:szCs w:val="22"/>
        </w:rPr>
        <w:t xml:space="preserve">and effectiveness </w:t>
      </w:r>
      <w:r w:rsidRPr="00E76D83">
        <w:rPr>
          <w:szCs w:val="22"/>
        </w:rPr>
        <w:t xml:space="preserve">of the EAS </w:t>
      </w:r>
      <w:r w:rsidRPr="00E76D83" w:rsidR="009B0281">
        <w:rPr>
          <w:szCs w:val="22"/>
        </w:rPr>
        <w:t>T</w:t>
      </w:r>
      <w:r w:rsidRPr="00E76D83">
        <w:rPr>
          <w:szCs w:val="22"/>
        </w:rPr>
        <w:t>ones, the Commission enforc</w:t>
      </w:r>
      <w:r w:rsidR="007A3BD8">
        <w:rPr>
          <w:szCs w:val="22"/>
        </w:rPr>
        <w:t>es</w:t>
      </w:r>
      <w:r w:rsidRPr="00E76D83">
        <w:rPr>
          <w:szCs w:val="22"/>
        </w:rPr>
        <w:t xml:space="preserve"> laws that prohibit the</w:t>
      </w:r>
      <w:r w:rsidR="007A3BD8">
        <w:rPr>
          <w:szCs w:val="22"/>
        </w:rPr>
        <w:t>ir</w:t>
      </w:r>
      <w:r w:rsidRPr="00E76D83">
        <w:rPr>
          <w:szCs w:val="22"/>
        </w:rPr>
        <w:t xml:space="preserve"> use, or simulations of them,</w:t>
      </w:r>
      <w:r>
        <w:rPr>
          <w:rStyle w:val="FootnoteReference"/>
          <w:sz w:val="22"/>
          <w:szCs w:val="22"/>
        </w:rPr>
        <w:footnoteReference w:id="5"/>
      </w:r>
      <w:r w:rsidRPr="00E76D83">
        <w:rPr>
          <w:szCs w:val="22"/>
        </w:rPr>
        <w:t xml:space="preserve"> except </w:t>
      </w:r>
      <w:r w:rsidR="0098155F">
        <w:rPr>
          <w:szCs w:val="22"/>
        </w:rPr>
        <w:t>for specific Permitted Uses</w:t>
      </w:r>
      <w:r w:rsidRPr="00E76D83">
        <w:rPr>
          <w:szCs w:val="22"/>
        </w:rPr>
        <w:t>.</w:t>
      </w:r>
      <w:r>
        <w:rPr>
          <w:rStyle w:val="FootnoteReference"/>
          <w:szCs w:val="22"/>
        </w:rPr>
        <w:footnoteReference w:id="6"/>
      </w:r>
      <w:r w:rsidRPr="00E76D83">
        <w:rPr>
          <w:szCs w:val="22"/>
        </w:rPr>
        <w:t xml:space="preserve">  The Commission has warned that the use of simulated or actual EAS </w:t>
      </w:r>
      <w:r w:rsidRPr="00E76D83" w:rsidR="009B0281">
        <w:rPr>
          <w:szCs w:val="22"/>
        </w:rPr>
        <w:t>T</w:t>
      </w:r>
      <w:r w:rsidRPr="00E76D83">
        <w:rPr>
          <w:szCs w:val="22"/>
        </w:rPr>
        <w:t>ones for non-authorized purposes</w:t>
      </w:r>
      <w:r w:rsidRPr="00E76D83" w:rsidR="007A2E87">
        <w:rPr>
          <w:szCs w:val="22"/>
        </w:rPr>
        <w:t>—</w:t>
      </w:r>
      <w:r w:rsidRPr="00E76D83">
        <w:rPr>
          <w:szCs w:val="22"/>
        </w:rPr>
        <w:t>such as commercial or entertainment purposes</w:t>
      </w:r>
      <w:r w:rsidRPr="00E76D83" w:rsidR="007A2E87">
        <w:rPr>
          <w:szCs w:val="22"/>
        </w:rPr>
        <w:t>—</w:t>
      </w:r>
      <w:r w:rsidRPr="00E76D83">
        <w:rPr>
          <w:szCs w:val="22"/>
        </w:rPr>
        <w:t>can lead to “alert fatigue</w:t>
      </w:r>
      <w:r w:rsidR="00A44631">
        <w:rPr>
          <w:szCs w:val="22"/>
        </w:rPr>
        <w:t>,</w:t>
      </w:r>
      <w:r w:rsidRPr="00E76D83">
        <w:rPr>
          <w:szCs w:val="22"/>
        </w:rPr>
        <w:t xml:space="preserve">” whereby the public becomes desensitized to the alerts, questioning </w:t>
      </w:r>
      <w:r w:rsidR="00A44631">
        <w:rPr>
          <w:szCs w:val="22"/>
        </w:rPr>
        <w:t xml:space="preserve">or simply disregarding </w:t>
      </w:r>
      <w:r w:rsidRPr="00E76D83">
        <w:rPr>
          <w:szCs w:val="22"/>
        </w:rPr>
        <w:t>whether</w:t>
      </w:r>
      <w:r w:rsidR="00A44631">
        <w:rPr>
          <w:szCs w:val="22"/>
        </w:rPr>
        <w:t xml:space="preserve"> a particular </w:t>
      </w:r>
      <w:r w:rsidRPr="00E76D83">
        <w:rPr>
          <w:szCs w:val="22"/>
        </w:rPr>
        <w:t>alert</w:t>
      </w:r>
      <w:r w:rsidR="00A44631">
        <w:rPr>
          <w:szCs w:val="22"/>
        </w:rPr>
        <w:t xml:space="preserve"> is intended to warn about</w:t>
      </w:r>
      <w:r w:rsidRPr="00E76D83">
        <w:rPr>
          <w:szCs w:val="22"/>
        </w:rPr>
        <w:t xml:space="preserve"> a real, imminent threat or some other cause.</w:t>
      </w:r>
      <w:r>
        <w:rPr>
          <w:rStyle w:val="FootnoteReference"/>
          <w:sz w:val="22"/>
          <w:szCs w:val="22"/>
        </w:rPr>
        <w:footnoteReference w:id="7"/>
      </w:r>
      <w:r w:rsidRPr="00E76D83">
        <w:rPr>
          <w:szCs w:val="22"/>
        </w:rPr>
        <w:t xml:space="preserve">  Moreover, because the EAS </w:t>
      </w:r>
      <w:r w:rsidRPr="00E76D83" w:rsidR="009B0281">
        <w:rPr>
          <w:szCs w:val="22"/>
        </w:rPr>
        <w:t>T</w:t>
      </w:r>
      <w:r w:rsidRPr="00E76D83">
        <w:rPr>
          <w:szCs w:val="22"/>
        </w:rPr>
        <w:t xml:space="preserve">ones include operative data elements, the misuse of simulated or actual EAS </w:t>
      </w:r>
      <w:r w:rsidRPr="00E76D83" w:rsidR="009B0281">
        <w:rPr>
          <w:szCs w:val="22"/>
        </w:rPr>
        <w:t>T</w:t>
      </w:r>
      <w:r w:rsidRPr="00E76D83">
        <w:rPr>
          <w:szCs w:val="22"/>
        </w:rPr>
        <w:t>ones may result in false activations of the EAS that can spread false information or lock out legitimate activations of the EAS.</w:t>
      </w:r>
      <w:r>
        <w:rPr>
          <w:rStyle w:val="FootnoteReference"/>
          <w:sz w:val="22"/>
          <w:szCs w:val="22"/>
        </w:rPr>
        <w:footnoteReference w:id="8"/>
      </w:r>
      <w:r w:rsidRPr="00E76D83">
        <w:rPr>
          <w:szCs w:val="22"/>
        </w:rPr>
        <w:t xml:space="preserve"> </w:t>
      </w:r>
      <w:r w:rsidR="00151C34">
        <w:rPr>
          <w:szCs w:val="22"/>
        </w:rPr>
        <w:t xml:space="preserve"> </w:t>
      </w:r>
      <w:r w:rsidRPr="00E76D83">
        <w:rPr>
          <w:szCs w:val="22"/>
        </w:rPr>
        <w:t xml:space="preserve">Unauthorized use of the EAS Tones thus </w:t>
      </w:r>
      <w:r w:rsidR="00861124">
        <w:rPr>
          <w:szCs w:val="22"/>
        </w:rPr>
        <w:t xml:space="preserve">undermines the EAS and </w:t>
      </w:r>
      <w:r w:rsidRPr="00E76D83">
        <w:rPr>
          <w:szCs w:val="22"/>
        </w:rPr>
        <w:t>presents a substantial threat to public safety.</w:t>
      </w:r>
    </w:p>
    <w:p w:rsidR="0042735F" w:rsidP="00AC64D6" w14:paraId="1BCB2982" w14:textId="2028E6E8">
      <w:pPr>
        <w:pStyle w:val="ParaNum"/>
        <w:widowControl/>
        <w:rPr>
          <w:szCs w:val="22"/>
        </w:rPr>
      </w:pPr>
      <w:bookmarkStart w:id="4" w:name="_Hlk7092816"/>
      <w:r w:rsidRPr="00AC64D6">
        <w:rPr>
          <w:szCs w:val="22"/>
        </w:rPr>
        <w:t>In this Notice of Apparent Liability</w:t>
      </w:r>
      <w:r w:rsidRPr="00AC64D6" w:rsidR="00AA4158">
        <w:rPr>
          <w:szCs w:val="22"/>
        </w:rPr>
        <w:t xml:space="preserve"> for Forfeiture</w:t>
      </w:r>
      <w:r w:rsidRPr="00AC64D6" w:rsidR="00D90D3C">
        <w:rPr>
          <w:szCs w:val="22"/>
        </w:rPr>
        <w:t>, w</w:t>
      </w:r>
      <w:r w:rsidRPr="00AC64D6" w:rsidR="007B167A">
        <w:rPr>
          <w:szCs w:val="22"/>
        </w:rPr>
        <w:t xml:space="preserve">e find that </w:t>
      </w:r>
      <w:r w:rsidRPr="00AC64D6" w:rsidR="00BA4618">
        <w:rPr>
          <w:szCs w:val="22"/>
        </w:rPr>
        <w:t>ESPN</w:t>
      </w:r>
      <w:r w:rsidRPr="00AC64D6" w:rsidR="007B167A">
        <w:rPr>
          <w:szCs w:val="22"/>
        </w:rPr>
        <w:t xml:space="preserve"> apparently willfully violated section 11.45 of the Commission’s rules</w:t>
      </w:r>
      <w:r>
        <w:rPr>
          <w:rStyle w:val="FootnoteReference"/>
          <w:sz w:val="22"/>
          <w:szCs w:val="22"/>
        </w:rPr>
        <w:footnoteReference w:id="9"/>
      </w:r>
      <w:r w:rsidRPr="00AC64D6" w:rsidR="007B167A">
        <w:rPr>
          <w:szCs w:val="22"/>
        </w:rPr>
        <w:t xml:space="preserve"> when </w:t>
      </w:r>
      <w:r w:rsidR="00151C34">
        <w:rPr>
          <w:szCs w:val="22"/>
        </w:rPr>
        <w:t>it</w:t>
      </w:r>
      <w:r w:rsidRPr="00AC64D6" w:rsidR="00151C34">
        <w:rPr>
          <w:szCs w:val="22"/>
        </w:rPr>
        <w:t xml:space="preserve"> </w:t>
      </w:r>
      <w:r w:rsidRPr="00AC64D6" w:rsidR="007B167A">
        <w:rPr>
          <w:szCs w:val="22"/>
        </w:rPr>
        <w:t xml:space="preserve">transmitted </w:t>
      </w:r>
      <w:r w:rsidR="00861124">
        <w:rPr>
          <w:szCs w:val="22"/>
        </w:rPr>
        <w:t xml:space="preserve">or </w:t>
      </w:r>
      <w:r w:rsidRPr="00AC64D6" w:rsidR="007B167A">
        <w:rPr>
          <w:szCs w:val="22"/>
        </w:rPr>
        <w:t xml:space="preserve">caused the transmission of EAS Tones in the </w:t>
      </w:r>
      <w:r w:rsidRPr="00AC64D6" w:rsidR="00BA4618">
        <w:rPr>
          <w:szCs w:val="22"/>
        </w:rPr>
        <w:t xml:space="preserve">program </w:t>
      </w:r>
      <w:r w:rsidRPr="00AC64D6" w:rsidR="00BA4618">
        <w:rPr>
          <w:i/>
          <w:iCs/>
          <w:szCs w:val="22"/>
        </w:rPr>
        <w:t>30 for 30:  Roll Tide/War Eagle</w:t>
      </w:r>
      <w:r w:rsidRPr="00AC64D6" w:rsidR="007B167A">
        <w:rPr>
          <w:szCs w:val="22"/>
        </w:rPr>
        <w:t xml:space="preserve">, which was included </w:t>
      </w:r>
      <w:r w:rsidR="00151C34">
        <w:rPr>
          <w:szCs w:val="22"/>
        </w:rPr>
        <w:t>in</w:t>
      </w:r>
      <w:r w:rsidRPr="00AC64D6" w:rsidR="00151C34">
        <w:rPr>
          <w:szCs w:val="22"/>
        </w:rPr>
        <w:t xml:space="preserve"> </w:t>
      </w:r>
      <w:r w:rsidRPr="00AC64D6" w:rsidR="00BA4618">
        <w:rPr>
          <w:szCs w:val="22"/>
        </w:rPr>
        <w:t xml:space="preserve">ESPN’s </w:t>
      </w:r>
      <w:r w:rsidRPr="00AC64D6" w:rsidR="007B167A">
        <w:rPr>
          <w:szCs w:val="22"/>
        </w:rPr>
        <w:t xml:space="preserve">programming stream sent to </w:t>
      </w:r>
      <w:r w:rsidRPr="008815FF" w:rsidR="00F255A9">
        <w:rPr>
          <w:snapToGrid/>
          <w:szCs w:val="22"/>
        </w:rPr>
        <w:t xml:space="preserve">cable </w:t>
      </w:r>
      <w:r w:rsidR="00F255A9">
        <w:rPr>
          <w:snapToGrid/>
          <w:szCs w:val="22"/>
        </w:rPr>
        <w:t>systems and other multichannel video programming distribution</w:t>
      </w:r>
      <w:r w:rsidRPr="008815FF" w:rsidR="00F255A9">
        <w:rPr>
          <w:snapToGrid/>
          <w:szCs w:val="22"/>
        </w:rPr>
        <w:t xml:space="preserve"> systems</w:t>
      </w:r>
      <w:r w:rsidR="00F255A9">
        <w:rPr>
          <w:snapToGrid/>
          <w:szCs w:val="22"/>
        </w:rPr>
        <w:t xml:space="preserve"> (collectively MVPDs) </w:t>
      </w:r>
      <w:r w:rsidR="00B92FF1">
        <w:rPr>
          <w:szCs w:val="22"/>
        </w:rPr>
        <w:t>once</w:t>
      </w:r>
      <w:r w:rsidR="00AC64D6">
        <w:rPr>
          <w:szCs w:val="22"/>
        </w:rPr>
        <w:t xml:space="preserve"> </w:t>
      </w:r>
      <w:r w:rsidRPr="00AC64D6" w:rsidR="00BA4618">
        <w:rPr>
          <w:szCs w:val="22"/>
        </w:rPr>
        <w:t>on October 20, 2020,</w:t>
      </w:r>
      <w:r w:rsidRPr="00AC64D6" w:rsidR="007B167A">
        <w:rPr>
          <w:szCs w:val="22"/>
        </w:rPr>
        <w:t xml:space="preserve"> in the absence of any actual emergency, authorized test of the EAS, or qualified PSA.</w:t>
      </w:r>
      <w:r>
        <w:rPr>
          <w:rStyle w:val="FootnoteReference"/>
          <w:sz w:val="22"/>
          <w:szCs w:val="22"/>
        </w:rPr>
        <w:footnoteReference w:id="10"/>
      </w:r>
      <w:r w:rsidRPr="00AC64D6" w:rsidR="00BA4618">
        <w:rPr>
          <w:szCs w:val="22"/>
        </w:rPr>
        <w:t xml:space="preserve">  </w:t>
      </w:r>
      <w:r w:rsidRPr="00AC64D6" w:rsidR="007B167A">
        <w:rPr>
          <w:szCs w:val="22"/>
        </w:rPr>
        <w:t>The prohibition on such transmissions has been in place for many years</w:t>
      </w:r>
      <w:r w:rsidR="00AA6FC4">
        <w:rPr>
          <w:szCs w:val="22"/>
        </w:rPr>
        <w:t>,</w:t>
      </w:r>
      <w:r w:rsidRPr="00AC64D6" w:rsidR="007B167A">
        <w:rPr>
          <w:szCs w:val="22"/>
        </w:rPr>
        <w:t xml:space="preserve"> and industry participants have long been on notice of the seriousness of such violations.</w:t>
      </w:r>
      <w:r>
        <w:rPr>
          <w:rStyle w:val="FootnoteReference"/>
          <w:sz w:val="22"/>
          <w:szCs w:val="22"/>
        </w:rPr>
        <w:footnoteReference w:id="11"/>
      </w:r>
      <w:r w:rsidRPr="00AC64D6" w:rsidR="007B167A">
        <w:rPr>
          <w:szCs w:val="22"/>
        </w:rPr>
        <w:t xml:space="preserve">  Accordingly, based on our review of the facts and circumstances surrounding </w:t>
      </w:r>
      <w:r w:rsidR="00AA6FC4">
        <w:rPr>
          <w:szCs w:val="22"/>
        </w:rPr>
        <w:t>this</w:t>
      </w:r>
      <w:r w:rsidRPr="00AC64D6" w:rsidR="007B167A">
        <w:rPr>
          <w:szCs w:val="22"/>
        </w:rPr>
        <w:t xml:space="preserve"> apparent violation</w:t>
      </w:r>
      <w:r w:rsidR="00AA6FC4">
        <w:rPr>
          <w:szCs w:val="22"/>
        </w:rPr>
        <w:t xml:space="preserve"> of </w:t>
      </w:r>
      <w:r w:rsidRPr="00AC64D6" w:rsidR="007B167A">
        <w:rPr>
          <w:szCs w:val="22"/>
        </w:rPr>
        <w:t xml:space="preserve">section 11.45 of the </w:t>
      </w:r>
      <w:r w:rsidR="004A1A5A">
        <w:rPr>
          <w:szCs w:val="22"/>
        </w:rPr>
        <w:t>Commission’s rules</w:t>
      </w:r>
      <w:r w:rsidRPr="00AC64D6" w:rsidR="007B167A">
        <w:rPr>
          <w:szCs w:val="22"/>
        </w:rPr>
        <w:t xml:space="preserve">, we propose a forfeiture of </w:t>
      </w:r>
      <w:r w:rsidR="00034294">
        <w:rPr>
          <w:szCs w:val="22"/>
        </w:rPr>
        <w:t xml:space="preserve">$20,000 </w:t>
      </w:r>
      <w:r w:rsidRPr="00AC64D6" w:rsidR="007B167A">
        <w:rPr>
          <w:szCs w:val="22"/>
        </w:rPr>
        <w:t xml:space="preserve">against </w:t>
      </w:r>
      <w:r w:rsidR="00AA6FC4">
        <w:rPr>
          <w:szCs w:val="22"/>
        </w:rPr>
        <w:t>ESPN</w:t>
      </w:r>
      <w:r w:rsidRPr="00AC64D6" w:rsidR="007B167A">
        <w:rPr>
          <w:szCs w:val="22"/>
        </w:rPr>
        <w:t>.</w:t>
      </w:r>
    </w:p>
    <w:p w:rsidR="0042735F" w:rsidRPr="00E76D83" w:rsidP="004E5EE5" w14:paraId="5C041593" w14:textId="77777777">
      <w:pPr>
        <w:pStyle w:val="Heading1"/>
        <w:rPr>
          <w:rFonts w:ascii="Times New Roman" w:hAnsi="Times New Roman"/>
          <w:szCs w:val="22"/>
        </w:rPr>
      </w:pPr>
      <w:bookmarkStart w:id="6" w:name="_Toc7629832"/>
      <w:bookmarkStart w:id="7" w:name="_Toc7778356"/>
      <w:bookmarkEnd w:id="4"/>
      <w:r w:rsidRPr="004E5EE5">
        <w:t>BACKGROUND</w:t>
      </w:r>
      <w:bookmarkEnd w:id="6"/>
      <w:bookmarkEnd w:id="7"/>
    </w:p>
    <w:p w:rsidR="00D86AA9" w:rsidP="00633670" w14:paraId="5A411749" w14:textId="26737FF2">
      <w:pPr>
        <w:pStyle w:val="Heading2"/>
      </w:pPr>
      <w:r>
        <w:t>Legal Framework</w:t>
      </w:r>
    </w:p>
    <w:p w:rsidR="00D86AA9" w:rsidRPr="00E76D83" w:rsidP="00D86AA9" w14:paraId="7BC1294B" w14:textId="700D0F11">
      <w:pPr>
        <w:pStyle w:val="ParaNum"/>
        <w:rPr>
          <w:spacing w:val="-2"/>
          <w:szCs w:val="22"/>
        </w:rPr>
      </w:pPr>
      <w:r w:rsidRPr="00E76D83">
        <w:rPr>
          <w:spacing w:val="-2"/>
          <w:szCs w:val="22"/>
        </w:rPr>
        <w:t xml:space="preserve">Pursuant to section 503(b)(1) of the </w:t>
      </w:r>
      <w:r w:rsidR="003A7491">
        <w:rPr>
          <w:spacing w:val="-2"/>
          <w:szCs w:val="22"/>
        </w:rPr>
        <w:t>Communications Act of 1934, as amended, (</w:t>
      </w:r>
      <w:r w:rsidRPr="00E76D83">
        <w:rPr>
          <w:spacing w:val="-2"/>
          <w:szCs w:val="22"/>
        </w:rPr>
        <w:t>Act</w:t>
      </w:r>
      <w:r w:rsidR="003A7491">
        <w:rPr>
          <w:spacing w:val="-2"/>
          <w:szCs w:val="22"/>
        </w:rPr>
        <w:t>)</w:t>
      </w:r>
      <w:r w:rsidRPr="00E76D83">
        <w:rPr>
          <w:spacing w:val="-2"/>
          <w:szCs w:val="22"/>
        </w:rPr>
        <w:t xml:space="preserve">, any person who is determined by the Commission to have </w:t>
      </w:r>
      <w:r w:rsidRPr="00E76D83">
        <w:rPr>
          <w:szCs w:val="22"/>
        </w:rPr>
        <w:t xml:space="preserve">willfully or repeatedly failed to comply with any provision of the Act or any rule, regulation, or order issued by the Commission shall be liable to the </w:t>
      </w:r>
      <w:r w:rsidRPr="00E76D83">
        <w:rPr>
          <w:szCs w:val="22"/>
        </w:rPr>
        <w:t>United States for a forfeiture penalty.</w:t>
      </w:r>
      <w:r>
        <w:rPr>
          <w:rStyle w:val="FootnoteReference"/>
          <w:sz w:val="22"/>
          <w:szCs w:val="22"/>
        </w:rPr>
        <w:footnoteReference w:id="12"/>
      </w:r>
      <w:r w:rsidRPr="00E76D83">
        <w:rPr>
          <w:szCs w:val="22"/>
        </w:rPr>
        <w:t xml:space="preserve">  Section 312(f)(1) of the Act defines willful as “the conscious and deliberate commission or omission of such act, irrespective of any intent to violate” the law.</w:t>
      </w:r>
      <w:r>
        <w:rPr>
          <w:rStyle w:val="FootnoteReference"/>
          <w:sz w:val="22"/>
          <w:szCs w:val="22"/>
        </w:rPr>
        <w:footnoteReference w:id="13"/>
      </w:r>
      <w:r w:rsidRPr="00E76D83">
        <w:rPr>
          <w:szCs w:val="22"/>
        </w:rPr>
        <w:t xml:space="preserve">  The legislative history to section 312(f)(1) of the Act clarifies that this definition of willful applies to both sections 312 and 503(b) of the Act,</w:t>
      </w:r>
      <w:r>
        <w:rPr>
          <w:rStyle w:val="FootnoteReference"/>
          <w:sz w:val="22"/>
          <w:szCs w:val="22"/>
        </w:rPr>
        <w:footnoteReference w:id="14"/>
      </w:r>
      <w:r w:rsidRPr="00E76D83">
        <w:rPr>
          <w:szCs w:val="22"/>
        </w:rPr>
        <w:t xml:space="preserve"> and the Commission has so interpreted the term in the section 503(b) context.</w:t>
      </w:r>
      <w:r>
        <w:rPr>
          <w:rStyle w:val="FootnoteReference"/>
          <w:sz w:val="22"/>
          <w:szCs w:val="22"/>
        </w:rPr>
        <w:footnoteReference w:id="15"/>
      </w:r>
      <w:r w:rsidRPr="00E76D83">
        <w:rPr>
          <w:szCs w:val="22"/>
        </w:rPr>
        <w:t xml:space="preserve">  In order to impose such a penalty, the Commission must issue a notice of apparent liability, the notice must be received, and the person against whom the notice has been issued must have an opportunity to show, in writing, why no such penalty should be imposed</w:t>
      </w:r>
      <w:r w:rsidR="00705540">
        <w:rPr>
          <w:szCs w:val="22"/>
        </w:rPr>
        <w:t>.</w:t>
      </w:r>
      <w:r>
        <w:rPr>
          <w:rStyle w:val="FootnoteReference"/>
          <w:szCs w:val="22"/>
        </w:rPr>
        <w:footnoteReference w:id="16"/>
      </w:r>
      <w:r w:rsidRPr="00E76D83">
        <w:rPr>
          <w:szCs w:val="22"/>
        </w:rPr>
        <w:t xml:space="preserve">  The Commission will then issue a forfeiture if it finds, by a preponderance of the evidence, that the person has willfully or repeatedly violated the Act or a Commission rule.</w:t>
      </w:r>
      <w:r>
        <w:rPr>
          <w:rStyle w:val="FootnoteReference"/>
          <w:szCs w:val="22"/>
        </w:rPr>
        <w:footnoteReference w:id="17"/>
      </w:r>
    </w:p>
    <w:p w:rsidR="00D86AA9" w:rsidRPr="00E76D83" w:rsidP="00D86AA9" w14:paraId="3C5A1124" w14:textId="6185D6DF">
      <w:pPr>
        <w:pStyle w:val="ParaNum"/>
        <w:rPr>
          <w:color w:val="000000"/>
          <w:szCs w:val="22"/>
        </w:rPr>
      </w:pPr>
      <w:bookmarkStart w:id="8" w:name="ID8C6A0A2DFB711E09E30CFCCF2216C1F"/>
      <w:bookmarkEnd w:id="8"/>
      <w:r w:rsidRPr="00E76D83">
        <w:rPr>
          <w:color w:val="000000"/>
          <w:szCs w:val="22"/>
        </w:rPr>
        <w:t xml:space="preserve">Under section 11.45 of the </w:t>
      </w:r>
      <w:r w:rsidR="00955F41">
        <w:rPr>
          <w:color w:val="000000"/>
          <w:szCs w:val="22"/>
        </w:rPr>
        <w:t>Commission’s rules</w:t>
      </w:r>
      <w:r w:rsidRPr="00E76D83">
        <w:rPr>
          <w:color w:val="000000"/>
          <w:szCs w:val="22"/>
        </w:rPr>
        <w:t xml:space="preserve">, “[n]o person may transmit or cause to transmit the EAS codes or Attention Signal, or a recording or simulation thereof, </w:t>
      </w:r>
      <w:r w:rsidRPr="00E76D83">
        <w:rPr>
          <w:szCs w:val="22"/>
        </w:rPr>
        <w:t>in any circumstance other than in an actual National, State or Local Area emergency or authorized test of the EAS, or as specified in [sections] 10.520(d), 11.46, and 11.61 of this chapter.”</w:t>
      </w:r>
      <w:r>
        <w:rPr>
          <w:rStyle w:val="FootnoteReference"/>
          <w:sz w:val="22"/>
          <w:szCs w:val="22"/>
        </w:rPr>
        <w:footnoteReference w:id="18"/>
      </w:r>
      <w:r w:rsidRPr="00E76D83">
        <w:rPr>
          <w:szCs w:val="22"/>
        </w:rPr>
        <w:t xml:space="preserve"> </w:t>
      </w:r>
      <w:r w:rsidR="002D1958">
        <w:rPr>
          <w:szCs w:val="22"/>
        </w:rPr>
        <w:t xml:space="preserve"> </w:t>
      </w:r>
      <w:r w:rsidRPr="00E76D83">
        <w:rPr>
          <w:color w:val="000000"/>
          <w:szCs w:val="22"/>
        </w:rPr>
        <w:t xml:space="preserve">The Commission adopted section 11.45 </w:t>
      </w:r>
      <w:r w:rsidR="006657A0">
        <w:rPr>
          <w:color w:val="000000"/>
          <w:szCs w:val="22"/>
        </w:rPr>
        <w:t xml:space="preserve">in </w:t>
      </w:r>
      <w:r w:rsidR="008728C1">
        <w:rPr>
          <w:color w:val="000000"/>
          <w:szCs w:val="22"/>
        </w:rPr>
        <w:t>1994</w:t>
      </w:r>
      <w:r w:rsidR="006657A0">
        <w:rPr>
          <w:color w:val="000000"/>
          <w:szCs w:val="22"/>
        </w:rPr>
        <w:t xml:space="preserve">, </w:t>
      </w:r>
      <w:r w:rsidRPr="00E76D83">
        <w:rPr>
          <w:color w:val="000000"/>
          <w:szCs w:val="22"/>
        </w:rPr>
        <w:t>to protect the integrity and operation of the EAS</w:t>
      </w:r>
      <w:r w:rsidR="00811F73">
        <w:rPr>
          <w:color w:val="000000"/>
          <w:szCs w:val="22"/>
        </w:rPr>
        <w:t>,</w:t>
      </w:r>
      <w:r>
        <w:rPr>
          <w:rStyle w:val="FootnoteReference"/>
          <w:szCs w:val="22"/>
        </w:rPr>
        <w:footnoteReference w:id="19"/>
      </w:r>
      <w:r w:rsidRPr="00E76D83">
        <w:rPr>
          <w:color w:val="000000"/>
          <w:szCs w:val="22"/>
        </w:rPr>
        <w:t xml:space="preserve"> acknowledging that </w:t>
      </w:r>
      <w:r w:rsidR="00811F73">
        <w:rPr>
          <w:color w:val="000000"/>
          <w:szCs w:val="22"/>
        </w:rPr>
        <w:t xml:space="preserve">while </w:t>
      </w:r>
      <w:r w:rsidRPr="00E76D83">
        <w:rPr>
          <w:color w:val="000000"/>
          <w:szCs w:val="22"/>
        </w:rPr>
        <w:t xml:space="preserve">existing laws prohibited false distress signals and broadcast hoaxes, “a specific prohibition against the misuse of the EAS attention signal and codes is necessary . . . because it is more specific and directly addresses the proper use of EAS codes and </w:t>
      </w:r>
      <w:r w:rsidR="00811F73">
        <w:rPr>
          <w:color w:val="000000"/>
          <w:szCs w:val="22"/>
        </w:rPr>
        <w:t>Tones</w:t>
      </w:r>
      <w:r w:rsidRPr="00E76D83">
        <w:rPr>
          <w:color w:val="000000"/>
          <w:szCs w:val="22"/>
        </w:rPr>
        <w:t>.”</w:t>
      </w:r>
      <w:r>
        <w:rPr>
          <w:rStyle w:val="FootnoteReference"/>
          <w:sz w:val="22"/>
          <w:szCs w:val="22"/>
        </w:rPr>
        <w:footnoteReference w:id="20"/>
      </w:r>
      <w:r w:rsidRPr="00E76D83">
        <w:rPr>
          <w:color w:val="000000"/>
          <w:szCs w:val="22"/>
        </w:rPr>
        <w:t xml:space="preserve">  Accordingly, in enforcing section 11.45 of the </w:t>
      </w:r>
      <w:r w:rsidR="00955F41">
        <w:rPr>
          <w:color w:val="000000"/>
          <w:szCs w:val="22"/>
        </w:rPr>
        <w:t>r</w:t>
      </w:r>
      <w:r w:rsidRPr="00E76D83">
        <w:rPr>
          <w:color w:val="000000"/>
          <w:szCs w:val="22"/>
        </w:rPr>
        <w:t xml:space="preserve">ules, the Commission explained:  </w:t>
      </w:r>
    </w:p>
    <w:p w:rsidR="00D86AA9" w:rsidRPr="00E76D83" w:rsidP="00D86AA9" w14:paraId="66506552" w14:textId="2ABE076B">
      <w:pPr>
        <w:widowControl/>
        <w:autoSpaceDE w:val="0"/>
        <w:autoSpaceDN w:val="0"/>
        <w:adjustRightInd w:val="0"/>
        <w:spacing w:after="120"/>
        <w:ind w:left="720"/>
        <w:rPr>
          <w:snapToGrid/>
          <w:kern w:val="0"/>
          <w:szCs w:val="22"/>
        </w:rPr>
      </w:pPr>
      <w:r w:rsidRPr="00E76D83">
        <w:rPr>
          <w:snapToGrid/>
          <w:kern w:val="0"/>
          <w:szCs w:val="22"/>
        </w:rPr>
        <w:t xml:space="preserve">The plain language of the rule prohibits </w:t>
      </w:r>
      <w:r w:rsidRPr="00E76D83">
        <w:rPr>
          <w:i/>
          <w:iCs/>
          <w:snapToGrid/>
          <w:kern w:val="0"/>
          <w:szCs w:val="22"/>
        </w:rPr>
        <w:t xml:space="preserve">any </w:t>
      </w:r>
      <w:r w:rsidRPr="00E76D83">
        <w:rPr>
          <w:snapToGrid/>
          <w:kern w:val="0"/>
          <w:szCs w:val="22"/>
        </w:rPr>
        <w:t xml:space="preserve">transmission of the EAS Tones in the absence of an actual emergency or authorized test </w:t>
      </w:r>
      <w:r w:rsidRPr="00E76D83">
        <w:rPr>
          <w:snapToGrid/>
          <w:kern w:val="0"/>
          <w:szCs w:val="22"/>
        </w:rPr>
        <w:t>. . . </w:t>
      </w:r>
      <w:r w:rsidR="00571AD8">
        <w:rPr>
          <w:snapToGrid/>
          <w:kern w:val="0"/>
          <w:szCs w:val="22"/>
        </w:rPr>
        <w:t>.</w:t>
      </w:r>
      <w:r w:rsidR="00571AD8">
        <w:rPr>
          <w:snapToGrid/>
          <w:kern w:val="0"/>
          <w:szCs w:val="22"/>
        </w:rPr>
        <w:t xml:space="preserve"> </w:t>
      </w:r>
      <w:r w:rsidR="00AE5051">
        <w:rPr>
          <w:snapToGrid/>
          <w:kern w:val="0"/>
          <w:szCs w:val="22"/>
        </w:rPr>
        <w:t xml:space="preserve"> </w:t>
      </w:r>
      <w:r w:rsidRPr="00E76D83">
        <w:rPr>
          <w:snapToGrid/>
          <w:kern w:val="0"/>
          <w:szCs w:val="22"/>
        </w:rPr>
        <w:t>Moreover, [s]</w:t>
      </w:r>
      <w:r w:rsidRPr="00E76D83">
        <w:rPr>
          <w:snapToGrid/>
          <w:kern w:val="0"/>
          <w:szCs w:val="22"/>
        </w:rPr>
        <w:t>ection</w:t>
      </w:r>
      <w:r w:rsidRPr="00E76D83">
        <w:rPr>
          <w:snapToGrid/>
          <w:kern w:val="0"/>
          <w:szCs w:val="22"/>
        </w:rPr>
        <w:t xml:space="preserve"> 11.45 contains no provision limiting liability under the rule to cases where intent to deceive exists, nor does the rule make </w:t>
      </w:r>
      <w:r w:rsidRPr="00E76D83">
        <w:rPr>
          <w:snapToGrid/>
          <w:kern w:val="0"/>
          <w:szCs w:val="22"/>
        </w:rPr>
        <w:t>exceptions for, or protect, “dramatic” uses of the EAS Tones.  Instead, the rule provides that the transmission of the EAS Tones is prohibited in “any circumstance” except when an actual emergency or authorized test warrants their use.</w:t>
      </w:r>
      <w:r>
        <w:rPr>
          <w:rStyle w:val="FootnoteReference"/>
          <w:snapToGrid/>
          <w:kern w:val="0"/>
          <w:sz w:val="22"/>
          <w:szCs w:val="22"/>
        </w:rPr>
        <w:footnoteReference w:id="21"/>
      </w:r>
    </w:p>
    <w:p w:rsidR="00633670" w:rsidRPr="00633670" w:rsidP="00633670" w14:paraId="141BCE65" w14:textId="602E2483">
      <w:pPr>
        <w:pStyle w:val="Heading2"/>
        <w:rPr>
          <w:snapToGrid/>
        </w:rPr>
      </w:pPr>
      <w:r>
        <w:t>Factual Background</w:t>
      </w:r>
    </w:p>
    <w:p w:rsidR="0042735F" w:rsidRPr="00764943" w:rsidP="004B7250" w14:paraId="23BC8ED5" w14:textId="7DEEB8A4">
      <w:pPr>
        <w:pStyle w:val="ParaNum"/>
        <w:widowControl/>
        <w:autoSpaceDE w:val="0"/>
        <w:autoSpaceDN w:val="0"/>
        <w:adjustRightInd w:val="0"/>
        <w:rPr>
          <w:snapToGrid/>
          <w:szCs w:val="22"/>
        </w:rPr>
      </w:pPr>
      <w:r w:rsidRPr="00764943">
        <w:rPr>
          <w:snapToGrid/>
          <w:kern w:val="0"/>
          <w:szCs w:val="22"/>
        </w:rPr>
        <w:t>ESPN</w:t>
      </w:r>
      <w:r w:rsidR="00764943">
        <w:rPr>
          <w:snapToGrid/>
          <w:kern w:val="0"/>
          <w:szCs w:val="22"/>
        </w:rPr>
        <w:t>, based in Bristol, Connecticut,</w:t>
      </w:r>
      <w:r w:rsidRPr="00764943">
        <w:rPr>
          <w:snapToGrid/>
          <w:kern w:val="0"/>
          <w:szCs w:val="22"/>
        </w:rPr>
        <w:t xml:space="preserve"> is a multimedia sports entertainment company that nationally</w:t>
      </w:r>
      <w:r w:rsidRPr="00764943" w:rsidR="00764943">
        <w:rPr>
          <w:snapToGrid/>
          <w:kern w:val="0"/>
          <w:szCs w:val="22"/>
        </w:rPr>
        <w:t xml:space="preserve"> </w:t>
      </w:r>
      <w:r w:rsidRPr="00764943">
        <w:rPr>
          <w:snapToGrid/>
          <w:kern w:val="0"/>
          <w:szCs w:val="22"/>
        </w:rPr>
        <w:t xml:space="preserve">distributes </w:t>
      </w:r>
      <w:r w:rsidRPr="006C09DE">
        <w:rPr>
          <w:snapToGrid/>
          <w:kern w:val="0"/>
          <w:szCs w:val="22"/>
        </w:rPr>
        <w:t xml:space="preserve">television </w:t>
      </w:r>
      <w:r w:rsidR="00A80926">
        <w:rPr>
          <w:snapToGrid/>
          <w:kern w:val="0"/>
          <w:szCs w:val="22"/>
        </w:rPr>
        <w:t>programming</w:t>
      </w:r>
      <w:r w:rsidRPr="00764943">
        <w:rPr>
          <w:snapToGrid/>
          <w:kern w:val="0"/>
          <w:szCs w:val="22"/>
        </w:rPr>
        <w:t xml:space="preserve">. </w:t>
      </w:r>
      <w:r w:rsidRPr="00764943" w:rsidR="008815FF">
        <w:rPr>
          <w:snapToGrid/>
          <w:kern w:val="0"/>
          <w:szCs w:val="22"/>
        </w:rPr>
        <w:t xml:space="preserve"> </w:t>
      </w:r>
      <w:r w:rsidRPr="00764943">
        <w:rPr>
          <w:snapToGrid/>
          <w:kern w:val="0"/>
          <w:szCs w:val="22"/>
        </w:rPr>
        <w:t>ESPN Holding Company, Inc., an indirect subsidiary of The Walt Disney Company,</w:t>
      </w:r>
      <w:r w:rsidRPr="00764943" w:rsidR="00764943">
        <w:rPr>
          <w:snapToGrid/>
          <w:kern w:val="0"/>
          <w:szCs w:val="22"/>
        </w:rPr>
        <w:t xml:space="preserve"> </w:t>
      </w:r>
      <w:r w:rsidR="00981A1C">
        <w:rPr>
          <w:snapToGrid/>
          <w:kern w:val="0"/>
          <w:szCs w:val="22"/>
        </w:rPr>
        <w:t xml:space="preserve">owns 80% </w:t>
      </w:r>
      <w:r w:rsidR="00576DFB">
        <w:rPr>
          <w:snapToGrid/>
          <w:kern w:val="0"/>
          <w:szCs w:val="22"/>
        </w:rPr>
        <w:t xml:space="preserve">of the company </w:t>
      </w:r>
      <w:r w:rsidRPr="00764943">
        <w:rPr>
          <w:snapToGrid/>
          <w:kern w:val="0"/>
          <w:szCs w:val="22"/>
        </w:rPr>
        <w:t>and Hearst Brazil, Inc., a subsidiary of The Hearst Corporation</w:t>
      </w:r>
      <w:r w:rsidR="00576DFB">
        <w:rPr>
          <w:snapToGrid/>
          <w:kern w:val="0"/>
          <w:szCs w:val="22"/>
        </w:rPr>
        <w:t>, owns the remaining 20%</w:t>
      </w:r>
      <w:r w:rsidRPr="00764943" w:rsidR="008815FF">
        <w:rPr>
          <w:snapToGrid/>
          <w:kern w:val="0"/>
          <w:szCs w:val="22"/>
        </w:rPr>
        <w:t>.</w:t>
      </w:r>
      <w:r>
        <w:rPr>
          <w:rStyle w:val="FootnoteReference"/>
          <w:sz w:val="22"/>
          <w:szCs w:val="22"/>
        </w:rPr>
        <w:footnoteReference w:id="22"/>
      </w:r>
      <w:r w:rsidRPr="00764943">
        <w:rPr>
          <w:snapToGrid/>
          <w:szCs w:val="22"/>
        </w:rPr>
        <w:t xml:space="preserve">  </w:t>
      </w:r>
      <w:r w:rsidR="00FE0490">
        <w:rPr>
          <w:snapToGrid/>
          <w:szCs w:val="22"/>
        </w:rPr>
        <w:t xml:space="preserve">The program, </w:t>
      </w:r>
      <w:r w:rsidRPr="00764943" w:rsidR="008815FF">
        <w:rPr>
          <w:i/>
          <w:snapToGrid/>
          <w:szCs w:val="22"/>
        </w:rPr>
        <w:t>30 for 30: Roll Tide/War Eagle</w:t>
      </w:r>
      <w:r w:rsidR="00F2608B">
        <w:rPr>
          <w:i/>
          <w:snapToGrid/>
          <w:szCs w:val="22"/>
        </w:rPr>
        <w:t>,</w:t>
      </w:r>
      <w:r w:rsidRPr="00764943" w:rsidR="008815FF">
        <w:rPr>
          <w:iCs/>
          <w:snapToGrid/>
          <w:szCs w:val="22"/>
        </w:rPr>
        <w:t xml:space="preserve"> is </w:t>
      </w:r>
      <w:r w:rsidR="00FE0490">
        <w:rPr>
          <w:iCs/>
          <w:snapToGrid/>
          <w:szCs w:val="22"/>
        </w:rPr>
        <w:t>an episode of a</w:t>
      </w:r>
      <w:r w:rsidR="00B14169">
        <w:rPr>
          <w:iCs/>
          <w:snapToGrid/>
          <w:szCs w:val="22"/>
        </w:rPr>
        <w:t xml:space="preserve"> </w:t>
      </w:r>
      <w:r w:rsidRPr="00764943" w:rsidR="00E57BC1">
        <w:rPr>
          <w:snapToGrid/>
          <w:szCs w:val="22"/>
        </w:rPr>
        <w:t>cable-t</w:t>
      </w:r>
      <w:r w:rsidRPr="00764943" w:rsidR="00832F78">
        <w:rPr>
          <w:snapToGrid/>
          <w:szCs w:val="22"/>
        </w:rPr>
        <w:t xml:space="preserve">elevision </w:t>
      </w:r>
      <w:r w:rsidRPr="00764943" w:rsidR="008815FF">
        <w:rPr>
          <w:snapToGrid/>
          <w:szCs w:val="22"/>
        </w:rPr>
        <w:t xml:space="preserve">documentary series that </w:t>
      </w:r>
      <w:r w:rsidR="00B466E3">
        <w:rPr>
          <w:snapToGrid/>
          <w:szCs w:val="22"/>
        </w:rPr>
        <w:t>ESPN</w:t>
      </w:r>
      <w:r w:rsidRPr="00764943" w:rsidR="00B466E3">
        <w:rPr>
          <w:snapToGrid/>
          <w:szCs w:val="22"/>
        </w:rPr>
        <w:t xml:space="preserve"> </w:t>
      </w:r>
      <w:r w:rsidRPr="00764943">
        <w:rPr>
          <w:snapToGrid/>
          <w:szCs w:val="22"/>
        </w:rPr>
        <w:t xml:space="preserve">included as part of </w:t>
      </w:r>
      <w:r w:rsidR="00B466E3">
        <w:rPr>
          <w:snapToGrid/>
          <w:szCs w:val="22"/>
        </w:rPr>
        <w:t>its</w:t>
      </w:r>
      <w:r w:rsidRPr="00764943" w:rsidR="00B466E3">
        <w:rPr>
          <w:snapToGrid/>
          <w:szCs w:val="22"/>
        </w:rPr>
        <w:t xml:space="preserve"> </w:t>
      </w:r>
      <w:r w:rsidRPr="00764943">
        <w:rPr>
          <w:snapToGrid/>
          <w:szCs w:val="22"/>
        </w:rPr>
        <w:t>programming</w:t>
      </w:r>
      <w:r w:rsidR="00B466E3">
        <w:rPr>
          <w:snapToGrid/>
          <w:szCs w:val="22"/>
        </w:rPr>
        <w:t xml:space="preserve"> channel</w:t>
      </w:r>
      <w:r w:rsidRPr="00764943">
        <w:rPr>
          <w:snapToGrid/>
          <w:szCs w:val="22"/>
        </w:rPr>
        <w:t xml:space="preserve">, </w:t>
      </w:r>
      <w:r w:rsidR="000927CB">
        <w:rPr>
          <w:snapToGrid/>
          <w:szCs w:val="22"/>
        </w:rPr>
        <w:t xml:space="preserve">ESPN </w:t>
      </w:r>
      <w:r w:rsidR="00F57B98">
        <w:rPr>
          <w:snapToGrid/>
          <w:szCs w:val="22"/>
        </w:rPr>
        <w:t>network</w:t>
      </w:r>
      <w:r w:rsidR="000927CB">
        <w:rPr>
          <w:snapToGrid/>
          <w:szCs w:val="22"/>
        </w:rPr>
        <w:t xml:space="preserve">, </w:t>
      </w:r>
      <w:r w:rsidRPr="00764943">
        <w:rPr>
          <w:snapToGrid/>
          <w:szCs w:val="22"/>
        </w:rPr>
        <w:t>which is widely</w:t>
      </w:r>
      <w:r w:rsidR="00764943">
        <w:rPr>
          <w:snapToGrid/>
          <w:szCs w:val="22"/>
        </w:rPr>
        <w:t xml:space="preserve"> </w:t>
      </w:r>
      <w:r w:rsidRPr="00764943">
        <w:rPr>
          <w:snapToGrid/>
          <w:szCs w:val="22"/>
        </w:rPr>
        <w:t xml:space="preserve">carried by cable </w:t>
      </w:r>
      <w:r w:rsidRPr="00764943" w:rsidR="008815FF">
        <w:rPr>
          <w:snapToGrid/>
          <w:szCs w:val="22"/>
        </w:rPr>
        <w:t xml:space="preserve">systems and other </w:t>
      </w:r>
      <w:r w:rsidRPr="00764943" w:rsidR="00F255A9">
        <w:rPr>
          <w:snapToGrid/>
          <w:szCs w:val="22"/>
        </w:rPr>
        <w:t xml:space="preserve">MVPDs </w:t>
      </w:r>
      <w:r w:rsidRPr="00764943" w:rsidR="008815FF">
        <w:rPr>
          <w:snapToGrid/>
          <w:szCs w:val="22"/>
        </w:rPr>
        <w:t>throughout the United States</w:t>
      </w:r>
      <w:r w:rsidRPr="00764943">
        <w:rPr>
          <w:snapToGrid/>
          <w:szCs w:val="22"/>
        </w:rPr>
        <w:t>.</w:t>
      </w:r>
      <w:r>
        <w:rPr>
          <w:rStyle w:val="FootnoteReference"/>
          <w:snapToGrid/>
          <w:sz w:val="22"/>
          <w:szCs w:val="22"/>
        </w:rPr>
        <w:footnoteReference w:id="23"/>
      </w:r>
      <w:r w:rsidRPr="00764943">
        <w:rPr>
          <w:snapToGrid/>
          <w:szCs w:val="22"/>
        </w:rPr>
        <w:t xml:space="preserve">  </w:t>
      </w:r>
    </w:p>
    <w:p w:rsidR="00065275" w:rsidP="00A261B3" w14:paraId="79401AFC" w14:textId="41E566D4">
      <w:pPr>
        <w:pStyle w:val="ParaNum"/>
        <w:rPr>
          <w:szCs w:val="22"/>
        </w:rPr>
      </w:pPr>
      <w:r>
        <w:rPr>
          <w:szCs w:val="22"/>
        </w:rPr>
        <w:t>On</w:t>
      </w:r>
      <w:r w:rsidRPr="008815FF">
        <w:rPr>
          <w:szCs w:val="22"/>
        </w:rPr>
        <w:t xml:space="preserve"> </w:t>
      </w:r>
      <w:r w:rsidR="008815FF">
        <w:rPr>
          <w:szCs w:val="22"/>
        </w:rPr>
        <w:t>October</w:t>
      </w:r>
      <w:r>
        <w:rPr>
          <w:szCs w:val="22"/>
        </w:rPr>
        <w:t xml:space="preserve"> 27,</w:t>
      </w:r>
      <w:r w:rsidRPr="008815FF" w:rsidR="0042735F">
        <w:rPr>
          <w:szCs w:val="22"/>
        </w:rPr>
        <w:t xml:space="preserve"> 20</w:t>
      </w:r>
      <w:r w:rsidR="008815FF">
        <w:rPr>
          <w:szCs w:val="22"/>
        </w:rPr>
        <w:t>20</w:t>
      </w:r>
      <w:r w:rsidRPr="008815FF" w:rsidR="0042735F">
        <w:rPr>
          <w:szCs w:val="22"/>
        </w:rPr>
        <w:t xml:space="preserve">, the Commission </w:t>
      </w:r>
      <w:r w:rsidR="008815FF">
        <w:rPr>
          <w:szCs w:val="22"/>
        </w:rPr>
        <w:t>received a complaint alleging that ESPN</w:t>
      </w:r>
      <w:r w:rsidRPr="008815FF" w:rsidR="0042735F">
        <w:rPr>
          <w:szCs w:val="22"/>
        </w:rPr>
        <w:t xml:space="preserve"> transmitted </w:t>
      </w:r>
      <w:r w:rsidR="00F255A9">
        <w:rPr>
          <w:szCs w:val="22"/>
        </w:rPr>
        <w:t>the EAS Tones</w:t>
      </w:r>
      <w:r w:rsidRPr="008815FF" w:rsidR="0042735F">
        <w:rPr>
          <w:szCs w:val="22"/>
        </w:rPr>
        <w:t xml:space="preserve">, or </w:t>
      </w:r>
      <w:r>
        <w:rPr>
          <w:szCs w:val="22"/>
        </w:rPr>
        <w:t xml:space="preserve">a </w:t>
      </w:r>
      <w:r w:rsidRPr="008815FF" w:rsidR="0042735F">
        <w:rPr>
          <w:szCs w:val="22"/>
        </w:rPr>
        <w:t xml:space="preserve">simulation thereof, </w:t>
      </w:r>
      <w:r w:rsidR="0088178A">
        <w:rPr>
          <w:szCs w:val="22"/>
        </w:rPr>
        <w:t xml:space="preserve">on October 27, 2020, </w:t>
      </w:r>
      <w:r w:rsidRPr="008815FF" w:rsidR="0042735F">
        <w:rPr>
          <w:szCs w:val="22"/>
        </w:rPr>
        <w:t xml:space="preserve">during </w:t>
      </w:r>
      <w:r w:rsidR="008815FF">
        <w:rPr>
          <w:i/>
          <w:iCs/>
          <w:szCs w:val="22"/>
        </w:rPr>
        <w:t xml:space="preserve">30 for 30:  Roll Tide/War Eagle </w:t>
      </w:r>
      <w:r w:rsidRPr="008815FF" w:rsidR="0042735F">
        <w:rPr>
          <w:szCs w:val="22"/>
        </w:rPr>
        <w:t>absent an actual emergency, authorized EAS test, or qualified PSA.</w:t>
      </w:r>
      <w:r>
        <w:rPr>
          <w:szCs w:val="22"/>
          <w:vertAlign w:val="superscript"/>
        </w:rPr>
        <w:footnoteReference w:id="24"/>
      </w:r>
      <w:r w:rsidRPr="008815FF" w:rsidR="0042735F">
        <w:rPr>
          <w:szCs w:val="22"/>
        </w:rPr>
        <w:t xml:space="preserve">  The Enforcement Bureau</w:t>
      </w:r>
      <w:r>
        <w:rPr>
          <w:szCs w:val="22"/>
        </w:rPr>
        <w:t xml:space="preserve"> </w:t>
      </w:r>
      <w:r w:rsidRPr="008815FF" w:rsidR="0042735F">
        <w:rPr>
          <w:szCs w:val="22"/>
        </w:rPr>
        <w:t>issued a</w:t>
      </w:r>
      <w:r>
        <w:rPr>
          <w:szCs w:val="22"/>
        </w:rPr>
        <w:t xml:space="preserve"> </w:t>
      </w:r>
      <w:r w:rsidRPr="008815FF" w:rsidR="0042735F">
        <w:rPr>
          <w:szCs w:val="22"/>
        </w:rPr>
        <w:t>L</w:t>
      </w:r>
      <w:r>
        <w:rPr>
          <w:szCs w:val="22"/>
        </w:rPr>
        <w:t xml:space="preserve">etter of </w:t>
      </w:r>
      <w:r w:rsidRPr="008815FF" w:rsidR="0042735F">
        <w:rPr>
          <w:szCs w:val="22"/>
        </w:rPr>
        <w:t>I</w:t>
      </w:r>
      <w:r>
        <w:rPr>
          <w:szCs w:val="22"/>
        </w:rPr>
        <w:t xml:space="preserve">nquiry </w:t>
      </w:r>
      <w:r w:rsidRPr="008815FF" w:rsidR="0042735F">
        <w:rPr>
          <w:szCs w:val="22"/>
        </w:rPr>
        <w:t xml:space="preserve">on </w:t>
      </w:r>
      <w:r>
        <w:rPr>
          <w:szCs w:val="22"/>
        </w:rPr>
        <w:t>February</w:t>
      </w:r>
      <w:r w:rsidRPr="008815FF" w:rsidR="0042735F">
        <w:rPr>
          <w:szCs w:val="22"/>
        </w:rPr>
        <w:t xml:space="preserve"> </w:t>
      </w:r>
      <w:r>
        <w:rPr>
          <w:szCs w:val="22"/>
        </w:rPr>
        <w:t>1</w:t>
      </w:r>
      <w:r w:rsidRPr="008815FF" w:rsidR="0042735F">
        <w:rPr>
          <w:szCs w:val="22"/>
        </w:rPr>
        <w:t>, 20</w:t>
      </w:r>
      <w:r>
        <w:rPr>
          <w:szCs w:val="22"/>
        </w:rPr>
        <w:t>21</w:t>
      </w:r>
      <w:r w:rsidRPr="008815FF" w:rsidR="0042735F">
        <w:rPr>
          <w:szCs w:val="22"/>
        </w:rPr>
        <w:t>,</w:t>
      </w:r>
      <w:r>
        <w:rPr>
          <w:rStyle w:val="FootnoteReference"/>
          <w:sz w:val="22"/>
          <w:szCs w:val="22"/>
        </w:rPr>
        <w:footnoteReference w:id="25"/>
      </w:r>
      <w:r w:rsidRPr="008815FF" w:rsidR="0042735F">
        <w:rPr>
          <w:szCs w:val="22"/>
        </w:rPr>
        <w:t xml:space="preserve"> directing </w:t>
      </w:r>
      <w:r>
        <w:rPr>
          <w:szCs w:val="22"/>
        </w:rPr>
        <w:t>ESPN</w:t>
      </w:r>
      <w:r w:rsidRPr="008815FF">
        <w:rPr>
          <w:szCs w:val="22"/>
        </w:rPr>
        <w:t xml:space="preserve"> </w:t>
      </w:r>
      <w:r w:rsidRPr="008815FF" w:rsidR="0042735F">
        <w:rPr>
          <w:szCs w:val="22"/>
        </w:rPr>
        <w:t xml:space="preserve">to submit, among other things, recordings of the </w:t>
      </w:r>
      <w:r w:rsidR="0088178A">
        <w:rPr>
          <w:szCs w:val="22"/>
        </w:rPr>
        <w:t xml:space="preserve">October 27, 2020, </w:t>
      </w:r>
      <w:r w:rsidRPr="008815FF" w:rsidR="0042735F">
        <w:rPr>
          <w:szCs w:val="22"/>
        </w:rPr>
        <w:t xml:space="preserve">episode of </w:t>
      </w:r>
      <w:r>
        <w:rPr>
          <w:i/>
          <w:szCs w:val="22"/>
        </w:rPr>
        <w:t>30 for 30: Roll Tide/War Eagle</w:t>
      </w:r>
      <w:r w:rsidRPr="008815FF" w:rsidR="0042735F">
        <w:rPr>
          <w:szCs w:val="22"/>
        </w:rPr>
        <w:t>, and sworn written statements as to whether it had transmitted, or caused the transmission of, the EAS Tones.</w:t>
      </w:r>
      <w:r>
        <w:rPr>
          <w:rStyle w:val="FootnoteReference"/>
          <w:spacing w:val="-2"/>
          <w:sz w:val="22"/>
          <w:szCs w:val="22"/>
        </w:rPr>
        <w:footnoteReference w:id="26"/>
      </w:r>
      <w:r w:rsidRPr="008815FF" w:rsidR="0042735F">
        <w:rPr>
          <w:szCs w:val="22"/>
        </w:rPr>
        <w:t xml:space="preserve">  </w:t>
      </w:r>
      <w:r>
        <w:rPr>
          <w:szCs w:val="22"/>
        </w:rPr>
        <w:t>ESPN</w:t>
      </w:r>
      <w:r w:rsidRPr="008815FF">
        <w:rPr>
          <w:szCs w:val="22"/>
        </w:rPr>
        <w:t xml:space="preserve"> </w:t>
      </w:r>
      <w:r w:rsidRPr="008815FF" w:rsidR="0042735F">
        <w:rPr>
          <w:szCs w:val="22"/>
        </w:rPr>
        <w:t xml:space="preserve">responded to the letter of inquiry on </w:t>
      </w:r>
      <w:r>
        <w:rPr>
          <w:szCs w:val="22"/>
        </w:rPr>
        <w:t>March</w:t>
      </w:r>
      <w:r w:rsidRPr="008815FF" w:rsidR="0042735F">
        <w:rPr>
          <w:szCs w:val="22"/>
        </w:rPr>
        <w:t xml:space="preserve"> </w:t>
      </w:r>
      <w:r>
        <w:rPr>
          <w:szCs w:val="22"/>
        </w:rPr>
        <w:t>17</w:t>
      </w:r>
      <w:r w:rsidRPr="008815FF" w:rsidR="0042735F">
        <w:rPr>
          <w:szCs w:val="22"/>
        </w:rPr>
        <w:t>, 20</w:t>
      </w:r>
      <w:r>
        <w:rPr>
          <w:szCs w:val="22"/>
        </w:rPr>
        <w:t>21</w:t>
      </w:r>
      <w:r w:rsidRPr="008815FF" w:rsidR="0042735F">
        <w:rPr>
          <w:szCs w:val="22"/>
        </w:rPr>
        <w:t>.</w:t>
      </w:r>
      <w:r>
        <w:rPr>
          <w:rStyle w:val="FootnoteReference"/>
          <w:sz w:val="22"/>
          <w:szCs w:val="22"/>
        </w:rPr>
        <w:footnoteReference w:id="27"/>
      </w:r>
    </w:p>
    <w:p w:rsidR="00682706" w:rsidRPr="00A261B3" w:rsidP="00A261B3" w14:paraId="352386CF" w14:textId="1B1F80B9">
      <w:pPr>
        <w:pStyle w:val="ParaNum"/>
        <w:rPr>
          <w:szCs w:val="22"/>
        </w:rPr>
      </w:pPr>
      <w:r w:rsidRPr="00A261B3">
        <w:rPr>
          <w:szCs w:val="22"/>
        </w:rPr>
        <w:t>In its LOI Response,</w:t>
      </w:r>
      <w:r w:rsidRPr="00A261B3">
        <w:rPr>
          <w:rStyle w:val="CommentReference"/>
          <w:sz w:val="22"/>
          <w:szCs w:val="22"/>
        </w:rPr>
        <w:t xml:space="preserve"> </w:t>
      </w:r>
      <w:r w:rsidRPr="00A261B3" w:rsidR="00973FFB">
        <w:rPr>
          <w:szCs w:val="22"/>
        </w:rPr>
        <w:t>ESPN</w:t>
      </w:r>
      <w:r w:rsidRPr="00A261B3">
        <w:rPr>
          <w:szCs w:val="22"/>
        </w:rPr>
        <w:t xml:space="preserve"> admits the </w:t>
      </w:r>
      <w:r w:rsidRPr="00A261B3" w:rsidR="0088178A">
        <w:rPr>
          <w:szCs w:val="22"/>
        </w:rPr>
        <w:t>October 27, 2020,</w:t>
      </w:r>
      <w:r w:rsidRPr="00A261B3" w:rsidR="000354AC">
        <w:rPr>
          <w:szCs w:val="22"/>
        </w:rPr>
        <w:t xml:space="preserve"> </w:t>
      </w:r>
      <w:r w:rsidRPr="00A261B3" w:rsidR="0088178A">
        <w:rPr>
          <w:szCs w:val="22"/>
        </w:rPr>
        <w:t>e</w:t>
      </w:r>
      <w:r w:rsidRPr="00A261B3">
        <w:rPr>
          <w:szCs w:val="22"/>
        </w:rPr>
        <w:t xml:space="preserve">pisode </w:t>
      </w:r>
      <w:r w:rsidRPr="00A261B3" w:rsidR="0088178A">
        <w:rPr>
          <w:szCs w:val="22"/>
        </w:rPr>
        <w:t xml:space="preserve">of </w:t>
      </w:r>
      <w:r w:rsidRPr="00A261B3" w:rsidR="0088178A">
        <w:rPr>
          <w:i/>
          <w:szCs w:val="22"/>
        </w:rPr>
        <w:t>30 for 30: Roll Tide/War Eagle</w:t>
      </w:r>
      <w:r w:rsidRPr="00A261B3">
        <w:rPr>
          <w:szCs w:val="22"/>
        </w:rPr>
        <w:t xml:space="preserve">, which </w:t>
      </w:r>
      <w:r w:rsidRPr="00A261B3" w:rsidR="0088178A">
        <w:rPr>
          <w:szCs w:val="22"/>
        </w:rPr>
        <w:t>ESPN produced</w:t>
      </w:r>
      <w:r w:rsidRPr="00A261B3" w:rsidR="00E57BC1">
        <w:rPr>
          <w:szCs w:val="22"/>
        </w:rPr>
        <w:t>,</w:t>
      </w:r>
      <w:r w:rsidRPr="00A261B3">
        <w:rPr>
          <w:szCs w:val="22"/>
        </w:rPr>
        <w:t xml:space="preserve"> included </w:t>
      </w:r>
      <w:r w:rsidRPr="00A261B3" w:rsidR="00826AC1">
        <w:rPr>
          <w:szCs w:val="22"/>
        </w:rPr>
        <w:t>“a portion of the EAS Attention Signal.”</w:t>
      </w:r>
      <w:r>
        <w:rPr>
          <w:rStyle w:val="FootnoteReference"/>
          <w:sz w:val="22"/>
          <w:szCs w:val="22"/>
        </w:rPr>
        <w:footnoteReference w:id="28"/>
      </w:r>
      <w:r w:rsidRPr="00A261B3">
        <w:rPr>
          <w:szCs w:val="22"/>
        </w:rPr>
        <w:t xml:space="preserve">  </w:t>
      </w:r>
      <w:r w:rsidRPr="00A261B3" w:rsidR="004C3A96">
        <w:rPr>
          <w:szCs w:val="22"/>
        </w:rPr>
        <w:t xml:space="preserve">In particular, </w:t>
      </w:r>
      <w:r w:rsidRPr="00A261B3" w:rsidR="00F46045">
        <w:rPr>
          <w:szCs w:val="22"/>
        </w:rPr>
        <w:t>ESPN</w:t>
      </w:r>
      <w:r w:rsidRPr="00A261B3" w:rsidR="00835DB7">
        <w:rPr>
          <w:szCs w:val="22"/>
        </w:rPr>
        <w:t xml:space="preserve"> </w:t>
      </w:r>
      <w:r w:rsidR="0064400A">
        <w:rPr>
          <w:szCs w:val="22"/>
        </w:rPr>
        <w:t xml:space="preserve">claims that it </w:t>
      </w:r>
      <w:r w:rsidRPr="00A261B3" w:rsidR="00835DB7">
        <w:rPr>
          <w:szCs w:val="22"/>
        </w:rPr>
        <w:t xml:space="preserve">incorporated </w:t>
      </w:r>
      <w:r w:rsidRPr="00A261B3" w:rsidR="00F46045">
        <w:rPr>
          <w:szCs w:val="22"/>
        </w:rPr>
        <w:t xml:space="preserve">a portion of the </w:t>
      </w:r>
      <w:r w:rsidRPr="00A261B3" w:rsidR="00CF6A03">
        <w:rPr>
          <w:szCs w:val="22"/>
        </w:rPr>
        <w:t xml:space="preserve">EAS Tones </w:t>
      </w:r>
      <w:r w:rsidRPr="00A261B3" w:rsidR="00F46045">
        <w:rPr>
          <w:szCs w:val="22"/>
        </w:rPr>
        <w:t>in association with the depiction of a weather event “for storytelling purposes</w:t>
      </w:r>
      <w:r w:rsidRPr="00A261B3" w:rsidR="00CF6A03">
        <w:rPr>
          <w:szCs w:val="22"/>
        </w:rPr>
        <w:t>.</w:t>
      </w:r>
      <w:r w:rsidRPr="00A261B3" w:rsidR="00F46045">
        <w:rPr>
          <w:szCs w:val="22"/>
        </w:rPr>
        <w:t>”</w:t>
      </w:r>
      <w:r>
        <w:rPr>
          <w:rStyle w:val="FootnoteReference"/>
          <w:sz w:val="22"/>
          <w:szCs w:val="22"/>
        </w:rPr>
        <w:footnoteReference w:id="29"/>
      </w:r>
      <w:r w:rsidRPr="00A261B3" w:rsidR="00CF6A03">
        <w:rPr>
          <w:szCs w:val="22"/>
        </w:rPr>
        <w:t xml:space="preserve">  </w:t>
      </w:r>
      <w:r w:rsidRPr="00A261B3" w:rsidR="00F46045">
        <w:rPr>
          <w:szCs w:val="22"/>
        </w:rPr>
        <w:t>ESPN f</w:t>
      </w:r>
      <w:r w:rsidRPr="00A261B3">
        <w:rPr>
          <w:szCs w:val="22"/>
        </w:rPr>
        <w:t xml:space="preserve">urther admits that it distributed </w:t>
      </w:r>
      <w:r w:rsidRPr="00A261B3" w:rsidR="003C7C35">
        <w:rPr>
          <w:szCs w:val="22"/>
        </w:rPr>
        <w:t xml:space="preserve">the </w:t>
      </w:r>
      <w:r w:rsidRPr="00A261B3" w:rsidR="00F46045">
        <w:rPr>
          <w:szCs w:val="22"/>
        </w:rPr>
        <w:t xml:space="preserve">October 27, 2020, episode of </w:t>
      </w:r>
      <w:r w:rsidRPr="00A261B3" w:rsidR="00F46045">
        <w:rPr>
          <w:i/>
          <w:szCs w:val="22"/>
        </w:rPr>
        <w:t>30 for 30: Roll Tide/War Eagle</w:t>
      </w:r>
      <w:r w:rsidRPr="00A261B3">
        <w:rPr>
          <w:szCs w:val="22"/>
        </w:rPr>
        <w:t xml:space="preserve"> for transmission on cable systems </w:t>
      </w:r>
      <w:r w:rsidRPr="00A261B3" w:rsidR="00F46045">
        <w:rPr>
          <w:szCs w:val="22"/>
        </w:rPr>
        <w:t xml:space="preserve">and other MVPDs </w:t>
      </w:r>
      <w:r w:rsidRPr="00A261B3">
        <w:rPr>
          <w:szCs w:val="22"/>
        </w:rPr>
        <w:t>throughout the country</w:t>
      </w:r>
      <w:r w:rsidRPr="00A261B3" w:rsidR="00F46045">
        <w:rPr>
          <w:szCs w:val="22"/>
        </w:rPr>
        <w:t>, as well as other VOD services.</w:t>
      </w:r>
      <w:r>
        <w:rPr>
          <w:rStyle w:val="FootnoteReference"/>
          <w:sz w:val="22"/>
          <w:szCs w:val="22"/>
        </w:rPr>
        <w:footnoteReference w:id="30"/>
      </w:r>
      <w:r w:rsidRPr="00A261B3">
        <w:rPr>
          <w:szCs w:val="22"/>
        </w:rPr>
        <w:t xml:space="preserve">  </w:t>
      </w:r>
      <w:r w:rsidRPr="00A261B3" w:rsidR="00283347">
        <w:rPr>
          <w:szCs w:val="22"/>
        </w:rPr>
        <w:t>ESPN</w:t>
      </w:r>
      <w:r w:rsidRPr="00A261B3">
        <w:rPr>
          <w:szCs w:val="22"/>
        </w:rPr>
        <w:t xml:space="preserve"> also admits that its transmission of the </w:t>
      </w:r>
      <w:r w:rsidRPr="00A261B3" w:rsidR="00283347">
        <w:rPr>
          <w:szCs w:val="22"/>
        </w:rPr>
        <w:t xml:space="preserve">October 27, 2020, episode of </w:t>
      </w:r>
      <w:r w:rsidRPr="00A261B3" w:rsidR="00283347">
        <w:rPr>
          <w:i/>
          <w:szCs w:val="22"/>
        </w:rPr>
        <w:t>30 for 30: Roll Tide/War Eagle</w:t>
      </w:r>
      <w:r w:rsidRPr="00A261B3" w:rsidR="00283347">
        <w:rPr>
          <w:szCs w:val="22"/>
        </w:rPr>
        <w:t xml:space="preserve"> </w:t>
      </w:r>
      <w:r w:rsidRPr="00A261B3">
        <w:rPr>
          <w:szCs w:val="22"/>
        </w:rPr>
        <w:t>that included the EAS Tones</w:t>
      </w:r>
      <w:r w:rsidRPr="00A261B3" w:rsidR="00DA49BF">
        <w:rPr>
          <w:szCs w:val="22"/>
        </w:rPr>
        <w:t xml:space="preserve"> </w:t>
      </w:r>
      <w:r w:rsidRPr="00A261B3">
        <w:rPr>
          <w:szCs w:val="22"/>
        </w:rPr>
        <w:t xml:space="preserve">was not in </w:t>
      </w:r>
      <w:r w:rsidRPr="00A261B3">
        <w:rPr>
          <w:szCs w:val="22"/>
        </w:rPr>
        <w:t>connection with an actual emergency, authorized test of the EAS, or qualified PSA.</w:t>
      </w:r>
      <w:r>
        <w:rPr>
          <w:rStyle w:val="FootnoteReference"/>
          <w:sz w:val="22"/>
          <w:szCs w:val="22"/>
        </w:rPr>
        <w:footnoteReference w:id="31"/>
      </w:r>
      <w:r w:rsidRPr="00A261B3">
        <w:rPr>
          <w:szCs w:val="22"/>
        </w:rPr>
        <w:t xml:space="preserve">  Rather, </w:t>
      </w:r>
      <w:r w:rsidRPr="00A261B3" w:rsidR="003A0C80">
        <w:rPr>
          <w:szCs w:val="22"/>
        </w:rPr>
        <w:t>ESPN</w:t>
      </w:r>
      <w:r w:rsidRPr="00A261B3">
        <w:rPr>
          <w:szCs w:val="22"/>
        </w:rPr>
        <w:t xml:space="preserve"> </w:t>
      </w:r>
      <w:r w:rsidR="00137F7C">
        <w:rPr>
          <w:szCs w:val="22"/>
        </w:rPr>
        <w:t>indicates</w:t>
      </w:r>
      <w:r w:rsidRPr="00A261B3" w:rsidR="00137F7C">
        <w:rPr>
          <w:szCs w:val="22"/>
        </w:rPr>
        <w:t xml:space="preserve"> </w:t>
      </w:r>
      <w:r w:rsidRPr="00A261B3">
        <w:rPr>
          <w:szCs w:val="22"/>
        </w:rPr>
        <w:t xml:space="preserve">that the EAS Tones were included in the </w:t>
      </w:r>
      <w:r w:rsidRPr="00A261B3" w:rsidR="003A0C80">
        <w:rPr>
          <w:szCs w:val="22"/>
        </w:rPr>
        <w:t>episode for “the limited purpose of presenting a dramatic recreation of an actual severe weather event.”</w:t>
      </w:r>
      <w:r>
        <w:rPr>
          <w:rStyle w:val="FootnoteReference"/>
          <w:sz w:val="22"/>
          <w:szCs w:val="22"/>
        </w:rPr>
        <w:footnoteReference w:id="32"/>
      </w:r>
      <w:r w:rsidRPr="00A261B3" w:rsidR="005A28A9">
        <w:rPr>
          <w:szCs w:val="22"/>
        </w:rPr>
        <w:t xml:space="preserve">  ESPN </w:t>
      </w:r>
      <w:r w:rsidR="0064400A">
        <w:rPr>
          <w:szCs w:val="22"/>
        </w:rPr>
        <w:t>claims, however,</w:t>
      </w:r>
      <w:r w:rsidRPr="00A261B3" w:rsidR="0064400A">
        <w:rPr>
          <w:szCs w:val="22"/>
        </w:rPr>
        <w:t xml:space="preserve"> </w:t>
      </w:r>
      <w:r w:rsidRPr="00A261B3" w:rsidR="005A28A9">
        <w:rPr>
          <w:szCs w:val="22"/>
        </w:rPr>
        <w:t>that the portion of the EAS Tones it transmitted “could not have triggered any automated relay equipment” because the portion transmitted “did not include audio frequency-shift keying (AF</w:t>
      </w:r>
      <w:r w:rsidR="00700C76">
        <w:rPr>
          <w:szCs w:val="22"/>
        </w:rPr>
        <w:t>S</w:t>
      </w:r>
      <w:r w:rsidRPr="00A261B3" w:rsidR="005A28A9">
        <w:rPr>
          <w:szCs w:val="22"/>
        </w:rPr>
        <w:t>K) tones</w:t>
      </w:r>
      <w:r w:rsidR="00A261B3">
        <w:rPr>
          <w:szCs w:val="22"/>
        </w:rPr>
        <w:t>,</w:t>
      </w:r>
      <w:r w:rsidRPr="00A261B3" w:rsidR="005A28A9">
        <w:rPr>
          <w:szCs w:val="22"/>
        </w:rPr>
        <w:t>”</w:t>
      </w:r>
      <w:r>
        <w:rPr>
          <w:rStyle w:val="FootnoteReference"/>
          <w:sz w:val="22"/>
          <w:szCs w:val="22"/>
        </w:rPr>
        <w:footnoteReference w:id="33"/>
      </w:r>
      <w:r w:rsidRPr="00A261B3">
        <w:rPr>
          <w:szCs w:val="22"/>
        </w:rPr>
        <w:t xml:space="preserve"> and that </w:t>
      </w:r>
      <w:r w:rsidRPr="00A261B3">
        <w:rPr>
          <w:snapToGrid/>
          <w:kern w:val="0"/>
          <w:szCs w:val="22"/>
        </w:rPr>
        <w:t xml:space="preserve">the portion of the EAS Tones “appeared very briefly in the </w:t>
      </w:r>
      <w:r w:rsidR="00E618F7">
        <w:rPr>
          <w:snapToGrid/>
          <w:kern w:val="0"/>
          <w:szCs w:val="22"/>
        </w:rPr>
        <w:t>[program]</w:t>
      </w:r>
      <w:r w:rsidRPr="00A261B3">
        <w:rPr>
          <w:snapToGrid/>
          <w:kern w:val="0"/>
          <w:szCs w:val="22"/>
        </w:rPr>
        <w:t>, with the audio including the tones lasting a total of one second and fifty frames, or 1.83 seconds.”</w:t>
      </w:r>
      <w:r>
        <w:rPr>
          <w:rStyle w:val="FootnoteReference"/>
          <w:snapToGrid/>
          <w:kern w:val="0"/>
          <w:szCs w:val="22"/>
        </w:rPr>
        <w:footnoteReference w:id="34"/>
      </w:r>
    </w:p>
    <w:p w:rsidR="0042735F" w:rsidRPr="00E76D83" w:rsidP="004E5EE5" w14:paraId="39CAD8E0" w14:textId="77777777">
      <w:pPr>
        <w:pStyle w:val="Heading1"/>
        <w:rPr>
          <w:rFonts w:ascii="Times New Roman" w:hAnsi="Times New Roman"/>
          <w:szCs w:val="22"/>
        </w:rPr>
      </w:pPr>
      <w:bookmarkStart w:id="9" w:name="_Toc7629833"/>
      <w:bookmarkStart w:id="10" w:name="_Toc7778359"/>
      <w:r w:rsidRPr="004E5EE5">
        <w:t>DISCUSSION</w:t>
      </w:r>
      <w:bookmarkEnd w:id="9"/>
      <w:bookmarkEnd w:id="10"/>
    </w:p>
    <w:p w:rsidR="00955F41" w:rsidRPr="00955F41" w:rsidP="00955F41" w14:paraId="7ECC48F1" w14:textId="6F4E7DFC">
      <w:pPr>
        <w:pStyle w:val="ParaNum"/>
        <w:rPr>
          <w:szCs w:val="22"/>
        </w:rPr>
      </w:pPr>
      <w:r w:rsidRPr="00955F41">
        <w:rPr>
          <w:bCs/>
          <w:szCs w:val="22"/>
        </w:rPr>
        <w:t>We</w:t>
      </w:r>
      <w:r w:rsidRPr="00955F41" w:rsidR="00AD6F7D">
        <w:rPr>
          <w:szCs w:val="22"/>
        </w:rPr>
        <w:t xml:space="preserve"> find that</w:t>
      </w:r>
      <w:r w:rsidRPr="00955F41">
        <w:rPr>
          <w:szCs w:val="22"/>
        </w:rPr>
        <w:t xml:space="preserve"> ESPN apparently willfully violated </w:t>
      </w:r>
      <w:r w:rsidR="0064400A">
        <w:rPr>
          <w:szCs w:val="22"/>
        </w:rPr>
        <w:t>section</w:t>
      </w:r>
      <w:r w:rsidRPr="00955F41" w:rsidR="0064400A">
        <w:rPr>
          <w:szCs w:val="22"/>
        </w:rPr>
        <w:t xml:space="preserve"> </w:t>
      </w:r>
      <w:r w:rsidRPr="00955F41">
        <w:rPr>
          <w:szCs w:val="22"/>
        </w:rPr>
        <w:t>11.45 of the Commission’s rules.</w:t>
      </w:r>
      <w:r w:rsidRPr="00955F41" w:rsidR="00AD6F7D">
        <w:rPr>
          <w:szCs w:val="22"/>
        </w:rPr>
        <w:t xml:space="preserve"> </w:t>
      </w:r>
      <w:r w:rsidRPr="00955F41">
        <w:rPr>
          <w:szCs w:val="22"/>
        </w:rPr>
        <w:t xml:space="preserve"> </w:t>
      </w:r>
      <w:r w:rsidR="00C94660">
        <w:rPr>
          <w:szCs w:val="22"/>
        </w:rPr>
        <w:t>ESPN confirms</w:t>
      </w:r>
      <w:r w:rsidRPr="00955F41">
        <w:rPr>
          <w:szCs w:val="22"/>
        </w:rPr>
        <w:t xml:space="preserve"> </w:t>
      </w:r>
      <w:bookmarkStart w:id="11" w:name="_Hlk75519609"/>
      <w:r w:rsidRPr="00955F41">
        <w:rPr>
          <w:szCs w:val="22"/>
        </w:rPr>
        <w:t>that t</w:t>
      </w:r>
      <w:r w:rsidRPr="00955F41" w:rsidR="00826AC1">
        <w:rPr>
          <w:szCs w:val="22"/>
        </w:rPr>
        <w:t xml:space="preserve">he October 27, 2020, episode of </w:t>
      </w:r>
      <w:r w:rsidRPr="00955F41" w:rsidR="00826AC1">
        <w:rPr>
          <w:i/>
          <w:szCs w:val="22"/>
        </w:rPr>
        <w:t xml:space="preserve">30 for 30: Roll Tide/War Eagle </w:t>
      </w:r>
      <w:bookmarkEnd w:id="11"/>
      <w:r w:rsidRPr="00955F41" w:rsidR="00826AC1">
        <w:rPr>
          <w:iCs/>
          <w:szCs w:val="22"/>
        </w:rPr>
        <w:t>i</w:t>
      </w:r>
      <w:r w:rsidRPr="00955F41" w:rsidR="00AD6F7D">
        <w:rPr>
          <w:szCs w:val="22"/>
        </w:rPr>
        <w:t xml:space="preserve">ncludes </w:t>
      </w:r>
      <w:r w:rsidRPr="00955F41" w:rsidR="00826AC1">
        <w:rPr>
          <w:szCs w:val="22"/>
        </w:rPr>
        <w:t>the EAS Tones</w:t>
      </w:r>
      <w:r w:rsidRPr="00955F41" w:rsidR="00AD6F7D">
        <w:rPr>
          <w:szCs w:val="22"/>
        </w:rPr>
        <w:t xml:space="preserve">.  </w:t>
      </w:r>
      <w:bookmarkStart w:id="12" w:name="_Hlk75521090"/>
      <w:r w:rsidRPr="00955F41" w:rsidR="005E7AC8">
        <w:rPr>
          <w:szCs w:val="22"/>
        </w:rPr>
        <w:t xml:space="preserve">In its LOI Response, </w:t>
      </w:r>
      <w:r w:rsidRPr="00955F41" w:rsidR="00826AC1">
        <w:rPr>
          <w:szCs w:val="22"/>
        </w:rPr>
        <w:t>ESPN</w:t>
      </w:r>
      <w:r w:rsidRPr="00955F41" w:rsidR="00713203">
        <w:rPr>
          <w:szCs w:val="22"/>
        </w:rPr>
        <w:t xml:space="preserve"> admits </w:t>
      </w:r>
      <w:r w:rsidRPr="00955F41" w:rsidR="005E7AC8">
        <w:rPr>
          <w:szCs w:val="22"/>
        </w:rPr>
        <w:t>to</w:t>
      </w:r>
      <w:r w:rsidRPr="00955F41" w:rsidR="00713203">
        <w:rPr>
          <w:szCs w:val="22"/>
        </w:rPr>
        <w:t xml:space="preserve"> us</w:t>
      </w:r>
      <w:r w:rsidRPr="00955F41" w:rsidR="00826AC1">
        <w:rPr>
          <w:szCs w:val="22"/>
        </w:rPr>
        <w:t>ing</w:t>
      </w:r>
      <w:r w:rsidRPr="00955F41" w:rsidR="00713203">
        <w:rPr>
          <w:szCs w:val="22"/>
        </w:rPr>
        <w:t xml:space="preserve"> the EAS Tone</w:t>
      </w:r>
      <w:r w:rsidRPr="00955F41" w:rsidR="00826AC1">
        <w:rPr>
          <w:szCs w:val="22"/>
        </w:rPr>
        <w:t>s</w:t>
      </w:r>
      <w:r w:rsidRPr="00955F41" w:rsidR="00713203">
        <w:rPr>
          <w:szCs w:val="22"/>
        </w:rPr>
        <w:t xml:space="preserve"> during the </w:t>
      </w:r>
      <w:r w:rsidRPr="00955F41" w:rsidR="00826AC1">
        <w:rPr>
          <w:szCs w:val="22"/>
        </w:rPr>
        <w:t>episode,</w:t>
      </w:r>
      <w:r w:rsidRPr="00955F41" w:rsidR="005E7AC8">
        <w:rPr>
          <w:i/>
          <w:szCs w:val="22"/>
        </w:rPr>
        <w:t xml:space="preserve"> </w:t>
      </w:r>
      <w:r w:rsidRPr="00955F41" w:rsidR="005E7AC8">
        <w:rPr>
          <w:szCs w:val="22"/>
        </w:rPr>
        <w:t xml:space="preserve">and </w:t>
      </w:r>
      <w:bookmarkStart w:id="13" w:name="_Hlk75519550"/>
      <w:r w:rsidRPr="00955F41" w:rsidR="005E7AC8">
        <w:rPr>
          <w:szCs w:val="22"/>
        </w:rPr>
        <w:t xml:space="preserve">transmitting the program </w:t>
      </w:r>
      <w:r w:rsidRPr="00955F41" w:rsidR="00826AC1">
        <w:rPr>
          <w:szCs w:val="22"/>
        </w:rPr>
        <w:t>one time via multiple</w:t>
      </w:r>
      <w:r w:rsidRPr="00955F41" w:rsidR="005E7AC8">
        <w:rPr>
          <w:szCs w:val="22"/>
        </w:rPr>
        <w:t xml:space="preserve"> cable systems</w:t>
      </w:r>
      <w:r w:rsidRPr="00955F41" w:rsidR="00826AC1">
        <w:rPr>
          <w:szCs w:val="22"/>
        </w:rPr>
        <w:t>, MVPDs, and VOD services</w:t>
      </w:r>
      <w:r w:rsidRPr="00955F41" w:rsidR="00713203">
        <w:rPr>
          <w:szCs w:val="22"/>
        </w:rPr>
        <w:t>.</w:t>
      </w:r>
      <w:r>
        <w:rPr>
          <w:rStyle w:val="FootnoteReference"/>
          <w:sz w:val="22"/>
          <w:szCs w:val="22"/>
        </w:rPr>
        <w:footnoteReference w:id="35"/>
      </w:r>
      <w:r w:rsidRPr="00955F41" w:rsidR="00713203">
        <w:rPr>
          <w:szCs w:val="22"/>
        </w:rPr>
        <w:t xml:space="preserve"> </w:t>
      </w:r>
      <w:bookmarkEnd w:id="13"/>
      <w:r w:rsidRPr="00955F41" w:rsidR="00CA5014">
        <w:rPr>
          <w:szCs w:val="22"/>
        </w:rPr>
        <w:t xml:space="preserve"> </w:t>
      </w:r>
      <w:bookmarkEnd w:id="12"/>
      <w:r w:rsidRPr="00955F41" w:rsidR="008408AE">
        <w:rPr>
          <w:szCs w:val="22"/>
        </w:rPr>
        <w:t>ESPN</w:t>
      </w:r>
      <w:r w:rsidRPr="00955F41" w:rsidR="00CA5014">
        <w:rPr>
          <w:szCs w:val="22"/>
        </w:rPr>
        <w:t xml:space="preserve"> </w:t>
      </w:r>
      <w:r w:rsidR="00C94660">
        <w:rPr>
          <w:szCs w:val="22"/>
        </w:rPr>
        <w:t>also confirms</w:t>
      </w:r>
      <w:r w:rsidRPr="00955F41" w:rsidR="00C94660">
        <w:rPr>
          <w:szCs w:val="22"/>
        </w:rPr>
        <w:t xml:space="preserve"> </w:t>
      </w:r>
      <w:r w:rsidRPr="00955F41" w:rsidR="00CA5014">
        <w:rPr>
          <w:szCs w:val="22"/>
        </w:rPr>
        <w:t>that none of the material in question was transmitted in connection with an actual national, state, or local emergency, authorized test, or qualified PSA</w:t>
      </w:r>
      <w:r w:rsidRPr="00955F41">
        <w:rPr>
          <w:szCs w:val="22"/>
        </w:rPr>
        <w:t>.</w:t>
      </w:r>
      <w:r>
        <w:rPr>
          <w:rStyle w:val="FootnoteReference"/>
          <w:sz w:val="22"/>
          <w:szCs w:val="22"/>
        </w:rPr>
        <w:footnoteReference w:id="36"/>
      </w:r>
      <w:r w:rsidRPr="00955F41" w:rsidR="00280AF3">
        <w:rPr>
          <w:szCs w:val="22"/>
        </w:rPr>
        <w:t xml:space="preserve"> </w:t>
      </w:r>
      <w:r>
        <w:rPr>
          <w:szCs w:val="22"/>
        </w:rPr>
        <w:t xml:space="preserve"> </w:t>
      </w:r>
      <w:r w:rsidRPr="00955F41" w:rsidR="00BF2107">
        <w:rPr>
          <w:szCs w:val="22"/>
        </w:rPr>
        <w:t xml:space="preserve">ESPN acknowledges that its </w:t>
      </w:r>
      <w:r w:rsidRPr="00955F41" w:rsidR="0042735F">
        <w:rPr>
          <w:szCs w:val="22"/>
        </w:rPr>
        <w:t>use of the EAS Tones</w:t>
      </w:r>
      <w:r w:rsidRPr="00955F41" w:rsidR="00BF2107">
        <w:rPr>
          <w:szCs w:val="22"/>
        </w:rPr>
        <w:t xml:space="preserve"> was </w:t>
      </w:r>
      <w:r w:rsidRPr="00955F41" w:rsidR="00BF2107">
        <w:rPr>
          <w:snapToGrid/>
          <w:kern w:val="0"/>
          <w:szCs w:val="22"/>
        </w:rPr>
        <w:t>in association with the depiction of a weather event for storytelling purposes, and that “</w:t>
      </w:r>
      <w:r w:rsidR="00E56CD8">
        <w:rPr>
          <w:snapToGrid/>
          <w:kern w:val="0"/>
          <w:szCs w:val="22"/>
        </w:rPr>
        <w:t>[</w:t>
      </w:r>
      <w:r w:rsidRPr="00955F41" w:rsidR="00BF2107">
        <w:rPr>
          <w:snapToGrid/>
          <w:kern w:val="0"/>
          <w:szCs w:val="22"/>
        </w:rPr>
        <w:t>a</w:t>
      </w:r>
      <w:r w:rsidR="00E56CD8">
        <w:rPr>
          <w:snapToGrid/>
          <w:kern w:val="0"/>
          <w:szCs w:val="22"/>
        </w:rPr>
        <w:t>]</w:t>
      </w:r>
      <w:r w:rsidRPr="00955F41" w:rsidR="00BF2107">
        <w:rPr>
          <w:snapToGrid/>
          <w:kern w:val="0"/>
          <w:szCs w:val="22"/>
        </w:rPr>
        <w:t xml:space="preserve"> key segment of the documentary concerns the April 27, 2011 tornados that damaged areas throughout Alabama . . . .  As part of the narrative framing of this weather event, the filmmakers included news coverage and footage of the tornados from a variety of sources.”</w:t>
      </w:r>
      <w:r>
        <w:rPr>
          <w:rStyle w:val="FootnoteReference"/>
          <w:snapToGrid/>
          <w:kern w:val="0"/>
          <w:sz w:val="22"/>
          <w:szCs w:val="22"/>
        </w:rPr>
        <w:footnoteReference w:id="37"/>
      </w:r>
      <w:r w:rsidRPr="00955F41" w:rsidR="00BF2107">
        <w:rPr>
          <w:snapToGrid/>
          <w:kern w:val="0"/>
          <w:szCs w:val="22"/>
        </w:rPr>
        <w:t xml:space="preserve">  ESPN notes that “a portion of the EAS Attention Signals was used to introduce tornado footage.”</w:t>
      </w:r>
      <w:r>
        <w:rPr>
          <w:rStyle w:val="FootnoteReference"/>
          <w:snapToGrid/>
          <w:kern w:val="0"/>
          <w:sz w:val="22"/>
          <w:szCs w:val="22"/>
        </w:rPr>
        <w:footnoteReference w:id="38"/>
      </w:r>
      <w:r w:rsidRPr="00955F41" w:rsidR="00BF2107">
        <w:rPr>
          <w:snapToGrid/>
          <w:kern w:val="0"/>
          <w:szCs w:val="22"/>
        </w:rPr>
        <w:t xml:space="preserve"> </w:t>
      </w:r>
    </w:p>
    <w:p w:rsidR="00A85DDF" w:rsidRPr="00955F41" w:rsidP="00955F41" w14:paraId="7EC18305" w14:textId="229A01AA">
      <w:pPr>
        <w:pStyle w:val="ParaNum"/>
        <w:rPr>
          <w:szCs w:val="22"/>
        </w:rPr>
      </w:pPr>
      <w:r w:rsidRPr="00955F41">
        <w:rPr>
          <w:szCs w:val="22"/>
        </w:rPr>
        <w:t>ESPN</w:t>
      </w:r>
      <w:r w:rsidRPr="00955F41" w:rsidR="004E543B">
        <w:rPr>
          <w:szCs w:val="22"/>
        </w:rPr>
        <w:t xml:space="preserve"> asserts that </w:t>
      </w:r>
      <w:r w:rsidRPr="00955F41">
        <w:rPr>
          <w:i/>
          <w:szCs w:val="22"/>
        </w:rPr>
        <w:t xml:space="preserve">30 for 30: Roll Tide/War Eagle </w:t>
      </w:r>
      <w:r w:rsidRPr="00955F41" w:rsidR="004E543B">
        <w:rPr>
          <w:szCs w:val="22"/>
        </w:rPr>
        <w:t xml:space="preserve">was subject to </w:t>
      </w:r>
      <w:r w:rsidRPr="00955F41" w:rsidR="00D1067C">
        <w:rPr>
          <w:szCs w:val="22"/>
        </w:rPr>
        <w:t>internal review</w:t>
      </w:r>
      <w:r w:rsidRPr="00955F41" w:rsidR="004E543B">
        <w:rPr>
          <w:szCs w:val="22"/>
        </w:rPr>
        <w:t xml:space="preserve"> and approval</w:t>
      </w:r>
      <w:r w:rsidRPr="00955F41">
        <w:rPr>
          <w:szCs w:val="22"/>
        </w:rPr>
        <w:t xml:space="preserve"> by multiple producers and “various other ESPN production staff”</w:t>
      </w:r>
      <w:r w:rsidRPr="00955F41" w:rsidR="004E543B">
        <w:rPr>
          <w:szCs w:val="22"/>
        </w:rPr>
        <w:t xml:space="preserve"> </w:t>
      </w:r>
      <w:r w:rsidRPr="00955F41">
        <w:rPr>
          <w:szCs w:val="22"/>
        </w:rPr>
        <w:t>b</w:t>
      </w:r>
      <w:r w:rsidRPr="00955F41" w:rsidR="004E543B">
        <w:rPr>
          <w:szCs w:val="22"/>
        </w:rPr>
        <w:t xml:space="preserve">efore it was ultimately delivered to </w:t>
      </w:r>
      <w:r w:rsidRPr="00955F41" w:rsidR="001A40A7">
        <w:rPr>
          <w:szCs w:val="22"/>
        </w:rPr>
        <w:t xml:space="preserve">MVPDs </w:t>
      </w:r>
      <w:r w:rsidRPr="00955F41" w:rsidR="004E543B">
        <w:rPr>
          <w:szCs w:val="22"/>
        </w:rPr>
        <w:t>for transmission.</w:t>
      </w:r>
      <w:r>
        <w:rPr>
          <w:rStyle w:val="FootnoteReference"/>
          <w:sz w:val="22"/>
          <w:szCs w:val="22"/>
        </w:rPr>
        <w:footnoteReference w:id="39"/>
      </w:r>
      <w:r w:rsidRPr="00955F41" w:rsidR="00A30CA9">
        <w:rPr>
          <w:szCs w:val="22"/>
        </w:rPr>
        <w:t xml:space="preserve">  </w:t>
      </w:r>
      <w:r w:rsidRPr="00955F41" w:rsidR="005B31C1">
        <w:rPr>
          <w:szCs w:val="22"/>
        </w:rPr>
        <w:t xml:space="preserve">ESPN </w:t>
      </w:r>
      <w:r w:rsidR="00E56CD8">
        <w:rPr>
          <w:szCs w:val="22"/>
        </w:rPr>
        <w:t xml:space="preserve">also contends </w:t>
      </w:r>
      <w:r w:rsidRPr="00955F41" w:rsidR="005B31C1">
        <w:rPr>
          <w:szCs w:val="22"/>
        </w:rPr>
        <w:t xml:space="preserve">that </w:t>
      </w:r>
      <w:r w:rsidRPr="00955F41" w:rsidR="005B31C1">
        <w:rPr>
          <w:snapToGrid/>
          <w:kern w:val="0"/>
          <w:szCs w:val="22"/>
        </w:rPr>
        <w:t>the programming “did not use any of the AFSK tones used to trigger automated relay equipment”</w:t>
      </w:r>
      <w:r>
        <w:rPr>
          <w:rStyle w:val="FootnoteReference"/>
          <w:snapToGrid/>
          <w:kern w:val="0"/>
          <w:szCs w:val="22"/>
        </w:rPr>
        <w:footnoteReference w:id="40"/>
      </w:r>
      <w:r w:rsidRPr="00955F41" w:rsidR="005B31C1">
        <w:rPr>
          <w:snapToGrid/>
          <w:kern w:val="0"/>
          <w:szCs w:val="22"/>
        </w:rPr>
        <w:t xml:space="preserve"> and that the portion of the EAS Tones “appeared very briefly in the [p]</w:t>
      </w:r>
      <w:r w:rsidRPr="00955F41" w:rsidR="005B31C1">
        <w:rPr>
          <w:snapToGrid/>
          <w:kern w:val="0"/>
          <w:szCs w:val="22"/>
        </w:rPr>
        <w:t>rogramming</w:t>
      </w:r>
      <w:r w:rsidRPr="00955F41" w:rsidR="005B31C1">
        <w:rPr>
          <w:snapToGrid/>
          <w:kern w:val="0"/>
          <w:szCs w:val="22"/>
        </w:rPr>
        <w:t xml:space="preserve"> . . . lasting a total of  . . . 1.83 seconds</w:t>
      </w:r>
      <w:r w:rsidRPr="00955F41" w:rsidR="005B31C1">
        <w:rPr>
          <w:szCs w:val="22"/>
        </w:rPr>
        <w:t>.”</w:t>
      </w:r>
      <w:r>
        <w:rPr>
          <w:rStyle w:val="FootnoteReference"/>
          <w:szCs w:val="22"/>
        </w:rPr>
        <w:footnoteReference w:id="41"/>
      </w:r>
      <w:r w:rsidRPr="00955F41" w:rsidR="005B31C1">
        <w:rPr>
          <w:szCs w:val="22"/>
        </w:rPr>
        <w:t xml:space="preserve">  </w:t>
      </w:r>
      <w:r w:rsidR="0064400A">
        <w:rPr>
          <w:szCs w:val="22"/>
        </w:rPr>
        <w:t>We find that although</w:t>
      </w:r>
      <w:r w:rsidRPr="00955F41" w:rsidR="0064400A">
        <w:rPr>
          <w:szCs w:val="22"/>
        </w:rPr>
        <w:t xml:space="preserve"> </w:t>
      </w:r>
      <w:r w:rsidRPr="00955F41" w:rsidR="005B31C1">
        <w:rPr>
          <w:szCs w:val="22"/>
        </w:rPr>
        <w:t xml:space="preserve">the audio material may have </w:t>
      </w:r>
      <w:r w:rsidR="0064400A">
        <w:rPr>
          <w:szCs w:val="22"/>
        </w:rPr>
        <w:t>constituted only</w:t>
      </w:r>
      <w:r w:rsidRPr="00955F41" w:rsidR="0064400A">
        <w:rPr>
          <w:szCs w:val="22"/>
        </w:rPr>
        <w:t xml:space="preserve"> </w:t>
      </w:r>
      <w:r w:rsidRPr="00955F41" w:rsidR="005B31C1">
        <w:rPr>
          <w:szCs w:val="22"/>
        </w:rPr>
        <w:t xml:space="preserve">a “portion” of the EAS Tones, </w:t>
      </w:r>
      <w:r w:rsidR="0064400A">
        <w:rPr>
          <w:szCs w:val="22"/>
        </w:rPr>
        <w:t>and</w:t>
      </w:r>
      <w:r w:rsidRPr="00955F41" w:rsidR="0064400A">
        <w:rPr>
          <w:szCs w:val="22"/>
        </w:rPr>
        <w:t xml:space="preserve"> </w:t>
      </w:r>
      <w:r w:rsidRPr="00955F41" w:rsidR="005B31C1">
        <w:rPr>
          <w:szCs w:val="22"/>
        </w:rPr>
        <w:t xml:space="preserve">did not contain AFSK tones, </w:t>
      </w:r>
      <w:r w:rsidR="0064400A">
        <w:rPr>
          <w:szCs w:val="22"/>
        </w:rPr>
        <w:t xml:space="preserve">the question of whether ESPN violated the rule in this instance, does not turn </w:t>
      </w:r>
      <w:r w:rsidR="00E56CD8">
        <w:rPr>
          <w:szCs w:val="22"/>
        </w:rPr>
        <w:t xml:space="preserve">on </w:t>
      </w:r>
      <w:r w:rsidRPr="00955F41" w:rsidR="005B31C1">
        <w:rPr>
          <w:szCs w:val="22"/>
        </w:rPr>
        <w:t xml:space="preserve">the </w:t>
      </w:r>
      <w:r w:rsidRPr="00955F41" w:rsidR="003A2DBF">
        <w:rPr>
          <w:szCs w:val="22"/>
        </w:rPr>
        <w:t>length of the</w:t>
      </w:r>
      <w:r w:rsidRPr="00955F41" w:rsidR="005B31C1">
        <w:rPr>
          <w:szCs w:val="22"/>
        </w:rPr>
        <w:t xml:space="preserve"> EAS Tones</w:t>
      </w:r>
      <w:r w:rsidR="003A105D">
        <w:rPr>
          <w:szCs w:val="22"/>
        </w:rPr>
        <w:t xml:space="preserve"> or whether EAS data was embedded therein</w:t>
      </w:r>
      <w:r w:rsidRPr="00955F41" w:rsidR="005B31C1">
        <w:rPr>
          <w:szCs w:val="22"/>
        </w:rPr>
        <w:t>.</w:t>
      </w:r>
      <w:r>
        <w:rPr>
          <w:rStyle w:val="FootnoteReference"/>
          <w:sz w:val="22"/>
          <w:szCs w:val="22"/>
        </w:rPr>
        <w:footnoteReference w:id="42"/>
      </w:r>
      <w:r w:rsidRPr="00955F41" w:rsidR="005B31C1">
        <w:rPr>
          <w:szCs w:val="22"/>
        </w:rPr>
        <w:t xml:space="preserve">  </w:t>
      </w:r>
    </w:p>
    <w:p w:rsidR="00C96B1B" w:rsidRPr="00AA4DA6" w:rsidP="001E70CC" w14:paraId="7D37A5FD" w14:textId="27CC4BCB">
      <w:pPr>
        <w:pStyle w:val="ParaNum"/>
        <w:widowControl/>
        <w:rPr>
          <w:szCs w:val="22"/>
        </w:rPr>
      </w:pPr>
      <w:r>
        <w:rPr>
          <w:szCs w:val="22"/>
        </w:rPr>
        <w:t>B</w:t>
      </w:r>
      <w:r w:rsidRPr="00E76D83" w:rsidR="009C25AC">
        <w:rPr>
          <w:szCs w:val="22"/>
        </w:rPr>
        <w:t xml:space="preserve">ased on the evidence before us, </w:t>
      </w:r>
      <w:r w:rsidRPr="00E76D83" w:rsidR="00D25C38">
        <w:rPr>
          <w:szCs w:val="22"/>
        </w:rPr>
        <w:t xml:space="preserve">we find that </w:t>
      </w:r>
      <w:r w:rsidR="00D47004">
        <w:rPr>
          <w:szCs w:val="22"/>
        </w:rPr>
        <w:t>ESPN</w:t>
      </w:r>
      <w:r w:rsidRPr="00E76D83" w:rsidR="00D25C38">
        <w:rPr>
          <w:szCs w:val="22"/>
        </w:rPr>
        <w:t xml:space="preserve"> apparently willfully violated section 11.45 of the </w:t>
      </w:r>
      <w:r w:rsidR="001527B7">
        <w:rPr>
          <w:szCs w:val="22"/>
        </w:rPr>
        <w:t>Commission’s rules</w:t>
      </w:r>
      <w:r w:rsidRPr="00E76D83" w:rsidR="00D25C38">
        <w:rPr>
          <w:szCs w:val="22"/>
        </w:rPr>
        <w:t>.</w:t>
      </w:r>
    </w:p>
    <w:p w:rsidR="0042735F" w:rsidRPr="00E76D83" w:rsidP="004E5EE5" w14:paraId="670331E0" w14:textId="42CF761F">
      <w:pPr>
        <w:pStyle w:val="Heading1"/>
        <w:rPr>
          <w:rFonts w:ascii="Times New Roman" w:hAnsi="Times New Roman"/>
          <w:szCs w:val="22"/>
        </w:rPr>
      </w:pPr>
      <w:bookmarkStart w:id="14" w:name="_Toc7629836"/>
      <w:bookmarkStart w:id="15" w:name="_Toc7778360"/>
      <w:r w:rsidRPr="00E76D83">
        <w:rPr>
          <w:rFonts w:ascii="Times New Roman" w:hAnsi="Times New Roman"/>
          <w:szCs w:val="22"/>
        </w:rPr>
        <w:t xml:space="preserve">PROPOSED </w:t>
      </w:r>
      <w:r w:rsidRPr="004E5EE5">
        <w:t>FORFEITURE</w:t>
      </w:r>
      <w:bookmarkEnd w:id="14"/>
      <w:bookmarkEnd w:id="15"/>
    </w:p>
    <w:p w:rsidR="0042735F" w:rsidRPr="00E76D83" w:rsidP="003E711C" w14:paraId="2B629D91" w14:textId="5D25EECA">
      <w:pPr>
        <w:pStyle w:val="ParaNum"/>
        <w:rPr>
          <w:snapToGrid/>
          <w:kern w:val="0"/>
          <w:szCs w:val="22"/>
        </w:rPr>
      </w:pPr>
      <w:r w:rsidRPr="00981F23">
        <w:t xml:space="preserve">Section 503(b) of the Act authorizes the Commission to impose a forfeiture against any entity that “willfully or repeatedly fail[s] to comply with </w:t>
      </w:r>
      <w:r w:rsidR="00E952C4">
        <w:t xml:space="preserve">. . . </w:t>
      </w:r>
      <w:r w:rsidRPr="00981F23">
        <w:t xml:space="preserve"> any rule, regulation, or order issued by the Commission</w:t>
      </w:r>
      <w:r w:rsidR="00A67816">
        <w:t xml:space="preserve"> . . . .</w:t>
      </w:r>
      <w:r w:rsidRPr="00981F23">
        <w:t>”</w:t>
      </w:r>
      <w:r>
        <w:rPr>
          <w:vertAlign w:val="superscript"/>
        </w:rPr>
        <w:footnoteReference w:id="43"/>
      </w:r>
      <w:r w:rsidRPr="00E76D83">
        <w:rPr>
          <w:szCs w:val="22"/>
        </w:rPr>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sz w:val="22"/>
          <w:szCs w:val="22"/>
        </w:rPr>
        <w:footnoteReference w:id="44"/>
      </w:r>
      <w:r w:rsidRPr="00E76D83">
        <w:rPr>
          <w:szCs w:val="22"/>
        </w:rPr>
        <w:t xml:space="preserve">  </w:t>
      </w:r>
      <w:r w:rsidR="002350A3">
        <w:t>T</w:t>
      </w:r>
      <w:r w:rsidRPr="00981F23">
        <w:t>he Commission has established forfeiture guidelines</w:t>
      </w:r>
      <w:r w:rsidR="005303E7">
        <w:t xml:space="preserve">, </w:t>
      </w:r>
      <w:r w:rsidRPr="00981F23">
        <w:t xml:space="preserve">base penalties for certain violations and </w:t>
      </w:r>
      <w:r w:rsidR="005303E7">
        <w:t xml:space="preserve">has </w:t>
      </w:r>
      <w:r w:rsidRPr="00981F23">
        <w:t>identif</w:t>
      </w:r>
      <w:r w:rsidR="005303E7">
        <w:t>ied</w:t>
      </w:r>
      <w:r w:rsidRPr="00981F23">
        <w:t xml:space="preserve"> criteria that </w:t>
      </w:r>
      <w:r w:rsidR="005303E7">
        <w:t>it</w:t>
      </w:r>
      <w:r w:rsidRPr="00981F23" w:rsidR="005303E7">
        <w:t xml:space="preserve"> </w:t>
      </w:r>
      <w:r w:rsidRPr="00981F23">
        <w:t>consider</w:t>
      </w:r>
      <w:r w:rsidR="005303E7">
        <w:t>s</w:t>
      </w:r>
      <w:r w:rsidRPr="00981F23">
        <w:t xml:space="preserve"> when determining the appropriate penalty in any given case.</w:t>
      </w:r>
      <w:r>
        <w:rPr>
          <w:rStyle w:val="FootnoteReference"/>
          <w:color w:val="000000"/>
        </w:rPr>
        <w:footnoteReference w:id="45"/>
      </w:r>
      <w:r w:rsidRPr="00981F23">
        <w:t xml:space="preserve">  Under these guidelines, </w:t>
      </w:r>
      <w:r w:rsidR="00F4450D">
        <w:t>we</w:t>
      </w:r>
      <w:r w:rsidR="0032394D">
        <w:t xml:space="preserve"> may adjust a forfeiture downward for violations that are voluntarily disclosed or where there is a history of compliance.</w:t>
      </w:r>
      <w:r>
        <w:rPr>
          <w:rStyle w:val="FootnoteReference"/>
        </w:rPr>
        <w:footnoteReference w:id="46"/>
      </w:r>
      <w:r w:rsidR="00E4083E">
        <w:t xml:space="preserve">  W</w:t>
      </w:r>
      <w:r w:rsidRPr="00981F23">
        <w:t>e may adjust a forfeiture upward for violations that are egregious, intentional,  repeated, or that cause substantial harm or generate substantial economic gain for the violator.</w:t>
      </w:r>
      <w:r>
        <w:rPr>
          <w:rStyle w:val="FootnoteReference"/>
          <w:color w:val="000000"/>
        </w:rPr>
        <w:footnoteReference w:id="47"/>
      </w:r>
      <w:r w:rsidRPr="00981F23">
        <w:t xml:space="preserve">  </w:t>
      </w:r>
    </w:p>
    <w:p w:rsidR="00955F41" w:rsidRPr="00955F41" w:rsidP="00D721FB" w14:paraId="17618FF1" w14:textId="6ADCBCEF">
      <w:pPr>
        <w:pStyle w:val="ParaNum"/>
        <w:widowControl/>
        <w:rPr>
          <w:szCs w:val="22"/>
          <w:shd w:val="clear" w:color="auto" w:fill="FFFFFF"/>
        </w:rPr>
      </w:pPr>
      <w:r>
        <w:t>The Commission has previously applied an $8,000 base forfeiture for violations of section 11.45 of the Commission’s rules.</w:t>
      </w:r>
      <w:r>
        <w:rPr>
          <w:vertAlign w:val="superscript"/>
        </w:rPr>
        <w:footnoteReference w:id="48"/>
      </w:r>
      <w:r w:rsidRPr="00981F23" w:rsidR="000444E4">
        <w:t xml:space="preserve">  We have discretion, however, to depart from these </w:t>
      </w:r>
      <w:r w:rsidR="001B15B2">
        <w:t xml:space="preserve">base forfeiture </w:t>
      </w:r>
      <w:r w:rsidRPr="00981F23" w:rsidR="000444E4">
        <w:t xml:space="preserve">guidelines, </w:t>
      </w:r>
      <w:r w:rsidRPr="00981F23" w:rsidR="000444E4">
        <w:t>taking into account</w:t>
      </w:r>
      <w:r w:rsidRPr="00981F23" w:rsidR="000444E4">
        <w:t xml:space="preserve"> the particular facts of each individual case.</w:t>
      </w:r>
      <w:r>
        <w:rPr>
          <w:rStyle w:val="FootnoteReference"/>
          <w:color w:val="000000"/>
          <w:szCs w:val="22"/>
        </w:rPr>
        <w:footnoteReference w:id="49"/>
      </w:r>
      <w:r w:rsidRPr="00981F23" w:rsidR="000444E4">
        <w:t xml:space="preserve">  </w:t>
      </w:r>
    </w:p>
    <w:p w:rsidR="0042735F" w:rsidRPr="00955F41" w:rsidP="00D721FB" w14:paraId="17BFC7FF" w14:textId="3FD55840">
      <w:pPr>
        <w:pStyle w:val="ParaNum"/>
        <w:widowControl/>
        <w:rPr>
          <w:szCs w:val="22"/>
          <w:shd w:val="clear" w:color="auto" w:fill="FFFFFF"/>
        </w:rPr>
      </w:pPr>
      <w:r w:rsidRPr="00955F41">
        <w:rPr>
          <w:szCs w:val="22"/>
        </w:rPr>
        <w:t>T</w:t>
      </w:r>
      <w:r w:rsidRPr="00955F41">
        <w:rPr>
          <w:szCs w:val="22"/>
        </w:rPr>
        <w:t>he nature of EAS violations requires particularly serious consideration because, among other issues, such violations undermine the integrity of the EAS by desensitizing viewers to the potential importance of warning tones and therefore implicate substantial public safety concerns</w:t>
      </w:r>
      <w:r w:rsidRPr="00955F41">
        <w:rPr>
          <w:rStyle w:val="documentbody1"/>
          <w:rFonts w:ascii="Times New Roman" w:hAnsi="Times New Roman"/>
          <w:color w:val="000000"/>
          <w:sz w:val="22"/>
          <w:szCs w:val="22"/>
        </w:rPr>
        <w:t>.</w:t>
      </w:r>
      <w:r w:rsidRPr="00955F41">
        <w:rPr>
          <w:szCs w:val="22"/>
        </w:rPr>
        <w:t xml:space="preserve">  As explained in </w:t>
      </w:r>
      <w:r w:rsidR="0074755A">
        <w:rPr>
          <w:i/>
          <w:szCs w:val="22"/>
        </w:rPr>
        <w:t>CBS NAL</w:t>
      </w:r>
      <w:r w:rsidRPr="00955F41">
        <w:rPr>
          <w:szCs w:val="22"/>
        </w:rPr>
        <w:t>, our forfeiture determination in such cases is based on multiple factors associated with the nature of the violation and the violator.</w:t>
      </w:r>
      <w:r>
        <w:rPr>
          <w:rStyle w:val="FootnoteReference"/>
          <w:sz w:val="22"/>
          <w:szCs w:val="22"/>
        </w:rPr>
        <w:footnoteReference w:id="50"/>
      </w:r>
      <w:r w:rsidRPr="00955F41">
        <w:rPr>
          <w:szCs w:val="22"/>
        </w:rPr>
        <w:t xml:space="preserve">  In this case, </w:t>
      </w:r>
      <w:r w:rsidRPr="00955F41" w:rsidR="006B4706">
        <w:rPr>
          <w:szCs w:val="22"/>
        </w:rPr>
        <w:t>ESPN</w:t>
      </w:r>
      <w:r w:rsidRPr="00955F41">
        <w:rPr>
          <w:szCs w:val="22"/>
        </w:rPr>
        <w:t xml:space="preserve"> included the EAS Tones in a program transmitted over cable systems </w:t>
      </w:r>
      <w:r w:rsidRPr="00955F41" w:rsidR="006B4706">
        <w:rPr>
          <w:szCs w:val="22"/>
        </w:rPr>
        <w:t xml:space="preserve">and MVPDs </w:t>
      </w:r>
      <w:r w:rsidRPr="00955F41">
        <w:rPr>
          <w:szCs w:val="22"/>
        </w:rPr>
        <w:t>reaching virtually every television market in the country, thereby increasing the potential harm by increasing the potential reach of the transmissions.  Nonetheless, no single factor (e.g</w:t>
      </w:r>
      <w:r w:rsidRPr="00955F41">
        <w:rPr>
          <w:i/>
          <w:szCs w:val="22"/>
        </w:rPr>
        <w:t>.</w:t>
      </w:r>
      <w:r w:rsidRPr="00955F41">
        <w:rPr>
          <w:szCs w:val="22"/>
        </w:rPr>
        <w:t xml:space="preserve">, the number of transmissions) is controlling.  When applying the statutory factors concerning the circumstances, extent, and gravity of an EAS violation, we take into account a </w:t>
      </w:r>
      <w:r w:rsidRPr="00955F41">
        <w:rPr>
          <w:rStyle w:val="documentbody1"/>
          <w:rFonts w:ascii="Times New Roman" w:hAnsi="Times New Roman"/>
          <w:color w:val="000000"/>
          <w:sz w:val="22"/>
          <w:szCs w:val="22"/>
        </w:rPr>
        <w:t>number of specific factors, including:</w:t>
      </w:r>
      <w:r w:rsidRPr="00955F41">
        <w:rPr>
          <w:szCs w:val="22"/>
        </w:rPr>
        <w:t xml:space="preserve">  (1) the number of repetitions (i.e., the number of individual transmissions); (</w:t>
      </w:r>
      <w:r w:rsidRPr="00955F41" w:rsidR="006E73EB">
        <w:rPr>
          <w:szCs w:val="22"/>
        </w:rPr>
        <w:t>2</w:t>
      </w:r>
      <w:r w:rsidRPr="00955F41">
        <w:rPr>
          <w:szCs w:val="22"/>
        </w:rPr>
        <w:t>) the duration of the violation (i.e., the number of days or months over which the violation occurred); (</w:t>
      </w:r>
      <w:r w:rsidRPr="00955F41" w:rsidR="006E73EB">
        <w:rPr>
          <w:szCs w:val="22"/>
        </w:rPr>
        <w:t>3</w:t>
      </w:r>
      <w:r w:rsidRPr="00955F41">
        <w:rPr>
          <w:szCs w:val="22"/>
        </w:rPr>
        <w:t>) the audience reach of the transmissions (e.g., nationwide, regional, or local); and (</w:t>
      </w:r>
      <w:r w:rsidRPr="00955F41" w:rsidR="006E73EB">
        <w:rPr>
          <w:szCs w:val="22"/>
        </w:rPr>
        <w:t>4</w:t>
      </w:r>
      <w:r w:rsidRPr="00955F41">
        <w:rPr>
          <w:szCs w:val="22"/>
        </w:rPr>
        <w:t>) the extent of the public safety impact (e.g., whether an EAS activation is triggered).</w:t>
      </w:r>
      <w:r>
        <w:rPr>
          <w:rStyle w:val="FootnoteReference"/>
          <w:sz w:val="22"/>
          <w:szCs w:val="22"/>
        </w:rPr>
        <w:footnoteReference w:id="51"/>
      </w:r>
      <w:r w:rsidRPr="00955F41">
        <w:rPr>
          <w:szCs w:val="22"/>
        </w:rPr>
        <w:t xml:space="preserve"> </w:t>
      </w:r>
    </w:p>
    <w:p w:rsidR="000743C6" w:rsidRPr="00E76D83" w:rsidP="00C96B1B" w14:paraId="1D5F11E0" w14:textId="699CCC39">
      <w:pPr>
        <w:pStyle w:val="ParaNum"/>
        <w:widowControl/>
        <w:rPr>
          <w:snapToGrid/>
          <w:kern w:val="0"/>
          <w:szCs w:val="22"/>
        </w:rPr>
      </w:pPr>
      <w:r w:rsidRPr="00E76D83">
        <w:rPr>
          <w:rStyle w:val="documentbody1"/>
          <w:rFonts w:ascii="Times New Roman" w:hAnsi="Times New Roman"/>
          <w:color w:val="000000"/>
          <w:sz w:val="22"/>
          <w:szCs w:val="22"/>
        </w:rPr>
        <w:t xml:space="preserve">As detailed above, </w:t>
      </w:r>
      <w:r w:rsidR="006B4706">
        <w:rPr>
          <w:rStyle w:val="documentbody1"/>
          <w:rFonts w:ascii="Times New Roman" w:hAnsi="Times New Roman"/>
          <w:color w:val="000000"/>
          <w:sz w:val="22"/>
          <w:szCs w:val="22"/>
        </w:rPr>
        <w:t>ESPN,</w:t>
      </w:r>
      <w:r w:rsidR="006B4706">
        <w:rPr>
          <w:szCs w:val="22"/>
        </w:rPr>
        <w:t xml:space="preserve"> transmitted the programming </w:t>
      </w:r>
      <w:r w:rsidR="003A105D">
        <w:rPr>
          <w:szCs w:val="22"/>
        </w:rPr>
        <w:t>once</w:t>
      </w:r>
      <w:r w:rsidR="00E0497C">
        <w:rPr>
          <w:szCs w:val="22"/>
        </w:rPr>
        <w:t xml:space="preserve">, on </w:t>
      </w:r>
      <w:r w:rsidR="001F2F83">
        <w:rPr>
          <w:szCs w:val="22"/>
        </w:rPr>
        <w:t>October 27, 2020</w:t>
      </w:r>
      <w:r w:rsidR="006B4706">
        <w:rPr>
          <w:szCs w:val="22"/>
        </w:rPr>
        <w:t xml:space="preserve">.  </w:t>
      </w:r>
      <w:r w:rsidR="00955F41">
        <w:rPr>
          <w:szCs w:val="22"/>
        </w:rPr>
        <w:t>W</w:t>
      </w:r>
      <w:r w:rsidRPr="00E76D83">
        <w:rPr>
          <w:szCs w:val="22"/>
        </w:rPr>
        <w:t xml:space="preserve">ith respect to audience reach, </w:t>
      </w:r>
      <w:r w:rsidR="00420E45">
        <w:rPr>
          <w:szCs w:val="22"/>
        </w:rPr>
        <w:t>ESPN’s parent company The Walt Disney Company</w:t>
      </w:r>
      <w:r w:rsidRPr="00E76D83">
        <w:rPr>
          <w:szCs w:val="22"/>
        </w:rPr>
        <w:t xml:space="preserve"> </w:t>
      </w:r>
      <w:r w:rsidRPr="00E76D83" w:rsidR="00E67285">
        <w:rPr>
          <w:szCs w:val="22"/>
        </w:rPr>
        <w:t>stated in its most recent annual report</w:t>
      </w:r>
      <w:r w:rsidRPr="00E76D83">
        <w:rPr>
          <w:szCs w:val="22"/>
        </w:rPr>
        <w:t xml:space="preserve"> that </w:t>
      </w:r>
      <w:r w:rsidR="00420E45">
        <w:rPr>
          <w:szCs w:val="22"/>
        </w:rPr>
        <w:t>ESPN has 84 million subscribers</w:t>
      </w:r>
      <w:r w:rsidR="00517C76">
        <w:rPr>
          <w:szCs w:val="22"/>
        </w:rPr>
        <w:t>,</w:t>
      </w:r>
      <w:r w:rsidR="00420E45">
        <w:rPr>
          <w:szCs w:val="22"/>
        </w:rPr>
        <w:t xml:space="preserve"> as estimated by Nielsen Media Research as of </w:t>
      </w:r>
      <w:r w:rsidR="00420E45">
        <w:rPr>
          <w:szCs w:val="22"/>
        </w:rPr>
        <w:t>September 2020.</w:t>
      </w:r>
      <w:r>
        <w:rPr>
          <w:rStyle w:val="FootnoteReference"/>
          <w:color w:val="000000"/>
          <w:sz w:val="22"/>
          <w:szCs w:val="22"/>
        </w:rPr>
        <w:footnoteReference w:id="52"/>
      </w:r>
      <w:r w:rsidRPr="00E76D83">
        <w:rPr>
          <w:szCs w:val="22"/>
        </w:rPr>
        <w:t xml:space="preserve">  </w:t>
      </w:r>
      <w:r w:rsidRPr="00955F41" w:rsidR="00E913AE">
        <w:rPr>
          <w:szCs w:val="22"/>
        </w:rPr>
        <w:t xml:space="preserve">In its LOI Response, </w:t>
      </w:r>
      <w:r w:rsidR="00B65DFA">
        <w:rPr>
          <w:szCs w:val="22"/>
        </w:rPr>
        <w:t>ESPN admitted t</w:t>
      </w:r>
      <w:r w:rsidRPr="00955F41" w:rsidR="00B65DFA">
        <w:rPr>
          <w:szCs w:val="22"/>
        </w:rPr>
        <w:t xml:space="preserve">he October 27, 2020, episode of </w:t>
      </w:r>
      <w:r w:rsidRPr="00955F41" w:rsidR="00B65DFA">
        <w:rPr>
          <w:i/>
          <w:szCs w:val="22"/>
        </w:rPr>
        <w:t>30 for 30: Roll Tide/War Eagle</w:t>
      </w:r>
      <w:r w:rsidR="00B65DFA">
        <w:rPr>
          <w:szCs w:val="22"/>
        </w:rPr>
        <w:t xml:space="preserve"> </w:t>
      </w:r>
      <w:r w:rsidR="001F6397">
        <w:rPr>
          <w:szCs w:val="22"/>
        </w:rPr>
        <w:t xml:space="preserve">containing EAS Tones </w:t>
      </w:r>
      <w:r w:rsidR="00B65DFA">
        <w:rPr>
          <w:szCs w:val="22"/>
        </w:rPr>
        <w:t xml:space="preserve">was aired on the ESPN network, “a nationally distributed cable network that delivers programming to most </w:t>
      </w:r>
      <w:r w:rsidR="001F6397">
        <w:rPr>
          <w:szCs w:val="22"/>
        </w:rPr>
        <w:t>[c]</w:t>
      </w:r>
      <w:r w:rsidR="00B65DFA">
        <w:rPr>
          <w:szCs w:val="22"/>
        </w:rPr>
        <w:t xml:space="preserve">able </w:t>
      </w:r>
      <w:r w:rsidR="001F6397">
        <w:rPr>
          <w:szCs w:val="22"/>
        </w:rPr>
        <w:t>[s]</w:t>
      </w:r>
      <w:r w:rsidR="00B65DFA">
        <w:rPr>
          <w:szCs w:val="22"/>
        </w:rPr>
        <w:t>ystems</w:t>
      </w:r>
      <w:r w:rsidR="00B65DFA">
        <w:rPr>
          <w:szCs w:val="22"/>
        </w:rPr>
        <w:t xml:space="preserve"> and other [</w:t>
      </w:r>
      <w:r w:rsidR="00B65DFA">
        <w:rPr>
          <w:szCs w:val="22"/>
        </w:rPr>
        <w:t>MVPDs</w:t>
      </w:r>
      <w:r w:rsidR="00B65DFA">
        <w:rPr>
          <w:szCs w:val="22"/>
        </w:rPr>
        <w:t>] in the United States</w:t>
      </w:r>
      <w:r w:rsidR="001F6397">
        <w:rPr>
          <w:szCs w:val="22"/>
        </w:rPr>
        <w:t>.</w:t>
      </w:r>
      <w:r w:rsidR="002D4D1B">
        <w:rPr>
          <w:szCs w:val="22"/>
        </w:rPr>
        <w:t>”</w:t>
      </w:r>
      <w:r>
        <w:rPr>
          <w:rStyle w:val="FootnoteReference"/>
          <w:szCs w:val="22"/>
        </w:rPr>
        <w:footnoteReference w:id="53"/>
      </w:r>
      <w:r w:rsidR="00662246">
        <w:rPr>
          <w:szCs w:val="22"/>
        </w:rPr>
        <w:t xml:space="preserve"> </w:t>
      </w:r>
      <w:r w:rsidR="001F6397">
        <w:rPr>
          <w:szCs w:val="22"/>
        </w:rPr>
        <w:t xml:space="preserve"> </w:t>
      </w:r>
      <w:r w:rsidRPr="00E76D83">
        <w:rPr>
          <w:szCs w:val="22"/>
        </w:rPr>
        <w:t xml:space="preserve">The fact that the Company’s programming reached such potentially vast audiences greatly increases the </w:t>
      </w:r>
      <w:r w:rsidRPr="00E76D83">
        <w:rPr>
          <w:rStyle w:val="documentbody1"/>
          <w:rFonts w:ascii="Times New Roman" w:hAnsi="Times New Roman"/>
          <w:color w:val="000000"/>
          <w:sz w:val="22"/>
          <w:szCs w:val="22"/>
        </w:rPr>
        <w:t>extent and gravity of the</w:t>
      </w:r>
      <w:r w:rsidR="003A105D">
        <w:rPr>
          <w:rStyle w:val="documentbody1"/>
          <w:rFonts w:ascii="Times New Roman" w:hAnsi="Times New Roman"/>
          <w:color w:val="000000"/>
          <w:sz w:val="22"/>
          <w:szCs w:val="22"/>
        </w:rPr>
        <w:t xml:space="preserve"> instant</w:t>
      </w:r>
      <w:r w:rsidRPr="00E76D83">
        <w:rPr>
          <w:rStyle w:val="documentbody1"/>
          <w:rFonts w:ascii="Times New Roman" w:hAnsi="Times New Roman"/>
          <w:sz w:val="22"/>
          <w:szCs w:val="22"/>
        </w:rPr>
        <w:t xml:space="preserve"> violation.  </w:t>
      </w:r>
    </w:p>
    <w:p w:rsidR="000743C6" w:rsidRPr="001E70CC" w:rsidP="000743C6" w14:paraId="207BC254" w14:textId="5F377549">
      <w:pPr>
        <w:pStyle w:val="ParaNum"/>
        <w:rPr>
          <w:snapToGrid/>
          <w:kern w:val="0"/>
          <w:szCs w:val="22"/>
        </w:rPr>
      </w:pPr>
      <w:r w:rsidRPr="00E76D83">
        <w:rPr>
          <w:szCs w:val="22"/>
        </w:rPr>
        <w:t xml:space="preserve">In calculating the appropriate forfeiture, we also consider </w:t>
      </w:r>
      <w:r w:rsidR="00986912">
        <w:rPr>
          <w:szCs w:val="22"/>
        </w:rPr>
        <w:t>ESPN’s</w:t>
      </w:r>
      <w:r w:rsidRPr="00E76D83">
        <w:rPr>
          <w:szCs w:val="22"/>
        </w:rPr>
        <w:t xml:space="preserve"> past compliance record.  </w:t>
      </w:r>
      <w:r w:rsidR="002A6EF0">
        <w:rPr>
          <w:szCs w:val="22"/>
        </w:rPr>
        <w:t xml:space="preserve">ESPN has a history of </w:t>
      </w:r>
      <w:r w:rsidR="00826B4D">
        <w:rPr>
          <w:szCs w:val="22"/>
        </w:rPr>
        <w:t xml:space="preserve">noncompliance </w:t>
      </w:r>
      <w:r w:rsidR="002A6EF0">
        <w:rPr>
          <w:szCs w:val="22"/>
        </w:rPr>
        <w:t>with respect to</w:t>
      </w:r>
      <w:r w:rsidR="000A72DE">
        <w:rPr>
          <w:szCs w:val="22"/>
        </w:rPr>
        <w:t xml:space="preserve"> </w:t>
      </w:r>
      <w:r w:rsidR="003A105D">
        <w:rPr>
          <w:szCs w:val="22"/>
        </w:rPr>
        <w:t xml:space="preserve">section </w:t>
      </w:r>
      <w:r w:rsidR="002A6EF0">
        <w:rPr>
          <w:szCs w:val="22"/>
        </w:rPr>
        <w:t>11.45(a)</w:t>
      </w:r>
      <w:r w:rsidR="003A105D">
        <w:rPr>
          <w:szCs w:val="22"/>
        </w:rPr>
        <w:t xml:space="preserve"> of the Commission’s rules</w:t>
      </w:r>
      <w:r w:rsidR="002A6EF0">
        <w:rPr>
          <w:szCs w:val="22"/>
        </w:rPr>
        <w:t xml:space="preserve">. </w:t>
      </w:r>
      <w:r w:rsidR="000A72DE">
        <w:rPr>
          <w:szCs w:val="22"/>
        </w:rPr>
        <w:t xml:space="preserve"> </w:t>
      </w:r>
      <w:r w:rsidRPr="00AF63C5" w:rsidR="00D5169A">
        <w:rPr>
          <w:bCs/>
        </w:rPr>
        <w:t>In 2015</w:t>
      </w:r>
      <w:r w:rsidR="00D5169A">
        <w:rPr>
          <w:bCs/>
        </w:rPr>
        <w:t>,</w:t>
      </w:r>
      <w:r w:rsidRPr="00AF63C5" w:rsidR="00D5169A">
        <w:rPr>
          <w:bCs/>
        </w:rPr>
        <w:t xml:space="preserve"> ESPN paid a $280,000 forfeiture for violations of </w:t>
      </w:r>
      <w:r w:rsidR="0096757E">
        <w:rPr>
          <w:bCs/>
        </w:rPr>
        <w:t>s</w:t>
      </w:r>
      <w:r w:rsidRPr="00AF63C5" w:rsidR="0096757E">
        <w:rPr>
          <w:bCs/>
        </w:rPr>
        <w:t xml:space="preserve">ection </w:t>
      </w:r>
      <w:r w:rsidRPr="00AF63C5" w:rsidR="00D5169A">
        <w:rPr>
          <w:bCs/>
        </w:rPr>
        <w:t xml:space="preserve">325(a) of the </w:t>
      </w:r>
      <w:r w:rsidR="001E2677">
        <w:rPr>
          <w:bCs/>
        </w:rPr>
        <w:t>Act</w:t>
      </w:r>
      <w:r w:rsidRPr="00AF63C5" w:rsidR="00D5169A">
        <w:rPr>
          <w:bCs/>
        </w:rPr>
        <w:t xml:space="preserve">, and </w:t>
      </w:r>
      <w:r w:rsidR="0096757E">
        <w:rPr>
          <w:bCs/>
        </w:rPr>
        <w:t>s</w:t>
      </w:r>
      <w:r w:rsidRPr="00AF63C5" w:rsidR="0096757E">
        <w:rPr>
          <w:bCs/>
        </w:rPr>
        <w:t xml:space="preserve">ection </w:t>
      </w:r>
      <w:r w:rsidRPr="00AF63C5" w:rsidR="00D5169A">
        <w:rPr>
          <w:bCs/>
        </w:rPr>
        <w:t xml:space="preserve">11.45 of the Commission’s rules when it transmitted EAS Tones </w:t>
      </w:r>
      <w:r w:rsidR="001E2677">
        <w:rPr>
          <w:bCs/>
        </w:rPr>
        <w:t>in the absence of a Permitted Use</w:t>
      </w:r>
      <w:r w:rsidRPr="00AF63C5" w:rsidR="00D5169A">
        <w:rPr>
          <w:bCs/>
        </w:rPr>
        <w:t>.</w:t>
      </w:r>
      <w:r>
        <w:rPr>
          <w:rStyle w:val="FootnoteReference"/>
          <w:bCs/>
        </w:rPr>
        <w:footnoteReference w:id="54"/>
      </w:r>
      <w:r w:rsidRPr="00E76D83">
        <w:rPr>
          <w:szCs w:val="22"/>
        </w:rPr>
        <w:t xml:space="preserve"> </w:t>
      </w:r>
      <w:r w:rsidR="00955F41">
        <w:rPr>
          <w:szCs w:val="22"/>
        </w:rPr>
        <w:t xml:space="preserve"> </w:t>
      </w:r>
      <w:r w:rsidR="008E3EDD">
        <w:rPr>
          <w:szCs w:val="22"/>
        </w:rPr>
        <w:t xml:space="preserve">We find </w:t>
      </w:r>
      <w:r w:rsidR="00C23FEA">
        <w:rPr>
          <w:szCs w:val="22"/>
        </w:rPr>
        <w:t>ESPN’s</w:t>
      </w:r>
      <w:r w:rsidR="008E3EDD">
        <w:rPr>
          <w:szCs w:val="22"/>
        </w:rPr>
        <w:t xml:space="preserve"> prior history </w:t>
      </w:r>
      <w:r w:rsidRPr="00E76D83">
        <w:rPr>
          <w:szCs w:val="22"/>
        </w:rPr>
        <w:t>of violation</w:t>
      </w:r>
      <w:r w:rsidR="00C23FEA">
        <w:rPr>
          <w:szCs w:val="22"/>
        </w:rPr>
        <w:t>s</w:t>
      </w:r>
      <w:r w:rsidRPr="00E76D83">
        <w:rPr>
          <w:szCs w:val="22"/>
        </w:rPr>
        <w:t xml:space="preserve"> </w:t>
      </w:r>
      <w:r w:rsidR="008E3EDD">
        <w:rPr>
          <w:szCs w:val="22"/>
        </w:rPr>
        <w:t xml:space="preserve">to </w:t>
      </w:r>
      <w:r w:rsidR="00546877">
        <w:rPr>
          <w:szCs w:val="22"/>
        </w:rPr>
        <w:t xml:space="preserve">be </w:t>
      </w:r>
      <w:r w:rsidR="00955F41">
        <w:rPr>
          <w:szCs w:val="22"/>
        </w:rPr>
        <w:t xml:space="preserve">a </w:t>
      </w:r>
      <w:r w:rsidR="002751B4">
        <w:rPr>
          <w:szCs w:val="22"/>
        </w:rPr>
        <w:t xml:space="preserve">significant </w:t>
      </w:r>
      <w:r w:rsidR="00955F41">
        <w:rPr>
          <w:szCs w:val="22"/>
        </w:rPr>
        <w:t>factor to consider in</w:t>
      </w:r>
      <w:r w:rsidR="00C23FEA">
        <w:rPr>
          <w:szCs w:val="22"/>
        </w:rPr>
        <w:t xml:space="preserve"> determining the proposed forfeiture in this case</w:t>
      </w:r>
      <w:r w:rsidR="008E3EDD">
        <w:rPr>
          <w:szCs w:val="22"/>
        </w:rPr>
        <w:t>.</w:t>
      </w:r>
      <w:r>
        <w:rPr>
          <w:rStyle w:val="FootnoteReference"/>
          <w:szCs w:val="22"/>
        </w:rPr>
        <w:footnoteReference w:id="55"/>
      </w:r>
      <w:r w:rsidR="008E3EDD">
        <w:rPr>
          <w:szCs w:val="22"/>
        </w:rPr>
        <w:t xml:space="preserve"> </w:t>
      </w:r>
      <w:r w:rsidRPr="00E76D83">
        <w:rPr>
          <w:szCs w:val="22"/>
        </w:rPr>
        <w:t xml:space="preserve"> </w:t>
      </w:r>
    </w:p>
    <w:p w:rsidR="002D4D1B" w:rsidRPr="00E76D83" w:rsidP="000743C6" w14:paraId="6D9B56E5" w14:textId="4EDF6284">
      <w:pPr>
        <w:pStyle w:val="ParaNum"/>
        <w:rPr>
          <w:snapToGrid/>
          <w:kern w:val="0"/>
          <w:szCs w:val="22"/>
        </w:rPr>
      </w:pPr>
      <w:r>
        <w:rPr>
          <w:szCs w:val="22"/>
        </w:rPr>
        <w:t xml:space="preserve">In applying the </w:t>
      </w:r>
      <w:r w:rsidR="001B15B2">
        <w:rPr>
          <w:szCs w:val="22"/>
        </w:rPr>
        <w:t>forfeiture guidelines established by the Commission, we also consider whether there is any basis for a downward adjustment of the proposed forfeiture.</w:t>
      </w:r>
      <w:r>
        <w:rPr>
          <w:rStyle w:val="FootnoteReference"/>
          <w:szCs w:val="22"/>
        </w:rPr>
        <w:footnoteReference w:id="56"/>
      </w:r>
      <w:r w:rsidR="001B15B2">
        <w:rPr>
          <w:szCs w:val="22"/>
        </w:rPr>
        <w:t xml:space="preserve">  Here, we find none.</w:t>
      </w:r>
    </w:p>
    <w:p w:rsidR="00F26593" w:rsidP="00E52627" w14:paraId="04681E37" w14:textId="00129A32">
      <w:pPr>
        <w:pStyle w:val="ParaNum"/>
        <w:widowControl/>
        <w:rPr>
          <w:szCs w:val="22"/>
        </w:rPr>
      </w:pPr>
      <w:r w:rsidRPr="00381896">
        <w:rPr>
          <w:szCs w:val="22"/>
          <w:shd w:val="clear" w:color="auto" w:fill="FFFFFF"/>
        </w:rPr>
        <w:t xml:space="preserve">In determining the proposed forfeiture amount, we considered the factors </w:t>
      </w:r>
      <w:r w:rsidRPr="00381896">
        <w:rPr>
          <w:rStyle w:val="documentbody1"/>
          <w:rFonts w:ascii="Times New Roman" w:hAnsi="Times New Roman"/>
          <w:color w:val="000000"/>
          <w:sz w:val="22"/>
          <w:szCs w:val="22"/>
        </w:rPr>
        <w:t xml:space="preserve">outlined in the Commission’s </w:t>
      </w:r>
      <w:r w:rsidRPr="00381896">
        <w:rPr>
          <w:rStyle w:val="documentbody1"/>
          <w:rFonts w:ascii="Times New Roman" w:hAnsi="Times New Roman"/>
          <w:i/>
          <w:iCs/>
          <w:color w:val="000000"/>
          <w:sz w:val="22"/>
          <w:szCs w:val="22"/>
        </w:rPr>
        <w:t>Forfeiture Policy Statement</w:t>
      </w:r>
      <w:r w:rsidRPr="00381896">
        <w:rPr>
          <w:rStyle w:val="documentbody1"/>
          <w:rFonts w:ascii="Times New Roman" w:hAnsi="Times New Roman"/>
          <w:color w:val="000000"/>
          <w:sz w:val="22"/>
          <w:szCs w:val="22"/>
        </w:rPr>
        <w:t>, section 1.80 of the Commission’s rules, and section 503 of the Act. </w:t>
      </w:r>
      <w:r w:rsidR="00381896">
        <w:rPr>
          <w:rStyle w:val="documentbody1"/>
          <w:rFonts w:ascii="Times New Roman" w:hAnsi="Times New Roman"/>
          <w:color w:val="000000"/>
          <w:sz w:val="22"/>
          <w:szCs w:val="22"/>
        </w:rPr>
        <w:t xml:space="preserve"> </w:t>
      </w:r>
      <w:r w:rsidRPr="00381896">
        <w:rPr>
          <w:rStyle w:val="documentbody1"/>
          <w:rFonts w:ascii="Times New Roman" w:hAnsi="Times New Roman"/>
          <w:color w:val="000000"/>
          <w:sz w:val="22"/>
          <w:szCs w:val="22"/>
        </w:rPr>
        <w:t xml:space="preserve">With respect to </w:t>
      </w:r>
      <w:r w:rsidRPr="00381896">
        <w:rPr>
          <w:szCs w:val="22"/>
        </w:rPr>
        <w:t xml:space="preserve">the nature, circumstances, extent, and gravity of the apparent violation, we </w:t>
      </w:r>
      <w:r w:rsidRPr="00E952C4">
        <w:rPr>
          <w:szCs w:val="22"/>
          <w:shd w:val="clear" w:color="auto" w:fill="FFFFFF"/>
        </w:rPr>
        <w:t>considered the number of transmissions at issue, the amount of time over which the transmissions took place, the nationwide scope of ESPN’s audience reach, and the serious public safety implications of the apparent vio</w:t>
      </w:r>
      <w:r w:rsidRPr="009D5FD8">
        <w:rPr>
          <w:szCs w:val="22"/>
          <w:shd w:val="clear" w:color="auto" w:fill="FFFFFF"/>
        </w:rPr>
        <w:t xml:space="preserve">lation.  With respect to the apparent violator in this matter, we also considered ESPN’s culpability and its prior history of violations of section 11.45 of the Commission’s rules.  </w:t>
      </w:r>
      <w:r w:rsidRPr="00047CFA" w:rsidR="003A3F49">
        <w:rPr>
          <w:rStyle w:val="documentbody1"/>
          <w:rFonts w:ascii="Times New Roman" w:hAnsi="Times New Roman"/>
          <w:color w:val="000000"/>
          <w:sz w:val="22"/>
          <w:szCs w:val="22"/>
        </w:rPr>
        <w:t xml:space="preserve">Although only a single transmission was involved, </w:t>
      </w:r>
      <w:r w:rsidRPr="00381896" w:rsidR="003A3F49">
        <w:rPr>
          <w:szCs w:val="22"/>
        </w:rPr>
        <w:t>g</w:t>
      </w:r>
      <w:r w:rsidRPr="00381896" w:rsidR="00D43D41">
        <w:rPr>
          <w:szCs w:val="22"/>
        </w:rPr>
        <w:t xml:space="preserve">iven the totality of the circumstances, and consistent with the </w:t>
      </w:r>
      <w:r w:rsidRPr="00381896" w:rsidR="00D43D41">
        <w:rPr>
          <w:i/>
          <w:iCs/>
          <w:szCs w:val="22"/>
        </w:rPr>
        <w:t>Forfeiture Policy Statement</w:t>
      </w:r>
      <w:r w:rsidRPr="00381896" w:rsidR="00D43D41">
        <w:rPr>
          <w:szCs w:val="22"/>
        </w:rPr>
        <w:t xml:space="preserve">, we conclude that </w:t>
      </w:r>
      <w:r w:rsidRPr="00BD1FB6" w:rsidR="003237E9">
        <w:rPr>
          <w:szCs w:val="22"/>
        </w:rPr>
        <w:t xml:space="preserve">an $8,000 base forfeiture plus </w:t>
      </w:r>
      <w:r w:rsidRPr="00E952C4" w:rsidR="00D43D41">
        <w:rPr>
          <w:szCs w:val="22"/>
        </w:rPr>
        <w:t>a</w:t>
      </w:r>
      <w:r w:rsidRPr="00E952C4" w:rsidR="00CA1575">
        <w:rPr>
          <w:szCs w:val="22"/>
        </w:rPr>
        <w:t>n</w:t>
      </w:r>
      <w:r w:rsidRPr="00E952C4" w:rsidR="00D43D41">
        <w:rPr>
          <w:szCs w:val="22"/>
        </w:rPr>
        <w:t xml:space="preserve"> upward adjustment</w:t>
      </w:r>
      <w:r w:rsidRPr="009D5FD8">
        <w:rPr>
          <w:szCs w:val="22"/>
        </w:rPr>
        <w:t xml:space="preserve"> in the amount of $12,000</w:t>
      </w:r>
      <w:r w:rsidRPr="009D5FD8" w:rsidR="00D43D41">
        <w:rPr>
          <w:szCs w:val="22"/>
        </w:rPr>
        <w:t xml:space="preserve"> is warranted</w:t>
      </w:r>
      <w:r w:rsidRPr="00047CFA" w:rsidR="0042735F">
        <w:rPr>
          <w:rStyle w:val="documentbody1"/>
          <w:rFonts w:ascii="Times New Roman" w:hAnsi="Times New Roman"/>
          <w:color w:val="000000"/>
          <w:sz w:val="22"/>
          <w:szCs w:val="22"/>
        </w:rPr>
        <w:t>.</w:t>
      </w:r>
      <w:r>
        <w:rPr>
          <w:rStyle w:val="FootnoteReference"/>
          <w:szCs w:val="22"/>
          <w:shd w:val="clear" w:color="auto" w:fill="FFFFFF"/>
        </w:rPr>
        <w:footnoteReference w:id="57"/>
      </w:r>
      <w:r w:rsidRPr="00047CFA">
        <w:rPr>
          <w:rStyle w:val="documentbody1"/>
          <w:rFonts w:ascii="Times New Roman" w:hAnsi="Times New Roman"/>
          <w:color w:val="000000"/>
          <w:sz w:val="22"/>
          <w:szCs w:val="22"/>
        </w:rPr>
        <w:t xml:space="preserve">  </w:t>
      </w:r>
      <w:r w:rsidRPr="00381896">
        <w:rPr>
          <w:szCs w:val="22"/>
        </w:rPr>
        <w:t xml:space="preserve">We therefore </w:t>
      </w:r>
      <w:r w:rsidRPr="001E70CC">
        <w:rPr>
          <w:szCs w:val="22"/>
        </w:rPr>
        <w:t>propose a total forfeiture of $</w:t>
      </w:r>
      <w:r w:rsidR="00CE7D3D">
        <w:rPr>
          <w:szCs w:val="22"/>
        </w:rPr>
        <w:t>20,000</w:t>
      </w:r>
      <w:r w:rsidRPr="001E70CC">
        <w:rPr>
          <w:szCs w:val="22"/>
        </w:rPr>
        <w:t>, for which ESPN is apparently liable.</w:t>
      </w:r>
      <w:r>
        <w:rPr>
          <w:rStyle w:val="FootnoteReference"/>
          <w:sz w:val="22"/>
          <w:szCs w:val="22"/>
        </w:rPr>
        <w:footnoteReference w:id="58"/>
      </w:r>
    </w:p>
    <w:p w:rsidR="00986912" w:rsidP="004E5EE5" w14:paraId="7474685B" w14:textId="17AB7320">
      <w:pPr>
        <w:pStyle w:val="Heading1"/>
        <w:rPr>
          <w:rFonts w:ascii="Times New Roman" w:hAnsi="Times New Roman"/>
          <w:szCs w:val="22"/>
        </w:rPr>
      </w:pPr>
      <w:bookmarkStart w:id="19" w:name="_Toc7629837"/>
      <w:bookmarkStart w:id="20" w:name="_Toc7778361"/>
      <w:r w:rsidRPr="004E5EE5">
        <w:t>Conclusion</w:t>
      </w:r>
    </w:p>
    <w:p w:rsidR="00CE7D3D" w:rsidP="004E5EE5" w14:paraId="042535A9" w14:textId="39707470">
      <w:pPr>
        <w:pStyle w:val="ParaNum"/>
      </w:pPr>
      <w:r>
        <w:t>In view of the foregoing, we determine</w:t>
      </w:r>
      <w:r w:rsidRPr="00981F23" w:rsidR="00986912">
        <w:t xml:space="preserve"> that </w:t>
      </w:r>
      <w:r w:rsidR="00986912">
        <w:t xml:space="preserve">ESPN </w:t>
      </w:r>
      <w:r w:rsidRPr="00981F23" w:rsidR="00986912">
        <w:t xml:space="preserve">apparently willfully violated </w:t>
      </w:r>
      <w:r w:rsidR="000219DB">
        <w:t>s</w:t>
      </w:r>
      <w:r w:rsidR="00986912">
        <w:t>ection 11.45 of the Commission’s rules</w:t>
      </w:r>
      <w:r w:rsidR="00EA3A3D">
        <w:t xml:space="preserve"> and propose a total </w:t>
      </w:r>
      <w:r w:rsidRPr="00981F23" w:rsidR="00986912">
        <w:t>forfeiture of $</w:t>
      </w:r>
      <w:r>
        <w:t>20,000</w:t>
      </w:r>
      <w:r w:rsidR="00986912">
        <w:t xml:space="preserve">. </w:t>
      </w:r>
      <w:r w:rsidR="004E5EE5">
        <w:br/>
      </w:r>
      <w:r w:rsidR="004E5EE5">
        <w:br/>
      </w:r>
    </w:p>
    <w:p w:rsidR="0042735F" w:rsidRPr="00E76D83" w:rsidP="004E5EE5" w14:paraId="3C59C082" w14:textId="4E5D82EC">
      <w:pPr>
        <w:pStyle w:val="Heading1"/>
        <w:rPr>
          <w:rFonts w:ascii="Times New Roman" w:hAnsi="Times New Roman"/>
          <w:szCs w:val="22"/>
        </w:rPr>
      </w:pPr>
      <w:r w:rsidRPr="00E76D83">
        <w:rPr>
          <w:rFonts w:ascii="Times New Roman" w:hAnsi="Times New Roman"/>
          <w:szCs w:val="22"/>
        </w:rPr>
        <w:t xml:space="preserve">ORDERING </w:t>
      </w:r>
      <w:r w:rsidRPr="004E5EE5">
        <w:t>CLAUSES</w:t>
      </w:r>
      <w:bookmarkEnd w:id="19"/>
      <w:bookmarkEnd w:id="20"/>
    </w:p>
    <w:p w:rsidR="00C23FEA" w:rsidP="00DC4CB9" w14:paraId="305C6AFC" w14:textId="70D75E52">
      <w:pPr>
        <w:pStyle w:val="ParaNum"/>
        <w:widowControl/>
        <w:rPr>
          <w:szCs w:val="22"/>
        </w:rPr>
      </w:pPr>
      <w:r>
        <w:rPr>
          <w:szCs w:val="22"/>
        </w:rPr>
        <w:t>Accordingly</w:t>
      </w:r>
      <w:r w:rsidRPr="00C23FEA" w:rsidR="0042735F">
        <w:rPr>
          <w:szCs w:val="22"/>
        </w:rPr>
        <w:t xml:space="preserve">, </w:t>
      </w:r>
      <w:r w:rsidRPr="00C23FEA" w:rsidR="0042735F">
        <w:rPr>
          <w:b/>
          <w:szCs w:val="22"/>
        </w:rPr>
        <w:t>IT IS ORDERED</w:t>
      </w:r>
      <w:r w:rsidR="00006B79">
        <w:rPr>
          <w:szCs w:val="22"/>
        </w:rPr>
        <w:t xml:space="preserve"> that,</w:t>
      </w:r>
      <w:r w:rsidRPr="00C23FEA" w:rsidR="0042735F">
        <w:rPr>
          <w:szCs w:val="22"/>
        </w:rPr>
        <w:t xml:space="preserve"> pursuant to section 503(b) of the Act</w:t>
      </w:r>
      <w:r>
        <w:rPr>
          <w:rStyle w:val="FootnoteReference"/>
          <w:sz w:val="22"/>
          <w:szCs w:val="22"/>
        </w:rPr>
        <w:footnoteReference w:id="59"/>
      </w:r>
      <w:r w:rsidRPr="00C23FEA" w:rsidR="0042735F">
        <w:rPr>
          <w:szCs w:val="22"/>
        </w:rPr>
        <w:t xml:space="preserve"> and section 1.80 of the </w:t>
      </w:r>
      <w:r w:rsidR="00006B79">
        <w:rPr>
          <w:szCs w:val="22"/>
        </w:rPr>
        <w:t>Commission’s r</w:t>
      </w:r>
      <w:r w:rsidRPr="00C23FEA" w:rsidR="0042735F">
        <w:rPr>
          <w:szCs w:val="22"/>
        </w:rPr>
        <w:t>ules,</w:t>
      </w:r>
      <w:r>
        <w:rPr>
          <w:rStyle w:val="FootnoteReference"/>
          <w:spacing w:val="-2"/>
          <w:sz w:val="22"/>
          <w:szCs w:val="22"/>
        </w:rPr>
        <w:footnoteReference w:id="60"/>
      </w:r>
      <w:r w:rsidRPr="00C23FEA" w:rsidR="0042735F">
        <w:rPr>
          <w:szCs w:val="22"/>
        </w:rPr>
        <w:t xml:space="preserve"> </w:t>
      </w:r>
      <w:r w:rsidRPr="00C23FEA">
        <w:rPr>
          <w:szCs w:val="22"/>
        </w:rPr>
        <w:t>ESPN</w:t>
      </w:r>
      <w:r w:rsidRPr="00C23FEA" w:rsidR="00E27611">
        <w:rPr>
          <w:szCs w:val="22"/>
        </w:rPr>
        <w:t>, Inc.</w:t>
      </w:r>
      <w:r w:rsidRPr="00C23FEA" w:rsidR="0042735F">
        <w:rPr>
          <w:spacing w:val="-2"/>
          <w:szCs w:val="22"/>
        </w:rPr>
        <w:t xml:space="preserve"> is </w:t>
      </w:r>
      <w:r w:rsidRPr="00C23FEA" w:rsidR="0042735F">
        <w:rPr>
          <w:szCs w:val="22"/>
        </w:rPr>
        <w:t xml:space="preserve">hereby </w:t>
      </w:r>
      <w:r w:rsidRPr="00C23FEA" w:rsidR="0042735F">
        <w:rPr>
          <w:b/>
          <w:szCs w:val="22"/>
        </w:rPr>
        <w:t>NOTIFIED</w:t>
      </w:r>
      <w:r w:rsidRPr="00C23FEA" w:rsidR="0042735F">
        <w:rPr>
          <w:szCs w:val="22"/>
        </w:rPr>
        <w:t xml:space="preserve"> of </w:t>
      </w:r>
      <w:r w:rsidR="00006B79">
        <w:rPr>
          <w:szCs w:val="22"/>
        </w:rPr>
        <w:t>this</w:t>
      </w:r>
      <w:r w:rsidRPr="00C23FEA" w:rsidR="0042735F">
        <w:rPr>
          <w:szCs w:val="22"/>
        </w:rPr>
        <w:t xml:space="preserve"> </w:t>
      </w:r>
      <w:r w:rsidRPr="00C23FEA" w:rsidR="0042735F">
        <w:rPr>
          <w:b/>
          <w:szCs w:val="22"/>
        </w:rPr>
        <w:t>APPARENT LIABILITY FOR FORFEITURE</w:t>
      </w:r>
      <w:r w:rsidRPr="00C23FEA" w:rsidR="0042735F">
        <w:rPr>
          <w:szCs w:val="22"/>
        </w:rPr>
        <w:t xml:space="preserve"> in the amount of </w:t>
      </w:r>
      <w:r w:rsidR="00F419C4">
        <w:rPr>
          <w:szCs w:val="22"/>
        </w:rPr>
        <w:t>twenty</w:t>
      </w:r>
      <w:r w:rsidR="00006B79">
        <w:rPr>
          <w:szCs w:val="22"/>
        </w:rPr>
        <w:t xml:space="preserve"> thousand dollars </w:t>
      </w:r>
      <w:r w:rsidR="00CE7D3D">
        <w:rPr>
          <w:rStyle w:val="documentbody1"/>
          <w:rFonts w:ascii="Times New Roman" w:hAnsi="Times New Roman"/>
          <w:color w:val="000000"/>
          <w:sz w:val="22"/>
          <w:szCs w:val="22"/>
        </w:rPr>
        <w:t>$20,000</w:t>
      </w:r>
      <w:r w:rsidRPr="00C23FEA" w:rsidR="0042735F">
        <w:rPr>
          <w:szCs w:val="22"/>
        </w:rPr>
        <w:t xml:space="preserve"> for </w:t>
      </w:r>
      <w:r w:rsidRPr="00981F23" w:rsidR="00006B79">
        <w:t xml:space="preserve">willful violation of </w:t>
      </w:r>
      <w:r w:rsidR="00006B79">
        <w:t xml:space="preserve">section 11.45 </w:t>
      </w:r>
      <w:r w:rsidRPr="00981F23" w:rsidR="00006B79">
        <w:t xml:space="preserve">of the </w:t>
      </w:r>
      <w:r w:rsidR="00006B79">
        <w:t>Commission’s r</w:t>
      </w:r>
      <w:r w:rsidRPr="00981F23" w:rsidR="00006B79">
        <w:t>ules</w:t>
      </w:r>
      <w:r w:rsidRPr="00C23FEA">
        <w:rPr>
          <w:szCs w:val="22"/>
        </w:rPr>
        <w:t>.</w:t>
      </w:r>
      <w:r>
        <w:rPr>
          <w:rStyle w:val="FootnoteReference"/>
          <w:sz w:val="22"/>
          <w:szCs w:val="22"/>
        </w:rPr>
        <w:footnoteReference w:id="61"/>
      </w:r>
      <w:r w:rsidRPr="00C23FEA" w:rsidR="0042735F">
        <w:rPr>
          <w:szCs w:val="22"/>
        </w:rPr>
        <w:t xml:space="preserve"> </w:t>
      </w:r>
    </w:p>
    <w:p w:rsidR="00006B79" w:rsidRPr="00981F23" w:rsidP="00006B79" w14:paraId="78022768" w14:textId="12D98832">
      <w:pPr>
        <w:pStyle w:val="ParaNum"/>
        <w:rPr>
          <w:spacing w:val="-2"/>
        </w:rPr>
      </w:pPr>
      <w:r w:rsidRPr="00C23FEA">
        <w:rPr>
          <w:b/>
          <w:szCs w:val="22"/>
        </w:rPr>
        <w:t>IT IS FURTHER ORDERED</w:t>
      </w:r>
      <w:r>
        <w:rPr>
          <w:bCs/>
          <w:szCs w:val="22"/>
        </w:rPr>
        <w:t xml:space="preserve"> </w:t>
      </w:r>
      <w:r w:rsidRPr="00981F23">
        <w:t xml:space="preserve">that, pursuant to </w:t>
      </w:r>
      <w:r>
        <w:t>s</w:t>
      </w:r>
      <w:r w:rsidRPr="00981F23">
        <w:t>ection 1.80 of the</w:t>
      </w:r>
      <w:r>
        <w:t xml:space="preserve"> Commission’s r</w:t>
      </w:r>
      <w:r w:rsidRPr="00981F23">
        <w:t>ules,</w:t>
      </w:r>
      <w:r>
        <w:rPr>
          <w:vertAlign w:val="superscript"/>
        </w:rPr>
        <w:footnoteReference w:id="62"/>
      </w:r>
      <w:r w:rsidRPr="00981F23">
        <w:rPr>
          <w:vertAlign w:val="superscript"/>
        </w:rPr>
        <w:t xml:space="preserve"> </w:t>
      </w:r>
      <w:r w:rsidRPr="00981F23">
        <w:t>within thirty (30) calendar days of the release date of this Notice of Apparent Liability for Forfeiture,</w:t>
      </w:r>
      <w:r>
        <w:t xml:space="preserve"> ESPN, Inc.</w:t>
      </w:r>
      <w:r w:rsidRPr="00981F23">
        <w:t xml:space="preserve">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w:t>
      </w:r>
      <w:r w:rsidR="00CE7D3D">
        <w:t xml:space="preserve"> 25 </w:t>
      </w:r>
      <w:r w:rsidRPr="00981F23">
        <w:t>below.</w:t>
      </w:r>
    </w:p>
    <w:p w:rsidR="000803E2" w:rsidRPr="00981F23" w:rsidP="000803E2" w14:paraId="075E9795" w14:textId="77777777">
      <w:pPr>
        <w:pStyle w:val="ParaNum"/>
        <w:rPr>
          <w:spacing w:val="-2"/>
        </w:rPr>
      </w:pPr>
      <w:r w:rsidRPr="000803E2">
        <w:rPr>
          <w:szCs w:val="22"/>
        </w:rPr>
        <w:t>ES</w:t>
      </w:r>
      <w:r w:rsidRPr="000803E2" w:rsidR="000B156E">
        <w:rPr>
          <w:spacing w:val="-2"/>
          <w:szCs w:val="22"/>
        </w:rPr>
        <w:t>PN</w:t>
      </w:r>
      <w:r w:rsidRPr="000803E2" w:rsidR="009C1D4B">
        <w:rPr>
          <w:szCs w:val="22"/>
        </w:rPr>
        <w:t xml:space="preserve">, Inc. </w:t>
      </w:r>
      <w:r w:rsidRPr="000803E2" w:rsidR="0042735F">
        <w:rPr>
          <w:szCs w:val="22"/>
        </w:rPr>
        <w:t xml:space="preserve">shall send electronic notification of payment to </w:t>
      </w:r>
      <w:r w:rsidRPr="000803E2" w:rsidR="00E55184">
        <w:rPr>
          <w:szCs w:val="22"/>
        </w:rPr>
        <w:t xml:space="preserve">Jeffrey Gee at </w:t>
      </w:r>
      <w:r w:rsidRPr="00392B63" w:rsidR="0042735F">
        <w:rPr>
          <w:rStyle w:val="Hyperlink"/>
          <w:rFonts w:eastAsia="Calibri"/>
          <w:kern w:val="0"/>
        </w:rPr>
        <w:t>Jeffrey.Gee@fcc.gov</w:t>
      </w:r>
      <w:r w:rsidRPr="000803E2" w:rsidR="0042735F">
        <w:rPr>
          <w:szCs w:val="22"/>
        </w:rPr>
        <w:t xml:space="preserve">, </w:t>
      </w:r>
      <w:r w:rsidRPr="000803E2" w:rsidR="00E55184">
        <w:rPr>
          <w:szCs w:val="22"/>
        </w:rPr>
        <w:t>Christopher Sova at</w:t>
      </w:r>
      <w:r w:rsidRPr="00392B63" w:rsidR="00E55184">
        <w:rPr>
          <w:rStyle w:val="Hyperlink"/>
          <w:rFonts w:eastAsia="Calibri"/>
          <w:kern w:val="0"/>
        </w:rPr>
        <w:t xml:space="preserve"> </w:t>
      </w:r>
      <w:r w:rsidRPr="00392B63" w:rsidR="0042735F">
        <w:rPr>
          <w:rStyle w:val="Hyperlink"/>
          <w:rFonts w:eastAsia="Calibri"/>
          <w:kern w:val="0"/>
        </w:rPr>
        <w:t>Christopher.Sova@fcc.gov</w:t>
      </w:r>
      <w:r w:rsidRPr="000803E2" w:rsidR="0042735F">
        <w:rPr>
          <w:szCs w:val="22"/>
        </w:rPr>
        <w:t xml:space="preserve">, </w:t>
      </w:r>
      <w:r w:rsidRPr="000803E2" w:rsidR="000B156E">
        <w:rPr>
          <w:szCs w:val="22"/>
        </w:rPr>
        <w:t>Frederick Giroux</w:t>
      </w:r>
      <w:r w:rsidRPr="000803E2" w:rsidR="00E55184">
        <w:rPr>
          <w:szCs w:val="22"/>
        </w:rPr>
        <w:t xml:space="preserve"> at </w:t>
      </w:r>
      <w:r w:rsidRPr="00392B63" w:rsidR="000B156E">
        <w:rPr>
          <w:rStyle w:val="Hyperlink"/>
          <w:rFonts w:eastAsia="Calibri"/>
          <w:kern w:val="0"/>
        </w:rPr>
        <w:t>Frederick</w:t>
      </w:r>
      <w:r w:rsidRPr="00392B63" w:rsidR="0042735F">
        <w:rPr>
          <w:rStyle w:val="Hyperlink"/>
          <w:rFonts w:eastAsia="Calibri"/>
          <w:kern w:val="0"/>
        </w:rPr>
        <w:t>.</w:t>
      </w:r>
      <w:r w:rsidRPr="00392B63" w:rsidR="000B156E">
        <w:rPr>
          <w:rStyle w:val="Hyperlink"/>
          <w:rFonts w:eastAsia="Calibri"/>
          <w:kern w:val="0"/>
        </w:rPr>
        <w:t>Giroux</w:t>
      </w:r>
      <w:r w:rsidRPr="00392B63" w:rsidR="0042735F">
        <w:rPr>
          <w:rStyle w:val="Hyperlink"/>
          <w:rFonts w:eastAsia="Calibri"/>
          <w:kern w:val="0"/>
        </w:rPr>
        <w:t>@fcc.gov</w:t>
      </w:r>
      <w:r w:rsidRPr="000803E2" w:rsidR="0042735F">
        <w:rPr>
          <w:szCs w:val="22"/>
        </w:rPr>
        <w:t xml:space="preserve">, </w:t>
      </w:r>
      <w:r w:rsidRPr="000803E2" w:rsidR="000B156E">
        <w:rPr>
          <w:szCs w:val="22"/>
        </w:rPr>
        <w:t xml:space="preserve">and </w:t>
      </w:r>
      <w:r w:rsidRPr="000803E2" w:rsidR="005F708C">
        <w:rPr>
          <w:szCs w:val="22"/>
        </w:rPr>
        <w:t xml:space="preserve">Jennifer Lewis at </w:t>
      </w:r>
      <w:hyperlink r:id="rId5" w:history="1">
        <w:r w:rsidRPr="00392B63" w:rsidR="000B156E">
          <w:rPr>
            <w:rStyle w:val="Hyperlink"/>
            <w:rFonts w:eastAsia="Calibri"/>
            <w:kern w:val="0"/>
          </w:rPr>
          <w:t>Jennifer.Lewis@fcc.gov</w:t>
        </w:r>
      </w:hyperlink>
      <w:r w:rsidRPr="000803E2" w:rsidR="000B156E">
        <w:rPr>
          <w:szCs w:val="22"/>
        </w:rPr>
        <w:t xml:space="preserve"> </w:t>
      </w:r>
      <w:r w:rsidRPr="000803E2" w:rsidR="0042735F">
        <w:rPr>
          <w:szCs w:val="22"/>
        </w:rPr>
        <w:t xml:space="preserve">on the date said payment is made.  </w:t>
      </w:r>
      <w:r w:rsidRPr="00AD0726">
        <w:t xml:space="preserve">Payment of the </w:t>
      </w:r>
      <w:r>
        <w:t>forfeiture</w:t>
      </w:r>
      <w:r w:rsidRPr="00AD0726">
        <w:t xml:space="preserve"> 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63"/>
      </w:r>
      <w:r w:rsidRPr="00AD0726">
        <w:t xml:space="preserve"> or by wire transfer.  </w:t>
      </w:r>
      <w:r>
        <w:t xml:space="preserve">The Commission no longer accepts forfeiture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64"/>
      </w:r>
      <w:r w:rsidRPr="00981F23">
        <w:tab/>
      </w:r>
    </w:p>
    <w:p w:rsidR="000803E2" w:rsidRPr="000803E2" w:rsidP="000803E2" w14:paraId="6A71A347" w14:textId="1296B27B">
      <w:pPr>
        <w:pStyle w:val="ParaNum"/>
        <w:numPr>
          <w:ilvl w:val="0"/>
          <w:numId w:val="7"/>
        </w:numPr>
        <w:tabs>
          <w:tab w:val="clear" w:pos="1080"/>
        </w:tabs>
        <w:rPr>
          <w:rFonts w:eastAsia="MS Mincho"/>
          <w:szCs w:val="22"/>
        </w:rPr>
      </w:pPr>
      <w:r w:rsidRPr="00AD0726">
        <w:t xml:space="preserve">Payment by wire transfer must be made to ABA Number 021030004, receiving bank TREAS/NYC, and Account Number 27000001.  A completed Form 159 must be faxed to the Federal Communications Commission at 202-418-2843 or e-mailed to </w:t>
      </w:r>
      <w:r w:rsidRPr="00392B63">
        <w:rPr>
          <w:rStyle w:val="Hyperlink"/>
          <w:rFonts w:eastAsia="Calibri"/>
          <w:kern w:val="0"/>
        </w:rPr>
        <w:t>RROGWireFaxes@fcc.gov</w:t>
      </w:r>
      <w:r w:rsidRPr="00AD0726">
        <w:t xml:space="preserve"> 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“FORF” 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65"/>
      </w:r>
      <w:r w:rsidRPr="00AD0726">
        <w:t xml:space="preserve">  For additional detail and wire transfer instructions</w:t>
      </w:r>
      <w:r>
        <w:t>,</w:t>
      </w:r>
      <w:r w:rsidRPr="00AD0726">
        <w:t xml:space="preserve"> go to </w:t>
      </w:r>
      <w:hyperlink r:id="rId6" w:history="1">
        <w:r w:rsidRPr="000803E2">
          <w:rPr>
            <w:rStyle w:val="Hyperlink"/>
            <w:rFonts w:eastAsia="Calibri"/>
            <w:kern w:val="0"/>
          </w:rPr>
          <w:t>https://www.fcc.gov/licensing-databases/fees/wire-transfer</w:t>
        </w:r>
      </w:hyperlink>
      <w:r>
        <w:rPr>
          <w:rStyle w:val="Hyperlink"/>
          <w:rFonts w:eastAsia="Calibri"/>
          <w:kern w:val="0"/>
        </w:rPr>
        <w:t>.</w:t>
      </w:r>
    </w:p>
    <w:p w:rsidR="0042735F" w:rsidRPr="000803E2" w:rsidP="000803E2" w14:paraId="5456F36B" w14:textId="082342E5">
      <w:pPr>
        <w:pStyle w:val="ParaNum"/>
        <w:numPr>
          <w:ilvl w:val="0"/>
          <w:numId w:val="7"/>
        </w:numPr>
        <w:tabs>
          <w:tab w:val="clear" w:pos="1080"/>
        </w:tabs>
        <w:rPr>
          <w:rFonts w:eastAsia="MS Mincho"/>
          <w:szCs w:val="22"/>
        </w:rPr>
      </w:pPr>
      <w:r w:rsidRPr="00AD0726">
        <w:t xml:space="preserve">Payment by credit card must be made by using the </w:t>
      </w:r>
      <w:r>
        <w:t xml:space="preserve">Commission’s </w:t>
      </w:r>
      <w:r w:rsidRPr="00AD0726">
        <w:t xml:space="preserve">Fee Filer website at </w:t>
      </w:r>
      <w:hyperlink r:id="rId7" w:history="1">
        <w:r w:rsidRPr="0088797D">
          <w:rPr>
            <w:rStyle w:val="Hyperlink"/>
          </w:rPr>
          <w:t>https://apps.fcc.gov/FeeFiler/login.cfm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NAL Account – the bill number is the NAL Account number with the first two digits excluded</w:t>
      </w:r>
      <w:r>
        <w:t xml:space="preserve"> – and then choose </w:t>
      </w:r>
      <w:r w:rsidRPr="00AD0726">
        <w:t>the “Pay by Credit Card” option.  Please note</w:t>
      </w:r>
      <w:r>
        <w:t xml:space="preserve"> that</w:t>
      </w:r>
      <w:r w:rsidRPr="00AD0726">
        <w:t xml:space="preserve"> there is a $24,999.99</w:t>
      </w:r>
      <w:r>
        <w:t xml:space="preserve"> </w:t>
      </w:r>
      <w:r w:rsidRPr="00AD0726">
        <w:t>limit on credit card transactions</w:t>
      </w:r>
      <w:r w:rsidRPr="000803E2">
        <w:rPr>
          <w:rFonts w:eastAsia="MS Mincho"/>
          <w:szCs w:val="22"/>
        </w:rPr>
        <w:t xml:space="preserve">.  </w:t>
      </w:r>
    </w:p>
    <w:p w:rsidR="0042735F" w:rsidRPr="00E76D83" w:rsidP="0042735F" w14:paraId="26C54463" w14:textId="64B21374">
      <w:pPr>
        <w:pStyle w:val="ParaNum"/>
        <w:numPr>
          <w:ilvl w:val="0"/>
          <w:numId w:val="7"/>
        </w:numPr>
        <w:rPr>
          <w:rFonts w:eastAsia="MS Mincho"/>
          <w:szCs w:val="22"/>
        </w:rPr>
      </w:pPr>
      <w:r w:rsidRPr="00AD0726">
        <w:t>Payment by ACH</w:t>
      </w:r>
      <w:r>
        <w:t xml:space="preserve"> </w:t>
      </w:r>
      <w:r w:rsidRPr="00AD0726">
        <w:t xml:space="preserve">must be made by using the Commission’s Fee Filer website at </w:t>
      </w:r>
      <w:hyperlink r:id="rId7" w:history="1">
        <w:r w:rsidRPr="000803E2">
          <w:rPr>
            <w:rStyle w:val="Hyperlink"/>
            <w:rFonts w:eastAsia="Calibri"/>
            <w:kern w:val="0"/>
          </w:rPr>
          <w:t>https://apps.fcc.gov/FeeFiler/login.cfm</w:t>
        </w:r>
      </w:hyperlink>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this process for each FRN. </w:t>
      </w:r>
      <w:r>
        <w:t xml:space="preserve"> Next, </w:t>
      </w:r>
      <w:r w:rsidRPr="00AD0726">
        <w:t xml:space="preserve">select “Pay bills” on the Fee Filer Menu and then select the bill number associated to the </w:t>
      </w:r>
      <w:r w:rsidRPr="00AD0726">
        <w:t>NAL Account – the bill number is the NAL Account number 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r w:rsidRPr="00E76D83">
        <w:rPr>
          <w:rFonts w:eastAsia="MS Mincho"/>
          <w:szCs w:val="22"/>
        </w:rPr>
        <w:t xml:space="preserve">.  </w:t>
      </w:r>
    </w:p>
    <w:p w:rsidR="0042735F" w:rsidRPr="00E76D83" w:rsidP="003E711C" w14:paraId="5D22EBD9" w14:textId="2667D20C">
      <w:pPr>
        <w:pStyle w:val="ParaNum"/>
        <w:rPr>
          <w:szCs w:val="22"/>
        </w:rPr>
      </w:pPr>
      <w:r w:rsidRPr="00981F23">
        <w:t xml:space="preserve">Any request for making full payment over time under an installment plan should be sent to:  Chief Financial Officer—Financial Operations, Federal Communications Commission, </w:t>
      </w:r>
      <w:r>
        <w:t xml:space="preserve">45 L </w:t>
      </w:r>
      <w:r w:rsidRPr="00981F23">
        <w:t xml:space="preserve">Street, </w:t>
      </w:r>
      <w:r>
        <w:t>NE</w:t>
      </w:r>
      <w:r w:rsidRPr="00981F23">
        <w:t>, Washington, D</w:t>
      </w:r>
      <w:r w:rsidR="00DD182C">
        <w:t>.</w:t>
      </w:r>
      <w:r w:rsidRPr="00981F23">
        <w:t>C</w:t>
      </w:r>
      <w:r w:rsidR="00DD182C">
        <w:t>.</w:t>
      </w:r>
      <w:r w:rsidRPr="00981F23">
        <w:t xml:space="preserve"> 20554.</w:t>
      </w:r>
      <w:r>
        <w:rPr>
          <w:rStyle w:val="FootnoteReference"/>
          <w:szCs w:val="22"/>
        </w:rPr>
        <w:footnoteReference w:id="66"/>
      </w:r>
      <w:r w:rsidRPr="00981F23">
        <w:t xml:space="preserve">  </w:t>
      </w:r>
      <w:r>
        <w:t>Q</w:t>
      </w:r>
      <w:r w:rsidRPr="00981F23">
        <w:t>uestion</w:t>
      </w:r>
      <w:r>
        <w:t xml:space="preserve">s regarding payment procedures </w:t>
      </w:r>
      <w:r w:rsidRPr="00981F23">
        <w:t xml:space="preserve">should </w:t>
      </w:r>
      <w:r>
        <w:t>be directed to</w:t>
      </w:r>
      <w:r w:rsidRPr="00981F23">
        <w:t xml:space="preserve"> the Financial Operations Group Help Desk by phone, 1-877-480-3201, or by e-mail, </w:t>
      </w:r>
      <w:hyperlink r:id="rId8" w:history="1">
        <w:r w:rsidRPr="00CE4FAD">
          <w:rPr>
            <w:rStyle w:val="Hyperlink"/>
          </w:rPr>
          <w:t>ARINQUIRIES@fcc.gov</w:t>
        </w:r>
      </w:hyperlink>
      <w:r w:rsidRPr="00E76D83">
        <w:rPr>
          <w:rFonts w:eastAsia="MS Mincho"/>
          <w:szCs w:val="22"/>
        </w:rPr>
        <w:t>.</w:t>
      </w:r>
    </w:p>
    <w:p w:rsidR="00C2448B" w:rsidRPr="00E76D83" w:rsidP="00F0574F" w14:paraId="7D910E35" w14:textId="170EAC69">
      <w:pPr>
        <w:pStyle w:val="ParaNum"/>
        <w:widowControl/>
        <w:rPr>
          <w:szCs w:val="22"/>
        </w:rPr>
      </w:pPr>
      <w:r w:rsidRPr="00E76D83">
        <w:rPr>
          <w:szCs w:val="22"/>
        </w:rPr>
        <w:t xml:space="preserve">The written statement seeking reduction or cancellation of the proposed forfeiture, if any, must include a detailed factual statement supported by appropriate documentation and affidavits pursuant to sections 1.16 and 1.80(f)(3) of the </w:t>
      </w:r>
      <w:r w:rsidR="00700C76">
        <w:rPr>
          <w:szCs w:val="22"/>
        </w:rPr>
        <w:t>Commission’s rules</w:t>
      </w:r>
      <w:r w:rsidRPr="00E76D83">
        <w:rPr>
          <w:szCs w:val="22"/>
        </w:rPr>
        <w:t>.</w:t>
      </w:r>
      <w:r>
        <w:rPr>
          <w:rStyle w:val="FootnoteReference"/>
          <w:sz w:val="22"/>
          <w:szCs w:val="22"/>
        </w:rPr>
        <w:footnoteReference w:id="67"/>
      </w:r>
      <w:r w:rsidRPr="00E76D83">
        <w:rPr>
          <w:szCs w:val="22"/>
        </w:rPr>
        <w:t xml:space="preserve">  The written statement must be mailed to the Office of the Secretary, Federal Communications Commission, </w:t>
      </w:r>
      <w:r w:rsidR="00A66C37">
        <w:rPr>
          <w:szCs w:val="22"/>
        </w:rPr>
        <w:t>45 L Street, NE</w:t>
      </w:r>
      <w:r w:rsidRPr="00E76D83">
        <w:rPr>
          <w:szCs w:val="22"/>
        </w:rPr>
        <w:t>, Washington, D</w:t>
      </w:r>
      <w:r w:rsidR="00DD182C">
        <w:rPr>
          <w:szCs w:val="22"/>
        </w:rPr>
        <w:t>.</w:t>
      </w:r>
      <w:r w:rsidRPr="00E76D83">
        <w:rPr>
          <w:szCs w:val="22"/>
        </w:rPr>
        <w:t>C</w:t>
      </w:r>
      <w:r w:rsidR="00DD182C">
        <w:rPr>
          <w:szCs w:val="22"/>
        </w:rPr>
        <w:t>.</w:t>
      </w:r>
      <w:r w:rsidRPr="00E76D83">
        <w:rPr>
          <w:szCs w:val="22"/>
        </w:rPr>
        <w:t xml:space="preserve"> 20554, ATTN:  Enforcement Bureau – Investigations &amp; Hearings Division, and must include the NAL/Account Number referenced in the caption.  The statement must also be e-mailed to </w:t>
      </w:r>
      <w:r w:rsidRPr="00E76D83" w:rsidR="006B573C">
        <w:rPr>
          <w:szCs w:val="22"/>
        </w:rPr>
        <w:t xml:space="preserve">Jeffrey Gee at </w:t>
      </w:r>
      <w:r w:rsidRPr="00392B63" w:rsidR="006B573C">
        <w:rPr>
          <w:rStyle w:val="Hyperlink"/>
          <w:rFonts w:eastAsia="Calibri"/>
          <w:kern w:val="0"/>
        </w:rPr>
        <w:t>Jeffrey.Gee@fcc.gov</w:t>
      </w:r>
      <w:r w:rsidRPr="00E76D83" w:rsidR="006B573C">
        <w:rPr>
          <w:szCs w:val="22"/>
        </w:rPr>
        <w:t xml:space="preserve">, Christopher Sova at </w:t>
      </w:r>
      <w:r w:rsidRPr="00392B63" w:rsidR="006B573C">
        <w:rPr>
          <w:rStyle w:val="Hyperlink"/>
          <w:rFonts w:eastAsia="Calibri"/>
          <w:kern w:val="0"/>
        </w:rPr>
        <w:t>Christopher.Sova@fcc.gov</w:t>
      </w:r>
      <w:r w:rsidRPr="00E76D83" w:rsidR="006B573C">
        <w:rPr>
          <w:szCs w:val="22"/>
        </w:rPr>
        <w:t xml:space="preserve">, </w:t>
      </w:r>
      <w:r w:rsidR="000B156E">
        <w:rPr>
          <w:szCs w:val="22"/>
        </w:rPr>
        <w:t>Frederick Giroux</w:t>
      </w:r>
      <w:r w:rsidRPr="00E76D83" w:rsidR="006B573C">
        <w:rPr>
          <w:szCs w:val="22"/>
        </w:rPr>
        <w:t xml:space="preserve"> at </w:t>
      </w:r>
      <w:r w:rsidRPr="00392B63" w:rsidR="000B156E">
        <w:rPr>
          <w:rStyle w:val="Hyperlink"/>
          <w:rFonts w:eastAsia="Calibri"/>
          <w:kern w:val="0"/>
        </w:rPr>
        <w:t>Frederick</w:t>
      </w:r>
      <w:r w:rsidRPr="00392B63" w:rsidR="006B573C">
        <w:rPr>
          <w:rStyle w:val="Hyperlink"/>
          <w:rFonts w:eastAsia="Calibri"/>
          <w:kern w:val="0"/>
        </w:rPr>
        <w:t>.</w:t>
      </w:r>
      <w:r w:rsidRPr="00392B63" w:rsidR="000B156E">
        <w:rPr>
          <w:rStyle w:val="Hyperlink"/>
          <w:rFonts w:eastAsia="Calibri"/>
          <w:kern w:val="0"/>
        </w:rPr>
        <w:t>Giroux</w:t>
      </w:r>
      <w:r w:rsidRPr="00392B63" w:rsidR="006B573C">
        <w:rPr>
          <w:rStyle w:val="Hyperlink"/>
          <w:rFonts w:eastAsia="Calibri"/>
          <w:kern w:val="0"/>
        </w:rPr>
        <w:t>@fcc.gov</w:t>
      </w:r>
      <w:r w:rsidRPr="00E76D83" w:rsidR="006B573C">
        <w:rPr>
          <w:szCs w:val="22"/>
        </w:rPr>
        <w:t xml:space="preserve">, </w:t>
      </w:r>
      <w:r w:rsidR="000B156E">
        <w:rPr>
          <w:szCs w:val="22"/>
        </w:rPr>
        <w:t xml:space="preserve">and </w:t>
      </w:r>
      <w:r w:rsidRPr="00E76D83" w:rsidR="006B573C">
        <w:rPr>
          <w:szCs w:val="22"/>
        </w:rPr>
        <w:t xml:space="preserve">Jennifer Lewis at </w:t>
      </w:r>
      <w:r w:rsidRPr="00392B63" w:rsidR="006B573C">
        <w:rPr>
          <w:rStyle w:val="Hyperlink"/>
          <w:rFonts w:eastAsia="Calibri"/>
          <w:kern w:val="0"/>
        </w:rPr>
        <w:t>Jennifer.Lewis@fcc.gov</w:t>
      </w:r>
      <w:r w:rsidRPr="00E76D83">
        <w:rPr>
          <w:szCs w:val="22"/>
        </w:rPr>
        <w:t xml:space="preserve">.  </w:t>
      </w:r>
    </w:p>
    <w:p w:rsidR="000803E2" w:rsidRPr="00981F23" w:rsidP="000803E2" w14:paraId="6FB81F50" w14:textId="432202A9">
      <w:pPr>
        <w:pStyle w:val="ParaNum"/>
      </w:pPr>
      <w:r w:rsidRPr="00981F23">
        <w:t>The Commission will not consider reducing or canceling a forfeiture in response to a claim of inability to pay unless the petitioner submits</w:t>
      </w:r>
      <w:r>
        <w:t xml:space="preserve"> the following documentation</w:t>
      </w:r>
      <w:r w:rsidRPr="00981F23">
        <w:t xml:space="preserve">:  (1) federal tax returns for the </w:t>
      </w:r>
      <w:r>
        <w:t>past three years</w:t>
      </w:r>
      <w:r w:rsidRPr="00981F23">
        <w:t xml:space="preserve">; (2) financial statements </w:t>
      </w:r>
      <w:r>
        <w:t xml:space="preserve">for the past three years </w:t>
      </w:r>
      <w:r w:rsidRPr="00981F23">
        <w:t>prepared according to generally accepted accounting practices; or (3)</w:t>
      </w:r>
      <w:r>
        <w:t> </w:t>
      </w:r>
      <w:r w:rsidRPr="00981F23">
        <w:t>some other reliable and objective documentation that accurately reflects the petitioner’s current financial status.</w:t>
      </w:r>
      <w:r>
        <w:rPr>
          <w:rStyle w:val="FootnoteReference"/>
        </w:rPr>
        <w:footnoteReference w:id="68"/>
      </w:r>
      <w:r w:rsidRPr="00981F23">
        <w:t xml:space="preserve">  Any claim of inability to pay must specifically identify the basis for the claim by reference to the financial documentation.</w:t>
      </w:r>
      <w:r>
        <w:t xml:space="preserve">  </w:t>
      </w:r>
    </w:p>
    <w:p w:rsidR="0042735F" w:rsidRPr="00E76D83" w:rsidP="001E70CC" w14:paraId="38B4AF15" w14:textId="3DD2DD31">
      <w:pPr>
        <w:pStyle w:val="ParaNum"/>
        <w:widowControl/>
        <w:rPr>
          <w:szCs w:val="22"/>
        </w:rPr>
      </w:pPr>
      <w:r w:rsidRPr="00E76D83">
        <w:rPr>
          <w:b/>
          <w:szCs w:val="22"/>
        </w:rPr>
        <w:t xml:space="preserve">IT IS FURTHER ORDERED </w:t>
      </w:r>
      <w:r w:rsidRPr="00E76D83" w:rsidR="0087512E">
        <w:rPr>
          <w:szCs w:val="22"/>
        </w:rPr>
        <w:t xml:space="preserve">that a copy of this Notice of Apparent Liability for Forfeiture shall be sent by first class mail and certified mail, return receipt requested, to </w:t>
      </w:r>
      <w:r w:rsidR="005B354C">
        <w:rPr>
          <w:szCs w:val="22"/>
        </w:rPr>
        <w:t>Susan L. Fox, Vice President, Government Relations, The Walt Disney Company, 425 Third Street, SW, Suite 1100, Washington D</w:t>
      </w:r>
      <w:r w:rsidR="00DD182C">
        <w:rPr>
          <w:szCs w:val="22"/>
        </w:rPr>
        <w:t>.</w:t>
      </w:r>
      <w:r w:rsidR="005B354C">
        <w:rPr>
          <w:szCs w:val="22"/>
        </w:rPr>
        <w:t>C</w:t>
      </w:r>
      <w:r w:rsidR="00DD182C">
        <w:rPr>
          <w:szCs w:val="22"/>
        </w:rPr>
        <w:t>.</w:t>
      </w:r>
      <w:r w:rsidR="005B354C">
        <w:rPr>
          <w:szCs w:val="22"/>
        </w:rPr>
        <w:t xml:space="preserve"> 20024</w:t>
      </w:r>
      <w:r w:rsidR="00643FC5">
        <w:rPr>
          <w:szCs w:val="22"/>
        </w:rPr>
        <w:t xml:space="preserve"> and to </w:t>
      </w:r>
      <w:r w:rsidR="005B354C">
        <w:t>ESPN’s</w:t>
      </w:r>
      <w:r w:rsidRPr="007E3B16" w:rsidR="00643FC5">
        <w:t xml:space="preserve"> </w:t>
      </w:r>
      <w:r w:rsidR="005B354C">
        <w:t>attorneys</w:t>
      </w:r>
      <w:r w:rsidRPr="007E3B16" w:rsidR="00643FC5">
        <w:t>,</w:t>
      </w:r>
      <w:r w:rsidR="00643FC5">
        <w:t xml:space="preserve"> </w:t>
      </w:r>
      <w:r w:rsidR="005B354C">
        <w:t xml:space="preserve">Matthew S. </w:t>
      </w:r>
      <w:r w:rsidR="005B354C">
        <w:t>DelNero</w:t>
      </w:r>
      <w:r w:rsidR="005B354C">
        <w:t>, Esq. and Corey Walker, Esq., Covington &amp; Burling LLP, One CityCenter, 850 Tenth Street, NW, Washington, D</w:t>
      </w:r>
      <w:r w:rsidR="00DD182C">
        <w:t>.</w:t>
      </w:r>
      <w:r w:rsidR="005B354C">
        <w:t>C</w:t>
      </w:r>
      <w:r w:rsidR="00DD182C">
        <w:t>.</w:t>
      </w:r>
      <w:r w:rsidR="005B354C">
        <w:t xml:space="preserve"> 20001-4956. </w:t>
      </w:r>
    </w:p>
    <w:p w:rsidR="0042735F" w:rsidRPr="00E76D83" w:rsidP="00EC30DC" w14:paraId="06AD824A" w14:textId="77777777">
      <w:pPr>
        <w:widowControl/>
        <w:tabs>
          <w:tab w:val="left" w:pos="0"/>
        </w:tabs>
        <w:suppressAutoHyphens/>
        <w:spacing w:line="240" w:lineRule="atLeast"/>
        <w:rPr>
          <w:spacing w:val="-2"/>
          <w:szCs w:val="22"/>
        </w:rPr>
      </w:pPr>
    </w:p>
    <w:p w:rsidR="0042735F" w:rsidRPr="00E76D83" w:rsidP="00DD182C" w14:paraId="496BF333" w14:textId="3C2C76A3">
      <w:r w:rsidRPr="00E76D83">
        <w:tab/>
      </w:r>
      <w:r w:rsidRPr="00E76D83">
        <w:tab/>
      </w:r>
      <w:r w:rsidRPr="00E76D83">
        <w:tab/>
      </w:r>
      <w:r w:rsidRPr="00E76D83">
        <w:tab/>
      </w:r>
      <w:r w:rsidRPr="00E76D83">
        <w:tab/>
      </w:r>
      <w:r w:rsidRPr="00E76D83" w:rsidR="00DA6E03">
        <w:tab/>
      </w:r>
      <w:r w:rsidRPr="00E76D83">
        <w:t>FEDERAL COMMUNICATIONS COMMISSION</w:t>
      </w:r>
    </w:p>
    <w:p w:rsidR="0042735F" w:rsidRPr="00E76D83" w:rsidP="00DD182C" w14:paraId="4D5DCCB5" w14:textId="77777777"/>
    <w:p w:rsidR="0042735F" w:rsidRPr="00E76D83" w:rsidP="00DD182C" w14:paraId="22832C26" w14:textId="77777777"/>
    <w:p w:rsidR="0042735F" w:rsidRPr="00E76D83" w:rsidP="00DD182C" w14:paraId="1D4172F7" w14:textId="77777777"/>
    <w:p w:rsidR="0042735F" w:rsidRPr="00E76D83" w:rsidP="00DD182C" w14:paraId="72E43A4E" w14:textId="77777777"/>
    <w:p w:rsidR="00412FC5" w:rsidP="00DD182C" w14:paraId="7A221D6E" w14:textId="4A63680A">
      <w:r w:rsidRPr="00E76D83">
        <w:tab/>
      </w:r>
      <w:r w:rsidRPr="00E76D83">
        <w:tab/>
      </w:r>
      <w:r w:rsidRPr="00E76D83">
        <w:tab/>
      </w:r>
      <w:r w:rsidRPr="00E76D83">
        <w:tab/>
      </w:r>
      <w:r w:rsidRPr="00E76D83">
        <w:tab/>
      </w:r>
      <w:r w:rsidRPr="00E76D83" w:rsidR="00DA6E03">
        <w:tab/>
      </w:r>
      <w:r w:rsidR="00A66C37">
        <w:t>Rosemary C. Harold</w:t>
      </w:r>
    </w:p>
    <w:p w:rsidR="00A66C37" w:rsidP="00DD182C" w14:paraId="43C4AFCB" w14:textId="76D9EBDE">
      <w:r>
        <w:tab/>
      </w:r>
      <w:r>
        <w:tab/>
      </w:r>
      <w:r>
        <w:tab/>
      </w:r>
      <w:r>
        <w:tab/>
      </w:r>
      <w:r>
        <w:tab/>
      </w:r>
      <w:r>
        <w:tab/>
        <w:t>Chief</w:t>
      </w:r>
    </w:p>
    <w:p w:rsidR="00A66C37" w:rsidRPr="00E76D83" w:rsidP="00DD182C" w14:paraId="213A964A" w14:textId="5AD440B0">
      <w:r>
        <w:tab/>
      </w:r>
      <w:r>
        <w:tab/>
      </w:r>
      <w:r>
        <w:tab/>
      </w:r>
      <w:r>
        <w:tab/>
      </w:r>
      <w:r>
        <w:tab/>
      </w:r>
      <w:r>
        <w:tab/>
        <w:t>Enforcement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48A" w:rsidP="0055614C" w14:paraId="078CA1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9B048A" w14:paraId="39156D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48A" w14:paraId="6862412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48A" w:rsidRPr="001B7291" w:rsidP="004B160A" w14:paraId="7D1A084B" w14:textId="0FF449AD">
    <w:pPr>
      <w:pStyle w:val="Footer"/>
      <w:tabs>
        <w:tab w:val="clear" w:pos="8640"/>
      </w:tabs>
      <w:rPr>
        <w:b/>
        <w:i/>
      </w:rPr>
    </w:pPr>
    <w:r w:rsidRPr="001B7291">
      <w:rPr>
        <w:b/>
        <w:i/>
      </w:rPr>
      <w:tab/>
    </w:r>
    <w:r w:rsidRPr="001B7291">
      <w:rPr>
        <w:b/>
        <w:i/>
      </w:rPr>
      <w:tab/>
    </w:r>
    <w:r w:rsidRPr="001B7291">
      <w:rPr>
        <w:b/>
        <w:i/>
      </w:rPr>
      <w:tab/>
    </w:r>
    <w:r w:rsidRPr="001B7291">
      <w:rPr>
        <w:b/>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59F9" w14:paraId="7019F570" w14:textId="77777777">
      <w:r>
        <w:separator/>
      </w:r>
    </w:p>
  </w:footnote>
  <w:footnote w:type="continuationSeparator" w:id="1">
    <w:p w:rsidR="00A559F9" w:rsidP="00C721AC" w14:paraId="59B3C46B" w14:textId="77777777">
      <w:pPr>
        <w:spacing w:before="120"/>
        <w:rPr>
          <w:sz w:val="20"/>
        </w:rPr>
      </w:pPr>
      <w:r>
        <w:rPr>
          <w:sz w:val="20"/>
        </w:rPr>
        <w:t xml:space="preserve">(Continued from previous page)  </w:t>
      </w:r>
      <w:r>
        <w:rPr>
          <w:sz w:val="20"/>
        </w:rPr>
        <w:separator/>
      </w:r>
    </w:p>
  </w:footnote>
  <w:footnote w:type="continuationNotice" w:id="2">
    <w:p w:rsidR="00A559F9" w:rsidP="00C721AC" w14:paraId="231BD27C" w14:textId="77777777">
      <w:pPr>
        <w:jc w:val="right"/>
        <w:rPr>
          <w:sz w:val="20"/>
        </w:rPr>
      </w:pPr>
      <w:r>
        <w:rPr>
          <w:sz w:val="20"/>
        </w:rPr>
        <w:t>(continued….)</w:t>
      </w:r>
    </w:p>
  </w:footnote>
  <w:footnote w:id="3">
    <w:p w:rsidR="009B048A" w:rsidRPr="00E76D83" w:rsidP="00377FAF" w14:paraId="68AFF05C" w14:textId="2A7E2F40">
      <w:pPr>
        <w:pStyle w:val="FootnoteText"/>
      </w:pPr>
      <w:r w:rsidRPr="00E76D83">
        <w:rPr>
          <w:rStyle w:val="FootnoteReference"/>
        </w:rPr>
        <w:footnoteRef/>
      </w:r>
      <w:r w:rsidRPr="00E76D83">
        <w:t xml:space="preserve"> </w:t>
      </w:r>
      <w:r w:rsidR="00FD1276">
        <w:rPr>
          <w:i/>
          <w:iCs/>
        </w:rPr>
        <w:t xml:space="preserve">See </w:t>
      </w:r>
      <w:r w:rsidRPr="00B72004" w:rsidR="00033B1D">
        <w:rPr>
          <w:i/>
        </w:rPr>
        <w:t>CBS Broadcasting Inc. d/b/a CBS Television Network, CBS Television Stations, Inc., CBS Stations Group of Texas LLC, CBS LITV LLC</w:t>
      </w:r>
      <w:r w:rsidRPr="00B72004" w:rsidR="00033B1D">
        <w:t xml:space="preserve">, Notice of Apparent Liability for Forfeiture, </w:t>
      </w:r>
      <w:r w:rsidRPr="0098155F" w:rsidR="00033B1D">
        <w:t xml:space="preserve">34 FCC </w:t>
      </w:r>
      <w:r w:rsidRPr="0098155F" w:rsidR="00033B1D">
        <w:t>Rcd</w:t>
      </w:r>
      <w:r w:rsidRPr="0098155F" w:rsidR="00033B1D">
        <w:t xml:space="preserve"> 8417</w:t>
      </w:r>
      <w:r w:rsidRPr="00B72004" w:rsidR="00033B1D">
        <w:t xml:space="preserve">, </w:t>
      </w:r>
      <w:r w:rsidRPr="0098155F" w:rsidR="00033B1D">
        <w:t>841</w:t>
      </w:r>
      <w:r w:rsidRPr="0098155F" w:rsidR="0098155F">
        <w:t>7</w:t>
      </w:r>
      <w:r w:rsidRPr="0098155F" w:rsidR="00033B1D">
        <w:t>,</w:t>
      </w:r>
      <w:r w:rsidRPr="00B72004" w:rsidR="00033B1D">
        <w:t xml:space="preserve"> para. </w:t>
      </w:r>
      <w:r w:rsidR="00A244D8">
        <w:t>1</w:t>
      </w:r>
      <w:r w:rsidRPr="00B72004" w:rsidR="00033B1D">
        <w:t xml:space="preserve"> (2019) (forfeiture paid) </w:t>
      </w:r>
      <w:r w:rsidRPr="00FE0490" w:rsidR="00033B1D">
        <w:t>(</w:t>
      </w:r>
      <w:r w:rsidRPr="00FE0490" w:rsidR="00033B1D">
        <w:rPr>
          <w:i/>
        </w:rPr>
        <w:t>CBS NAL</w:t>
      </w:r>
      <w:r w:rsidRPr="00FE0490" w:rsidR="00033B1D">
        <w:t>)</w:t>
      </w:r>
      <w:r w:rsidRPr="00B72004" w:rsidR="00033B1D">
        <w:t xml:space="preserve">; </w:t>
      </w:r>
      <w:r w:rsidRPr="00E76D83">
        <w:t xml:space="preserve">FEMA, Fact Sheet: Emergency Alert System (EAS) (2016), </w:t>
      </w:r>
      <w:hyperlink r:id="rId1" w:history="1">
        <w:r w:rsidRPr="00E76D83">
          <w:rPr>
            <w:rStyle w:val="Hyperlink"/>
          </w:rPr>
          <w:t>https://www.fema.gov/media-library-data/1465326763240-4152791226bbd49cf46aff8cd5f43bb1/Emergency_Alert_System_Fact_Sheet_2016.pdf</w:t>
        </w:r>
      </w:hyperlink>
      <w:r w:rsidRPr="00E76D83">
        <w:t>.</w:t>
      </w:r>
      <w:r w:rsidR="00DF4A0F">
        <w:t>)</w:t>
      </w:r>
      <w:r w:rsidRPr="00E76D83">
        <w:t xml:space="preserve"> </w:t>
      </w:r>
    </w:p>
  </w:footnote>
  <w:footnote w:id="4">
    <w:p w:rsidR="009B048A" w:rsidRPr="00DF4A0F" w:rsidP="00377FAF" w14:paraId="5A63B7D5" w14:textId="1A449792">
      <w:pPr>
        <w:pStyle w:val="FootnoteText"/>
        <w:rPr>
          <w:iCs/>
        </w:rPr>
      </w:pPr>
      <w:r w:rsidRPr="00E76D83">
        <w:rPr>
          <w:rStyle w:val="FootnoteReference"/>
        </w:rPr>
        <w:footnoteRef/>
      </w:r>
      <w:r w:rsidRPr="00E76D83">
        <w:t xml:space="preserve"> </w:t>
      </w:r>
      <w:r w:rsidR="006C6301">
        <w:rPr>
          <w:i/>
        </w:rPr>
        <w:t xml:space="preserve">CBS NAL </w:t>
      </w:r>
      <w:r w:rsidR="006C6301">
        <w:rPr>
          <w:iCs/>
        </w:rPr>
        <w:t>at 8417, para. 1</w:t>
      </w:r>
      <w:r w:rsidR="00DF4A0F">
        <w:rPr>
          <w:iCs/>
        </w:rPr>
        <w:t xml:space="preserve">.  </w:t>
      </w:r>
    </w:p>
  </w:footnote>
  <w:footnote w:id="5">
    <w:p w:rsidR="009B048A" w:rsidRPr="00E76D83" w14:paraId="5EE8C2B7" w14:textId="1EBC0E66">
      <w:pPr>
        <w:pStyle w:val="FootnoteText"/>
      </w:pPr>
      <w:r w:rsidRPr="00E76D83">
        <w:rPr>
          <w:rStyle w:val="FootnoteReference"/>
        </w:rPr>
        <w:footnoteRef/>
      </w:r>
      <w:r w:rsidRPr="00E76D83">
        <w:t xml:space="preserve"> A “simulation” of the EAS tones includes not only recordings of actual EAS Codes or Attention Signals, </w:t>
      </w:r>
      <w:r w:rsidRPr="00E76D83">
        <w:rPr>
          <w:i/>
        </w:rPr>
        <w:t>see</w:t>
      </w:r>
      <w:r w:rsidRPr="00E76D83">
        <w:t xml:space="preserve"> 47 CFR § 11.31, but also sounds that mimic or are substantially similar to them, such that an average listener could reasonably mistake the sounds for an actual EAS code or Attention Signal.  </w:t>
      </w:r>
      <w:r w:rsidRPr="00E76D83">
        <w:rPr>
          <w:i/>
        </w:rPr>
        <w:t xml:space="preserve">Emergency Alert System: False, Fraudulent or Unauthorized Use of the Emergency Alert System Attention Signal and Codes is Strictly Prohibited, </w:t>
      </w:r>
      <w:r w:rsidRPr="00E76D83">
        <w:t xml:space="preserve">Public Notice, 28 FCC </w:t>
      </w:r>
      <w:r w:rsidRPr="00E76D83">
        <w:t>Rcd</w:t>
      </w:r>
      <w:r w:rsidRPr="00E76D83">
        <w:t xml:space="preserve"> 15438, 15440 (EB 2013) (</w:t>
      </w:r>
      <w:r>
        <w:rPr>
          <w:i/>
          <w:iCs/>
        </w:rPr>
        <w:t xml:space="preserve">2013 </w:t>
      </w:r>
      <w:r w:rsidRPr="00E76D83">
        <w:rPr>
          <w:i/>
        </w:rPr>
        <w:t>EAS Enforcement Advisory</w:t>
      </w:r>
      <w:r w:rsidRPr="00E76D83">
        <w:t xml:space="preserve">).  By contrast, general </w:t>
      </w:r>
      <w:r w:rsidRPr="00E76D83">
        <w:t>alarms</w:t>
      </w:r>
      <w:r w:rsidRPr="00E76D83">
        <w:t xml:space="preserve"> or other loud noises, including bells and police or fire sirens, are not considered “simulations” of the EAS tones and are not prohibited under section 11.45 of the </w:t>
      </w:r>
      <w:r w:rsidR="000F46D7">
        <w:t>Commission’s rules</w:t>
      </w:r>
      <w:r w:rsidRPr="00E76D83">
        <w:t xml:space="preserve">.  </w:t>
      </w:r>
      <w:r w:rsidRPr="00E76D83">
        <w:rPr>
          <w:i/>
        </w:rPr>
        <w:t>Id.</w:t>
      </w:r>
      <w:r w:rsidRPr="00E76D83">
        <w:t xml:space="preserve">  </w:t>
      </w:r>
    </w:p>
  </w:footnote>
  <w:footnote w:id="6">
    <w:p w:rsidR="0098155F" w14:paraId="07F60B6B" w14:textId="2993E9D4">
      <w:pPr>
        <w:pStyle w:val="FootnoteText"/>
      </w:pPr>
      <w:r>
        <w:rPr>
          <w:rStyle w:val="FootnoteReference"/>
        </w:rPr>
        <w:footnoteRef/>
      </w:r>
      <w:r>
        <w:t xml:space="preserve"> </w:t>
      </w:r>
      <w:r w:rsidRPr="00EC4F25">
        <w:t>Permitted uses of the EAS are limited to alerts of actual emergencies, authorized tests of the EAS, or qualified PSAs (collectively Permitted Uses). </w:t>
      </w:r>
      <w:r>
        <w:t xml:space="preserve"> </w:t>
      </w:r>
      <w:r w:rsidRPr="00EC4F25">
        <w:rPr>
          <w:i/>
          <w:iCs/>
        </w:rPr>
        <w:t>See</w:t>
      </w:r>
      <w:r w:rsidR="00C96B1B">
        <w:t xml:space="preserve"> 47 CFR </w:t>
      </w:r>
      <w:r w:rsidRPr="00E76D83" w:rsidR="00C96B1B">
        <w:t>§ 11.45</w:t>
      </w:r>
      <w:r w:rsidR="00C96B1B">
        <w:t xml:space="preserve">.  </w:t>
      </w:r>
    </w:p>
  </w:footnote>
  <w:footnote w:id="7">
    <w:p w:rsidR="009B048A" w:rsidRPr="00E76D83" w:rsidP="00970B71" w14:paraId="42041986" w14:textId="29B4E482">
      <w:pPr>
        <w:pStyle w:val="FootnoteText"/>
      </w:pPr>
      <w:r w:rsidRPr="00E76D83">
        <w:rPr>
          <w:rStyle w:val="FootnoteReference"/>
        </w:rPr>
        <w:footnoteRef/>
      </w:r>
      <w:r w:rsidRPr="00E76D83">
        <w:t xml:space="preserve"> </w:t>
      </w:r>
      <w:r w:rsidRPr="00E76D83">
        <w:rPr>
          <w:i/>
        </w:rPr>
        <w:t>See, e.g.,</w:t>
      </w:r>
      <w:r w:rsidRPr="00E76D83">
        <w:t xml:space="preserve"> </w:t>
      </w:r>
      <w:r w:rsidR="00A44631">
        <w:rPr>
          <w:i/>
          <w:iCs/>
        </w:rPr>
        <w:t xml:space="preserve">CBS NAL </w:t>
      </w:r>
      <w:r w:rsidR="00A44631">
        <w:t xml:space="preserve">at 8418, para. 2; </w:t>
      </w:r>
      <w:r w:rsidRPr="00E76D83">
        <w:rPr>
          <w:i/>
        </w:rPr>
        <w:t>Amendment of Part 11 of the Commission</w:t>
      </w:r>
      <w:r>
        <w:rPr>
          <w:i/>
        </w:rPr>
        <w:t>’</w:t>
      </w:r>
      <w:r w:rsidRPr="00E76D83">
        <w:rPr>
          <w:i/>
        </w:rPr>
        <w:t>s Rules Regarding the Emergency Alert System, Wireless Emergency Alerts</w:t>
      </w:r>
      <w:r w:rsidRPr="00E76D83">
        <w:t xml:space="preserve">, PS Docket Nos. 15-94, 15-91, Report and Order and Further Notice of Proposed Rulemaking, 33 FCC </w:t>
      </w:r>
      <w:r w:rsidRPr="00E76D83">
        <w:t>Rcd</w:t>
      </w:r>
      <w:r w:rsidRPr="00E76D83">
        <w:t xml:space="preserve"> 7086, 7091, para. 9 (2018); </w:t>
      </w:r>
      <w:r>
        <w:rPr>
          <w:i/>
          <w:iCs/>
        </w:rPr>
        <w:t xml:space="preserve">2013 </w:t>
      </w:r>
      <w:r w:rsidRPr="00E76D83">
        <w:rPr>
          <w:i/>
        </w:rPr>
        <w:t>EAS Enforcement Advisory</w:t>
      </w:r>
      <w:r w:rsidRPr="00E76D83">
        <w:t>,</w:t>
      </w:r>
      <w:r w:rsidRPr="00E76D83">
        <w:rPr>
          <w:i/>
        </w:rPr>
        <w:t xml:space="preserve"> </w:t>
      </w:r>
      <w:r w:rsidRPr="00E76D83">
        <w:t xml:space="preserve">28 FCC </w:t>
      </w:r>
      <w:r w:rsidRPr="00E76D83">
        <w:t>Rcd</w:t>
      </w:r>
      <w:r w:rsidRPr="00E76D83">
        <w:t xml:space="preserve"> at 15438.</w:t>
      </w:r>
    </w:p>
  </w:footnote>
  <w:footnote w:id="8">
    <w:p w:rsidR="009B048A" w:rsidRPr="00E76D83" w:rsidP="0042735F" w14:paraId="6273D25D" w14:textId="54778385">
      <w:pPr>
        <w:pStyle w:val="FootnoteText"/>
      </w:pPr>
      <w:r w:rsidRPr="00E76D83">
        <w:rPr>
          <w:rStyle w:val="FootnoteReference"/>
        </w:rPr>
        <w:footnoteRef/>
      </w:r>
      <w:r w:rsidRPr="00E76D83">
        <w:t xml:space="preserve"> </w:t>
      </w:r>
      <w:r w:rsidRPr="00E76D83">
        <w:rPr>
          <w:i/>
        </w:rPr>
        <w:t xml:space="preserve">See </w:t>
      </w:r>
      <w:r w:rsidRPr="00E76D83">
        <w:t xml:space="preserve">47 CFR § 11.31(a).  The EAS uses a four-part message for an emergency activation.  The four parts are: Preamble and EAS Header Codes; audio Attention Signal; message; and Preamble and EAS End of Message (EOM) Codes.  </w:t>
      </w:r>
      <w:r w:rsidRPr="00E76D83">
        <w:rPr>
          <w:i/>
        </w:rPr>
        <w:t xml:space="preserve">Id.  </w:t>
      </w:r>
      <w:r w:rsidRPr="00E76D83">
        <w:t xml:space="preserve">The component sounds of an EAS message serve the dual purposes of gaining the listener’s or viewer’s attention and conveying specially coded information for the equipment that is activated by the EAS message as part of an actual emergency or authorized test.  In particular, the EAS codes consist of audible sounds in which encoded information concerning the </w:t>
      </w:r>
      <w:r w:rsidR="00B14169">
        <w:t>specific</w:t>
      </w:r>
      <w:r w:rsidRPr="00E76D83">
        <w:t xml:space="preserve"> alert is embedded.  The separate EAS Attention Signal that follows the EAS codes is composed of two tones that are transmitted simultaneously.  </w:t>
      </w:r>
      <w:r w:rsidRPr="00E76D83">
        <w:rPr>
          <w:i/>
        </w:rPr>
        <w:t>Id.</w:t>
      </w:r>
    </w:p>
  </w:footnote>
  <w:footnote w:id="9">
    <w:p w:rsidR="009B048A" w:rsidRPr="00E76D83" w14:paraId="26D4CFAF" w14:textId="4F22FF1A">
      <w:pPr>
        <w:pStyle w:val="FootnoteText"/>
      </w:pPr>
      <w:r w:rsidRPr="00E76D83">
        <w:rPr>
          <w:rStyle w:val="FootnoteReference"/>
        </w:rPr>
        <w:footnoteRef/>
      </w:r>
      <w:r w:rsidRPr="00E76D83">
        <w:t xml:space="preserve"> </w:t>
      </w:r>
      <w:r w:rsidRPr="00E76D83">
        <w:rPr>
          <w:i/>
        </w:rPr>
        <w:t xml:space="preserve">See </w:t>
      </w:r>
      <w:r w:rsidRPr="00E76D83">
        <w:t>47 CFR § 11.45.</w:t>
      </w:r>
    </w:p>
  </w:footnote>
  <w:footnote w:id="10">
    <w:p w:rsidR="009B048A" w:rsidRPr="00E76D83" w14:paraId="165AD47B" w14:textId="1FDC0053">
      <w:pPr>
        <w:pStyle w:val="FootnoteText"/>
      </w:pPr>
      <w:r w:rsidRPr="00E76D83">
        <w:rPr>
          <w:rStyle w:val="FootnoteReference"/>
        </w:rPr>
        <w:footnoteRef/>
      </w:r>
      <w:r w:rsidRPr="00E76D83">
        <w:t xml:space="preserve"> </w:t>
      </w:r>
      <w:r w:rsidRPr="00E76D83">
        <w:rPr>
          <w:i/>
        </w:rPr>
        <w:t xml:space="preserve">See </w:t>
      </w:r>
      <w:r w:rsidRPr="00E76D83">
        <w:t xml:space="preserve">Response to Letter of Inquiry, from </w:t>
      </w:r>
      <w:r>
        <w:t xml:space="preserve">Matthew S. </w:t>
      </w:r>
      <w:r>
        <w:t>DelNero</w:t>
      </w:r>
      <w:r>
        <w:t xml:space="preserve"> and Corey Walker,</w:t>
      </w:r>
      <w:r w:rsidRPr="00E76D83">
        <w:t xml:space="preserve"> Counsel to </w:t>
      </w:r>
      <w:r>
        <w:t>ESPN</w:t>
      </w:r>
      <w:r w:rsidRPr="00E76D83">
        <w:t xml:space="preserve">, Inc., to </w:t>
      </w:r>
      <w:r>
        <w:t>Jennifer Lewis Hershman, Attorney Advisor, Investigations and Hearings, Enforcement Bureau, Federal Communications Commission</w:t>
      </w:r>
      <w:r w:rsidRPr="00E76D83">
        <w:t xml:space="preserve">, </w:t>
      </w:r>
      <w:r>
        <w:t>p</w:t>
      </w:r>
      <w:r w:rsidR="00B14169">
        <w:t>p</w:t>
      </w:r>
      <w:r>
        <w:t xml:space="preserve">. 2-4, </w:t>
      </w:r>
      <w:r w:rsidRPr="00E76D83">
        <w:t>Responses to Questions 3-5 (</w:t>
      </w:r>
      <w:r>
        <w:t>Mar</w:t>
      </w:r>
      <w:r w:rsidRPr="00E76D83">
        <w:t xml:space="preserve">. </w:t>
      </w:r>
      <w:r>
        <w:t>17</w:t>
      </w:r>
      <w:r w:rsidRPr="00E76D83">
        <w:t>, 20</w:t>
      </w:r>
      <w:r>
        <w:t>21</w:t>
      </w:r>
      <w:r w:rsidRPr="00E76D83">
        <w:t>) (on file in EB-IHD-</w:t>
      </w:r>
      <w:r>
        <w:t>21</w:t>
      </w:r>
      <w:r w:rsidRPr="00E76D83">
        <w:t>-</w:t>
      </w:r>
      <w:r>
        <w:t>00031798</w:t>
      </w:r>
      <w:r w:rsidRPr="00E76D83">
        <w:t>) (LOI Response).</w:t>
      </w:r>
      <w:r>
        <w:t xml:space="preserve"> </w:t>
      </w:r>
      <w:r w:rsidRPr="00AC64D6">
        <w:rPr>
          <w:szCs w:val="22"/>
        </w:rPr>
        <w:t xml:space="preserve">ESPN </w:t>
      </w:r>
      <w:r w:rsidR="003A7491">
        <w:rPr>
          <w:szCs w:val="22"/>
        </w:rPr>
        <w:t xml:space="preserve">also </w:t>
      </w:r>
      <w:r w:rsidRPr="00AC64D6">
        <w:rPr>
          <w:szCs w:val="22"/>
        </w:rPr>
        <w:t>made the program available</w:t>
      </w:r>
      <w:r w:rsidR="00EE5814">
        <w:rPr>
          <w:szCs w:val="22"/>
        </w:rPr>
        <w:t xml:space="preserve"> to MVPDs to offer</w:t>
      </w:r>
      <w:r w:rsidRPr="00AC64D6">
        <w:rPr>
          <w:szCs w:val="22"/>
        </w:rPr>
        <w:t xml:space="preserve"> as a free Video on Demand (VOD) and to certain VOD</w:t>
      </w:r>
      <w:r>
        <w:rPr>
          <w:szCs w:val="22"/>
        </w:rPr>
        <w:t xml:space="preserve"> streaming</w:t>
      </w:r>
      <w:r w:rsidRPr="00AC64D6">
        <w:rPr>
          <w:szCs w:val="22"/>
        </w:rPr>
        <w:t xml:space="preserve"> services.</w:t>
      </w:r>
      <w:r>
        <w:rPr>
          <w:szCs w:val="22"/>
        </w:rPr>
        <w:t xml:space="preserve"> </w:t>
      </w:r>
      <w:r>
        <w:rPr>
          <w:i/>
          <w:iCs/>
          <w:szCs w:val="22"/>
        </w:rPr>
        <w:t>Id</w:t>
      </w:r>
      <w:r>
        <w:rPr>
          <w:szCs w:val="22"/>
        </w:rPr>
        <w:t xml:space="preserve"> at p. 9, Response to Question 13. </w:t>
      </w:r>
      <w:r w:rsidRPr="00AC64D6">
        <w:rPr>
          <w:szCs w:val="22"/>
        </w:rPr>
        <w:t xml:space="preserve">  </w:t>
      </w:r>
    </w:p>
  </w:footnote>
  <w:footnote w:id="11">
    <w:p w:rsidR="009B048A" w:rsidRPr="00E76D83" w:rsidP="007B167A" w14:paraId="52C91871" w14:textId="1214EEF4">
      <w:pPr>
        <w:pStyle w:val="FootnoteText"/>
      </w:pPr>
      <w:r w:rsidRPr="00E76D83">
        <w:rPr>
          <w:rStyle w:val="FootnoteReference"/>
        </w:rPr>
        <w:footnoteRef/>
      </w:r>
      <w:r w:rsidRPr="00E76D83">
        <w:t xml:space="preserve"> </w:t>
      </w:r>
      <w:r w:rsidRPr="00E76D83">
        <w:rPr>
          <w:i/>
        </w:rPr>
        <w:t>See generally</w:t>
      </w:r>
      <w:r w:rsidRPr="001533AA">
        <w:rPr>
          <w:i/>
          <w:iCs/>
        </w:rPr>
        <w:t xml:space="preserve"> False, Fraudulent, or Unauthorized Use of the Emergency Alert System or Wireless Emergency Alert Codes or Attention Signals is Strictly Prohibited</w:t>
      </w:r>
      <w:r w:rsidRPr="001533AA">
        <w:t xml:space="preserve">, Public Notice, 34 FCC </w:t>
      </w:r>
      <w:r w:rsidRPr="001533AA">
        <w:t>Rcd</w:t>
      </w:r>
      <w:r w:rsidRPr="001533AA">
        <w:t xml:space="preserve"> 7041 (EB 2019)</w:t>
      </w:r>
      <w:r w:rsidR="00D6711C">
        <w:t xml:space="preserve"> (enforcement advisory promoting understanding of the regulations governing the appropriate use of EAS Tones); </w:t>
      </w:r>
      <w:r w:rsidRPr="00E76D83" w:rsidR="00D6711C">
        <w:rPr>
          <w:i/>
        </w:rPr>
        <w:t>Viacom, Inc</w:t>
      </w:r>
      <w:r w:rsidR="00D6711C">
        <w:rPr>
          <w:i/>
        </w:rPr>
        <w:t>., ESPN, Inc.</w:t>
      </w:r>
      <w:r w:rsidRPr="00E76D83" w:rsidR="00D6711C">
        <w:t xml:space="preserve">, Forfeiture Order, 30 FCC </w:t>
      </w:r>
      <w:r w:rsidRPr="00E76D83" w:rsidR="00D6711C">
        <w:t>Rcd</w:t>
      </w:r>
      <w:r w:rsidRPr="00E76D83" w:rsidR="00D6711C">
        <w:t xml:space="preserve"> 797 (2015)</w:t>
      </w:r>
      <w:r w:rsidR="00D6711C">
        <w:t xml:space="preserve"> (forfeiture paid)</w:t>
      </w:r>
      <w:r w:rsidRPr="00E76D83" w:rsidR="00D6711C">
        <w:t xml:space="preserve"> </w:t>
      </w:r>
      <w:r w:rsidR="00985F05">
        <w:t>(</w:t>
      </w:r>
      <w:r w:rsidRPr="00985F05" w:rsidR="00985F05">
        <w:t xml:space="preserve">affirming findings that Viacom and ESPN committed violations of </w:t>
      </w:r>
      <w:r w:rsidR="00985F05">
        <w:t>the Commission’s rules</w:t>
      </w:r>
      <w:r w:rsidRPr="00985F05" w:rsidR="00985F05">
        <w:t xml:space="preserve"> by transmitting or causing transmission of</w:t>
      </w:r>
      <w:r w:rsidR="00985F05">
        <w:t xml:space="preserve"> </w:t>
      </w:r>
      <w:r w:rsidRPr="00071AF3" w:rsidR="00985F05">
        <w:t>EAS</w:t>
      </w:r>
      <w:r w:rsidR="00985F05">
        <w:t xml:space="preserve"> T</w:t>
      </w:r>
      <w:r w:rsidRPr="00985F05" w:rsidR="00985F05">
        <w:t>one</w:t>
      </w:r>
      <w:r w:rsidR="00071AF3">
        <w:t>s</w:t>
      </w:r>
      <w:r w:rsidRPr="00985F05" w:rsidR="00985F05">
        <w:t xml:space="preserve"> in a promotional announcement for the movie, “Olympus Has Fallen,” on cable networks) </w:t>
      </w:r>
      <w:r w:rsidRPr="00E76D83" w:rsidR="00D6711C">
        <w:t>(</w:t>
      </w:r>
      <w:bookmarkStart w:id="5" w:name="_Hlk75442754"/>
      <w:r w:rsidRPr="00E76D83" w:rsidR="00D6711C">
        <w:rPr>
          <w:i/>
        </w:rPr>
        <w:t>Viacom</w:t>
      </w:r>
      <w:r w:rsidR="00D6711C">
        <w:rPr>
          <w:i/>
        </w:rPr>
        <w:t>/ESPN</w:t>
      </w:r>
      <w:r w:rsidRPr="00E76D83" w:rsidR="00D6711C">
        <w:rPr>
          <w:i/>
        </w:rPr>
        <w:t xml:space="preserve"> Forfeiture Order</w:t>
      </w:r>
      <w:bookmarkEnd w:id="5"/>
      <w:r w:rsidRPr="00E76D83" w:rsidR="00D6711C">
        <w:t>)</w:t>
      </w:r>
      <w:r w:rsidR="00D6711C">
        <w:t xml:space="preserve">; </w:t>
      </w:r>
      <w:r w:rsidR="00D6711C">
        <w:rPr>
          <w:i/>
          <w:iCs/>
        </w:rPr>
        <w:t xml:space="preserve">2013 </w:t>
      </w:r>
      <w:r w:rsidRPr="00E76D83" w:rsidR="00D6711C">
        <w:rPr>
          <w:i/>
        </w:rPr>
        <w:t>EAS Enforcement Advisory</w:t>
      </w:r>
      <w:r w:rsidR="00E952C4">
        <w:rPr>
          <w:i/>
        </w:rPr>
        <w:t xml:space="preserve">, </w:t>
      </w:r>
      <w:r w:rsidR="00E952C4">
        <w:rPr>
          <w:iCs/>
        </w:rPr>
        <w:t xml:space="preserve">28 FCC </w:t>
      </w:r>
      <w:r w:rsidR="00E952C4">
        <w:rPr>
          <w:iCs/>
        </w:rPr>
        <w:t>Rcd</w:t>
      </w:r>
      <w:r w:rsidR="00E952C4">
        <w:rPr>
          <w:iCs/>
        </w:rPr>
        <w:t xml:space="preserve"> 1543</w:t>
      </w:r>
      <w:r w:rsidR="00985F05">
        <w:rPr>
          <w:i/>
        </w:rPr>
        <w:t xml:space="preserve"> </w:t>
      </w:r>
      <w:r w:rsidR="00985F05">
        <w:rPr>
          <w:iCs/>
        </w:rPr>
        <w:t xml:space="preserve">(promoting </w:t>
      </w:r>
      <w:r w:rsidR="00071AF3">
        <w:rPr>
          <w:iCs/>
        </w:rPr>
        <w:t>understanding of the laws governing appropriate use of EAS Tones to address concerns about misuse of EAS Tones aired in order to capture audience attention when there is no actual emergency or test)</w:t>
      </w:r>
      <w:r w:rsidR="006657A0">
        <w:t xml:space="preserve">  </w:t>
      </w:r>
      <w:r w:rsidR="006657A0">
        <w:rPr>
          <w:i/>
          <w:iCs/>
        </w:rPr>
        <w:t>See also</w:t>
      </w:r>
      <w:r w:rsidR="00FA3732">
        <w:t xml:space="preserve"> </w:t>
      </w:r>
      <w:r w:rsidRPr="004B7250" w:rsidR="00FA3732">
        <w:rPr>
          <w:i/>
          <w:iCs/>
        </w:rPr>
        <w:t xml:space="preserve">Enforcement Bureau Reminds </w:t>
      </w:r>
      <w:r w:rsidR="00D16C17">
        <w:rPr>
          <w:i/>
          <w:iCs/>
        </w:rPr>
        <w:t>Emergency Alert System (</w:t>
      </w:r>
      <w:r w:rsidRPr="004B7250" w:rsidR="00FA3732">
        <w:rPr>
          <w:i/>
          <w:iCs/>
        </w:rPr>
        <w:t>EAS</w:t>
      </w:r>
      <w:r w:rsidR="00D16C17">
        <w:rPr>
          <w:i/>
          <w:iCs/>
        </w:rPr>
        <w:t>)</w:t>
      </w:r>
      <w:r w:rsidRPr="004B7250" w:rsidR="00FA3732">
        <w:rPr>
          <w:i/>
          <w:iCs/>
        </w:rPr>
        <w:t xml:space="preserve"> Participants of Compliance Obligation</w:t>
      </w:r>
      <w:r w:rsidR="00E952C4">
        <w:rPr>
          <w:i/>
          <w:iCs/>
        </w:rPr>
        <w:t>s</w:t>
      </w:r>
      <w:r w:rsidR="00FA3732">
        <w:t xml:space="preserve">, </w:t>
      </w:r>
      <w:r w:rsidR="00B92FF1">
        <w:t xml:space="preserve">Public Notice, </w:t>
      </w:r>
      <w:r w:rsidR="00FA3732">
        <w:t xml:space="preserve">36 FCC </w:t>
      </w:r>
      <w:r w:rsidR="00FA3732">
        <w:t>Rcd</w:t>
      </w:r>
      <w:r w:rsidR="00FA3732">
        <w:t xml:space="preserve"> 44</w:t>
      </w:r>
      <w:r w:rsidR="00D6711C">
        <w:t>, 47</w:t>
      </w:r>
      <w:r w:rsidR="00FA3732">
        <w:t xml:space="preserve"> (EB 2021)</w:t>
      </w:r>
      <w:r w:rsidR="00D6711C">
        <w:t xml:space="preserve"> (reiterating that failure to comply with the EAS rules may subject a violator to sanctions, including monetary forfeitures)</w:t>
      </w:r>
      <w:r w:rsidRPr="001533AA">
        <w:t xml:space="preserve">.  </w:t>
      </w:r>
    </w:p>
  </w:footnote>
  <w:footnote w:id="12">
    <w:p w:rsidR="009B048A" w:rsidRPr="00E76D83" w:rsidP="00D86AA9" w14:paraId="354BF36D" w14:textId="77777777">
      <w:pPr>
        <w:pStyle w:val="FootnoteText"/>
      </w:pPr>
      <w:r w:rsidRPr="00E76D83">
        <w:rPr>
          <w:rStyle w:val="FootnoteReference"/>
        </w:rPr>
        <w:footnoteRef/>
      </w:r>
      <w:r w:rsidRPr="00E76D83">
        <w:rPr>
          <w:i/>
        </w:rPr>
        <w:t xml:space="preserve"> </w:t>
      </w:r>
      <w:r w:rsidRPr="00E76D83">
        <w:t xml:space="preserve">47 U.S.C. § 503(b)(1)(B); </w:t>
      </w:r>
      <w:r w:rsidRPr="00E76D83">
        <w:rPr>
          <w:i/>
        </w:rPr>
        <w:t xml:space="preserve">see also </w:t>
      </w:r>
      <w:r w:rsidRPr="00E76D83">
        <w:t xml:space="preserve">47 CFR § 1.80(a)(2).  </w:t>
      </w:r>
    </w:p>
  </w:footnote>
  <w:footnote w:id="13">
    <w:p w:rsidR="009B048A" w:rsidRPr="00E76D83" w:rsidP="00D86AA9" w14:paraId="3DC66102" w14:textId="77777777">
      <w:pPr>
        <w:pStyle w:val="FootnoteText"/>
      </w:pPr>
      <w:r w:rsidRPr="00E76D83">
        <w:rPr>
          <w:rStyle w:val="FootnoteReference"/>
        </w:rPr>
        <w:footnoteRef/>
      </w:r>
      <w:r w:rsidRPr="00E76D83">
        <w:t xml:space="preserve"> 47 U.S.C. § 312(f)(1).</w:t>
      </w:r>
    </w:p>
  </w:footnote>
  <w:footnote w:id="14">
    <w:p w:rsidR="009B048A" w:rsidRPr="00E76D83" w:rsidP="00D86AA9" w14:paraId="7E845D58" w14:textId="579A8253">
      <w:pPr>
        <w:pStyle w:val="FootnoteText"/>
      </w:pPr>
      <w:r w:rsidRPr="00E76D83">
        <w:rPr>
          <w:rStyle w:val="FootnoteReference"/>
        </w:rPr>
        <w:footnoteRef/>
      </w:r>
      <w:r w:rsidRPr="00E76D83">
        <w:t xml:space="preserve"> H.R. Rep. No. 97-765, 97th Cong. 2d Sess. 51 (1982) (“</w:t>
      </w:r>
      <w:r w:rsidRPr="00E76D83">
        <w:rPr>
          <w:rStyle w:val="documentbody"/>
        </w:rPr>
        <w:t xml:space="preserve">This provision [inserted in </w:t>
      </w:r>
      <w:r>
        <w:rPr>
          <w:rStyle w:val="documentbody"/>
        </w:rPr>
        <w:t>s</w:t>
      </w:r>
      <w:r w:rsidRPr="00E76D83">
        <w:rPr>
          <w:rStyle w:val="documentbody"/>
        </w:rPr>
        <w:t xml:space="preserve">ection 312] defines the terms ‘willful’ and ‘repeated’ for purposes of section </w:t>
      </w:r>
      <w:r w:rsidRPr="00E76D83">
        <w:rPr>
          <w:rStyle w:val="searchterm"/>
        </w:rPr>
        <w:t>312</w:t>
      </w:r>
      <w:r w:rsidRPr="00E76D83">
        <w:rPr>
          <w:rStyle w:val="documentbody"/>
        </w:rPr>
        <w:t xml:space="preserve">, and for any other relevant section of the act (e.g., </w:t>
      </w:r>
      <w:r>
        <w:rPr>
          <w:rStyle w:val="documentbody"/>
        </w:rPr>
        <w:t>[s]</w:t>
      </w:r>
      <w:r w:rsidRPr="00E76D83">
        <w:rPr>
          <w:rStyle w:val="documentbody"/>
        </w:rPr>
        <w:t>ection</w:t>
      </w:r>
      <w:r w:rsidRPr="00E76D83">
        <w:rPr>
          <w:rStyle w:val="documentbody"/>
        </w:rPr>
        <w:t xml:space="preserve"> 503)   . . . .  As </w:t>
      </w:r>
      <w:r w:rsidRPr="00E76D83">
        <w:rPr>
          <w:rStyle w:val="documentbody"/>
        </w:rPr>
        <w:t>defined[</w:t>
      </w:r>
      <w:r w:rsidRPr="00E76D83">
        <w:rPr>
          <w:rStyle w:val="documentbody"/>
        </w:rPr>
        <w:t xml:space="preserve">,] . . . </w:t>
      </w:r>
      <w:r w:rsidR="0016465C">
        <w:rPr>
          <w:rStyle w:val="documentbody"/>
        </w:rPr>
        <w:t>.</w:t>
      </w:r>
      <w:r w:rsidRPr="00E76D83">
        <w:rPr>
          <w:rStyle w:val="documentbody"/>
        </w:rPr>
        <w:t xml:space="preserve">‘willful’ means that the licensee knew that he was doing the act in question, regardless of whether there was an intent to violate the law.  ‘Repeated’ means more than once, or where the act is continuous, for more than one day.  Whether an act </w:t>
      </w:r>
      <w:r w:rsidRPr="00E76D83">
        <w:rPr>
          <w:rStyle w:val="documentbody"/>
        </w:rPr>
        <w:t>is considered to be</w:t>
      </w:r>
      <w:r w:rsidRPr="00E76D83">
        <w:rPr>
          <w:rStyle w:val="documentbody"/>
        </w:rPr>
        <w:t xml:space="preserve"> ‘continuous’ would depend upon the circumstances in each case.  The definitions are intended primarily to clarify the language in </w:t>
      </w:r>
      <w:r>
        <w:rPr>
          <w:rStyle w:val="documentbody"/>
        </w:rPr>
        <w:t>[s]</w:t>
      </w:r>
      <w:r w:rsidRPr="00E76D83">
        <w:rPr>
          <w:rStyle w:val="documentbody"/>
        </w:rPr>
        <w:t>ections</w:t>
      </w:r>
      <w:r w:rsidRPr="00E76D83">
        <w:rPr>
          <w:rStyle w:val="documentbody"/>
        </w:rPr>
        <w:t xml:space="preserve"> </w:t>
      </w:r>
      <w:r w:rsidRPr="00E76D83">
        <w:rPr>
          <w:rStyle w:val="searchterm"/>
        </w:rPr>
        <w:t>312</w:t>
      </w:r>
      <w:r w:rsidRPr="00E76D83">
        <w:rPr>
          <w:rStyle w:val="documentbody"/>
        </w:rPr>
        <w:t xml:space="preserve"> and 503, and are consistent with the Commission’s application of those terms </w:t>
      </w:r>
      <w:r w:rsidRPr="00E76D83">
        <w:rPr>
          <w:rStyle w:val="documentbody"/>
        </w:rPr>
        <w:t>. . . .</w:t>
      </w:r>
      <w:r w:rsidRPr="00E76D83">
        <w:rPr>
          <w:rStyle w:val="documentbody"/>
        </w:rPr>
        <w:t>”)</w:t>
      </w:r>
      <w:r w:rsidRPr="00E76D83">
        <w:t>.</w:t>
      </w:r>
    </w:p>
  </w:footnote>
  <w:footnote w:id="15">
    <w:p w:rsidR="009B048A" w:rsidRPr="00E76D83" w:rsidP="00D86AA9" w14:paraId="36FDEE15" w14:textId="43AE92A8">
      <w:pPr>
        <w:pStyle w:val="FootnoteText"/>
      </w:pPr>
      <w:r w:rsidRPr="00E76D83">
        <w:rPr>
          <w:rStyle w:val="FootnoteReference"/>
        </w:rPr>
        <w:footnoteRef/>
      </w:r>
      <w:r w:rsidRPr="00E76D83">
        <w:t xml:space="preserve"> </w:t>
      </w:r>
      <w:r w:rsidRPr="00E76D83">
        <w:rPr>
          <w:i/>
          <w:iCs/>
        </w:rPr>
        <w:t>See, e.g.</w:t>
      </w:r>
      <w:r w:rsidRPr="0037110C">
        <w:rPr>
          <w:i/>
        </w:rPr>
        <w:t>,</w:t>
      </w:r>
      <w:r w:rsidRPr="00E76D83">
        <w:rPr>
          <w:i/>
          <w:iCs/>
        </w:rPr>
        <w:t xml:space="preserve"> Southern California Broadcasting Co.</w:t>
      </w:r>
      <w:r w:rsidRPr="00E76D83">
        <w:t xml:space="preserve">, Memorandum Opinion and Order, 6 FCC </w:t>
      </w:r>
      <w:r w:rsidRPr="00E76D83">
        <w:t>Rcd</w:t>
      </w:r>
      <w:r w:rsidRPr="00E76D83">
        <w:t xml:space="preserve"> 4387, 4388, para. 5 (1991), </w:t>
      </w:r>
      <w:r w:rsidRPr="00E76D83">
        <w:rPr>
          <w:i/>
        </w:rPr>
        <w:t>recons. denied</w:t>
      </w:r>
      <w:r w:rsidRPr="00E76D83">
        <w:t xml:space="preserve">, 7 FCC </w:t>
      </w:r>
      <w:r w:rsidRPr="00E76D83">
        <w:t>Rcd</w:t>
      </w:r>
      <w:r w:rsidRPr="00E76D83">
        <w:t xml:space="preserve"> 3454 (1992).</w:t>
      </w:r>
    </w:p>
  </w:footnote>
  <w:footnote w:id="16">
    <w:p w:rsidR="000947C5" w14:paraId="2DA659A5" w14:textId="7671DB24">
      <w:pPr>
        <w:pStyle w:val="FootnoteText"/>
      </w:pPr>
      <w:r>
        <w:rPr>
          <w:rStyle w:val="FootnoteReference"/>
        </w:rPr>
        <w:footnoteRef/>
      </w:r>
      <w:r>
        <w:t xml:space="preserve"> </w:t>
      </w:r>
      <w:r w:rsidRPr="00217856">
        <w:t>47 U.S.C. § 503(b)</w:t>
      </w:r>
      <w:r w:rsidR="00217856">
        <w:t>(4)</w:t>
      </w:r>
      <w:r w:rsidRPr="00217856">
        <w:t>; 47 CFR § 1.80</w:t>
      </w:r>
      <w:r w:rsidR="00217856">
        <w:t>(g)</w:t>
      </w:r>
      <w:r w:rsidRPr="00217856">
        <w:t>.</w:t>
      </w:r>
    </w:p>
  </w:footnote>
  <w:footnote w:id="17">
    <w:p w:rsidR="000947C5" w14:paraId="2A20E711" w14:textId="2EFBEB76">
      <w:pPr>
        <w:pStyle w:val="FootnoteText"/>
      </w:pPr>
      <w:r>
        <w:rPr>
          <w:rStyle w:val="FootnoteReference"/>
        </w:rPr>
        <w:footnoteRef/>
      </w:r>
      <w:r>
        <w:t xml:space="preserve"> </w:t>
      </w:r>
      <w:r w:rsidRPr="004B7250">
        <w:rPr>
          <w:i/>
        </w:rPr>
        <w:t>See, e.g., SBC Communications, Inc</w:t>
      </w:r>
      <w:r w:rsidRPr="004B7250">
        <w:t>.,</w:t>
      </w:r>
      <w:r w:rsidRPr="004B7250">
        <w:rPr>
          <w:i/>
        </w:rPr>
        <w:t xml:space="preserve"> </w:t>
      </w:r>
      <w:r w:rsidRPr="004B7250">
        <w:t xml:space="preserve">Forfeiture Order, 17 FCC </w:t>
      </w:r>
      <w:r w:rsidRPr="004B7250">
        <w:t>Rcd</w:t>
      </w:r>
      <w:r w:rsidRPr="004B7250">
        <w:t xml:space="preserve"> 7589, 7591, para. 4 (2002) (forfeiture paid).</w:t>
      </w:r>
    </w:p>
  </w:footnote>
  <w:footnote w:id="18">
    <w:p w:rsidR="002D1958" w:rsidRPr="00CD43EC" w:rsidP="002D1958" w14:paraId="5B6A8560" w14:textId="27F9F08F">
      <w:pPr>
        <w:pStyle w:val="FootnoteText"/>
      </w:pPr>
      <w:r w:rsidRPr="00E76D83">
        <w:rPr>
          <w:rStyle w:val="FootnoteReference"/>
        </w:rPr>
        <w:footnoteRef/>
      </w:r>
      <w:r w:rsidRPr="00E76D83">
        <w:t xml:space="preserve"> 47 CFR § 11.45.  Section 11.46 provides that “EAS Participants may use the EAS Attention Signal and a simulation of the EAS codes as provided by FEMA in EAS Public Service Announcements (PSAs) (including commercially-sponsored announcements, infomercials, or programs) provided by federal, state, and local government entities, or non-governmental organizations, to raise public awareness about emergency alerting.” </w:t>
      </w:r>
      <w:r w:rsidR="009D6D33">
        <w:t xml:space="preserve"> </w:t>
      </w:r>
      <w:r w:rsidRPr="00E76D83">
        <w:rPr>
          <w:i/>
        </w:rPr>
        <w:t>Id.</w:t>
      </w:r>
      <w:r w:rsidRPr="00E76D83">
        <w:t xml:space="preserve"> </w:t>
      </w:r>
      <w:r w:rsidR="009D6D33">
        <w:t xml:space="preserve"> </w:t>
      </w:r>
      <w:r w:rsidR="00DD182C">
        <w:t xml:space="preserve"> </w:t>
      </w:r>
      <w:r w:rsidRPr="009D6D33">
        <w:t xml:space="preserve">§ 11.46.  Section 11.61 provides that “EAS Participants shall conduct tests [of EAS procedures] at regular </w:t>
      </w:r>
      <w:r w:rsidRPr="009D6D33">
        <w:t xml:space="preserve">intervals </w:t>
      </w:r>
      <w:r w:rsidRPr="009D6D33" w:rsidR="009D6D33">
        <w:t xml:space="preserve"> </w:t>
      </w:r>
      <w:r w:rsidRPr="009D6D33">
        <w:t>. . .</w:t>
      </w:r>
      <w:r w:rsidRPr="009D6D33">
        <w:t xml:space="preserve"> .”</w:t>
      </w:r>
      <w:r w:rsidRPr="00E76D83">
        <w:t xml:space="preserve">  </w:t>
      </w:r>
      <w:r w:rsidRPr="00E76D83">
        <w:rPr>
          <w:i/>
        </w:rPr>
        <w:t xml:space="preserve">Id. </w:t>
      </w:r>
      <w:r w:rsidRPr="00E76D83">
        <w:t>§ 11.61</w:t>
      </w:r>
      <w:r>
        <w:t>(a)</w:t>
      </w:r>
      <w:r w:rsidRPr="00E76D83">
        <w:t xml:space="preserve">.  </w:t>
      </w:r>
      <w:r w:rsidR="00CD43EC">
        <w:rPr>
          <w:i/>
          <w:iCs/>
        </w:rPr>
        <w:t xml:space="preserve">See also </w:t>
      </w:r>
      <w:r w:rsidRPr="00CD43EC" w:rsidR="00CD43EC">
        <w:rPr>
          <w:i/>
          <w:iCs/>
        </w:rPr>
        <w:t>Viacom/ESPN Forfeiture Order</w:t>
      </w:r>
      <w:r w:rsidR="006D7BD9">
        <w:rPr>
          <w:i/>
          <w:iCs/>
        </w:rPr>
        <w:t>,</w:t>
      </w:r>
      <w:r w:rsidR="00CD43EC">
        <w:rPr>
          <w:i/>
          <w:iCs/>
        </w:rPr>
        <w:t xml:space="preserve"> </w:t>
      </w:r>
      <w:r w:rsidR="00CD43EC">
        <w:t xml:space="preserve">30 FCC Rod at </w:t>
      </w:r>
      <w:r w:rsidR="005E0490">
        <w:t>799-800, para. 8 (</w:t>
      </w:r>
      <w:r w:rsidR="009C2F3C">
        <w:t>explaining that section 11.45 “</w:t>
      </w:r>
      <w:r w:rsidRPr="005E0490" w:rsidR="005E0490">
        <w:t xml:space="preserve">applies broadly to </w:t>
      </w:r>
      <w:r w:rsidR="009C2F3C">
        <w:t>‘</w:t>
      </w:r>
      <w:r w:rsidRPr="005E0490" w:rsidR="005E0490">
        <w:t>persons</w:t>
      </w:r>
      <w:r w:rsidR="009C2F3C">
        <w:t xml:space="preserve">’ </w:t>
      </w:r>
      <w:r w:rsidRPr="005E0490" w:rsidR="005E0490">
        <w:t>and does not exclude cable programmers</w:t>
      </w:r>
      <w:r w:rsidR="00376C85">
        <w:t xml:space="preserve">.  </w:t>
      </w:r>
      <w:r w:rsidRPr="005E0490" w:rsidR="005E0490">
        <w:t xml:space="preserve">Likewise, it explicitly applies to actions that </w:t>
      </w:r>
      <w:r w:rsidR="00376C85">
        <w:t>‘</w:t>
      </w:r>
      <w:r w:rsidRPr="005E0490" w:rsidR="005E0490">
        <w:t>transmit or cause to transmit</w:t>
      </w:r>
      <w:r w:rsidR="00376C85">
        <w:t>’</w:t>
      </w:r>
      <w:r w:rsidRPr="005E0490" w:rsidR="005E0490">
        <w:t xml:space="preserve"> the restricted</w:t>
      </w:r>
      <w:r w:rsidR="00376C85">
        <w:t xml:space="preserve"> EAS </w:t>
      </w:r>
      <w:r w:rsidRPr="005E0490" w:rsidR="005E0490">
        <w:t>Tones</w:t>
      </w:r>
      <w:r w:rsidR="00376C85">
        <w:t xml:space="preserve">, </w:t>
      </w:r>
      <w:r w:rsidRPr="005E0490" w:rsidR="005E0490">
        <w:t>and</w:t>
      </w:r>
      <w:r w:rsidRPr="005E0490" w:rsidR="005E0490">
        <w:t xml:space="preserve"> is not limited to direct transmissions by or to a particular person or entity</w:t>
      </w:r>
      <w:r w:rsidR="00376C85">
        <w:t>.”).</w:t>
      </w:r>
    </w:p>
  </w:footnote>
  <w:footnote w:id="19">
    <w:p w:rsidR="002D1958" w14:paraId="48F11E47" w14:textId="1CF9D114">
      <w:pPr>
        <w:pStyle w:val="FootnoteText"/>
      </w:pPr>
      <w:r>
        <w:rPr>
          <w:rStyle w:val="FootnoteReference"/>
        </w:rPr>
        <w:footnoteRef/>
      </w:r>
      <w:r>
        <w:t xml:space="preserve"> </w:t>
      </w:r>
      <w:r w:rsidRPr="00E76D83">
        <w:rPr>
          <w:i/>
        </w:rPr>
        <w:t>See Amendment of Part 73, Subpart G, of the Commission’s Rules Regarding the Emergency Broadcast System</w:t>
      </w:r>
      <w:r w:rsidRPr="00E76D83">
        <w:t xml:space="preserve">, FO Docket Nos. 91–301 and 91–171, Notice of Proposed Rulemaking and Further Notice of Proposed Rulemaking, 7 FCC </w:t>
      </w:r>
      <w:r w:rsidRPr="00E76D83">
        <w:t>Rcd</w:t>
      </w:r>
      <w:r w:rsidRPr="00E76D83">
        <w:t xml:space="preserve"> 6903, 6907, para. 39 (1992).</w:t>
      </w:r>
    </w:p>
  </w:footnote>
  <w:footnote w:id="20">
    <w:p w:rsidR="009B048A" w:rsidRPr="00E76D83" w:rsidP="00D86AA9" w14:paraId="74AEF9B3" w14:textId="7DFCB115">
      <w:pPr>
        <w:pStyle w:val="FootnoteText"/>
      </w:pPr>
      <w:r w:rsidRPr="00E76D83">
        <w:rPr>
          <w:rStyle w:val="FootnoteReference"/>
        </w:rPr>
        <w:footnoteRef/>
      </w:r>
      <w:r w:rsidRPr="00E76D83">
        <w:t xml:space="preserve"> </w:t>
      </w:r>
      <w:r w:rsidRPr="00E76D83">
        <w:rPr>
          <w:i/>
        </w:rPr>
        <w:t>Amendment of Part 73, Subpart G, of the Commission’s Rules Regarding the Emergency Broadcast System</w:t>
      </w:r>
      <w:r w:rsidRPr="00E76D83">
        <w:t>, FO Docket Nos. 91–301 and 91–171,</w:t>
      </w:r>
      <w:r w:rsidRPr="00E76D83">
        <w:rPr>
          <w:i/>
        </w:rPr>
        <w:t xml:space="preserve"> </w:t>
      </w:r>
      <w:r w:rsidRPr="00E76D83">
        <w:t>Report and Order and Further Notice of Proposed Rulemaking,</w:t>
      </w:r>
      <w:r w:rsidRPr="00E76D83">
        <w:rPr>
          <w:i/>
        </w:rPr>
        <w:t xml:space="preserve"> </w:t>
      </w:r>
      <w:r w:rsidRPr="00E76D83">
        <w:t>10</w:t>
      </w:r>
      <w:r w:rsidRPr="00E76D83">
        <w:rPr>
          <w:i/>
        </w:rPr>
        <w:t xml:space="preserve"> </w:t>
      </w:r>
      <w:r w:rsidRPr="00E76D83">
        <w:t xml:space="preserve">FCC </w:t>
      </w:r>
      <w:r w:rsidRPr="00E76D83">
        <w:t>Rcd</w:t>
      </w:r>
      <w:r w:rsidRPr="00E76D83">
        <w:t xml:space="preserve"> 1786, 1815, para. 84 (1994).</w:t>
      </w:r>
    </w:p>
  </w:footnote>
  <w:footnote w:id="21">
    <w:p w:rsidR="009B048A" w:rsidRPr="00E76D83" w:rsidP="00D86AA9" w14:paraId="77AE2BAE" w14:textId="4B0D37B2">
      <w:pPr>
        <w:pStyle w:val="FootnoteText"/>
        <w:rPr>
          <w:i/>
        </w:rPr>
      </w:pPr>
      <w:r w:rsidRPr="00E76D83">
        <w:rPr>
          <w:rStyle w:val="FootnoteReference"/>
        </w:rPr>
        <w:footnoteRef/>
      </w:r>
      <w:r w:rsidRPr="00E76D83">
        <w:t xml:space="preserve"> </w:t>
      </w:r>
      <w:r w:rsidRPr="00E76D83">
        <w:rPr>
          <w:i/>
        </w:rPr>
        <w:t>Viacom</w:t>
      </w:r>
      <w:r w:rsidR="005E0490">
        <w:rPr>
          <w:i/>
        </w:rPr>
        <w:t>/ESPN Forfeiture Order</w:t>
      </w:r>
      <w:r w:rsidR="005E0490">
        <w:rPr>
          <w:iCs/>
        </w:rPr>
        <w:t>,</w:t>
      </w:r>
      <w:r w:rsidRPr="00E76D83">
        <w:t xml:space="preserve"> 30 FCC </w:t>
      </w:r>
      <w:r w:rsidRPr="00E76D83">
        <w:t>Rcd</w:t>
      </w:r>
      <w:r w:rsidRPr="00E76D83">
        <w:t xml:space="preserve"> </w:t>
      </w:r>
      <w:r w:rsidR="006F7E3E">
        <w:t>at</w:t>
      </w:r>
      <w:r w:rsidRPr="00E76D83">
        <w:t xml:space="preserve"> 801-02,</w:t>
      </w:r>
      <w:r w:rsidRPr="00E76D83">
        <w:rPr>
          <w:i/>
        </w:rPr>
        <w:t xml:space="preserve"> </w:t>
      </w:r>
      <w:r w:rsidRPr="00E76D83">
        <w:t>para. 12 (2015).</w:t>
      </w:r>
    </w:p>
  </w:footnote>
  <w:footnote w:id="22">
    <w:p w:rsidR="009B048A" w:rsidRPr="00E76D83" w14:paraId="29B97928" w14:textId="535A34AF">
      <w:pPr>
        <w:pStyle w:val="FootnoteText"/>
      </w:pPr>
      <w:r w:rsidRPr="00E76D83">
        <w:rPr>
          <w:rStyle w:val="FootnoteReference"/>
        </w:rPr>
        <w:footnoteRef/>
      </w:r>
      <w:r w:rsidRPr="00E76D83">
        <w:t xml:space="preserve"> LOI Response at </w:t>
      </w:r>
      <w:r>
        <w:t>1</w:t>
      </w:r>
      <w:r w:rsidRPr="00E76D83">
        <w:t>, Response to Question 1.</w:t>
      </w:r>
    </w:p>
  </w:footnote>
  <w:footnote w:id="23">
    <w:p w:rsidR="009B048A" w:rsidRPr="00E76D83" w14:paraId="0EA8A2BC" w14:textId="79BDA650">
      <w:pPr>
        <w:pStyle w:val="FootnoteText"/>
      </w:pPr>
      <w:r w:rsidRPr="00E76D83">
        <w:rPr>
          <w:rStyle w:val="FootnoteReference"/>
        </w:rPr>
        <w:footnoteRef/>
      </w:r>
      <w:r w:rsidRPr="00E76D83">
        <w:t xml:space="preserve"> </w:t>
      </w:r>
      <w:r w:rsidRPr="00E76D83">
        <w:rPr>
          <w:i/>
        </w:rPr>
        <w:t>Id.</w:t>
      </w:r>
      <w:r w:rsidRPr="00E76D83">
        <w:t xml:space="preserve"> at </w:t>
      </w:r>
      <w:r>
        <w:t>2</w:t>
      </w:r>
      <w:r w:rsidRPr="00E76D83">
        <w:t>, Response to Question 3.</w:t>
      </w:r>
    </w:p>
  </w:footnote>
  <w:footnote w:id="24">
    <w:p w:rsidR="009B048A" w:rsidRPr="00E76D83" w:rsidP="0042735F" w14:paraId="6ADAD0DB" w14:textId="62226DF6">
      <w:pPr>
        <w:pStyle w:val="FootnoteText"/>
      </w:pPr>
      <w:r w:rsidRPr="00E76D83">
        <w:rPr>
          <w:rStyle w:val="FootnoteReference"/>
        </w:rPr>
        <w:footnoteRef/>
      </w:r>
      <w:r w:rsidRPr="00E76D83">
        <w:t xml:space="preserve"> </w:t>
      </w:r>
      <w:r>
        <w:rPr>
          <w:i/>
          <w:iCs/>
        </w:rPr>
        <w:t>See</w:t>
      </w:r>
      <w:r>
        <w:t xml:space="preserve"> Complaint No. 4332603 (Oct. 27, 2020) (on file in EB-IHD-21-00031798)</w:t>
      </w:r>
      <w:r w:rsidRPr="00E76D83">
        <w:t>.</w:t>
      </w:r>
    </w:p>
  </w:footnote>
  <w:footnote w:id="25">
    <w:p w:rsidR="009B048A" w:rsidRPr="00E76D83" w:rsidP="0042735F" w14:paraId="678B49DB" w14:textId="65C7DE1E">
      <w:pPr>
        <w:pStyle w:val="FootnoteText"/>
      </w:pPr>
      <w:r w:rsidRPr="00E76D83">
        <w:rPr>
          <w:rStyle w:val="FootnoteReference"/>
        </w:rPr>
        <w:footnoteRef/>
      </w:r>
      <w:r w:rsidRPr="00E76D83">
        <w:t xml:space="preserve"> </w:t>
      </w:r>
      <w:r w:rsidRPr="00E76D83">
        <w:rPr>
          <w:i/>
        </w:rPr>
        <w:t>See</w:t>
      </w:r>
      <w:r w:rsidRPr="00E76D83">
        <w:t xml:space="preserve"> Letter of Inquiry from Christopher J. Sova, Deputy Chief, Investigations and Hearings Division, FCC Enforcement Bureau, to </w:t>
      </w:r>
      <w:r>
        <w:t>Susan L. Fox</w:t>
      </w:r>
      <w:r w:rsidRPr="00E76D83">
        <w:t xml:space="preserve">, Vice President </w:t>
      </w:r>
      <w:r>
        <w:t>Government Relations, The Walt Disney Company</w:t>
      </w:r>
      <w:r w:rsidRPr="00E76D83">
        <w:t xml:space="preserve"> (</w:t>
      </w:r>
      <w:r>
        <w:t>Feb</w:t>
      </w:r>
      <w:r w:rsidRPr="00E76D83">
        <w:t xml:space="preserve">. </w:t>
      </w:r>
      <w:r>
        <w:t>1</w:t>
      </w:r>
      <w:r w:rsidRPr="00E76D83">
        <w:t>, 20</w:t>
      </w:r>
      <w:r>
        <w:t>21</w:t>
      </w:r>
      <w:r w:rsidRPr="00E76D83">
        <w:t>) (on file in EB-IHD-</w:t>
      </w:r>
      <w:r>
        <w:t>21</w:t>
      </w:r>
      <w:r w:rsidRPr="00E76D83">
        <w:t>-00</w:t>
      </w:r>
      <w:r>
        <w:t>031798</w:t>
      </w:r>
      <w:r w:rsidRPr="00E76D83">
        <w:t>) (LOI).</w:t>
      </w:r>
    </w:p>
  </w:footnote>
  <w:footnote w:id="26">
    <w:p w:rsidR="009B048A" w:rsidRPr="00E76D83" w:rsidP="0042735F" w14:paraId="659D50C4" w14:textId="1F865802">
      <w:pPr>
        <w:pStyle w:val="FootnoteText"/>
      </w:pPr>
      <w:r w:rsidRPr="00E76D83">
        <w:rPr>
          <w:rStyle w:val="FootnoteReference"/>
        </w:rPr>
        <w:footnoteRef/>
      </w:r>
      <w:r w:rsidRPr="00E76D83">
        <w:t xml:space="preserve"> </w:t>
      </w:r>
      <w:r w:rsidRPr="00E76D83">
        <w:rPr>
          <w:i/>
        </w:rPr>
        <w:t>See</w:t>
      </w:r>
      <w:r>
        <w:rPr>
          <w:i/>
        </w:rPr>
        <w:t xml:space="preserve"> </w:t>
      </w:r>
      <w:r w:rsidRPr="00E76D83">
        <w:rPr>
          <w:i/>
        </w:rPr>
        <w:t>id</w:t>
      </w:r>
      <w:r w:rsidRPr="00E76D83">
        <w:t>.</w:t>
      </w:r>
    </w:p>
  </w:footnote>
  <w:footnote w:id="27">
    <w:p w:rsidR="009B048A" w:rsidRPr="001533AA" w:rsidP="0042735F" w14:paraId="5F3052DB" w14:textId="779F719E">
      <w:pPr>
        <w:pStyle w:val="FootnoteText"/>
      </w:pPr>
      <w:r w:rsidRPr="00E76D83">
        <w:rPr>
          <w:rStyle w:val="FootnoteReference"/>
        </w:rPr>
        <w:footnoteRef/>
      </w:r>
      <w:r w:rsidRPr="00E76D83">
        <w:t xml:space="preserve"> </w:t>
      </w:r>
      <w:r w:rsidRPr="00E76D83">
        <w:rPr>
          <w:i/>
        </w:rPr>
        <w:t xml:space="preserve">See </w:t>
      </w:r>
      <w:r w:rsidRPr="00E76D83">
        <w:t>LOI Response</w:t>
      </w:r>
      <w:r>
        <w:t xml:space="preserve">; </w:t>
      </w:r>
      <w:r>
        <w:rPr>
          <w:i/>
        </w:rPr>
        <w:t xml:space="preserve">see also </w:t>
      </w:r>
      <w:r>
        <w:t xml:space="preserve">Letter from Matthew S. </w:t>
      </w:r>
      <w:r>
        <w:t>DelNero</w:t>
      </w:r>
      <w:r>
        <w:t xml:space="preserve"> and Corey Walker, Counsel for ESPN, to Jennifer Lewis Hershman, Attorney Advisor, Investigations and Hearings Division, Enforcement Bureau, FCC (Mar. 17, 2021) </w:t>
      </w:r>
      <w:r w:rsidRPr="009D4B4C">
        <w:t>(on file in EB-IHD-</w:t>
      </w:r>
      <w:r>
        <w:t>21</w:t>
      </w:r>
      <w:r w:rsidRPr="009D4B4C">
        <w:t>-000</w:t>
      </w:r>
      <w:r>
        <w:t>31798</w:t>
      </w:r>
      <w:r w:rsidRPr="009D4B4C">
        <w:t>) (request</w:t>
      </w:r>
      <w:r>
        <w:t>ing</w:t>
      </w:r>
      <w:r w:rsidRPr="009D4B4C">
        <w:t xml:space="preserve"> confidential treatment of </w:t>
      </w:r>
      <w:r>
        <w:t>certain information</w:t>
      </w:r>
      <w:r w:rsidRPr="009D4B4C">
        <w:t xml:space="preserve"> </w:t>
      </w:r>
      <w:r>
        <w:t>ESPN</w:t>
      </w:r>
      <w:r w:rsidRPr="009D4B4C">
        <w:t xml:space="preserve"> provided in response to the LOI)</w:t>
      </w:r>
      <w:r w:rsidR="00836F3E">
        <w:t>(Confidentiality Request)</w:t>
      </w:r>
      <w:r>
        <w:t xml:space="preserve">. This Notice of Apparent Liability for Forfeiture does not disclose material identified as confidential by </w:t>
      </w:r>
      <w:r w:rsidR="00836F3E">
        <w:t>ESPN</w:t>
      </w:r>
      <w:r>
        <w:t xml:space="preserve">, so we defer ruling on the Confidentiality Request unless and until necessary.  </w:t>
      </w:r>
      <w:r>
        <w:rPr>
          <w:i/>
          <w:iCs/>
        </w:rPr>
        <w:t xml:space="preserve">See </w:t>
      </w:r>
      <w:r>
        <w:t xml:space="preserve">47 CFR § 0.459(d)(3) (providing that the Commission may defer acting on requests for confidential treatment of materials submitted to the Commission until a request for inspection has been made pursuant to section 0.460 or </w:t>
      </w:r>
      <w:r w:rsidRPr="001533AA">
        <w:t>section 0.461</w:t>
      </w:r>
      <w:r w:rsidR="00B10AC0">
        <w:t>.  Such</w:t>
      </w:r>
      <w:r w:rsidRPr="001533AA">
        <w:t xml:space="preserve"> materials will be </w:t>
      </w:r>
      <w:r w:rsidR="0064400A">
        <w:t>withheld from public view</w:t>
      </w:r>
      <w:r w:rsidRPr="001533AA">
        <w:t xml:space="preserve"> until the Commission acts on the request and </w:t>
      </w:r>
      <w:r w:rsidR="0064400A">
        <w:t>that ruling is final</w:t>
      </w:r>
      <w:r w:rsidRPr="001533AA">
        <w:t xml:space="preserve">).  </w:t>
      </w:r>
      <w:r w:rsidRPr="001533AA">
        <w:rPr>
          <w:i/>
          <w:iCs/>
        </w:rPr>
        <w:t>See, e.g., Radio License Holding CBC, LLC</w:t>
      </w:r>
      <w:r w:rsidRPr="001533AA">
        <w:t xml:space="preserve">, Order and Consent Decree, 31 FCC </w:t>
      </w:r>
      <w:r w:rsidRPr="001533AA">
        <w:t>Rcd</w:t>
      </w:r>
      <w:r w:rsidRPr="001533AA">
        <w:t xml:space="preserve"> 3, 8, para. 5 n.16 (EB 2016). </w:t>
      </w:r>
    </w:p>
  </w:footnote>
  <w:footnote w:id="28">
    <w:p w:rsidR="009B048A" w:rsidRPr="003A2DBF" w:rsidP="0042735F" w14:paraId="5BE78BBA" w14:textId="1EA13830">
      <w:pPr>
        <w:pStyle w:val="FootnoteText"/>
      </w:pPr>
      <w:r w:rsidRPr="001533AA">
        <w:rPr>
          <w:rStyle w:val="FootnoteReference"/>
        </w:rPr>
        <w:footnoteRef/>
      </w:r>
      <w:r w:rsidRPr="001533AA">
        <w:t xml:space="preserve"> LOI Response</w:t>
      </w:r>
      <w:r w:rsidRPr="001533AA">
        <w:rPr>
          <w:i/>
        </w:rPr>
        <w:t xml:space="preserve"> </w:t>
      </w:r>
      <w:r w:rsidRPr="001533AA">
        <w:t xml:space="preserve">at 3, Responses to Question 4.  </w:t>
      </w:r>
      <w:r>
        <w:t>ESPN asserts that it used a portion of the “standard federal attention tone.” LOI Response at 5, Response to Question 6.</w:t>
      </w:r>
    </w:p>
  </w:footnote>
  <w:footnote w:id="29">
    <w:p w:rsidR="009B048A" w:rsidRPr="001533AA" w14:paraId="7DB7671B" w14:textId="55DCBF45">
      <w:pPr>
        <w:pStyle w:val="FootnoteText"/>
      </w:pPr>
      <w:r w:rsidRPr="001533AA">
        <w:rPr>
          <w:rStyle w:val="FootnoteReference"/>
        </w:rPr>
        <w:footnoteRef/>
      </w:r>
      <w:r w:rsidRPr="001533AA">
        <w:t xml:space="preserve"> </w:t>
      </w:r>
      <w:r w:rsidRPr="001533AA">
        <w:rPr>
          <w:i/>
        </w:rPr>
        <w:t xml:space="preserve">Id. </w:t>
      </w:r>
      <w:r w:rsidRPr="001533AA">
        <w:t>at 4, Response to Question 6.</w:t>
      </w:r>
    </w:p>
  </w:footnote>
  <w:footnote w:id="30">
    <w:p w:rsidR="009B048A" w:rsidRPr="00E76D83" w:rsidP="0042735F" w14:paraId="5CE83530" w14:textId="670F2404">
      <w:pPr>
        <w:pStyle w:val="FootnoteText"/>
      </w:pPr>
      <w:r w:rsidRPr="001533AA">
        <w:rPr>
          <w:rStyle w:val="FootnoteReference"/>
        </w:rPr>
        <w:footnoteRef/>
      </w:r>
      <w:r w:rsidRPr="001533AA">
        <w:t xml:space="preserve"> </w:t>
      </w:r>
      <w:r w:rsidRPr="001533AA">
        <w:rPr>
          <w:i/>
        </w:rPr>
        <w:t>Id.</w:t>
      </w:r>
      <w:r w:rsidRPr="001533AA">
        <w:t xml:space="preserve"> at 2, 9, Response</w:t>
      </w:r>
      <w:r w:rsidRPr="00E76D83">
        <w:t xml:space="preserve"> to Question</w:t>
      </w:r>
      <w:r>
        <w:t>s</w:t>
      </w:r>
      <w:r w:rsidRPr="00E76D83">
        <w:t xml:space="preserve"> 3</w:t>
      </w:r>
      <w:r>
        <w:t>, 13</w:t>
      </w:r>
      <w:r w:rsidRPr="00E76D83">
        <w:t xml:space="preserve">.   </w:t>
      </w:r>
    </w:p>
  </w:footnote>
  <w:footnote w:id="31">
    <w:p w:rsidR="009B048A" w:rsidRPr="00E76D83" w:rsidP="0042735F" w14:paraId="534D4B60" w14:textId="5224E49D">
      <w:pPr>
        <w:pStyle w:val="FootnoteText"/>
      </w:pPr>
      <w:r w:rsidRPr="00E76D83">
        <w:rPr>
          <w:rStyle w:val="FootnoteReference"/>
        </w:rPr>
        <w:footnoteRef/>
      </w:r>
      <w:r w:rsidRPr="00E76D83">
        <w:t xml:space="preserve"> </w:t>
      </w:r>
      <w:r w:rsidRPr="00E76D83">
        <w:rPr>
          <w:i/>
        </w:rPr>
        <w:t xml:space="preserve">Id. </w:t>
      </w:r>
      <w:r w:rsidRPr="00E76D83">
        <w:t xml:space="preserve">at </w:t>
      </w:r>
      <w:r>
        <w:t>3</w:t>
      </w:r>
      <w:r w:rsidRPr="00E76D83">
        <w:t>-</w:t>
      </w:r>
      <w:r>
        <w:t>4</w:t>
      </w:r>
      <w:r w:rsidRPr="00E76D83">
        <w:t>, Response to Question 5.</w:t>
      </w:r>
    </w:p>
  </w:footnote>
  <w:footnote w:id="32">
    <w:p w:rsidR="009B048A" w:rsidRPr="003A0C80" w:rsidP="0042735F" w14:paraId="57519304" w14:textId="3FEBFFE3">
      <w:pPr>
        <w:pStyle w:val="FootnoteText"/>
        <w:rPr>
          <w:iCs/>
        </w:rPr>
      </w:pPr>
      <w:r w:rsidRPr="00E76D83">
        <w:rPr>
          <w:rStyle w:val="FootnoteReference"/>
        </w:rPr>
        <w:footnoteRef/>
      </w:r>
      <w:r w:rsidRPr="00E76D83">
        <w:t xml:space="preserve"> </w:t>
      </w:r>
      <w:r w:rsidRPr="00E76D83">
        <w:rPr>
          <w:i/>
        </w:rPr>
        <w:t>Id.</w:t>
      </w:r>
      <w:r>
        <w:rPr>
          <w:iCs/>
        </w:rPr>
        <w:t xml:space="preserve"> at 5, Response to Question 6.</w:t>
      </w:r>
    </w:p>
  </w:footnote>
  <w:footnote w:id="33">
    <w:p w:rsidR="009B048A" w:rsidRPr="005A28A9" w14:paraId="4D7597A3" w14:textId="11788E0E">
      <w:pPr>
        <w:pStyle w:val="FootnoteText"/>
      </w:pPr>
      <w:r>
        <w:rPr>
          <w:rStyle w:val="FootnoteReference"/>
        </w:rPr>
        <w:footnoteRef/>
      </w:r>
      <w:r>
        <w:t xml:space="preserve"> </w:t>
      </w:r>
      <w:r>
        <w:rPr>
          <w:i/>
          <w:iCs/>
        </w:rPr>
        <w:t>Id.</w:t>
      </w:r>
      <w:r>
        <w:t xml:space="preserve"> at 3, Response to Question 4.</w:t>
      </w:r>
    </w:p>
  </w:footnote>
  <w:footnote w:id="34">
    <w:p w:rsidR="009B048A" w:rsidRPr="00F92955" w14:paraId="1C1F89F6" w14:textId="064FC30D">
      <w:pPr>
        <w:pStyle w:val="FootnoteText"/>
      </w:pPr>
      <w:r>
        <w:rPr>
          <w:rStyle w:val="FootnoteReference"/>
        </w:rPr>
        <w:footnoteRef/>
      </w:r>
      <w:r>
        <w:t xml:space="preserve"> </w:t>
      </w:r>
      <w:r>
        <w:rPr>
          <w:i/>
          <w:iCs/>
        </w:rPr>
        <w:t>Id.</w:t>
      </w:r>
      <w:r>
        <w:t xml:space="preserve"> at 5, Response to Question 7.</w:t>
      </w:r>
    </w:p>
  </w:footnote>
  <w:footnote w:id="35">
    <w:p w:rsidR="009B048A" w:rsidRPr="00E76D83" w14:paraId="5ECE1EC9" w14:textId="7221B79D">
      <w:pPr>
        <w:pStyle w:val="FootnoteText"/>
      </w:pPr>
      <w:r w:rsidRPr="00E76D83">
        <w:rPr>
          <w:rStyle w:val="FootnoteReference"/>
        </w:rPr>
        <w:footnoteRef/>
      </w:r>
      <w:r w:rsidRPr="00E76D83">
        <w:t xml:space="preserve"> LOI Response at </w:t>
      </w:r>
      <w:r>
        <w:t>2</w:t>
      </w:r>
      <w:r w:rsidRPr="00E76D83">
        <w:t xml:space="preserve">, </w:t>
      </w:r>
      <w:r>
        <w:t xml:space="preserve">9, </w:t>
      </w:r>
      <w:r w:rsidRPr="00E76D83">
        <w:t>Response to Question</w:t>
      </w:r>
      <w:r>
        <w:t>s</w:t>
      </w:r>
      <w:r w:rsidRPr="00E76D83">
        <w:t xml:space="preserve"> 3</w:t>
      </w:r>
      <w:r>
        <w:t>, 13</w:t>
      </w:r>
      <w:r w:rsidRPr="00E76D83">
        <w:t xml:space="preserve">.   </w:t>
      </w:r>
    </w:p>
  </w:footnote>
  <w:footnote w:id="36">
    <w:p w:rsidR="009B048A" w:rsidRPr="00E76D83" w:rsidP="00CA5014" w14:paraId="257BD5A5" w14:textId="14AC2CD9">
      <w:pPr>
        <w:pStyle w:val="FootnoteText"/>
      </w:pPr>
      <w:r w:rsidRPr="00E76D83">
        <w:rPr>
          <w:rStyle w:val="FootnoteReference"/>
        </w:rPr>
        <w:footnoteRef/>
      </w:r>
      <w:r>
        <w:rPr>
          <w:i/>
          <w:iCs/>
        </w:rPr>
        <w:t>See</w:t>
      </w:r>
      <w:r>
        <w:t xml:space="preserve"> LOI Response</w:t>
      </w:r>
      <w:r w:rsidRPr="00E76D83">
        <w:rPr>
          <w:i/>
        </w:rPr>
        <w:t xml:space="preserve"> </w:t>
      </w:r>
      <w:r w:rsidRPr="00E76D83">
        <w:t xml:space="preserve">at </w:t>
      </w:r>
      <w:r>
        <w:t>3</w:t>
      </w:r>
      <w:r w:rsidRPr="00E76D83">
        <w:t>-</w:t>
      </w:r>
      <w:r>
        <w:t>4</w:t>
      </w:r>
      <w:r w:rsidRPr="00E76D83">
        <w:t>, Response to Question 5.</w:t>
      </w:r>
    </w:p>
  </w:footnote>
  <w:footnote w:id="37">
    <w:p w:rsidR="009B048A" w:rsidRPr="00BF2107" w14:paraId="162C8889" w14:textId="764C90B2">
      <w:pPr>
        <w:pStyle w:val="FootnoteText"/>
      </w:pPr>
      <w:r>
        <w:rPr>
          <w:rStyle w:val="FootnoteReference"/>
        </w:rPr>
        <w:footnoteRef/>
      </w:r>
      <w:r>
        <w:t xml:space="preserve"> </w:t>
      </w:r>
      <w:r>
        <w:rPr>
          <w:i/>
          <w:iCs/>
        </w:rPr>
        <w:t>Id</w:t>
      </w:r>
      <w:r>
        <w:t>. at 4-5, Response to Question 6.</w:t>
      </w:r>
    </w:p>
  </w:footnote>
  <w:footnote w:id="38">
    <w:p w:rsidR="009B048A" w:rsidRPr="00BF2107" w14:paraId="64336D6B" w14:textId="4E0C953D">
      <w:pPr>
        <w:pStyle w:val="FootnoteText"/>
        <w:rPr>
          <w:i/>
          <w:iCs/>
        </w:rPr>
      </w:pPr>
      <w:r>
        <w:rPr>
          <w:rStyle w:val="FootnoteReference"/>
        </w:rPr>
        <w:footnoteRef/>
      </w:r>
      <w:r>
        <w:t xml:space="preserve"> </w:t>
      </w:r>
      <w:r>
        <w:rPr>
          <w:i/>
          <w:iCs/>
        </w:rPr>
        <w:t>Id.</w:t>
      </w:r>
    </w:p>
  </w:footnote>
  <w:footnote w:id="39">
    <w:p w:rsidR="009B048A" w:rsidRPr="00E76D83" w14:paraId="52387B85" w14:textId="11825C39">
      <w:pPr>
        <w:pStyle w:val="FootnoteText"/>
      </w:pPr>
      <w:r w:rsidRPr="00E76D83">
        <w:rPr>
          <w:rStyle w:val="FootnoteReference"/>
        </w:rPr>
        <w:footnoteRef/>
      </w:r>
      <w:r w:rsidRPr="00E76D83">
        <w:t xml:space="preserve"> </w:t>
      </w:r>
      <w:r w:rsidR="00137F7C">
        <w:t xml:space="preserve">LOI Response at </w:t>
      </w:r>
      <w:r>
        <w:t>6</w:t>
      </w:r>
      <w:r w:rsidRPr="00E76D83">
        <w:t xml:space="preserve">, Response to Question </w:t>
      </w:r>
      <w:r>
        <w:t>8</w:t>
      </w:r>
      <w:r w:rsidRPr="00E76D83">
        <w:t>.</w:t>
      </w:r>
    </w:p>
  </w:footnote>
  <w:footnote w:id="40">
    <w:p w:rsidR="009B048A" w:rsidRPr="005B31C1" w:rsidP="005B31C1" w14:paraId="1FAD1ECA" w14:textId="77777777">
      <w:pPr>
        <w:pStyle w:val="FootnoteText"/>
      </w:pPr>
      <w:r>
        <w:rPr>
          <w:rStyle w:val="FootnoteReference"/>
        </w:rPr>
        <w:footnoteRef/>
      </w:r>
      <w:r>
        <w:t xml:space="preserve"> </w:t>
      </w:r>
      <w:r>
        <w:rPr>
          <w:i/>
          <w:iCs/>
        </w:rPr>
        <w:t>Id.</w:t>
      </w:r>
      <w:r>
        <w:t xml:space="preserve"> at 5, Response to Question 7.</w:t>
      </w:r>
    </w:p>
  </w:footnote>
  <w:footnote w:id="41">
    <w:p w:rsidR="009B048A" w:rsidRPr="005B31C1" w:rsidP="005B31C1" w14:paraId="4F82EE4B" w14:textId="77777777">
      <w:pPr>
        <w:pStyle w:val="FootnoteText"/>
        <w:rPr>
          <w:i/>
          <w:iCs/>
        </w:rPr>
      </w:pPr>
      <w:r>
        <w:rPr>
          <w:rStyle w:val="FootnoteReference"/>
        </w:rPr>
        <w:footnoteRef/>
      </w:r>
      <w:r>
        <w:t xml:space="preserve"> </w:t>
      </w:r>
      <w:r>
        <w:rPr>
          <w:i/>
          <w:iCs/>
        </w:rPr>
        <w:t>Id.</w:t>
      </w:r>
    </w:p>
  </w:footnote>
  <w:footnote w:id="42">
    <w:p w:rsidR="009B048A" w:rsidRPr="00E76D83" w:rsidP="005B31C1" w14:paraId="6CFC94F3" w14:textId="0230A085">
      <w:pPr>
        <w:pStyle w:val="FootnoteText"/>
      </w:pPr>
      <w:r w:rsidRPr="00E76D83">
        <w:rPr>
          <w:rStyle w:val="FootnoteReference"/>
        </w:rPr>
        <w:footnoteRef/>
      </w:r>
      <w:r w:rsidRPr="00E76D83">
        <w:t xml:space="preserve"> </w:t>
      </w:r>
      <w:r w:rsidRPr="00E76D83">
        <w:rPr>
          <w:i/>
        </w:rPr>
        <w:t>See</w:t>
      </w:r>
      <w:r w:rsidRPr="00E76D83">
        <w:t xml:space="preserve"> 47 CFR § 11.45.</w:t>
      </w:r>
      <w:r w:rsidR="008D4932">
        <w:t xml:space="preserve">  </w:t>
      </w:r>
      <w:r w:rsidRPr="004B500E" w:rsidR="004B500E">
        <w:rPr>
          <w:i/>
          <w:iCs/>
        </w:rPr>
        <w:t>See</w:t>
      </w:r>
      <w:r w:rsidR="004B500E">
        <w:rPr>
          <w:i/>
          <w:iCs/>
        </w:rPr>
        <w:t xml:space="preserve"> also</w:t>
      </w:r>
      <w:r w:rsidRPr="004B500E" w:rsidR="004B500E">
        <w:rPr>
          <w:i/>
          <w:iCs/>
        </w:rPr>
        <w:t xml:space="preserve"> CBS NAL</w:t>
      </w:r>
      <w:r w:rsidRPr="004B500E" w:rsidR="004B500E">
        <w:t xml:space="preserve">, 34 FCC </w:t>
      </w:r>
      <w:r w:rsidRPr="004B500E" w:rsidR="004B500E">
        <w:t>Rcd</w:t>
      </w:r>
      <w:r w:rsidRPr="004B500E" w:rsidR="004B500E">
        <w:t xml:space="preserve"> </w:t>
      </w:r>
      <w:r w:rsidR="004B500E">
        <w:t xml:space="preserve">at </w:t>
      </w:r>
      <w:r w:rsidRPr="004B500E" w:rsidR="004B500E">
        <w:t>8424</w:t>
      </w:r>
      <w:r w:rsidR="004B500E">
        <w:t xml:space="preserve">, </w:t>
      </w:r>
      <w:r w:rsidRPr="004B500E" w:rsidR="004B500E">
        <w:t>paras. 15</w:t>
      </w:r>
      <w:r w:rsidR="00A37DF3">
        <w:t xml:space="preserve">, </w:t>
      </w:r>
      <w:r w:rsidRPr="004B500E" w:rsidR="004B500E">
        <w:t>1</w:t>
      </w:r>
      <w:r w:rsidR="00BD1FB6">
        <w:t>7</w:t>
      </w:r>
      <w:r w:rsidRPr="004B500E" w:rsidR="004B500E">
        <w:t xml:space="preserve"> (2019)</w:t>
      </w:r>
      <w:r w:rsidR="004B500E">
        <w:t xml:space="preserve"> (explain</w:t>
      </w:r>
      <w:r w:rsidR="00A37DF3">
        <w:t xml:space="preserve">ing that </w:t>
      </w:r>
      <w:r w:rsidR="00381896">
        <w:t>[w]</w:t>
      </w:r>
      <w:r w:rsidR="00381896">
        <w:t>hile</w:t>
      </w:r>
      <w:r w:rsidR="00381896">
        <w:t xml:space="preserve"> the audio material may not have included embedded EAS data, a </w:t>
      </w:r>
      <w:r w:rsidR="00B360A3">
        <w:t>“</w:t>
      </w:r>
      <w:r w:rsidR="00A37DF3">
        <w:t>simulation</w:t>
      </w:r>
      <w:r w:rsidR="00B360A3">
        <w:t>”</w:t>
      </w:r>
      <w:r w:rsidR="00A37DF3">
        <w:t xml:space="preserve"> </w:t>
      </w:r>
      <w:r w:rsidR="00381896">
        <w:t xml:space="preserve">need not be an exact copy or recording of the EAS codes.  Nor does [violation of] the rule require the inclusion of embedded EAS data.”  The Commission also explained that </w:t>
      </w:r>
      <w:r w:rsidR="00A37DF3">
        <w:t xml:space="preserve">softening or shortening the EAS Tones </w:t>
      </w:r>
      <w:r w:rsidR="00EC30DC">
        <w:t>is</w:t>
      </w:r>
      <w:r w:rsidR="00B360A3">
        <w:t xml:space="preserve"> </w:t>
      </w:r>
      <w:r w:rsidRPr="004B500E" w:rsidR="004B500E">
        <w:t xml:space="preserve">not controlling in the Commission’s </w:t>
      </w:r>
      <w:r w:rsidR="00B360A3">
        <w:t>determination of liability under section 11.45 of the Commission’s rule</w:t>
      </w:r>
      <w:r w:rsidR="00700C76">
        <w:t>s</w:t>
      </w:r>
      <w:r w:rsidR="00BD1FB6">
        <w:t>:  “Rather, CBS’s error lay in utilizing a tone that, despite being softer in volume and shorter in duration, nonetheless possessed the same dual-tone frequency, pitch, and timbre as the actual EAS Tones, and was recognizable by viewers or listeners as substantially similar to the EAS Tones</w:t>
      </w:r>
      <w:r w:rsidR="00EC30DC">
        <w:t>.”</w:t>
      </w:r>
      <w:r w:rsidR="00B360A3">
        <w:t>).</w:t>
      </w:r>
    </w:p>
  </w:footnote>
  <w:footnote w:id="43">
    <w:p w:rsidR="009B048A" w:rsidRPr="009B048A" w:rsidP="009B048A" w14:paraId="7EA2B88E" w14:textId="7FFAA134">
      <w:pPr>
        <w:pStyle w:val="FootnoteText"/>
        <w:rPr>
          <w:b/>
          <w:i/>
          <w:color w:val="000000"/>
        </w:rPr>
      </w:pPr>
      <w:r w:rsidRPr="009B048A">
        <w:rPr>
          <w:rStyle w:val="FootnoteReference"/>
          <w:color w:val="000000"/>
        </w:rPr>
        <w:footnoteRef/>
      </w:r>
      <w:r w:rsidRPr="009B048A">
        <w:rPr>
          <w:color w:val="000000"/>
        </w:rPr>
        <w:t xml:space="preserve"> 47 U.S.C. § 503(b)</w:t>
      </w:r>
      <w:r w:rsidR="00D418D2">
        <w:rPr>
          <w:color w:val="000000"/>
        </w:rPr>
        <w:t>(1)(B)</w:t>
      </w:r>
      <w:r w:rsidRPr="009B048A">
        <w:rPr>
          <w:color w:val="000000"/>
        </w:rPr>
        <w:t xml:space="preserve">. </w:t>
      </w:r>
    </w:p>
  </w:footnote>
  <w:footnote w:id="44">
    <w:p w:rsidR="009B048A" w:rsidRPr="00E76D83" w:rsidP="0042735F" w14:paraId="408D0C8D" w14:textId="14317B1D">
      <w:pPr>
        <w:pStyle w:val="FootnoteText"/>
        <w:rPr>
          <w:color w:val="000000"/>
        </w:rPr>
      </w:pPr>
      <w:r w:rsidRPr="00E76D83">
        <w:rPr>
          <w:rStyle w:val="FootnoteReference"/>
          <w:color w:val="000000"/>
        </w:rPr>
        <w:footnoteRef/>
      </w:r>
      <w:r w:rsidRPr="00E76D83">
        <w:rPr>
          <w:color w:val="000000"/>
        </w:rPr>
        <w:t xml:space="preserve"> 47 U.S.C. § 503(b)(2)(E); 47 CFR § 1.80(b)(</w:t>
      </w:r>
      <w:r w:rsidR="00B5662E">
        <w:rPr>
          <w:color w:val="000000"/>
        </w:rPr>
        <w:t>10</w:t>
      </w:r>
      <w:r w:rsidRPr="00E76D83">
        <w:rPr>
          <w:color w:val="000000"/>
        </w:rPr>
        <w:t>)</w:t>
      </w:r>
      <w:r w:rsidR="009D6D33">
        <w:rPr>
          <w:color w:val="000000"/>
        </w:rPr>
        <w:t>.</w:t>
      </w:r>
    </w:p>
  </w:footnote>
  <w:footnote w:id="45">
    <w:p w:rsidR="009B048A" w:rsidRPr="009B048A" w:rsidP="009B048A" w14:paraId="4DA22AEB" w14:textId="38C19035">
      <w:pPr>
        <w:pStyle w:val="FootnoteText"/>
        <w:rPr>
          <w:color w:val="000000"/>
        </w:rPr>
      </w:pPr>
      <w:r w:rsidRPr="009B048A">
        <w:rPr>
          <w:rStyle w:val="FootnoteReference"/>
          <w:color w:val="000000"/>
        </w:rPr>
        <w:footnoteRef/>
      </w:r>
      <w:r w:rsidRPr="009B048A">
        <w:rPr>
          <w:color w:val="000000"/>
        </w:rPr>
        <w:t xml:space="preserve"> </w:t>
      </w:r>
      <w:bookmarkStart w:id="16" w:name="_Hlk75526905"/>
      <w:bookmarkStart w:id="17" w:name="_Hlk75514180"/>
      <w:r w:rsidRPr="009B048A">
        <w:rPr>
          <w:color w:val="000000"/>
        </w:rPr>
        <w:t>47 CFR § 1.80(b)(</w:t>
      </w:r>
      <w:r w:rsidR="002350A3">
        <w:rPr>
          <w:color w:val="000000"/>
        </w:rPr>
        <w:t>10</w:t>
      </w:r>
      <w:r w:rsidRPr="009B048A">
        <w:rPr>
          <w:color w:val="000000"/>
        </w:rPr>
        <w:t>)</w:t>
      </w:r>
      <w:r w:rsidR="002350A3">
        <w:rPr>
          <w:color w:val="000000"/>
        </w:rPr>
        <w:t xml:space="preserve">. </w:t>
      </w:r>
      <w:bookmarkEnd w:id="16"/>
      <w:r w:rsidR="002350A3">
        <w:rPr>
          <w:color w:val="000000"/>
        </w:rPr>
        <w:t xml:space="preserve"> </w:t>
      </w:r>
      <w:r w:rsidRPr="009B048A">
        <w:rPr>
          <w:color w:val="000000"/>
        </w:rPr>
        <w:t xml:space="preserve"> </w:t>
      </w:r>
      <w:bookmarkEnd w:id="17"/>
    </w:p>
  </w:footnote>
  <w:footnote w:id="46">
    <w:p w:rsidR="00E4083E" w14:paraId="61538CF8" w14:textId="2FD8C013">
      <w:pPr>
        <w:pStyle w:val="FootnoteText"/>
      </w:pPr>
      <w:r>
        <w:rPr>
          <w:rStyle w:val="FootnoteReference"/>
        </w:rPr>
        <w:footnoteRef/>
      </w:r>
      <w:r>
        <w:t xml:space="preserve"> </w:t>
      </w:r>
      <w:r w:rsidR="0032394D">
        <w:rPr>
          <w:i/>
          <w:iCs/>
        </w:rPr>
        <w:t>Id.</w:t>
      </w:r>
      <w:r>
        <w:rPr>
          <w:color w:val="000000"/>
        </w:rPr>
        <w:t xml:space="preserve"> </w:t>
      </w:r>
      <w:r w:rsidR="0032394D">
        <w:rPr>
          <w:color w:val="000000"/>
        </w:rPr>
        <w:t xml:space="preserve">at </w:t>
      </w:r>
      <w:r>
        <w:rPr>
          <w:color w:val="000000"/>
        </w:rPr>
        <w:t xml:space="preserve">Table 3.  </w:t>
      </w:r>
      <w:r w:rsidRPr="009B048A">
        <w:rPr>
          <w:color w:val="000000"/>
        </w:rPr>
        <w:t xml:space="preserve"> </w:t>
      </w:r>
    </w:p>
  </w:footnote>
  <w:footnote w:id="47">
    <w:p w:rsidR="009B048A" w:rsidRPr="009B048A" w:rsidP="009B048A" w14:paraId="615566B1" w14:textId="551E9030">
      <w:pPr>
        <w:pStyle w:val="FootnoteText"/>
        <w:rPr>
          <w:color w:val="000000"/>
        </w:rPr>
      </w:pPr>
      <w:r w:rsidRPr="009B048A">
        <w:rPr>
          <w:rStyle w:val="FootnoteReference"/>
          <w:color w:val="000000"/>
        </w:rPr>
        <w:footnoteRef/>
      </w:r>
      <w:r w:rsidRPr="009B048A">
        <w:rPr>
          <w:color w:val="000000"/>
        </w:rPr>
        <w:t xml:space="preserve"> </w:t>
      </w:r>
      <w:r w:rsidRPr="009B048A">
        <w:rPr>
          <w:i/>
          <w:color w:val="000000"/>
        </w:rPr>
        <w:t>Id</w:t>
      </w:r>
      <w:r w:rsidRPr="009B048A">
        <w:rPr>
          <w:color w:val="000000"/>
        </w:rPr>
        <w:t>.</w:t>
      </w:r>
      <w:r w:rsidR="00961E7D">
        <w:rPr>
          <w:color w:val="000000"/>
        </w:rPr>
        <w:t xml:space="preserve">  </w:t>
      </w:r>
    </w:p>
  </w:footnote>
  <w:footnote w:id="48">
    <w:p w:rsidR="000444E4" w:rsidRPr="000444E4" w:rsidP="000444E4" w14:paraId="32B1DCC4" w14:textId="66FDA71D">
      <w:pPr>
        <w:pStyle w:val="FootnoteText"/>
        <w:rPr>
          <w:color w:val="000000"/>
        </w:rPr>
      </w:pPr>
      <w:r w:rsidRPr="000444E4">
        <w:rPr>
          <w:rStyle w:val="FootnoteReference"/>
          <w:color w:val="000000"/>
        </w:rPr>
        <w:footnoteRef/>
      </w:r>
      <w:r w:rsidRPr="000444E4">
        <w:rPr>
          <w:color w:val="000000"/>
        </w:rPr>
        <w:t xml:space="preserve"> </w:t>
      </w:r>
      <w:r w:rsidR="00E47CFD">
        <w:rPr>
          <w:i/>
          <w:iCs/>
          <w:color w:val="000000"/>
        </w:rPr>
        <w:t xml:space="preserve">See, e.g., </w:t>
      </w:r>
      <w:r w:rsidR="00E47CFD">
        <w:rPr>
          <w:i/>
          <w:iCs/>
        </w:rPr>
        <w:t xml:space="preserve">CBS NAL </w:t>
      </w:r>
      <w:r w:rsidR="00E47CFD">
        <w:t>at 84</w:t>
      </w:r>
      <w:r w:rsidR="0074755A">
        <w:t xml:space="preserve">31, para. 36. </w:t>
      </w:r>
    </w:p>
  </w:footnote>
  <w:footnote w:id="49">
    <w:p w:rsidR="000444E4" w:rsidRPr="000444E4" w:rsidP="000444E4" w14:paraId="6C6F0B41" w14:textId="77777777">
      <w:pPr>
        <w:pStyle w:val="FootnoteText"/>
        <w:rPr>
          <w:color w:val="000000"/>
        </w:rPr>
      </w:pPr>
      <w:r w:rsidRPr="000444E4">
        <w:rPr>
          <w:rStyle w:val="FootnoteReference"/>
          <w:color w:val="000000"/>
        </w:rPr>
        <w:footnoteRef/>
      </w:r>
      <w:r w:rsidRPr="000444E4">
        <w:rPr>
          <w:color w:val="000000"/>
        </w:rPr>
        <w:t xml:space="preserve"> </w:t>
      </w:r>
      <w:bookmarkStart w:id="18" w:name="_Hlk75513734"/>
      <w:r w:rsidRPr="000444E4">
        <w:rPr>
          <w:i/>
          <w:color w:val="000000"/>
        </w:rPr>
        <w:t>The Commission’s Forfeiture Policy Statement and Amendment of Section 1.80 of the Rules to Incorporate the Forfeiture Guidelines</w:t>
      </w:r>
      <w:r w:rsidRPr="000444E4">
        <w:rPr>
          <w:color w:val="000000"/>
        </w:rPr>
        <w:t xml:space="preserve">, Report and Order, 12 FCC </w:t>
      </w:r>
      <w:r w:rsidRPr="000444E4">
        <w:rPr>
          <w:color w:val="000000"/>
        </w:rPr>
        <w:t>Rcd</w:t>
      </w:r>
      <w:r w:rsidRPr="000444E4">
        <w:rPr>
          <w:color w:val="000000"/>
        </w:rPr>
        <w:t xml:space="preserve"> 17087, 17098–99, para. 22 (1997) (noting that “[a]</w:t>
      </w:r>
      <w:r w:rsidRPr="000444E4">
        <w:rPr>
          <w:color w:val="000000"/>
        </w:rPr>
        <w:t>lthough</w:t>
      </w:r>
      <w:r w:rsidRPr="000444E4">
        <w:rPr>
          <w:color w:val="000000"/>
        </w:rP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0444E4">
        <w:rPr>
          <w:i/>
          <w:color w:val="000000"/>
        </w:rPr>
        <w:t>Forfeiture Policy Statement</w:t>
      </w:r>
      <w:r w:rsidRPr="000444E4">
        <w:rPr>
          <w:color w:val="000000"/>
        </w:rPr>
        <w:t xml:space="preserve">), </w:t>
      </w:r>
      <w:r w:rsidRPr="000444E4">
        <w:rPr>
          <w:i/>
          <w:color w:val="000000"/>
        </w:rPr>
        <w:t>recons. denied</w:t>
      </w:r>
      <w:r w:rsidRPr="000444E4">
        <w:rPr>
          <w:color w:val="000000"/>
        </w:rPr>
        <w:t xml:space="preserve">, Memorandum Opinion and Order, 15 FCC </w:t>
      </w:r>
      <w:r w:rsidRPr="000444E4">
        <w:rPr>
          <w:color w:val="000000"/>
        </w:rPr>
        <w:t>Rcd</w:t>
      </w:r>
      <w:r w:rsidRPr="000444E4">
        <w:rPr>
          <w:color w:val="000000"/>
        </w:rPr>
        <w:t xml:space="preserve"> 303 (1999).</w:t>
      </w:r>
      <w:bookmarkEnd w:id="18"/>
    </w:p>
  </w:footnote>
  <w:footnote w:id="50">
    <w:p w:rsidR="009B048A" w:rsidRPr="0074755A" w:rsidP="0042735F" w14:paraId="48679A28" w14:textId="3D82ADC0">
      <w:pPr>
        <w:pStyle w:val="FootnoteText"/>
        <w:rPr>
          <w:iCs/>
        </w:rPr>
      </w:pPr>
      <w:r w:rsidRPr="00E76D83">
        <w:rPr>
          <w:rStyle w:val="FootnoteReference"/>
        </w:rPr>
        <w:footnoteRef/>
      </w:r>
      <w:r w:rsidRPr="00E76D83">
        <w:t xml:space="preserve"> </w:t>
      </w:r>
      <w:r w:rsidRPr="00E76D83">
        <w:rPr>
          <w:i/>
        </w:rPr>
        <w:t xml:space="preserve">See </w:t>
      </w:r>
      <w:r w:rsidR="0074755A">
        <w:rPr>
          <w:i/>
        </w:rPr>
        <w:t>CBS NAL</w:t>
      </w:r>
      <w:r w:rsidR="0074755A">
        <w:rPr>
          <w:iCs/>
        </w:rPr>
        <w:t xml:space="preserve"> at 8431, para. 37.</w:t>
      </w:r>
    </w:p>
  </w:footnote>
  <w:footnote w:id="51">
    <w:p w:rsidR="009B048A" w:rsidRPr="00E76D83" w:rsidP="0042735F" w14:paraId="4991CF77" w14:textId="77777777">
      <w:pPr>
        <w:pStyle w:val="FootnoteText"/>
      </w:pPr>
      <w:r w:rsidRPr="00E76D83">
        <w:rPr>
          <w:rStyle w:val="FootnoteReference"/>
        </w:rPr>
        <w:footnoteRef/>
      </w:r>
      <w:r w:rsidRPr="00E76D83">
        <w:t xml:space="preserve"> </w:t>
      </w:r>
      <w:r w:rsidRPr="00E76D83">
        <w:rPr>
          <w:i/>
        </w:rPr>
        <w:t>Id</w:t>
      </w:r>
      <w:r w:rsidRPr="00E76D83">
        <w:t>.</w:t>
      </w:r>
    </w:p>
  </w:footnote>
  <w:footnote w:id="52">
    <w:p w:rsidR="009B048A" w:rsidRPr="00E76D83" w:rsidP="000743C6" w14:paraId="633D70CD" w14:textId="09DFEBA3">
      <w:pPr>
        <w:pStyle w:val="FootnoteText"/>
      </w:pPr>
      <w:r w:rsidRPr="00E76D83">
        <w:rPr>
          <w:rStyle w:val="FootnoteReference"/>
        </w:rPr>
        <w:footnoteRef/>
      </w:r>
      <w:r w:rsidRPr="00E76D83">
        <w:t xml:space="preserve"> </w:t>
      </w:r>
      <w:r>
        <w:t>The Walt Disney Company</w:t>
      </w:r>
      <w:r w:rsidRPr="00E76D83">
        <w:t>,</w:t>
      </w:r>
      <w:r w:rsidR="0074755A">
        <w:t xml:space="preserve"> Annual Report</w:t>
      </w:r>
      <w:r w:rsidR="00D97165">
        <w:t xml:space="preserve"> </w:t>
      </w:r>
      <w:r w:rsidR="0074755A">
        <w:t>at 4 (</w:t>
      </w:r>
      <w:r w:rsidRPr="00E76D83">
        <w:t>Form 10-K</w:t>
      </w:r>
      <w:r w:rsidR="0074755A">
        <w:t>)</w:t>
      </w:r>
      <w:r w:rsidRPr="00E76D83">
        <w:t xml:space="preserve"> (</w:t>
      </w:r>
      <w:r w:rsidR="0074755A">
        <w:t xml:space="preserve">Nov. 25, </w:t>
      </w:r>
      <w:r w:rsidRPr="00E76D83">
        <w:t>20</w:t>
      </w:r>
      <w:r>
        <w:t>20</w:t>
      </w:r>
      <w:r w:rsidRPr="00E76D83">
        <w:t xml:space="preserve">), </w:t>
      </w:r>
      <w:hyperlink r:id="rId2" w:history="1">
        <w:r w:rsidRPr="00376C85" w:rsidR="00376C85">
          <w:rPr>
            <w:rStyle w:val="Hyperlink"/>
          </w:rPr>
          <w:t>https://www.sec.gov/ix?doc=/Archives/edgar/data/1744489/000174448920000197/dis-20201003.htm</w:t>
        </w:r>
      </w:hyperlink>
      <w:r>
        <w:t xml:space="preserve"> (last visited Apr. 22, 2021)</w:t>
      </w:r>
      <w:r w:rsidR="00990DFC">
        <w:t xml:space="preserve"> (Walt Disney 2020 Annual Report)</w:t>
      </w:r>
      <w:r>
        <w:t xml:space="preserve">. </w:t>
      </w:r>
    </w:p>
  </w:footnote>
  <w:footnote w:id="53">
    <w:p w:rsidR="002D4D1B" w14:paraId="3F53A543" w14:textId="3A40B39E">
      <w:pPr>
        <w:pStyle w:val="FootnoteText"/>
      </w:pPr>
      <w:r>
        <w:rPr>
          <w:rStyle w:val="FootnoteReference"/>
        </w:rPr>
        <w:footnoteRef/>
      </w:r>
      <w:r>
        <w:t xml:space="preserve"> </w:t>
      </w:r>
      <w:r w:rsidRPr="002D4D1B">
        <w:t>LOI Response at 2, Response to Question 3</w:t>
      </w:r>
      <w:r>
        <w:t>.</w:t>
      </w:r>
    </w:p>
  </w:footnote>
  <w:footnote w:id="54">
    <w:p w:rsidR="009B048A" w14:paraId="07FB6E96" w14:textId="7A89F968">
      <w:pPr>
        <w:pStyle w:val="FootnoteText"/>
      </w:pPr>
      <w:r>
        <w:rPr>
          <w:rStyle w:val="FootnoteReference"/>
        </w:rPr>
        <w:footnoteRef/>
      </w:r>
      <w:r>
        <w:t xml:space="preserve"> </w:t>
      </w:r>
      <w:r>
        <w:rPr>
          <w:i/>
          <w:iCs/>
        </w:rPr>
        <w:t xml:space="preserve">See </w:t>
      </w:r>
      <w:r w:rsidRPr="00DC4CB9">
        <w:rPr>
          <w:i/>
          <w:iCs/>
        </w:rPr>
        <w:t>Viacom</w:t>
      </w:r>
      <w:r w:rsidR="00F4450D">
        <w:rPr>
          <w:i/>
          <w:iCs/>
        </w:rPr>
        <w:t>/ESPN</w:t>
      </w:r>
      <w:r>
        <w:rPr>
          <w:i/>
        </w:rPr>
        <w:t xml:space="preserve"> Forfeiture Order</w:t>
      </w:r>
      <w:r w:rsidRPr="00E76D83">
        <w:t xml:space="preserve">, 30 FCC </w:t>
      </w:r>
      <w:r w:rsidRPr="00E76D83">
        <w:t>Rcd</w:t>
      </w:r>
      <w:r w:rsidRPr="00E76D83">
        <w:t xml:space="preserve"> 797</w:t>
      </w:r>
      <w:r>
        <w:t xml:space="preserve"> (affirming $280,000 forfeiture against ESPN for violations of the laws that prohibit misuse of tones reserved for the EAS).</w:t>
      </w:r>
    </w:p>
  </w:footnote>
  <w:footnote w:id="55">
    <w:p w:rsidR="009B048A" w14:paraId="1169AC7A" w14:textId="1EB5BB11">
      <w:pPr>
        <w:pStyle w:val="FootnoteText"/>
      </w:pPr>
      <w:r>
        <w:rPr>
          <w:rStyle w:val="FootnoteReference"/>
        </w:rPr>
        <w:footnoteRef/>
      </w:r>
      <w:r>
        <w:t xml:space="preserve"> </w:t>
      </w:r>
      <w:r w:rsidRPr="002D1958">
        <w:rPr>
          <w:i/>
        </w:rPr>
        <w:t>See</w:t>
      </w:r>
      <w:r w:rsidRPr="002D1958" w:rsidR="00A3012C">
        <w:rPr>
          <w:i/>
        </w:rPr>
        <w:t xml:space="preserve">, </w:t>
      </w:r>
      <w:r w:rsidRPr="002D1958" w:rsidR="00A3012C">
        <w:rPr>
          <w:i/>
        </w:rPr>
        <w:t>e.g</w:t>
      </w:r>
      <w:r w:rsidRPr="002D1958" w:rsidR="00A3012C">
        <w:rPr>
          <w:i/>
        </w:rPr>
        <w:t>,,</w:t>
      </w:r>
      <w:r w:rsidRPr="002D1958">
        <w:t xml:space="preserve"> </w:t>
      </w:r>
      <w:r w:rsidRPr="002D1958">
        <w:rPr>
          <w:i/>
        </w:rPr>
        <w:t xml:space="preserve">Turner </w:t>
      </w:r>
      <w:r w:rsidRPr="002D1958" w:rsidR="00490E5E">
        <w:rPr>
          <w:i/>
        </w:rPr>
        <w:t>Broadcasting System, Inc.</w:t>
      </w:r>
      <w:r w:rsidRPr="002D1958">
        <w:rPr>
          <w:i/>
        </w:rPr>
        <w:t xml:space="preserve">, </w:t>
      </w:r>
      <w:r w:rsidRPr="002D1958" w:rsidR="00490E5E">
        <w:rPr>
          <w:iCs/>
        </w:rPr>
        <w:t xml:space="preserve">Notice of Apparent Liability for Forfeiture, </w:t>
      </w:r>
      <w:r w:rsidRPr="002D1958">
        <w:t xml:space="preserve">29 FCC </w:t>
      </w:r>
      <w:r w:rsidRPr="002D1958">
        <w:t>Rcd</w:t>
      </w:r>
      <w:r w:rsidRPr="002D1958">
        <w:t xml:space="preserve"> 752, 758, para. 16 </w:t>
      </w:r>
      <w:r w:rsidRPr="002D1958" w:rsidR="00A3012C">
        <w:t xml:space="preserve">(2014) </w:t>
      </w:r>
      <w:r w:rsidRPr="002D1958">
        <w:t>(finding a higher degree of culpability due to a previous experience with misusing the EAS Tones).</w:t>
      </w:r>
    </w:p>
  </w:footnote>
  <w:footnote w:id="56">
    <w:p w:rsidR="001B15B2" w:rsidP="001B15B2" w14:paraId="4B2B42BE" w14:textId="77777777">
      <w:pPr>
        <w:pStyle w:val="FootnoteText"/>
      </w:pPr>
      <w:r>
        <w:rPr>
          <w:rStyle w:val="FootnoteReference"/>
        </w:rPr>
        <w:footnoteRef/>
      </w:r>
      <w:r>
        <w:t xml:space="preserve"> </w:t>
      </w:r>
      <w:r w:rsidRPr="0005139D">
        <w:t>47 CFR § 1.80(b)(10)</w:t>
      </w:r>
      <w:r>
        <w:t>, Table 3 (downward adjustment factors include minor violations, good faith or voluntary disclosure, history of overall compliance, and inability to pay).</w:t>
      </w:r>
    </w:p>
  </w:footnote>
  <w:footnote w:id="57">
    <w:p w:rsidR="004E5EE5" w14:paraId="51BD53FA" w14:textId="4300B8B7">
      <w:pPr>
        <w:pStyle w:val="FootnoteText"/>
      </w:pPr>
      <w:r>
        <w:rPr>
          <w:rStyle w:val="FootnoteReference"/>
        </w:rPr>
        <w:footnoteRef/>
      </w:r>
      <w:r>
        <w:t xml:space="preserve"> </w:t>
      </w:r>
      <w:r>
        <w:rPr>
          <w:i/>
          <w:iCs/>
        </w:rPr>
        <w:t xml:space="preserve">See </w:t>
      </w:r>
      <w:r w:rsidRPr="00E270C3">
        <w:rPr>
          <w:i/>
          <w:color w:val="000000"/>
        </w:rPr>
        <w:t>Forfeiture Policy Statement</w:t>
      </w:r>
      <w:r>
        <w:rPr>
          <w:color w:val="000000"/>
        </w:rPr>
        <w:t xml:space="preserve"> at 17099, para. 22 (</w:t>
      </w:r>
      <w:r w:rsidRPr="00E270C3">
        <w:rPr>
          <w:color w:val="000000"/>
        </w:rPr>
        <w:t>noting that “[a]</w:t>
      </w:r>
      <w:r w:rsidRPr="00E270C3">
        <w:rPr>
          <w:color w:val="000000"/>
        </w:rPr>
        <w:t>lthough</w:t>
      </w:r>
      <w:r w:rsidRPr="00E270C3">
        <w:rPr>
          <w:color w:val="000000"/>
        </w:rPr>
        <w:t xml:space="preserve"> we have adopted the base forfeiture amounts as guidelines to provide a measure of predictability to the forfeiture process, we retain our discretion to depart from the guidelines and issue forfeitures on a case-by-case basis, under </w:t>
      </w:r>
      <w:r w:rsidRPr="00E270C3">
        <w:t>our</w:t>
      </w:r>
      <w:r w:rsidRPr="00E270C3">
        <w:rPr>
          <w:color w:val="000000"/>
        </w:rPr>
        <w:t xml:space="preserve"> general forfeiture authority contained in Section 503 of the Act</w:t>
      </w:r>
      <w:r>
        <w:rPr>
          <w:color w:val="000000"/>
        </w:rPr>
        <w:t>.</w:t>
      </w:r>
      <w:r w:rsidRPr="00E270C3">
        <w:rPr>
          <w:color w:val="000000"/>
        </w:rPr>
        <w:t>”</w:t>
      </w:r>
      <w:r>
        <w:rPr>
          <w:color w:val="000000"/>
        </w:rPr>
        <w:t>)</w:t>
      </w:r>
      <w:r w:rsidRPr="00E270C3">
        <w:rPr>
          <w:color w:val="000000"/>
        </w:rPr>
        <w:t>.</w:t>
      </w:r>
    </w:p>
  </w:footnote>
  <w:footnote w:id="58">
    <w:p w:rsidR="00F26593" w:rsidP="00F26593" w14:paraId="460616EA" w14:textId="1DD80C71">
      <w:pPr>
        <w:pStyle w:val="FootnoteText"/>
      </w:pPr>
      <w:r>
        <w:rPr>
          <w:rStyle w:val="FootnoteReference"/>
        </w:rPr>
        <w:footnoteRef/>
      </w:r>
      <w:r>
        <w:t>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59">
    <w:p w:rsidR="009B048A" w:rsidRPr="00E76D83" w14:paraId="1B14E5A4" w14:textId="1C564BD2">
      <w:pPr>
        <w:pStyle w:val="FootnoteText"/>
      </w:pPr>
      <w:r w:rsidRPr="00E76D83">
        <w:rPr>
          <w:rStyle w:val="FootnoteReference"/>
        </w:rPr>
        <w:footnoteRef/>
      </w:r>
      <w:r w:rsidRPr="00E76D83">
        <w:t xml:space="preserve"> 47 U.S.C. § 503(b).</w:t>
      </w:r>
    </w:p>
  </w:footnote>
  <w:footnote w:id="60">
    <w:p w:rsidR="009B048A" w:rsidRPr="00E76D83" w:rsidP="0042735F" w14:paraId="5BA7564D" w14:textId="77777777">
      <w:pPr>
        <w:pStyle w:val="FootnoteText"/>
      </w:pPr>
      <w:r w:rsidRPr="00E76D83">
        <w:rPr>
          <w:rStyle w:val="FootnoteReference"/>
        </w:rPr>
        <w:footnoteRef/>
      </w:r>
      <w:r w:rsidRPr="00E76D83">
        <w:t xml:space="preserve"> 47 CFR § 1.80.</w:t>
      </w:r>
    </w:p>
  </w:footnote>
  <w:footnote w:id="61">
    <w:p w:rsidR="009B048A" w:rsidRPr="00E76D83" w:rsidP="0042735F" w14:paraId="3DA6BE36" w14:textId="108E6A31">
      <w:pPr>
        <w:pStyle w:val="FootnoteText"/>
      </w:pPr>
      <w:r w:rsidRPr="00700C76">
        <w:rPr>
          <w:rStyle w:val="FootnoteReference"/>
          <w:iCs/>
        </w:rPr>
        <w:footnoteRef/>
      </w:r>
      <w:r w:rsidRPr="00E76D83">
        <w:t xml:space="preserve"> </w:t>
      </w:r>
      <w:r w:rsidR="00A5462D">
        <w:rPr>
          <w:iCs/>
        </w:rPr>
        <w:t>47 CFR</w:t>
      </w:r>
      <w:r w:rsidRPr="00E76D83">
        <w:t xml:space="preserve"> § 11.45.</w:t>
      </w:r>
    </w:p>
  </w:footnote>
  <w:footnote w:id="62">
    <w:p w:rsidR="00006B79" w:rsidRPr="00006B79" w:rsidP="00006B79" w14:paraId="1A768928" w14:textId="77777777">
      <w:pPr>
        <w:pStyle w:val="FootnoteText"/>
        <w:rPr>
          <w:color w:val="000000"/>
        </w:rPr>
      </w:pPr>
      <w:r w:rsidRPr="00006B79">
        <w:rPr>
          <w:rStyle w:val="FootnoteReference"/>
          <w:color w:val="000000"/>
        </w:rPr>
        <w:footnoteRef/>
      </w:r>
      <w:r w:rsidRPr="00006B79">
        <w:rPr>
          <w:color w:val="000000"/>
        </w:rPr>
        <w:t xml:space="preserve"> 47 CFR § 1.80.</w:t>
      </w:r>
    </w:p>
  </w:footnote>
  <w:footnote w:id="63">
    <w:p w:rsidR="000803E2" w:rsidRPr="005476AB" w:rsidP="000803E2" w14:paraId="716AC8B2"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64">
    <w:p w:rsidR="000803E2" w:rsidRPr="005476AB" w:rsidP="000803E2" w14:paraId="28A237DF"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3" w:history="1">
        <w:r w:rsidRPr="005476AB">
          <w:rPr>
            <w:rStyle w:val="Hyperlink"/>
          </w:rPr>
          <w:t>ARINQUIRIES@fcc.gov</w:t>
        </w:r>
      </w:hyperlink>
      <w:r w:rsidRPr="005476AB">
        <w:t>.</w:t>
      </w:r>
    </w:p>
  </w:footnote>
  <w:footnote w:id="65">
    <w:p w:rsidR="000803E2" w:rsidP="000803E2" w14:paraId="78690029" w14:textId="77777777">
      <w:pPr>
        <w:pStyle w:val="FootnoteText"/>
      </w:pPr>
      <w:r w:rsidRPr="005476AB">
        <w:rPr>
          <w:rStyle w:val="FootnoteReference"/>
        </w:rPr>
        <w:footnoteRef/>
      </w:r>
      <w:r w:rsidRPr="005476AB">
        <w:t xml:space="preserve"> Instructions for completing the form may be obtained at </w:t>
      </w:r>
      <w:hyperlink r:id="rId4" w:history="1">
        <w:r w:rsidRPr="008A2184">
          <w:rPr>
            <w:rStyle w:val="Hyperlink"/>
          </w:rPr>
          <w:t>http://www.fcc.gov/Forms/Form159/159.pdf</w:t>
        </w:r>
      </w:hyperlink>
      <w:r w:rsidRPr="005476AB">
        <w:t>.</w:t>
      </w:r>
      <w:r>
        <w:t xml:space="preserve"> </w:t>
      </w:r>
    </w:p>
  </w:footnote>
  <w:footnote w:id="66">
    <w:p w:rsidR="000803E2" w:rsidP="000803E2" w14:paraId="078BDA11" w14:textId="77777777">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67">
    <w:p w:rsidR="009B048A" w:rsidRPr="00E76D83" w14:paraId="61175CED" w14:textId="2C5ADC20">
      <w:pPr>
        <w:pStyle w:val="FootnoteText"/>
      </w:pPr>
      <w:r w:rsidRPr="00E76D83">
        <w:rPr>
          <w:rStyle w:val="FootnoteReference"/>
        </w:rPr>
        <w:footnoteRef/>
      </w:r>
      <w:r w:rsidRPr="00E76D83">
        <w:t xml:space="preserve"> </w:t>
      </w:r>
      <w:r>
        <w:rPr>
          <w:i/>
        </w:rPr>
        <w:t>Id.</w:t>
      </w:r>
      <w:r w:rsidRPr="00E76D83">
        <w:t xml:space="preserve"> §§ 1.16, 1.80(f)(3).</w:t>
      </w:r>
    </w:p>
  </w:footnote>
  <w:footnote w:id="68">
    <w:p w:rsidR="000803E2" w:rsidP="000803E2" w14:paraId="05964597" w14:textId="77777777">
      <w:pPr>
        <w:pStyle w:val="FootnoteText"/>
      </w:pPr>
      <w:r>
        <w:rPr>
          <w:rStyle w:val="FootnoteReference"/>
        </w:rPr>
        <w:footnoteRef/>
      </w:r>
      <w:r>
        <w:t xml:space="preserve"> </w:t>
      </w:r>
      <w:r w:rsidRPr="009A58BC">
        <w:t>47 U.S.C. § 503(b)(2)(E).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48A" w:rsidP="00810B6F" w14:paraId="75A2F486" w14:textId="351DD9BA">
    <w:pPr>
      <w:pStyle w:val="Header"/>
      <w:rPr>
        <w:b w:val="0"/>
      </w:rPr>
    </w:pPr>
    <w:r>
      <w:tab/>
    </w:r>
    <w:r w:rsidRPr="00102FE5">
      <w:t>Federal Communications Commission</w:t>
    </w:r>
    <w:r w:rsidRPr="00102FE5">
      <w:tab/>
    </w:r>
    <w:r w:rsidRPr="00102FE5" w:rsidR="000F46D7">
      <w:t xml:space="preserve">DA </w:t>
    </w:r>
    <w:r w:rsidRPr="00102FE5">
      <w:t>21-</w:t>
    </w:r>
    <w:r w:rsidR="00102FE5">
      <w:t>960</w:t>
    </w:r>
  </w:p>
  <w:p w:rsidR="009B048A" w14:paraId="078BBE95" w14:textId="107DD76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B048A" w14:paraId="171AFE0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48A" w:rsidP="00810B6F" w14:paraId="3908B033" w14:textId="5919AF79">
    <w:pPr>
      <w:pStyle w:val="Header"/>
      <w:rPr>
        <w:b w:val="0"/>
      </w:rPr>
    </w:pPr>
    <w:r w:rsidRPr="00102FE5">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102FE5">
      <w:tab/>
      <w:t>Federal Communications Commission</w:t>
    </w:r>
    <w:r w:rsidRPr="00102FE5">
      <w:tab/>
    </w:r>
    <w:r w:rsidRPr="00102FE5" w:rsidR="000F46D7">
      <w:rPr>
        <w:spacing w:val="-2"/>
      </w:rPr>
      <w:t xml:space="preserve">DA </w:t>
    </w:r>
    <w:r w:rsidRPr="00102FE5">
      <w:rPr>
        <w:spacing w:val="-2"/>
      </w:rPr>
      <w:t>21-</w:t>
    </w:r>
    <w:r w:rsidR="00102FE5">
      <w:rPr>
        <w:spacing w:val="-2"/>
      </w:rPr>
      <w:t>960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71CEB"/>
    <w:multiLevelType w:val="hybridMultilevel"/>
    <w:tmpl w:val="A7C23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EDD0E9C6"/>
    <w:lvl w:ilvl="0">
      <w:start w:val="1"/>
      <w:numFmt w:val="bullet"/>
      <w:lvlText w:val=""/>
      <w:lvlJc w:val="left"/>
      <w:pPr>
        <w:tabs>
          <w:tab w:val="num" w:pos="1080"/>
        </w:tabs>
        <w:ind w:left="1080" w:hanging="360"/>
      </w:pPr>
      <w:rPr>
        <w:rFonts w:ascii="Wingdings" w:hAnsi="Wingdings" w:hint="default"/>
        <w:color w:val="auto"/>
        <w:sz w:val="16"/>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6">
    <w:nsid w:val="432817C4"/>
    <w:multiLevelType w:val="multilevel"/>
    <w:tmpl w:val="010C6432"/>
    <w:lvl w:ilvl="0">
      <w:start w:val="1"/>
      <w:numFmt w:val="decimal"/>
      <w:lvlText w:val="%1."/>
      <w:lvlJc w:val="left"/>
      <w:pPr>
        <w:tabs>
          <w:tab w:val="num" w:pos="1260"/>
        </w:tabs>
        <w:ind w:left="180" w:firstLine="720"/>
      </w:pPr>
      <w:rPr>
        <w:rFonts w:ascii="Times New Roman" w:hAnsi="Times New Roman" w:cs="Times New Roman" w:hint="default"/>
        <w:b w:val="0"/>
        <w:i w:val="0"/>
        <w:sz w:val="22"/>
        <w:szCs w:val="22"/>
      </w:rPr>
    </w:lvl>
    <w:lvl w:ilvl="1">
      <w:start w:val="8"/>
      <w:numFmt w:val="decimal"/>
      <w:lvlText w:val="%2"/>
      <w:lvlJc w:val="left"/>
      <w:pPr>
        <w:tabs>
          <w:tab w:val="num" w:pos="1800"/>
        </w:tabs>
        <w:ind w:left="180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4"/>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5F"/>
    <w:rsid w:val="000002C4"/>
    <w:rsid w:val="00000702"/>
    <w:rsid w:val="00002A34"/>
    <w:rsid w:val="000069C0"/>
    <w:rsid w:val="00006B79"/>
    <w:rsid w:val="000117D9"/>
    <w:rsid w:val="00013790"/>
    <w:rsid w:val="000151E2"/>
    <w:rsid w:val="0001545B"/>
    <w:rsid w:val="00020789"/>
    <w:rsid w:val="000219DB"/>
    <w:rsid w:val="00024378"/>
    <w:rsid w:val="00032962"/>
    <w:rsid w:val="00033B1D"/>
    <w:rsid w:val="00034294"/>
    <w:rsid w:val="000351A4"/>
    <w:rsid w:val="00035380"/>
    <w:rsid w:val="000354AC"/>
    <w:rsid w:val="00036039"/>
    <w:rsid w:val="00037F90"/>
    <w:rsid w:val="000424D5"/>
    <w:rsid w:val="0004296C"/>
    <w:rsid w:val="00043381"/>
    <w:rsid w:val="000438BD"/>
    <w:rsid w:val="000441C0"/>
    <w:rsid w:val="000444E4"/>
    <w:rsid w:val="00047CFA"/>
    <w:rsid w:val="0005139D"/>
    <w:rsid w:val="00052DDE"/>
    <w:rsid w:val="00054F0A"/>
    <w:rsid w:val="00057554"/>
    <w:rsid w:val="00060B5B"/>
    <w:rsid w:val="00065275"/>
    <w:rsid w:val="00066FEC"/>
    <w:rsid w:val="0007058A"/>
    <w:rsid w:val="0007088D"/>
    <w:rsid w:val="00071AF3"/>
    <w:rsid w:val="000743C6"/>
    <w:rsid w:val="00074F8A"/>
    <w:rsid w:val="00075EED"/>
    <w:rsid w:val="000803E2"/>
    <w:rsid w:val="00081680"/>
    <w:rsid w:val="000830E0"/>
    <w:rsid w:val="000837C7"/>
    <w:rsid w:val="00083962"/>
    <w:rsid w:val="000875BF"/>
    <w:rsid w:val="00091922"/>
    <w:rsid w:val="00091EA4"/>
    <w:rsid w:val="000927CB"/>
    <w:rsid w:val="000947C5"/>
    <w:rsid w:val="00096579"/>
    <w:rsid w:val="00096D8C"/>
    <w:rsid w:val="000A0567"/>
    <w:rsid w:val="000A2DA2"/>
    <w:rsid w:val="000A72DE"/>
    <w:rsid w:val="000B156E"/>
    <w:rsid w:val="000B3083"/>
    <w:rsid w:val="000B50CF"/>
    <w:rsid w:val="000B6D3F"/>
    <w:rsid w:val="000C0B65"/>
    <w:rsid w:val="000C3DDD"/>
    <w:rsid w:val="000C420D"/>
    <w:rsid w:val="000D189B"/>
    <w:rsid w:val="000D467F"/>
    <w:rsid w:val="000D7B9F"/>
    <w:rsid w:val="000E05FE"/>
    <w:rsid w:val="000E2691"/>
    <w:rsid w:val="000E2CB7"/>
    <w:rsid w:val="000E3D42"/>
    <w:rsid w:val="000E5A5E"/>
    <w:rsid w:val="000E72C4"/>
    <w:rsid w:val="000F46D7"/>
    <w:rsid w:val="000F4D47"/>
    <w:rsid w:val="000F7F12"/>
    <w:rsid w:val="00100DE4"/>
    <w:rsid w:val="001011BA"/>
    <w:rsid w:val="00102F85"/>
    <w:rsid w:val="00102FE5"/>
    <w:rsid w:val="00105174"/>
    <w:rsid w:val="00106A41"/>
    <w:rsid w:val="0010760B"/>
    <w:rsid w:val="00111245"/>
    <w:rsid w:val="00115C18"/>
    <w:rsid w:val="001172F7"/>
    <w:rsid w:val="00122BD5"/>
    <w:rsid w:val="00127E99"/>
    <w:rsid w:val="00131954"/>
    <w:rsid w:val="001332F9"/>
    <w:rsid w:val="00133F79"/>
    <w:rsid w:val="00134225"/>
    <w:rsid w:val="0013587C"/>
    <w:rsid w:val="00136118"/>
    <w:rsid w:val="001365CC"/>
    <w:rsid w:val="00137F7C"/>
    <w:rsid w:val="00143713"/>
    <w:rsid w:val="00151C34"/>
    <w:rsid w:val="001527B7"/>
    <w:rsid w:val="00152C90"/>
    <w:rsid w:val="001533AA"/>
    <w:rsid w:val="00163DB0"/>
    <w:rsid w:val="0016465C"/>
    <w:rsid w:val="001672BF"/>
    <w:rsid w:val="00175B8F"/>
    <w:rsid w:val="0017734B"/>
    <w:rsid w:val="00177A51"/>
    <w:rsid w:val="00181B97"/>
    <w:rsid w:val="00181E4E"/>
    <w:rsid w:val="00190633"/>
    <w:rsid w:val="00194957"/>
    <w:rsid w:val="00194A66"/>
    <w:rsid w:val="001956EC"/>
    <w:rsid w:val="0019653D"/>
    <w:rsid w:val="00197707"/>
    <w:rsid w:val="001A151F"/>
    <w:rsid w:val="001A40A7"/>
    <w:rsid w:val="001A4BD2"/>
    <w:rsid w:val="001B15B2"/>
    <w:rsid w:val="001B20EF"/>
    <w:rsid w:val="001B7291"/>
    <w:rsid w:val="001B75E8"/>
    <w:rsid w:val="001C0364"/>
    <w:rsid w:val="001C0559"/>
    <w:rsid w:val="001C3D4E"/>
    <w:rsid w:val="001D24C8"/>
    <w:rsid w:val="001D3526"/>
    <w:rsid w:val="001D6BCF"/>
    <w:rsid w:val="001E01CA"/>
    <w:rsid w:val="001E2677"/>
    <w:rsid w:val="001E3847"/>
    <w:rsid w:val="001E3DB6"/>
    <w:rsid w:val="001E685D"/>
    <w:rsid w:val="001E70CC"/>
    <w:rsid w:val="001E76B9"/>
    <w:rsid w:val="001F162E"/>
    <w:rsid w:val="001F1D13"/>
    <w:rsid w:val="001F1F4D"/>
    <w:rsid w:val="001F2F83"/>
    <w:rsid w:val="001F54F0"/>
    <w:rsid w:val="001F5576"/>
    <w:rsid w:val="001F5E46"/>
    <w:rsid w:val="001F6397"/>
    <w:rsid w:val="0021424C"/>
    <w:rsid w:val="002159D6"/>
    <w:rsid w:val="00217856"/>
    <w:rsid w:val="0022321F"/>
    <w:rsid w:val="00225AE0"/>
    <w:rsid w:val="00231BCB"/>
    <w:rsid w:val="00232727"/>
    <w:rsid w:val="002350A3"/>
    <w:rsid w:val="00237267"/>
    <w:rsid w:val="00243683"/>
    <w:rsid w:val="00245090"/>
    <w:rsid w:val="0024547F"/>
    <w:rsid w:val="00253515"/>
    <w:rsid w:val="00257E67"/>
    <w:rsid w:val="0026716E"/>
    <w:rsid w:val="00267728"/>
    <w:rsid w:val="002703A0"/>
    <w:rsid w:val="00270936"/>
    <w:rsid w:val="002737D1"/>
    <w:rsid w:val="00273C15"/>
    <w:rsid w:val="00274020"/>
    <w:rsid w:val="002750DA"/>
    <w:rsid w:val="002751B4"/>
    <w:rsid w:val="0027549C"/>
    <w:rsid w:val="00275CF5"/>
    <w:rsid w:val="00275E63"/>
    <w:rsid w:val="0027676A"/>
    <w:rsid w:val="00276BED"/>
    <w:rsid w:val="00280AF3"/>
    <w:rsid w:val="00282E47"/>
    <w:rsid w:val="0028301F"/>
    <w:rsid w:val="00283347"/>
    <w:rsid w:val="00283D4E"/>
    <w:rsid w:val="00284794"/>
    <w:rsid w:val="00285017"/>
    <w:rsid w:val="00287517"/>
    <w:rsid w:val="0029336B"/>
    <w:rsid w:val="00296862"/>
    <w:rsid w:val="002A2D2E"/>
    <w:rsid w:val="002A4E26"/>
    <w:rsid w:val="002A5BE3"/>
    <w:rsid w:val="002A6756"/>
    <w:rsid w:val="002A6B27"/>
    <w:rsid w:val="002A6B28"/>
    <w:rsid w:val="002A6DA3"/>
    <w:rsid w:val="002A6EF0"/>
    <w:rsid w:val="002B2E5E"/>
    <w:rsid w:val="002B7D7A"/>
    <w:rsid w:val="002B7DEB"/>
    <w:rsid w:val="002C00E8"/>
    <w:rsid w:val="002C0628"/>
    <w:rsid w:val="002C4D39"/>
    <w:rsid w:val="002C6594"/>
    <w:rsid w:val="002C7074"/>
    <w:rsid w:val="002C7B02"/>
    <w:rsid w:val="002D0003"/>
    <w:rsid w:val="002D1958"/>
    <w:rsid w:val="002D4D1B"/>
    <w:rsid w:val="002D65AF"/>
    <w:rsid w:val="002E01C2"/>
    <w:rsid w:val="002E150A"/>
    <w:rsid w:val="002E33DD"/>
    <w:rsid w:val="002E5508"/>
    <w:rsid w:val="002E7032"/>
    <w:rsid w:val="002F18E4"/>
    <w:rsid w:val="002F1AFD"/>
    <w:rsid w:val="002F2620"/>
    <w:rsid w:val="002F2E14"/>
    <w:rsid w:val="002F4F17"/>
    <w:rsid w:val="00300C1F"/>
    <w:rsid w:val="00301530"/>
    <w:rsid w:val="0030296B"/>
    <w:rsid w:val="00303272"/>
    <w:rsid w:val="003040E2"/>
    <w:rsid w:val="00305F3D"/>
    <w:rsid w:val="003068B4"/>
    <w:rsid w:val="0030700E"/>
    <w:rsid w:val="00314AB1"/>
    <w:rsid w:val="00315638"/>
    <w:rsid w:val="00315ECA"/>
    <w:rsid w:val="003237E9"/>
    <w:rsid w:val="0032394D"/>
    <w:rsid w:val="003268B9"/>
    <w:rsid w:val="00330ACA"/>
    <w:rsid w:val="0033373B"/>
    <w:rsid w:val="00335882"/>
    <w:rsid w:val="003363F3"/>
    <w:rsid w:val="00336802"/>
    <w:rsid w:val="0033737B"/>
    <w:rsid w:val="003405E5"/>
    <w:rsid w:val="00343749"/>
    <w:rsid w:val="003449CF"/>
    <w:rsid w:val="00344C0B"/>
    <w:rsid w:val="003451A7"/>
    <w:rsid w:val="00345630"/>
    <w:rsid w:val="0034598B"/>
    <w:rsid w:val="0034622A"/>
    <w:rsid w:val="003473C1"/>
    <w:rsid w:val="003501B3"/>
    <w:rsid w:val="00350B78"/>
    <w:rsid w:val="00351AB2"/>
    <w:rsid w:val="00352929"/>
    <w:rsid w:val="003558B7"/>
    <w:rsid w:val="00355E95"/>
    <w:rsid w:val="00361260"/>
    <w:rsid w:val="00362462"/>
    <w:rsid w:val="00363B96"/>
    <w:rsid w:val="003660ED"/>
    <w:rsid w:val="003670B1"/>
    <w:rsid w:val="003704F7"/>
    <w:rsid w:val="0037110C"/>
    <w:rsid w:val="003748AA"/>
    <w:rsid w:val="00375201"/>
    <w:rsid w:val="00375FB3"/>
    <w:rsid w:val="00376C85"/>
    <w:rsid w:val="00377FAF"/>
    <w:rsid w:val="00381804"/>
    <w:rsid w:val="00381896"/>
    <w:rsid w:val="003842F3"/>
    <w:rsid w:val="003844C8"/>
    <w:rsid w:val="003916C7"/>
    <w:rsid w:val="00392B63"/>
    <w:rsid w:val="003945AF"/>
    <w:rsid w:val="003A0380"/>
    <w:rsid w:val="003A0C80"/>
    <w:rsid w:val="003A105D"/>
    <w:rsid w:val="003A21C2"/>
    <w:rsid w:val="003A2DBF"/>
    <w:rsid w:val="003A3F49"/>
    <w:rsid w:val="003A53EB"/>
    <w:rsid w:val="003A7232"/>
    <w:rsid w:val="003A7491"/>
    <w:rsid w:val="003B0550"/>
    <w:rsid w:val="003B694F"/>
    <w:rsid w:val="003B7FF4"/>
    <w:rsid w:val="003C5E8A"/>
    <w:rsid w:val="003C7C35"/>
    <w:rsid w:val="003D1A97"/>
    <w:rsid w:val="003D1CC6"/>
    <w:rsid w:val="003D4588"/>
    <w:rsid w:val="003D58F8"/>
    <w:rsid w:val="003D5F00"/>
    <w:rsid w:val="003D6FE3"/>
    <w:rsid w:val="003E2BD2"/>
    <w:rsid w:val="003E711C"/>
    <w:rsid w:val="003E7146"/>
    <w:rsid w:val="003F171C"/>
    <w:rsid w:val="003F4623"/>
    <w:rsid w:val="003F63AD"/>
    <w:rsid w:val="003F65F6"/>
    <w:rsid w:val="003F7B6A"/>
    <w:rsid w:val="003F7D88"/>
    <w:rsid w:val="004013B4"/>
    <w:rsid w:val="00402DEC"/>
    <w:rsid w:val="00404B8E"/>
    <w:rsid w:val="00405F10"/>
    <w:rsid w:val="00406440"/>
    <w:rsid w:val="004117FD"/>
    <w:rsid w:val="00412FC5"/>
    <w:rsid w:val="00413CA3"/>
    <w:rsid w:val="004145C0"/>
    <w:rsid w:val="004145E8"/>
    <w:rsid w:val="00414D0A"/>
    <w:rsid w:val="004161C2"/>
    <w:rsid w:val="00420E45"/>
    <w:rsid w:val="00422276"/>
    <w:rsid w:val="004232DD"/>
    <w:rsid w:val="00423F60"/>
    <w:rsid w:val="004242F1"/>
    <w:rsid w:val="004249F0"/>
    <w:rsid w:val="00425978"/>
    <w:rsid w:val="0042659F"/>
    <w:rsid w:val="00426D81"/>
    <w:rsid w:val="0042735F"/>
    <w:rsid w:val="004339D5"/>
    <w:rsid w:val="004345B6"/>
    <w:rsid w:val="0044233D"/>
    <w:rsid w:val="00444AB7"/>
    <w:rsid w:val="00445A00"/>
    <w:rsid w:val="00450F09"/>
    <w:rsid w:val="00451B0F"/>
    <w:rsid w:val="00452458"/>
    <w:rsid w:val="00454D5E"/>
    <w:rsid w:val="004615EE"/>
    <w:rsid w:val="0046723C"/>
    <w:rsid w:val="0047764D"/>
    <w:rsid w:val="0048149B"/>
    <w:rsid w:val="00482479"/>
    <w:rsid w:val="00482705"/>
    <w:rsid w:val="00485BFA"/>
    <w:rsid w:val="0048785F"/>
    <w:rsid w:val="00487C11"/>
    <w:rsid w:val="00490E5E"/>
    <w:rsid w:val="00493DFB"/>
    <w:rsid w:val="0049472C"/>
    <w:rsid w:val="004953D3"/>
    <w:rsid w:val="00497745"/>
    <w:rsid w:val="00497E5B"/>
    <w:rsid w:val="004A02BB"/>
    <w:rsid w:val="004A1A5A"/>
    <w:rsid w:val="004A1F6F"/>
    <w:rsid w:val="004B08D7"/>
    <w:rsid w:val="004B160A"/>
    <w:rsid w:val="004B4438"/>
    <w:rsid w:val="004B4A46"/>
    <w:rsid w:val="004B500E"/>
    <w:rsid w:val="004B5150"/>
    <w:rsid w:val="004B5DA4"/>
    <w:rsid w:val="004B7250"/>
    <w:rsid w:val="004C110F"/>
    <w:rsid w:val="004C1169"/>
    <w:rsid w:val="004C2EE3"/>
    <w:rsid w:val="004C3967"/>
    <w:rsid w:val="004C3A96"/>
    <w:rsid w:val="004C6573"/>
    <w:rsid w:val="004C7676"/>
    <w:rsid w:val="004C7967"/>
    <w:rsid w:val="004D0360"/>
    <w:rsid w:val="004D289A"/>
    <w:rsid w:val="004D33F6"/>
    <w:rsid w:val="004D3C0E"/>
    <w:rsid w:val="004E0C65"/>
    <w:rsid w:val="004E4A22"/>
    <w:rsid w:val="004E543B"/>
    <w:rsid w:val="004E5526"/>
    <w:rsid w:val="004E5EE5"/>
    <w:rsid w:val="004E7F9F"/>
    <w:rsid w:val="004F44B1"/>
    <w:rsid w:val="004F475A"/>
    <w:rsid w:val="004F7081"/>
    <w:rsid w:val="004F73A0"/>
    <w:rsid w:val="00505902"/>
    <w:rsid w:val="00511968"/>
    <w:rsid w:val="0051551D"/>
    <w:rsid w:val="00517A43"/>
    <w:rsid w:val="00517C76"/>
    <w:rsid w:val="00522E3C"/>
    <w:rsid w:val="00523BBC"/>
    <w:rsid w:val="00524E79"/>
    <w:rsid w:val="00525F9A"/>
    <w:rsid w:val="0052731A"/>
    <w:rsid w:val="005303E7"/>
    <w:rsid w:val="00531133"/>
    <w:rsid w:val="00534210"/>
    <w:rsid w:val="00534FF1"/>
    <w:rsid w:val="00536402"/>
    <w:rsid w:val="0054186F"/>
    <w:rsid w:val="0054236B"/>
    <w:rsid w:val="005434A2"/>
    <w:rsid w:val="00543B1D"/>
    <w:rsid w:val="00546877"/>
    <w:rsid w:val="00547550"/>
    <w:rsid w:val="005476AB"/>
    <w:rsid w:val="00553E01"/>
    <w:rsid w:val="005547D3"/>
    <w:rsid w:val="00555324"/>
    <w:rsid w:val="00555351"/>
    <w:rsid w:val="0055614C"/>
    <w:rsid w:val="00556944"/>
    <w:rsid w:val="00560BAE"/>
    <w:rsid w:val="00561FCD"/>
    <w:rsid w:val="0056290B"/>
    <w:rsid w:val="00563A30"/>
    <w:rsid w:val="00566D06"/>
    <w:rsid w:val="00571AD8"/>
    <w:rsid w:val="00571F8D"/>
    <w:rsid w:val="005726EF"/>
    <w:rsid w:val="0057625E"/>
    <w:rsid w:val="00576DFB"/>
    <w:rsid w:val="005775F2"/>
    <w:rsid w:val="00580C2C"/>
    <w:rsid w:val="005840E2"/>
    <w:rsid w:val="005849A5"/>
    <w:rsid w:val="00585057"/>
    <w:rsid w:val="00585C0B"/>
    <w:rsid w:val="0059146B"/>
    <w:rsid w:val="00592653"/>
    <w:rsid w:val="005929CF"/>
    <w:rsid w:val="00597FAA"/>
    <w:rsid w:val="005A0750"/>
    <w:rsid w:val="005A27BD"/>
    <w:rsid w:val="005A28A9"/>
    <w:rsid w:val="005A6937"/>
    <w:rsid w:val="005A73FD"/>
    <w:rsid w:val="005B31C1"/>
    <w:rsid w:val="005B354C"/>
    <w:rsid w:val="005B4BCF"/>
    <w:rsid w:val="005C0A46"/>
    <w:rsid w:val="005C0B2D"/>
    <w:rsid w:val="005C0FA2"/>
    <w:rsid w:val="005D1827"/>
    <w:rsid w:val="005D455F"/>
    <w:rsid w:val="005D6B81"/>
    <w:rsid w:val="005E0490"/>
    <w:rsid w:val="005E14C2"/>
    <w:rsid w:val="005E4213"/>
    <w:rsid w:val="005E70D8"/>
    <w:rsid w:val="005E7AC8"/>
    <w:rsid w:val="005E7BCD"/>
    <w:rsid w:val="005F1C94"/>
    <w:rsid w:val="005F2693"/>
    <w:rsid w:val="005F5F9B"/>
    <w:rsid w:val="005F708C"/>
    <w:rsid w:val="005F7098"/>
    <w:rsid w:val="005F7B7F"/>
    <w:rsid w:val="0060136F"/>
    <w:rsid w:val="006043FB"/>
    <w:rsid w:val="0060622A"/>
    <w:rsid w:val="0060694B"/>
    <w:rsid w:val="006075B0"/>
    <w:rsid w:val="00607BA5"/>
    <w:rsid w:val="0061180A"/>
    <w:rsid w:val="0061235D"/>
    <w:rsid w:val="00614E19"/>
    <w:rsid w:val="006216C3"/>
    <w:rsid w:val="0062479D"/>
    <w:rsid w:val="00625975"/>
    <w:rsid w:val="00626EB6"/>
    <w:rsid w:val="00626FF9"/>
    <w:rsid w:val="006302C3"/>
    <w:rsid w:val="00630403"/>
    <w:rsid w:val="00631A1C"/>
    <w:rsid w:val="00633670"/>
    <w:rsid w:val="006338B9"/>
    <w:rsid w:val="006354C5"/>
    <w:rsid w:val="0063642E"/>
    <w:rsid w:val="00640CC5"/>
    <w:rsid w:val="00640E5A"/>
    <w:rsid w:val="00643FC5"/>
    <w:rsid w:val="0064400A"/>
    <w:rsid w:val="00644166"/>
    <w:rsid w:val="00644F9C"/>
    <w:rsid w:val="00645B03"/>
    <w:rsid w:val="00646F9D"/>
    <w:rsid w:val="00647B5C"/>
    <w:rsid w:val="00650111"/>
    <w:rsid w:val="0065177D"/>
    <w:rsid w:val="00655D03"/>
    <w:rsid w:val="006574CE"/>
    <w:rsid w:val="00662246"/>
    <w:rsid w:val="006657A0"/>
    <w:rsid w:val="00670C67"/>
    <w:rsid w:val="00672689"/>
    <w:rsid w:val="00675370"/>
    <w:rsid w:val="00680C88"/>
    <w:rsid w:val="00682706"/>
    <w:rsid w:val="00683388"/>
    <w:rsid w:val="00683F84"/>
    <w:rsid w:val="0068466B"/>
    <w:rsid w:val="00686D96"/>
    <w:rsid w:val="00690B49"/>
    <w:rsid w:val="00691D1D"/>
    <w:rsid w:val="006944ED"/>
    <w:rsid w:val="00695697"/>
    <w:rsid w:val="0069616A"/>
    <w:rsid w:val="006A42A2"/>
    <w:rsid w:val="006A5B95"/>
    <w:rsid w:val="006A6A81"/>
    <w:rsid w:val="006B0F11"/>
    <w:rsid w:val="006B415D"/>
    <w:rsid w:val="006B4706"/>
    <w:rsid w:val="006B573C"/>
    <w:rsid w:val="006C09DE"/>
    <w:rsid w:val="006C13B0"/>
    <w:rsid w:val="006C2140"/>
    <w:rsid w:val="006C2B94"/>
    <w:rsid w:val="006C343F"/>
    <w:rsid w:val="006C6301"/>
    <w:rsid w:val="006C6DDF"/>
    <w:rsid w:val="006C7336"/>
    <w:rsid w:val="006D57C3"/>
    <w:rsid w:val="006D7BD9"/>
    <w:rsid w:val="006D7BF6"/>
    <w:rsid w:val="006E04BB"/>
    <w:rsid w:val="006E0669"/>
    <w:rsid w:val="006E1408"/>
    <w:rsid w:val="006E67F2"/>
    <w:rsid w:val="006E7031"/>
    <w:rsid w:val="006E73EB"/>
    <w:rsid w:val="006F18DD"/>
    <w:rsid w:val="006F42B3"/>
    <w:rsid w:val="006F7393"/>
    <w:rsid w:val="006F7E3E"/>
    <w:rsid w:val="00700717"/>
    <w:rsid w:val="00700A64"/>
    <w:rsid w:val="00700C76"/>
    <w:rsid w:val="0070187D"/>
    <w:rsid w:val="0070224F"/>
    <w:rsid w:val="00703E4F"/>
    <w:rsid w:val="00704B85"/>
    <w:rsid w:val="00705540"/>
    <w:rsid w:val="00710303"/>
    <w:rsid w:val="007115F7"/>
    <w:rsid w:val="00713203"/>
    <w:rsid w:val="00720803"/>
    <w:rsid w:val="0072135C"/>
    <w:rsid w:val="0072189E"/>
    <w:rsid w:val="007227BF"/>
    <w:rsid w:val="0072380A"/>
    <w:rsid w:val="0073089C"/>
    <w:rsid w:val="00730E51"/>
    <w:rsid w:val="007406E1"/>
    <w:rsid w:val="00743CE1"/>
    <w:rsid w:val="0074755A"/>
    <w:rsid w:val="00750480"/>
    <w:rsid w:val="00753617"/>
    <w:rsid w:val="0075643D"/>
    <w:rsid w:val="007619A9"/>
    <w:rsid w:val="00763629"/>
    <w:rsid w:val="00764943"/>
    <w:rsid w:val="00765EF8"/>
    <w:rsid w:val="00766F07"/>
    <w:rsid w:val="00770597"/>
    <w:rsid w:val="00770676"/>
    <w:rsid w:val="007706AE"/>
    <w:rsid w:val="00770E13"/>
    <w:rsid w:val="007714E1"/>
    <w:rsid w:val="00774AB6"/>
    <w:rsid w:val="00775415"/>
    <w:rsid w:val="00776B25"/>
    <w:rsid w:val="00777750"/>
    <w:rsid w:val="007802DF"/>
    <w:rsid w:val="00781D9A"/>
    <w:rsid w:val="00785689"/>
    <w:rsid w:val="00785E0C"/>
    <w:rsid w:val="007873A5"/>
    <w:rsid w:val="00795678"/>
    <w:rsid w:val="0079754B"/>
    <w:rsid w:val="007A1E6D"/>
    <w:rsid w:val="007A2E87"/>
    <w:rsid w:val="007A32D6"/>
    <w:rsid w:val="007A3BD8"/>
    <w:rsid w:val="007A50AD"/>
    <w:rsid w:val="007B0EB2"/>
    <w:rsid w:val="007B167A"/>
    <w:rsid w:val="007C7A4D"/>
    <w:rsid w:val="007D3C26"/>
    <w:rsid w:val="007D4187"/>
    <w:rsid w:val="007D41DD"/>
    <w:rsid w:val="007D4F64"/>
    <w:rsid w:val="007D6A36"/>
    <w:rsid w:val="007E3B16"/>
    <w:rsid w:val="007E5B0A"/>
    <w:rsid w:val="007E6827"/>
    <w:rsid w:val="007E7065"/>
    <w:rsid w:val="007E7B32"/>
    <w:rsid w:val="007F0482"/>
    <w:rsid w:val="007F5621"/>
    <w:rsid w:val="007F5BA1"/>
    <w:rsid w:val="007F664D"/>
    <w:rsid w:val="007F690E"/>
    <w:rsid w:val="00800583"/>
    <w:rsid w:val="0080444C"/>
    <w:rsid w:val="00804774"/>
    <w:rsid w:val="00810957"/>
    <w:rsid w:val="00810B6F"/>
    <w:rsid w:val="00811F73"/>
    <w:rsid w:val="00816E58"/>
    <w:rsid w:val="00822CE0"/>
    <w:rsid w:val="00824076"/>
    <w:rsid w:val="00826AC1"/>
    <w:rsid w:val="00826B4D"/>
    <w:rsid w:val="00830D01"/>
    <w:rsid w:val="00832713"/>
    <w:rsid w:val="00832F78"/>
    <w:rsid w:val="00833EEB"/>
    <w:rsid w:val="00835DB7"/>
    <w:rsid w:val="00836F3E"/>
    <w:rsid w:val="008408AE"/>
    <w:rsid w:val="00840C2F"/>
    <w:rsid w:val="00841AB1"/>
    <w:rsid w:val="00842690"/>
    <w:rsid w:val="0084326A"/>
    <w:rsid w:val="00843475"/>
    <w:rsid w:val="008447A3"/>
    <w:rsid w:val="00845CB9"/>
    <w:rsid w:val="008508AF"/>
    <w:rsid w:val="0085167D"/>
    <w:rsid w:val="00851D3C"/>
    <w:rsid w:val="008533E6"/>
    <w:rsid w:val="00855F03"/>
    <w:rsid w:val="0085696A"/>
    <w:rsid w:val="00856A8F"/>
    <w:rsid w:val="00861124"/>
    <w:rsid w:val="00864CE3"/>
    <w:rsid w:val="008724AF"/>
    <w:rsid w:val="008728C1"/>
    <w:rsid w:val="008749A7"/>
    <w:rsid w:val="0087512E"/>
    <w:rsid w:val="0087760F"/>
    <w:rsid w:val="008815FF"/>
    <w:rsid w:val="0088178A"/>
    <w:rsid w:val="00881D4A"/>
    <w:rsid w:val="00885418"/>
    <w:rsid w:val="00886061"/>
    <w:rsid w:val="0088743A"/>
    <w:rsid w:val="0088797D"/>
    <w:rsid w:val="00891C41"/>
    <w:rsid w:val="0089372A"/>
    <w:rsid w:val="008954B5"/>
    <w:rsid w:val="008956E7"/>
    <w:rsid w:val="008968E6"/>
    <w:rsid w:val="00897364"/>
    <w:rsid w:val="00897878"/>
    <w:rsid w:val="008978FB"/>
    <w:rsid w:val="008A2184"/>
    <w:rsid w:val="008A4612"/>
    <w:rsid w:val="008A5236"/>
    <w:rsid w:val="008A6F60"/>
    <w:rsid w:val="008A7ED4"/>
    <w:rsid w:val="008B060E"/>
    <w:rsid w:val="008B0B5D"/>
    <w:rsid w:val="008B42E3"/>
    <w:rsid w:val="008B5EA0"/>
    <w:rsid w:val="008C58E4"/>
    <w:rsid w:val="008C68F1"/>
    <w:rsid w:val="008D0BDA"/>
    <w:rsid w:val="008D0C00"/>
    <w:rsid w:val="008D2220"/>
    <w:rsid w:val="008D4932"/>
    <w:rsid w:val="008D5680"/>
    <w:rsid w:val="008D7F53"/>
    <w:rsid w:val="008E16ED"/>
    <w:rsid w:val="008E3512"/>
    <w:rsid w:val="008E3EDD"/>
    <w:rsid w:val="008F13B6"/>
    <w:rsid w:val="008F231E"/>
    <w:rsid w:val="008F5739"/>
    <w:rsid w:val="00901399"/>
    <w:rsid w:val="009031AA"/>
    <w:rsid w:val="009123C0"/>
    <w:rsid w:val="0091458F"/>
    <w:rsid w:val="009150AE"/>
    <w:rsid w:val="0091630A"/>
    <w:rsid w:val="00917A5A"/>
    <w:rsid w:val="00921803"/>
    <w:rsid w:val="0092446D"/>
    <w:rsid w:val="00924768"/>
    <w:rsid w:val="00924D16"/>
    <w:rsid w:val="00926503"/>
    <w:rsid w:val="00927633"/>
    <w:rsid w:val="00930D75"/>
    <w:rsid w:val="00931BA7"/>
    <w:rsid w:val="009335F8"/>
    <w:rsid w:val="00934994"/>
    <w:rsid w:val="00943711"/>
    <w:rsid w:val="009462FB"/>
    <w:rsid w:val="00947B4D"/>
    <w:rsid w:val="009517F5"/>
    <w:rsid w:val="00955F41"/>
    <w:rsid w:val="00961E7D"/>
    <w:rsid w:val="00965A5D"/>
    <w:rsid w:val="0096634B"/>
    <w:rsid w:val="00966CFB"/>
    <w:rsid w:val="0096757E"/>
    <w:rsid w:val="00970B71"/>
    <w:rsid w:val="009726D8"/>
    <w:rsid w:val="00973F45"/>
    <w:rsid w:val="00973FFB"/>
    <w:rsid w:val="00974A04"/>
    <w:rsid w:val="00974EE9"/>
    <w:rsid w:val="009768EF"/>
    <w:rsid w:val="009803CA"/>
    <w:rsid w:val="0098155F"/>
    <w:rsid w:val="00981A1C"/>
    <w:rsid w:val="00981F23"/>
    <w:rsid w:val="0098248E"/>
    <w:rsid w:val="00985F05"/>
    <w:rsid w:val="00986912"/>
    <w:rsid w:val="00986E79"/>
    <w:rsid w:val="00990D18"/>
    <w:rsid w:val="00990DFC"/>
    <w:rsid w:val="00991660"/>
    <w:rsid w:val="009944CF"/>
    <w:rsid w:val="00996344"/>
    <w:rsid w:val="009A1AC1"/>
    <w:rsid w:val="009A1AF5"/>
    <w:rsid w:val="009A58BC"/>
    <w:rsid w:val="009A662A"/>
    <w:rsid w:val="009B0089"/>
    <w:rsid w:val="009B0281"/>
    <w:rsid w:val="009B048A"/>
    <w:rsid w:val="009B3AC0"/>
    <w:rsid w:val="009B46B7"/>
    <w:rsid w:val="009C1D4B"/>
    <w:rsid w:val="009C25AC"/>
    <w:rsid w:val="009C2F3C"/>
    <w:rsid w:val="009C432E"/>
    <w:rsid w:val="009D1C02"/>
    <w:rsid w:val="009D2DF0"/>
    <w:rsid w:val="009D32EB"/>
    <w:rsid w:val="009D3C14"/>
    <w:rsid w:val="009D4B4C"/>
    <w:rsid w:val="009D5194"/>
    <w:rsid w:val="009D5FD8"/>
    <w:rsid w:val="009D6B68"/>
    <w:rsid w:val="009D6D33"/>
    <w:rsid w:val="009D7308"/>
    <w:rsid w:val="009D737D"/>
    <w:rsid w:val="009E0CA0"/>
    <w:rsid w:val="009E259F"/>
    <w:rsid w:val="009E2950"/>
    <w:rsid w:val="009E320E"/>
    <w:rsid w:val="009E32ED"/>
    <w:rsid w:val="009E5B1B"/>
    <w:rsid w:val="009E7140"/>
    <w:rsid w:val="009E7CA4"/>
    <w:rsid w:val="009F3AC9"/>
    <w:rsid w:val="009F76DB"/>
    <w:rsid w:val="00A00DD7"/>
    <w:rsid w:val="00A031B7"/>
    <w:rsid w:val="00A04A38"/>
    <w:rsid w:val="00A0597B"/>
    <w:rsid w:val="00A10459"/>
    <w:rsid w:val="00A113A0"/>
    <w:rsid w:val="00A130F4"/>
    <w:rsid w:val="00A22064"/>
    <w:rsid w:val="00A23C25"/>
    <w:rsid w:val="00A244D8"/>
    <w:rsid w:val="00A251F4"/>
    <w:rsid w:val="00A261B3"/>
    <w:rsid w:val="00A27815"/>
    <w:rsid w:val="00A3012C"/>
    <w:rsid w:val="00A30CA9"/>
    <w:rsid w:val="00A31412"/>
    <w:rsid w:val="00A32C3B"/>
    <w:rsid w:val="00A35F63"/>
    <w:rsid w:val="00A37A3C"/>
    <w:rsid w:val="00A37DF3"/>
    <w:rsid w:val="00A37E09"/>
    <w:rsid w:val="00A405F4"/>
    <w:rsid w:val="00A410CC"/>
    <w:rsid w:val="00A44631"/>
    <w:rsid w:val="00A45F4F"/>
    <w:rsid w:val="00A47F11"/>
    <w:rsid w:val="00A513E3"/>
    <w:rsid w:val="00A52A9A"/>
    <w:rsid w:val="00A5462D"/>
    <w:rsid w:val="00A559F9"/>
    <w:rsid w:val="00A57E97"/>
    <w:rsid w:val="00A600A9"/>
    <w:rsid w:val="00A60D01"/>
    <w:rsid w:val="00A66C37"/>
    <w:rsid w:val="00A67816"/>
    <w:rsid w:val="00A74E77"/>
    <w:rsid w:val="00A7704E"/>
    <w:rsid w:val="00A80926"/>
    <w:rsid w:val="00A83518"/>
    <w:rsid w:val="00A838E5"/>
    <w:rsid w:val="00A84B75"/>
    <w:rsid w:val="00A85DDF"/>
    <w:rsid w:val="00A86989"/>
    <w:rsid w:val="00A86A82"/>
    <w:rsid w:val="00A86DB6"/>
    <w:rsid w:val="00A9135B"/>
    <w:rsid w:val="00A962A3"/>
    <w:rsid w:val="00AA18CE"/>
    <w:rsid w:val="00AA4158"/>
    <w:rsid w:val="00AA41A4"/>
    <w:rsid w:val="00AA4DA6"/>
    <w:rsid w:val="00AA55B7"/>
    <w:rsid w:val="00AA5B9E"/>
    <w:rsid w:val="00AA5E97"/>
    <w:rsid w:val="00AA69A9"/>
    <w:rsid w:val="00AA6FC4"/>
    <w:rsid w:val="00AA7D57"/>
    <w:rsid w:val="00AB1685"/>
    <w:rsid w:val="00AB2407"/>
    <w:rsid w:val="00AB53DF"/>
    <w:rsid w:val="00AB63F5"/>
    <w:rsid w:val="00AB7D21"/>
    <w:rsid w:val="00AB7E7F"/>
    <w:rsid w:val="00AC3795"/>
    <w:rsid w:val="00AC64D6"/>
    <w:rsid w:val="00AC6A7A"/>
    <w:rsid w:val="00AC6C55"/>
    <w:rsid w:val="00AD0726"/>
    <w:rsid w:val="00AD0A0A"/>
    <w:rsid w:val="00AD4A65"/>
    <w:rsid w:val="00AD5455"/>
    <w:rsid w:val="00AD63DF"/>
    <w:rsid w:val="00AD6F7D"/>
    <w:rsid w:val="00AE019E"/>
    <w:rsid w:val="00AE3441"/>
    <w:rsid w:val="00AE4808"/>
    <w:rsid w:val="00AE5051"/>
    <w:rsid w:val="00AF17AB"/>
    <w:rsid w:val="00AF305C"/>
    <w:rsid w:val="00AF63C5"/>
    <w:rsid w:val="00B00472"/>
    <w:rsid w:val="00B01581"/>
    <w:rsid w:val="00B05AEC"/>
    <w:rsid w:val="00B0600C"/>
    <w:rsid w:val="00B06DD5"/>
    <w:rsid w:val="00B07E5C"/>
    <w:rsid w:val="00B10AC0"/>
    <w:rsid w:val="00B14169"/>
    <w:rsid w:val="00B260AD"/>
    <w:rsid w:val="00B360A3"/>
    <w:rsid w:val="00B44CE8"/>
    <w:rsid w:val="00B466E3"/>
    <w:rsid w:val="00B50FEC"/>
    <w:rsid w:val="00B51A4A"/>
    <w:rsid w:val="00B5662E"/>
    <w:rsid w:val="00B56AD7"/>
    <w:rsid w:val="00B61874"/>
    <w:rsid w:val="00B6373C"/>
    <w:rsid w:val="00B63B4A"/>
    <w:rsid w:val="00B65345"/>
    <w:rsid w:val="00B657FF"/>
    <w:rsid w:val="00B65DFA"/>
    <w:rsid w:val="00B67E3A"/>
    <w:rsid w:val="00B72004"/>
    <w:rsid w:val="00B726E4"/>
    <w:rsid w:val="00B738AC"/>
    <w:rsid w:val="00B7557C"/>
    <w:rsid w:val="00B763BC"/>
    <w:rsid w:val="00B811F7"/>
    <w:rsid w:val="00B81345"/>
    <w:rsid w:val="00B84531"/>
    <w:rsid w:val="00B92FF1"/>
    <w:rsid w:val="00B945F2"/>
    <w:rsid w:val="00B94F74"/>
    <w:rsid w:val="00BA1310"/>
    <w:rsid w:val="00BA27C4"/>
    <w:rsid w:val="00BA4618"/>
    <w:rsid w:val="00BA5DC6"/>
    <w:rsid w:val="00BA6196"/>
    <w:rsid w:val="00BA6B60"/>
    <w:rsid w:val="00BA7289"/>
    <w:rsid w:val="00BB10EE"/>
    <w:rsid w:val="00BB2FC9"/>
    <w:rsid w:val="00BB3876"/>
    <w:rsid w:val="00BB3A60"/>
    <w:rsid w:val="00BB6EA5"/>
    <w:rsid w:val="00BB75F9"/>
    <w:rsid w:val="00BC2332"/>
    <w:rsid w:val="00BC5A7D"/>
    <w:rsid w:val="00BC5D43"/>
    <w:rsid w:val="00BC6D8C"/>
    <w:rsid w:val="00BD074D"/>
    <w:rsid w:val="00BD1FB6"/>
    <w:rsid w:val="00BD2591"/>
    <w:rsid w:val="00BD3DA8"/>
    <w:rsid w:val="00BD76DC"/>
    <w:rsid w:val="00BE1326"/>
    <w:rsid w:val="00BE1366"/>
    <w:rsid w:val="00BE489A"/>
    <w:rsid w:val="00BE58A9"/>
    <w:rsid w:val="00BF0DE8"/>
    <w:rsid w:val="00BF0F6F"/>
    <w:rsid w:val="00BF1B09"/>
    <w:rsid w:val="00BF2107"/>
    <w:rsid w:val="00BF409C"/>
    <w:rsid w:val="00BF45F5"/>
    <w:rsid w:val="00BF4B01"/>
    <w:rsid w:val="00BF5D74"/>
    <w:rsid w:val="00BF6BAB"/>
    <w:rsid w:val="00BF6E8C"/>
    <w:rsid w:val="00BF75BB"/>
    <w:rsid w:val="00C00B0B"/>
    <w:rsid w:val="00C065B7"/>
    <w:rsid w:val="00C12C0C"/>
    <w:rsid w:val="00C219F3"/>
    <w:rsid w:val="00C22678"/>
    <w:rsid w:val="00C23FEA"/>
    <w:rsid w:val="00C2448B"/>
    <w:rsid w:val="00C25AA6"/>
    <w:rsid w:val="00C25DA5"/>
    <w:rsid w:val="00C307C7"/>
    <w:rsid w:val="00C33210"/>
    <w:rsid w:val="00C34006"/>
    <w:rsid w:val="00C36B4C"/>
    <w:rsid w:val="00C426B1"/>
    <w:rsid w:val="00C433E6"/>
    <w:rsid w:val="00C43F0F"/>
    <w:rsid w:val="00C5157C"/>
    <w:rsid w:val="00C535E4"/>
    <w:rsid w:val="00C536AC"/>
    <w:rsid w:val="00C5602A"/>
    <w:rsid w:val="00C5624E"/>
    <w:rsid w:val="00C57304"/>
    <w:rsid w:val="00C60188"/>
    <w:rsid w:val="00C6164C"/>
    <w:rsid w:val="00C652CE"/>
    <w:rsid w:val="00C66160"/>
    <w:rsid w:val="00C70E68"/>
    <w:rsid w:val="00C721AC"/>
    <w:rsid w:val="00C72A79"/>
    <w:rsid w:val="00C85883"/>
    <w:rsid w:val="00C86CCE"/>
    <w:rsid w:val="00C86F28"/>
    <w:rsid w:val="00C90D6A"/>
    <w:rsid w:val="00C94660"/>
    <w:rsid w:val="00C94B6F"/>
    <w:rsid w:val="00C95296"/>
    <w:rsid w:val="00C957B0"/>
    <w:rsid w:val="00C965EA"/>
    <w:rsid w:val="00C96B1B"/>
    <w:rsid w:val="00CA006E"/>
    <w:rsid w:val="00CA0BE6"/>
    <w:rsid w:val="00CA1575"/>
    <w:rsid w:val="00CA247E"/>
    <w:rsid w:val="00CA3783"/>
    <w:rsid w:val="00CA5014"/>
    <w:rsid w:val="00CA5472"/>
    <w:rsid w:val="00CA571E"/>
    <w:rsid w:val="00CA6D21"/>
    <w:rsid w:val="00CB23EE"/>
    <w:rsid w:val="00CB7407"/>
    <w:rsid w:val="00CC2C3E"/>
    <w:rsid w:val="00CC3201"/>
    <w:rsid w:val="00CC5B5F"/>
    <w:rsid w:val="00CC72B6"/>
    <w:rsid w:val="00CD0366"/>
    <w:rsid w:val="00CD3CD5"/>
    <w:rsid w:val="00CD43EC"/>
    <w:rsid w:val="00CD545E"/>
    <w:rsid w:val="00CD6AD6"/>
    <w:rsid w:val="00CD6CA9"/>
    <w:rsid w:val="00CE0417"/>
    <w:rsid w:val="00CE1B08"/>
    <w:rsid w:val="00CE4B07"/>
    <w:rsid w:val="00CE4FAD"/>
    <w:rsid w:val="00CE7C49"/>
    <w:rsid w:val="00CE7D3D"/>
    <w:rsid w:val="00CE7EB8"/>
    <w:rsid w:val="00CF1F25"/>
    <w:rsid w:val="00CF2002"/>
    <w:rsid w:val="00CF6A03"/>
    <w:rsid w:val="00CF6C0D"/>
    <w:rsid w:val="00D0218D"/>
    <w:rsid w:val="00D044A0"/>
    <w:rsid w:val="00D1067C"/>
    <w:rsid w:val="00D15C1D"/>
    <w:rsid w:val="00D16C17"/>
    <w:rsid w:val="00D2484E"/>
    <w:rsid w:val="00D25C38"/>
    <w:rsid w:val="00D25FA8"/>
    <w:rsid w:val="00D25FB5"/>
    <w:rsid w:val="00D321D1"/>
    <w:rsid w:val="00D33B09"/>
    <w:rsid w:val="00D34BAD"/>
    <w:rsid w:val="00D418D2"/>
    <w:rsid w:val="00D419FE"/>
    <w:rsid w:val="00D43D41"/>
    <w:rsid w:val="00D44223"/>
    <w:rsid w:val="00D45BBB"/>
    <w:rsid w:val="00D47004"/>
    <w:rsid w:val="00D5169A"/>
    <w:rsid w:val="00D57480"/>
    <w:rsid w:val="00D60D45"/>
    <w:rsid w:val="00D638C7"/>
    <w:rsid w:val="00D654FF"/>
    <w:rsid w:val="00D66335"/>
    <w:rsid w:val="00D66833"/>
    <w:rsid w:val="00D66A3E"/>
    <w:rsid w:val="00D6711C"/>
    <w:rsid w:val="00D710AB"/>
    <w:rsid w:val="00D71467"/>
    <w:rsid w:val="00D721FB"/>
    <w:rsid w:val="00D72D6F"/>
    <w:rsid w:val="00D7483A"/>
    <w:rsid w:val="00D81712"/>
    <w:rsid w:val="00D83D19"/>
    <w:rsid w:val="00D86AA9"/>
    <w:rsid w:val="00D90D3C"/>
    <w:rsid w:val="00D916AD"/>
    <w:rsid w:val="00D91BA0"/>
    <w:rsid w:val="00D936D1"/>
    <w:rsid w:val="00D9519C"/>
    <w:rsid w:val="00D96BEF"/>
    <w:rsid w:val="00D97165"/>
    <w:rsid w:val="00DA2529"/>
    <w:rsid w:val="00DA49BF"/>
    <w:rsid w:val="00DA6E03"/>
    <w:rsid w:val="00DB08F9"/>
    <w:rsid w:val="00DB0EB6"/>
    <w:rsid w:val="00DB130A"/>
    <w:rsid w:val="00DB2A9B"/>
    <w:rsid w:val="00DB2EBB"/>
    <w:rsid w:val="00DB49BA"/>
    <w:rsid w:val="00DB4B44"/>
    <w:rsid w:val="00DB5BA9"/>
    <w:rsid w:val="00DB6D21"/>
    <w:rsid w:val="00DC10A1"/>
    <w:rsid w:val="00DC1BDE"/>
    <w:rsid w:val="00DC3E6E"/>
    <w:rsid w:val="00DC4CB9"/>
    <w:rsid w:val="00DC655F"/>
    <w:rsid w:val="00DC69F7"/>
    <w:rsid w:val="00DD0B59"/>
    <w:rsid w:val="00DD182C"/>
    <w:rsid w:val="00DD1E90"/>
    <w:rsid w:val="00DD40F0"/>
    <w:rsid w:val="00DD515E"/>
    <w:rsid w:val="00DD7EBD"/>
    <w:rsid w:val="00DE1286"/>
    <w:rsid w:val="00DE3CFB"/>
    <w:rsid w:val="00DE70BA"/>
    <w:rsid w:val="00DE70BE"/>
    <w:rsid w:val="00DE74C8"/>
    <w:rsid w:val="00DE7E8C"/>
    <w:rsid w:val="00DF4A0F"/>
    <w:rsid w:val="00DF569F"/>
    <w:rsid w:val="00DF62B6"/>
    <w:rsid w:val="00DF63DA"/>
    <w:rsid w:val="00DF703A"/>
    <w:rsid w:val="00E0109E"/>
    <w:rsid w:val="00E02C05"/>
    <w:rsid w:val="00E0497C"/>
    <w:rsid w:val="00E05445"/>
    <w:rsid w:val="00E07225"/>
    <w:rsid w:val="00E15C59"/>
    <w:rsid w:val="00E163E9"/>
    <w:rsid w:val="00E166C6"/>
    <w:rsid w:val="00E20094"/>
    <w:rsid w:val="00E21853"/>
    <w:rsid w:val="00E21FE1"/>
    <w:rsid w:val="00E22A05"/>
    <w:rsid w:val="00E23846"/>
    <w:rsid w:val="00E247C2"/>
    <w:rsid w:val="00E2548C"/>
    <w:rsid w:val="00E270C3"/>
    <w:rsid w:val="00E27611"/>
    <w:rsid w:val="00E32810"/>
    <w:rsid w:val="00E350A1"/>
    <w:rsid w:val="00E4083E"/>
    <w:rsid w:val="00E41600"/>
    <w:rsid w:val="00E44FE6"/>
    <w:rsid w:val="00E47CFD"/>
    <w:rsid w:val="00E516E0"/>
    <w:rsid w:val="00E5229F"/>
    <w:rsid w:val="00E52627"/>
    <w:rsid w:val="00E534F2"/>
    <w:rsid w:val="00E5409F"/>
    <w:rsid w:val="00E55184"/>
    <w:rsid w:val="00E56CD8"/>
    <w:rsid w:val="00E57BC1"/>
    <w:rsid w:val="00E618F7"/>
    <w:rsid w:val="00E620EA"/>
    <w:rsid w:val="00E62BFE"/>
    <w:rsid w:val="00E644A0"/>
    <w:rsid w:val="00E64E46"/>
    <w:rsid w:val="00E653E8"/>
    <w:rsid w:val="00E66F36"/>
    <w:rsid w:val="00E67285"/>
    <w:rsid w:val="00E71F81"/>
    <w:rsid w:val="00E73871"/>
    <w:rsid w:val="00E76D83"/>
    <w:rsid w:val="00E8015E"/>
    <w:rsid w:val="00E806E9"/>
    <w:rsid w:val="00E824F0"/>
    <w:rsid w:val="00E858AF"/>
    <w:rsid w:val="00E913AE"/>
    <w:rsid w:val="00E93917"/>
    <w:rsid w:val="00E952C4"/>
    <w:rsid w:val="00E9698D"/>
    <w:rsid w:val="00EA2F60"/>
    <w:rsid w:val="00EA3A3D"/>
    <w:rsid w:val="00EA6BD3"/>
    <w:rsid w:val="00EB0227"/>
    <w:rsid w:val="00EB082E"/>
    <w:rsid w:val="00EB1132"/>
    <w:rsid w:val="00EB65DB"/>
    <w:rsid w:val="00EB7BC0"/>
    <w:rsid w:val="00EC2C07"/>
    <w:rsid w:val="00EC30DC"/>
    <w:rsid w:val="00EC343B"/>
    <w:rsid w:val="00EC4F25"/>
    <w:rsid w:val="00ED18C6"/>
    <w:rsid w:val="00ED4ACB"/>
    <w:rsid w:val="00ED5A5C"/>
    <w:rsid w:val="00ED7457"/>
    <w:rsid w:val="00EE41C4"/>
    <w:rsid w:val="00EE5814"/>
    <w:rsid w:val="00EE5B12"/>
    <w:rsid w:val="00EE5D7A"/>
    <w:rsid w:val="00EE6488"/>
    <w:rsid w:val="00EE6506"/>
    <w:rsid w:val="00EF17D7"/>
    <w:rsid w:val="00EF26CF"/>
    <w:rsid w:val="00F00409"/>
    <w:rsid w:val="00F01DEE"/>
    <w:rsid w:val="00F021FA"/>
    <w:rsid w:val="00F0309F"/>
    <w:rsid w:val="00F03883"/>
    <w:rsid w:val="00F0574F"/>
    <w:rsid w:val="00F05F70"/>
    <w:rsid w:val="00F10AE1"/>
    <w:rsid w:val="00F10EBE"/>
    <w:rsid w:val="00F14821"/>
    <w:rsid w:val="00F1518E"/>
    <w:rsid w:val="00F17EF4"/>
    <w:rsid w:val="00F214A3"/>
    <w:rsid w:val="00F2160B"/>
    <w:rsid w:val="00F21B6A"/>
    <w:rsid w:val="00F23712"/>
    <w:rsid w:val="00F23EB0"/>
    <w:rsid w:val="00F255A9"/>
    <w:rsid w:val="00F2608B"/>
    <w:rsid w:val="00F26593"/>
    <w:rsid w:val="00F26F19"/>
    <w:rsid w:val="00F324E0"/>
    <w:rsid w:val="00F32ABC"/>
    <w:rsid w:val="00F33BE3"/>
    <w:rsid w:val="00F3664B"/>
    <w:rsid w:val="00F419B2"/>
    <w:rsid w:val="00F419C4"/>
    <w:rsid w:val="00F419FC"/>
    <w:rsid w:val="00F4450D"/>
    <w:rsid w:val="00F44A1D"/>
    <w:rsid w:val="00F44F05"/>
    <w:rsid w:val="00F46045"/>
    <w:rsid w:val="00F47E8E"/>
    <w:rsid w:val="00F54178"/>
    <w:rsid w:val="00F57B98"/>
    <w:rsid w:val="00F62E97"/>
    <w:rsid w:val="00F62EBA"/>
    <w:rsid w:val="00F64209"/>
    <w:rsid w:val="00F702A2"/>
    <w:rsid w:val="00F83BEC"/>
    <w:rsid w:val="00F83E4D"/>
    <w:rsid w:val="00F84217"/>
    <w:rsid w:val="00F844BC"/>
    <w:rsid w:val="00F92955"/>
    <w:rsid w:val="00F92E01"/>
    <w:rsid w:val="00F93BF5"/>
    <w:rsid w:val="00F957D0"/>
    <w:rsid w:val="00F964FE"/>
    <w:rsid w:val="00FA2EFE"/>
    <w:rsid w:val="00FA3732"/>
    <w:rsid w:val="00FA3A49"/>
    <w:rsid w:val="00FA560A"/>
    <w:rsid w:val="00FA56D9"/>
    <w:rsid w:val="00FB198C"/>
    <w:rsid w:val="00FB1AC2"/>
    <w:rsid w:val="00FB34A5"/>
    <w:rsid w:val="00FC14F5"/>
    <w:rsid w:val="00FC1583"/>
    <w:rsid w:val="00FD1276"/>
    <w:rsid w:val="00FD13AB"/>
    <w:rsid w:val="00FD3E30"/>
    <w:rsid w:val="00FD5551"/>
    <w:rsid w:val="00FD6373"/>
    <w:rsid w:val="00FD72FF"/>
    <w:rsid w:val="00FE0490"/>
    <w:rsid w:val="00FE23F5"/>
    <w:rsid w:val="00FE6213"/>
    <w:rsid w:val="00FE6E92"/>
    <w:rsid w:val="00FE7C95"/>
    <w:rsid w:val="00FF11F1"/>
    <w:rsid w:val="00FF3D3E"/>
    <w:rsid w:val="00FF7A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4A9ADF"/>
  <w15:chartTrackingRefBased/>
  <w15:docId w15:val="{7DFEC2D9-FBFD-4970-9C1E-DD09ADEA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87517"/>
    <w:pPr>
      <w:widowControl w:val="0"/>
    </w:pPr>
    <w:rPr>
      <w:snapToGrid w:val="0"/>
      <w:kern w:val="28"/>
      <w:sz w:val="22"/>
    </w:rPr>
  </w:style>
  <w:style w:type="paragraph" w:styleId="Heading1">
    <w:name w:val="heading 1"/>
    <w:basedOn w:val="Normal"/>
    <w:next w:val="ParaNum"/>
    <w:qFormat/>
    <w:rsid w:val="0028751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87517"/>
    <w:pPr>
      <w:keepNext/>
      <w:numPr>
        <w:ilvl w:val="1"/>
        <w:numId w:val="3"/>
      </w:numPr>
      <w:spacing w:after="120"/>
      <w:outlineLvl w:val="1"/>
    </w:pPr>
    <w:rPr>
      <w:b/>
    </w:rPr>
  </w:style>
  <w:style w:type="paragraph" w:styleId="Heading3">
    <w:name w:val="heading 3"/>
    <w:basedOn w:val="Normal"/>
    <w:next w:val="ParaNum"/>
    <w:qFormat/>
    <w:rsid w:val="00287517"/>
    <w:pPr>
      <w:keepNext/>
      <w:numPr>
        <w:ilvl w:val="2"/>
        <w:numId w:val="3"/>
      </w:numPr>
      <w:tabs>
        <w:tab w:val="left" w:pos="2160"/>
      </w:tabs>
      <w:spacing w:after="120"/>
      <w:outlineLvl w:val="2"/>
    </w:pPr>
    <w:rPr>
      <w:b/>
    </w:rPr>
  </w:style>
  <w:style w:type="paragraph" w:styleId="Heading4">
    <w:name w:val="heading 4"/>
    <w:basedOn w:val="Normal"/>
    <w:next w:val="ParaNum"/>
    <w:qFormat/>
    <w:rsid w:val="00287517"/>
    <w:pPr>
      <w:keepNext/>
      <w:numPr>
        <w:ilvl w:val="3"/>
        <w:numId w:val="3"/>
      </w:numPr>
      <w:tabs>
        <w:tab w:val="left" w:pos="2880"/>
      </w:tabs>
      <w:spacing w:after="120"/>
      <w:outlineLvl w:val="3"/>
    </w:pPr>
    <w:rPr>
      <w:b/>
    </w:rPr>
  </w:style>
  <w:style w:type="paragraph" w:styleId="Heading5">
    <w:name w:val="heading 5"/>
    <w:basedOn w:val="Normal"/>
    <w:next w:val="ParaNum"/>
    <w:qFormat/>
    <w:rsid w:val="0028751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87517"/>
    <w:pPr>
      <w:numPr>
        <w:ilvl w:val="5"/>
        <w:numId w:val="3"/>
      </w:numPr>
      <w:tabs>
        <w:tab w:val="left" w:pos="4320"/>
      </w:tabs>
      <w:spacing w:after="120"/>
      <w:outlineLvl w:val="5"/>
    </w:pPr>
    <w:rPr>
      <w:b/>
    </w:rPr>
  </w:style>
  <w:style w:type="paragraph" w:styleId="Heading7">
    <w:name w:val="heading 7"/>
    <w:basedOn w:val="Normal"/>
    <w:next w:val="ParaNum"/>
    <w:qFormat/>
    <w:rsid w:val="0028751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8751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8751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875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7517"/>
  </w:style>
  <w:style w:type="paragraph" w:customStyle="1" w:styleId="ParaNum">
    <w:name w:val="ParaNum"/>
    <w:basedOn w:val="Normal"/>
    <w:link w:val="ParaNumChar"/>
    <w:rsid w:val="00287517"/>
    <w:pPr>
      <w:numPr>
        <w:numId w:val="2"/>
      </w:numPr>
      <w:tabs>
        <w:tab w:val="clear" w:pos="1080"/>
        <w:tab w:val="num" w:pos="1440"/>
      </w:tabs>
      <w:spacing w:after="120"/>
    </w:pPr>
  </w:style>
  <w:style w:type="paragraph" w:styleId="EndnoteText">
    <w:name w:val="endnote text"/>
    <w:basedOn w:val="Normal"/>
    <w:semiHidden/>
    <w:rsid w:val="00287517"/>
    <w:rPr>
      <w:sz w:val="20"/>
    </w:rPr>
  </w:style>
  <w:style w:type="character" w:styleId="EndnoteReference">
    <w:name w:val="endnote reference"/>
    <w:semiHidden/>
    <w:rsid w:val="00287517"/>
    <w:rPr>
      <w:vertAlign w:val="superscript"/>
    </w:rPr>
  </w:style>
  <w:style w:type="paragraph" w:styleId="FootnoteText">
    <w:name w:val="footnote text"/>
    <w:aliases w:val="Footnote Text Char,Footnote Text Char Char Char Char2,Footnote Text Char1 Char Char Char Char Char,Footnote Text Char1 Char Char2,Footnote Text Char2,Footnote Text Char2 Char Char1 Char Char1,Footnote Text Char2 Char1,f,fn,ft,rrfootnote"/>
    <w:link w:val="FootnoteTextChar1"/>
    <w:rsid w:val="0028751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87517"/>
    <w:rPr>
      <w:rFonts w:ascii="Times New Roman" w:hAnsi="Times New Roman"/>
      <w:dstrike w:val="0"/>
      <w:color w:val="auto"/>
      <w:sz w:val="20"/>
      <w:vertAlign w:val="superscript"/>
    </w:rPr>
  </w:style>
  <w:style w:type="paragraph" w:styleId="TOC1">
    <w:name w:val="toc 1"/>
    <w:basedOn w:val="Normal"/>
    <w:next w:val="Normal"/>
    <w:rsid w:val="00287517"/>
    <w:pPr>
      <w:tabs>
        <w:tab w:val="left" w:pos="360"/>
        <w:tab w:val="right" w:leader="dot" w:pos="9360"/>
      </w:tabs>
      <w:suppressAutoHyphens/>
      <w:ind w:left="360" w:right="720" w:hanging="360"/>
    </w:pPr>
    <w:rPr>
      <w:caps/>
      <w:noProof/>
    </w:rPr>
  </w:style>
  <w:style w:type="paragraph" w:styleId="TOC2">
    <w:name w:val="toc 2"/>
    <w:basedOn w:val="Normal"/>
    <w:next w:val="Normal"/>
    <w:rsid w:val="00287517"/>
    <w:pPr>
      <w:tabs>
        <w:tab w:val="left" w:pos="720"/>
        <w:tab w:val="right" w:leader="dot" w:pos="9360"/>
      </w:tabs>
      <w:suppressAutoHyphens/>
      <w:ind w:left="720" w:right="720" w:hanging="360"/>
    </w:pPr>
    <w:rPr>
      <w:noProof/>
    </w:rPr>
  </w:style>
  <w:style w:type="paragraph" w:styleId="TOC3">
    <w:name w:val="toc 3"/>
    <w:basedOn w:val="Normal"/>
    <w:next w:val="Normal"/>
    <w:semiHidden/>
    <w:rsid w:val="0028751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8751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8751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8751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8751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8751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8751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87517"/>
    <w:pPr>
      <w:tabs>
        <w:tab w:val="right" w:pos="9360"/>
      </w:tabs>
      <w:suppressAutoHyphens/>
    </w:pPr>
  </w:style>
  <w:style w:type="character" w:customStyle="1" w:styleId="EquationCaption">
    <w:name w:val="_Equation Caption"/>
    <w:rsid w:val="00287517"/>
  </w:style>
  <w:style w:type="paragraph" w:styleId="Header">
    <w:name w:val="header"/>
    <w:basedOn w:val="Normal"/>
    <w:autoRedefine/>
    <w:rsid w:val="00287517"/>
    <w:pPr>
      <w:tabs>
        <w:tab w:val="center" w:pos="4680"/>
        <w:tab w:val="right" w:pos="9360"/>
      </w:tabs>
    </w:pPr>
    <w:rPr>
      <w:b/>
    </w:rPr>
  </w:style>
  <w:style w:type="paragraph" w:styleId="Footer">
    <w:name w:val="footer"/>
    <w:basedOn w:val="Normal"/>
    <w:link w:val="FooterChar"/>
    <w:uiPriority w:val="99"/>
    <w:rsid w:val="00287517"/>
    <w:pPr>
      <w:tabs>
        <w:tab w:val="center" w:pos="4320"/>
        <w:tab w:val="right" w:pos="8640"/>
      </w:tabs>
    </w:pPr>
  </w:style>
  <w:style w:type="character" w:styleId="PageNumber">
    <w:name w:val="page number"/>
    <w:basedOn w:val="DefaultParagraphFont"/>
    <w:rsid w:val="00287517"/>
  </w:style>
  <w:style w:type="paragraph" w:styleId="BlockText">
    <w:name w:val="Block Text"/>
    <w:basedOn w:val="Normal"/>
    <w:rsid w:val="00287517"/>
    <w:pPr>
      <w:spacing w:after="240"/>
      <w:ind w:left="1440" w:right="1440"/>
    </w:pPr>
  </w:style>
  <w:style w:type="paragraph" w:customStyle="1" w:styleId="Paratitle">
    <w:name w:val="Para title"/>
    <w:basedOn w:val="Normal"/>
    <w:rsid w:val="00287517"/>
    <w:pPr>
      <w:tabs>
        <w:tab w:val="center" w:pos="9270"/>
      </w:tabs>
      <w:spacing w:after="240"/>
    </w:pPr>
    <w:rPr>
      <w:spacing w:val="-2"/>
    </w:rPr>
  </w:style>
  <w:style w:type="paragraph" w:customStyle="1" w:styleId="Bullet">
    <w:name w:val="Bullet"/>
    <w:basedOn w:val="Normal"/>
    <w:rsid w:val="00287517"/>
    <w:pPr>
      <w:tabs>
        <w:tab w:val="left" w:pos="2160"/>
      </w:tabs>
      <w:spacing w:after="220"/>
      <w:ind w:left="2160" w:hanging="720"/>
    </w:pPr>
  </w:style>
  <w:style w:type="paragraph" w:customStyle="1" w:styleId="TableFormat">
    <w:name w:val="TableFormat"/>
    <w:basedOn w:val="Bullet"/>
    <w:rsid w:val="00287517"/>
    <w:pPr>
      <w:tabs>
        <w:tab w:val="clear" w:pos="2160"/>
        <w:tab w:val="left" w:pos="5040"/>
      </w:tabs>
      <w:ind w:left="5040" w:hanging="3600"/>
    </w:pPr>
  </w:style>
  <w:style w:type="paragraph" w:customStyle="1" w:styleId="TOCTitle">
    <w:name w:val="TOC Title"/>
    <w:basedOn w:val="Normal"/>
    <w:rsid w:val="0028751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87517"/>
    <w:pPr>
      <w:jc w:val="center"/>
    </w:pPr>
    <w:rPr>
      <w:rFonts w:ascii="Times New Roman Bold" w:hAnsi="Times New Roman Bold"/>
      <w:b/>
      <w:bCs/>
      <w:caps/>
      <w:szCs w:val="22"/>
    </w:rPr>
  </w:style>
  <w:style w:type="character" w:styleId="Hyperlink">
    <w:name w:val="Hyperlink"/>
    <w:rsid w:val="00287517"/>
    <w:rPr>
      <w:color w:val="0000FF"/>
      <w:u w:val="single"/>
    </w:rPr>
  </w:style>
  <w:style w:type="character" w:customStyle="1" w:styleId="FooterChar">
    <w:name w:val="Footer Char"/>
    <w:link w:val="Footer"/>
    <w:uiPriority w:val="99"/>
    <w:rsid w:val="00287517"/>
    <w:rPr>
      <w:snapToGrid w:val="0"/>
      <w:kern w:val="28"/>
      <w:sz w:val="22"/>
    </w:rPr>
  </w:style>
  <w:style w:type="character" w:customStyle="1" w:styleId="documentbody1">
    <w:name w:val="documentbody1"/>
    <w:rsid w:val="0042735F"/>
    <w:rPr>
      <w:rFonts w:ascii="Verdana" w:hAnsi="Verdana" w:hint="default"/>
      <w:sz w:val="19"/>
      <w:szCs w:val="19"/>
      <w:shd w:val="clear" w:color="auto" w:fill="FFFFFF"/>
    </w:rPr>
  </w:style>
  <w:style w:type="character" w:customStyle="1" w:styleId="FootnoteTextChar1">
    <w:name w:val="Footnote Text Char1"/>
    <w:aliases w:val="Footnote Text Char Char,Footnote Text Char Char Char Char2 Char,Footnote Text Char1 Char Char Char Char Char Char,Footnote Text Char1 Char Char2 Char,Footnote Text Char2 Char Char1 Char Char1 Char,Footnote Text Char2 Char1 Char"/>
    <w:link w:val="FootnoteText"/>
    <w:rsid w:val="0042735F"/>
  </w:style>
  <w:style w:type="character" w:customStyle="1" w:styleId="ParaNumChar">
    <w:name w:val="ParaNum Char"/>
    <w:link w:val="ParaNum"/>
    <w:rsid w:val="0042735F"/>
    <w:rPr>
      <w:snapToGrid w:val="0"/>
      <w:kern w:val="28"/>
      <w:sz w:val="22"/>
    </w:rPr>
  </w:style>
  <w:style w:type="character" w:styleId="CommentReference">
    <w:name w:val="annotation reference"/>
    <w:rsid w:val="0042735F"/>
    <w:rPr>
      <w:sz w:val="16"/>
      <w:szCs w:val="16"/>
    </w:rPr>
  </w:style>
  <w:style w:type="paragraph" w:styleId="CommentText">
    <w:name w:val="annotation text"/>
    <w:basedOn w:val="Normal"/>
    <w:link w:val="CommentTextChar"/>
    <w:rsid w:val="0042735F"/>
  </w:style>
  <w:style w:type="character" w:customStyle="1" w:styleId="CommentTextChar">
    <w:name w:val="Comment Text Char"/>
    <w:basedOn w:val="DefaultParagraphFont"/>
    <w:link w:val="CommentText"/>
    <w:rsid w:val="0042735F"/>
    <w:rPr>
      <w:snapToGrid w:val="0"/>
      <w:kern w:val="28"/>
      <w:sz w:val="22"/>
    </w:rPr>
  </w:style>
  <w:style w:type="character" w:customStyle="1" w:styleId="documentbody">
    <w:name w:val="documentbody"/>
    <w:rsid w:val="0042735F"/>
  </w:style>
  <w:style w:type="paragraph" w:styleId="BalloonText">
    <w:name w:val="Balloon Text"/>
    <w:basedOn w:val="Normal"/>
    <w:link w:val="BalloonTextChar"/>
    <w:rsid w:val="0042735F"/>
    <w:rPr>
      <w:rFonts w:ascii="Segoe UI" w:hAnsi="Segoe UI" w:cs="Segoe UI"/>
      <w:sz w:val="18"/>
      <w:szCs w:val="18"/>
    </w:rPr>
  </w:style>
  <w:style w:type="character" w:customStyle="1" w:styleId="BalloonTextChar">
    <w:name w:val="Balloon Text Char"/>
    <w:basedOn w:val="DefaultParagraphFont"/>
    <w:link w:val="BalloonText"/>
    <w:rsid w:val="0042735F"/>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A84B75"/>
    <w:rPr>
      <w:color w:val="605E5C"/>
      <w:shd w:val="clear" w:color="auto" w:fill="E1DFDD"/>
    </w:rPr>
  </w:style>
  <w:style w:type="paragraph" w:styleId="CommentSubject">
    <w:name w:val="annotation subject"/>
    <w:basedOn w:val="CommentText"/>
    <w:next w:val="CommentText"/>
    <w:link w:val="CommentSubjectChar"/>
    <w:rsid w:val="00BF5D74"/>
    <w:rPr>
      <w:b/>
      <w:bCs/>
      <w:sz w:val="20"/>
    </w:rPr>
  </w:style>
  <w:style w:type="character" w:customStyle="1" w:styleId="CommentSubjectChar">
    <w:name w:val="Comment Subject Char"/>
    <w:basedOn w:val="CommentTextChar"/>
    <w:link w:val="CommentSubject"/>
    <w:rsid w:val="00BF5D74"/>
    <w:rPr>
      <w:b/>
      <w:bCs/>
      <w:snapToGrid w:val="0"/>
      <w:kern w:val="28"/>
      <w:sz w:val="22"/>
    </w:rPr>
  </w:style>
  <w:style w:type="paragraph" w:styleId="ListParagraph">
    <w:name w:val="List Paragraph"/>
    <w:basedOn w:val="Normal"/>
    <w:uiPriority w:val="34"/>
    <w:qFormat/>
    <w:rsid w:val="00974A04"/>
    <w:pPr>
      <w:autoSpaceDE w:val="0"/>
      <w:autoSpaceDN w:val="0"/>
      <w:adjustRightInd w:val="0"/>
      <w:ind w:left="720"/>
    </w:pPr>
    <w:rPr>
      <w:snapToGrid/>
      <w:kern w:val="0"/>
      <w:sz w:val="20"/>
    </w:rPr>
  </w:style>
  <w:style w:type="character" w:styleId="FollowedHyperlink">
    <w:name w:val="FollowedHyperlink"/>
    <w:basedOn w:val="DefaultParagraphFont"/>
    <w:rsid w:val="007A2E87"/>
    <w:rPr>
      <w:color w:val="954F72" w:themeColor="followedHyperlink"/>
      <w:u w:val="single"/>
    </w:rPr>
  </w:style>
  <w:style w:type="character" w:customStyle="1" w:styleId="searchterm">
    <w:name w:val="searchterm"/>
    <w:rsid w:val="00A7704E"/>
  </w:style>
  <w:style w:type="character" w:customStyle="1" w:styleId="acopre">
    <w:name w:val="acopre"/>
    <w:rsid w:val="003D58F8"/>
  </w:style>
  <w:style w:type="character" w:styleId="Emphasis">
    <w:name w:val="Emphasis"/>
    <w:uiPriority w:val="20"/>
    <w:qFormat/>
    <w:rsid w:val="003D58F8"/>
    <w:rPr>
      <w:i/>
      <w:iCs/>
    </w:rPr>
  </w:style>
  <w:style w:type="character" w:customStyle="1" w:styleId="article-content">
    <w:name w:val="article-content"/>
    <w:rsid w:val="00E15C59"/>
  </w:style>
  <w:style w:type="character" w:customStyle="1" w:styleId="cosearchterm">
    <w:name w:val="co_searchterm"/>
    <w:rsid w:val="00D5169A"/>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9B048A"/>
    <w:rPr>
      <w:sz w:val="20"/>
      <w:szCs w:val="20"/>
    </w:rPr>
  </w:style>
  <w:style w:type="paragraph" w:styleId="Revision">
    <w:name w:val="Revision"/>
    <w:hidden/>
    <w:uiPriority w:val="99"/>
    <w:semiHidden/>
    <w:rsid w:val="00B14169"/>
    <w:rPr>
      <w:snapToGrid w:val="0"/>
      <w:kern w:val="28"/>
      <w:sz w:val="22"/>
    </w:rPr>
  </w:style>
  <w:style w:type="character" w:customStyle="1" w:styleId="ALTSFOOTNOTEChaChar">
    <w:name w:val="ALTS FOOTNOTE Cha Char"/>
    <w:aliases w:val="Footnote Text Char Char Char Char,Footnote Text Char Char Char Char Char Char,Footnote Text Char1 Char Char,Footnote Text Char1 Char Char Char Char,Footnote Text Char1 Char1,f Char,rrfootnote Char Char Char Char"/>
    <w:basedOn w:val="DefaultParagraphFont"/>
    <w:locked/>
    <w:rsid w:val="00F26593"/>
    <w:rPr>
      <w:rFonts w:ascii="Times New Roman" w:hAnsi="Times New Roman" w:cs="Times New Roman"/>
      <w:sz w:val="20"/>
      <w:szCs w:val="20"/>
    </w:rPr>
  </w:style>
  <w:style w:type="paragraph" w:customStyle="1" w:styleId="Default">
    <w:name w:val="Default"/>
    <w:rsid w:val="006075B0"/>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nnifer.Lewi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media-library-data/1465326763240-4152791226bbd49cf46aff8cd5f43bb1/Emergency_Alert_System_Fact_Sheet_2016.pdf" TargetMode="External" /><Relationship Id="rId2" Type="http://schemas.openxmlformats.org/officeDocument/2006/relationships/hyperlink" Target="https://www.sec.gov/ix?doc=/Archives/edgar/data/1744489/000174448920000197/dis-20201003.htm" TargetMode="External" /><Relationship Id="rId3" Type="http://schemas.openxmlformats.org/officeDocument/2006/relationships/hyperlink" Target="mailto:ARINQUIRIES@fcc.gov" TargetMode="External" /><Relationship Id="rId4"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