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7A9BF9AE">
      <w:pPr>
        <w:jc w:val="right"/>
        <w:rPr>
          <w:b/>
          <w:szCs w:val="22"/>
        </w:rPr>
      </w:pPr>
      <w:r w:rsidRPr="00D957AF">
        <w:rPr>
          <w:b/>
          <w:szCs w:val="22"/>
        </w:rPr>
        <w:t>DA 2</w:t>
      </w:r>
      <w:r w:rsidRPr="00D957AF" w:rsidR="00165F87">
        <w:rPr>
          <w:b/>
          <w:szCs w:val="22"/>
        </w:rPr>
        <w:t>1</w:t>
      </w:r>
      <w:r w:rsidRPr="00D957AF">
        <w:rPr>
          <w:b/>
          <w:szCs w:val="22"/>
        </w:rPr>
        <w:t>-</w:t>
      </w:r>
      <w:r w:rsidR="00D957AF">
        <w:rPr>
          <w:b/>
          <w:szCs w:val="22"/>
        </w:rPr>
        <w:t>97</w:t>
      </w:r>
    </w:p>
    <w:p w:rsidR="00334AD5" w:rsidRPr="0029562D" w:rsidP="00334AD5" w14:paraId="5C52EFC8" w14:textId="4A372262">
      <w:pPr>
        <w:spacing w:before="60"/>
        <w:jc w:val="right"/>
        <w:rPr>
          <w:b/>
          <w:szCs w:val="22"/>
        </w:rPr>
      </w:pPr>
      <w:r w:rsidRPr="00CA3425">
        <w:rPr>
          <w:b/>
          <w:szCs w:val="22"/>
        </w:rPr>
        <w:t xml:space="preserve">Released: </w:t>
      </w:r>
      <w:r w:rsidR="00B26351">
        <w:rPr>
          <w:b/>
          <w:szCs w:val="22"/>
        </w:rPr>
        <w:t xml:space="preserve">January </w:t>
      </w:r>
      <w:r w:rsidR="00D957AF">
        <w:rPr>
          <w:b/>
          <w:szCs w:val="22"/>
        </w:rPr>
        <w:t>29</w:t>
      </w:r>
      <w:r w:rsidR="00B26351">
        <w:rPr>
          <w:b/>
          <w:szCs w:val="22"/>
        </w:rPr>
        <w:t>,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314EEA16">
      <w:pPr>
        <w:jc w:val="center"/>
        <w:rPr>
          <w:b/>
          <w:szCs w:val="22"/>
        </w:rPr>
      </w:pPr>
      <w:r w:rsidRPr="008B54CB">
        <w:rPr>
          <w:b/>
          <w:szCs w:val="22"/>
        </w:rPr>
        <w:t xml:space="preserve">BY </w:t>
      </w:r>
      <w:r w:rsidR="008E71E0">
        <w:rPr>
          <w:b/>
          <w:szCs w:val="22"/>
        </w:rPr>
        <w:t>TYCHRON CORPORATION</w:t>
      </w:r>
      <w:r w:rsidR="00442FF5">
        <w:rPr>
          <w:b/>
          <w:szCs w:val="22"/>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28F73E5D">
      <w:pPr>
        <w:jc w:val="center"/>
        <w:rPr>
          <w:b/>
          <w:szCs w:val="22"/>
        </w:rPr>
      </w:pPr>
      <w:r w:rsidRPr="0029562D">
        <w:rPr>
          <w:b/>
          <w:szCs w:val="22"/>
        </w:rPr>
        <w:t>WC Docket No</w:t>
      </w:r>
      <w:r w:rsidRPr="001C06E1">
        <w:rPr>
          <w:b/>
          <w:szCs w:val="22"/>
        </w:rPr>
        <w:t xml:space="preserve">. </w:t>
      </w:r>
      <w:r w:rsidR="008E71E0">
        <w:rPr>
          <w:b/>
          <w:szCs w:val="22"/>
        </w:rPr>
        <w:t>20</w:t>
      </w:r>
      <w:r w:rsidR="004971A4">
        <w:rPr>
          <w:b/>
          <w:szCs w:val="22"/>
        </w:rPr>
        <w:t>-</w:t>
      </w:r>
      <w:r w:rsidR="008E71E0">
        <w:rPr>
          <w:b/>
          <w:szCs w:val="22"/>
        </w:rPr>
        <w:t>393</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168DE63F">
      <w:pPr>
        <w:pStyle w:val="NoSpacing"/>
        <w:rPr>
          <w:b/>
          <w:szCs w:val="22"/>
        </w:rPr>
      </w:pPr>
      <w:r w:rsidRPr="00CA3425">
        <w:rPr>
          <w:b/>
          <w:szCs w:val="22"/>
        </w:rPr>
        <w:t xml:space="preserve">Comments Due: </w:t>
      </w:r>
      <w:r w:rsidR="00B26351">
        <w:rPr>
          <w:b/>
          <w:szCs w:val="22"/>
        </w:rPr>
        <w:t xml:space="preserve">February </w:t>
      </w:r>
      <w:r w:rsidR="00D957AF">
        <w:rPr>
          <w:b/>
          <w:szCs w:val="22"/>
        </w:rPr>
        <w:t>13</w:t>
      </w:r>
      <w:r w:rsidR="00B26351">
        <w:rPr>
          <w:b/>
          <w:szCs w:val="22"/>
        </w:rPr>
        <w:t>, 2021</w:t>
      </w:r>
    </w:p>
    <w:p w:rsidR="00334AD5" w:rsidRPr="0069551B" w:rsidP="00334AD5" w14:paraId="74A871CE" w14:textId="77777777">
      <w:pPr>
        <w:pStyle w:val="NoSpacing"/>
        <w:rPr>
          <w:b/>
          <w:szCs w:val="22"/>
        </w:rPr>
      </w:pPr>
    </w:p>
    <w:p w:rsidR="00334AD5" w:rsidRPr="00452866" w:rsidP="00334AD5" w14:paraId="7D22E18B" w14:textId="525D384F">
      <w:pPr>
        <w:autoSpaceDE w:val="0"/>
        <w:autoSpaceDN w:val="0"/>
        <w:adjustRightInd w:val="0"/>
        <w:ind w:firstLine="720"/>
        <w:rPr>
          <w:szCs w:val="22"/>
        </w:rPr>
      </w:pPr>
      <w:r>
        <w:t>Tychron</w:t>
      </w:r>
      <w:r>
        <w:t xml:space="preserve"> Corporation</w:t>
      </w:r>
      <w:r w:rsidR="004971A4">
        <w:t xml:space="preserve"> </w:t>
      </w:r>
      <w:r w:rsidRPr="00452866">
        <w:rPr>
          <w:szCs w:val="22"/>
        </w:rPr>
        <w:t>(</w:t>
      </w:r>
      <w:r>
        <w:rPr>
          <w:szCs w:val="22"/>
        </w:rPr>
        <w:t>Tychron</w:t>
      </w:r>
      <w:r w:rsidR="0086073F">
        <w:rPr>
          <w:szCs w:val="22"/>
        </w:rPr>
        <w:t>)</w:t>
      </w:r>
      <w:r>
        <w:rPr>
          <w:szCs w:val="22"/>
        </w:rPr>
        <w:t xml:space="preserve">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Pr>
          <w:szCs w:val="22"/>
        </w:rPr>
        <w:t>Tychron</w:t>
      </w:r>
      <w:r w:rsidR="00165F87">
        <w:rPr>
          <w:szCs w:val="22"/>
        </w:rPr>
        <w:t xml:space="preserve"> indicates that it intends to initially request numbers in </w:t>
      </w:r>
      <w:r>
        <w:rPr>
          <w:szCs w:val="22"/>
        </w:rPr>
        <w:t xml:space="preserve">Florida, </w:t>
      </w:r>
      <w:r w:rsidR="00BC08FA">
        <w:rPr>
          <w:szCs w:val="22"/>
        </w:rPr>
        <w:t>but eventually</w:t>
      </w:r>
      <w:r>
        <w:rPr>
          <w:szCs w:val="22"/>
        </w:rPr>
        <w:t xml:space="preserve"> it</w:t>
      </w:r>
      <w:r w:rsidR="00BC08FA">
        <w:rPr>
          <w:szCs w:val="22"/>
        </w:rPr>
        <w:t xml:space="preserve"> plans to</w:t>
      </w:r>
      <w:r>
        <w:rPr>
          <w:szCs w:val="22"/>
        </w:rPr>
        <w:t xml:space="preserve"> provide service in all 50 states</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36D5904C">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 xml:space="preserve">pplication, </w:t>
      </w:r>
      <w:r w:rsidR="008E71E0">
        <w:rPr>
          <w:szCs w:val="22"/>
        </w:rPr>
        <w:t>Tychron</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8E71E0">
        <w:rPr>
          <w:szCs w:val="22"/>
        </w:rPr>
        <w:t>Tychron</w:t>
      </w:r>
      <w:r w:rsidRPr="00452866" w:rsidR="0086073F">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8E71E0">
        <w:rPr>
          <w:szCs w:val="22"/>
        </w:rPr>
        <w:t>Tychron</w:t>
      </w:r>
      <w:r w:rsidR="00EC58FD">
        <w:rPr>
          <w:szCs w:val="22"/>
        </w:rPr>
        <w:t xml:space="preserve"> 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8E71E0">
        <w:rPr>
          <w:szCs w:val="22"/>
        </w:rPr>
        <w:t>Tychron</w:t>
      </w:r>
      <w:r w:rsidRPr="00452866" w:rsidR="00091E51">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8E71E0">
        <w:rPr>
          <w:szCs w:val="22"/>
        </w:rPr>
        <w:t>Tychron</w:t>
      </w:r>
      <w:r w:rsidR="004971A4">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Commission, or </w:t>
      </w:r>
      <w:r w:rsidRPr="00452866">
        <w:rPr>
          <w:szCs w:val="22"/>
        </w:rPr>
        <w:t>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8E71E0">
        <w:rPr>
          <w:szCs w:val="22"/>
        </w:rPr>
        <w:t>Tychron</w:t>
      </w:r>
      <w:r w:rsidR="00EC58FD">
        <w:rPr>
          <w:szCs w:val="22"/>
        </w:rPr>
        <w:t xml:space="preserve"> 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bookmarkStart w:id="0" w:name="_GoBack"/>
      <w:bookmarkEnd w:id="0"/>
    </w:p>
    <w:p w:rsidR="00334AD5" w:rsidRPr="00452866" w:rsidP="00334AD5" w14:paraId="46D462EF" w14:textId="77777777">
      <w:pPr>
        <w:ind w:right="720"/>
        <w:rPr>
          <w:szCs w:val="22"/>
        </w:rPr>
      </w:pPr>
    </w:p>
    <w:p w:rsidR="00334AD5" w:rsidRPr="00452866" w:rsidP="00334AD5" w14:paraId="5CE439DF" w14:textId="12F15238">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8E71E0">
        <w:rPr>
          <w:szCs w:val="22"/>
        </w:rPr>
        <w:t>20</w:t>
      </w:r>
      <w:r w:rsidR="009B1B73">
        <w:rPr>
          <w:szCs w:val="22"/>
        </w:rPr>
        <w:t>-</w:t>
      </w:r>
      <w:r w:rsidR="008E71E0">
        <w:rPr>
          <w:szCs w:val="22"/>
        </w:rPr>
        <w:t>393</w:t>
      </w:r>
      <w:r w:rsidR="005321BE">
        <w:rPr>
          <w:szCs w:val="22"/>
        </w:rPr>
        <w:t xml:space="preserve"> </w:t>
      </w:r>
      <w:r w:rsidRPr="007E63F9">
        <w:rPr>
          <w:b/>
          <w:szCs w:val="22"/>
        </w:rPr>
        <w:t xml:space="preserve">on or before </w:t>
      </w:r>
      <w:r w:rsidR="00B26351">
        <w:rPr>
          <w:b/>
          <w:szCs w:val="22"/>
        </w:rPr>
        <w:t xml:space="preserve">February </w:t>
      </w:r>
      <w:r w:rsidR="00D957AF">
        <w:rPr>
          <w:b/>
          <w:szCs w:val="22"/>
        </w:rPr>
        <w:t>13</w:t>
      </w:r>
      <w:r w:rsidR="00B26351">
        <w:rPr>
          <w:b/>
          <w:szCs w:val="22"/>
        </w:rPr>
        <w:t>, 2021</w:t>
      </w:r>
      <w:r w:rsidRPr="00CA3425">
        <w:rPr>
          <w:szCs w:val="22"/>
        </w:rPr>
        <w:t>.</w:t>
      </w:r>
      <w:r>
        <w:rPr>
          <w:rStyle w:val="FootnoteReference"/>
          <w:szCs w:val="22"/>
        </w:rPr>
        <w:footnoteReference w:id="12"/>
      </w:r>
      <w:r w:rsidRPr="00452866">
        <w:rPr>
          <w:szCs w:val="22"/>
        </w:rPr>
        <w:t xml:space="preserve">  Commenters must serve a copy of comments on </w:t>
      </w:r>
      <w:r w:rsidR="008E71E0">
        <w:rPr>
          <w:szCs w:val="22"/>
        </w:rPr>
        <w:t>Tychron</w:t>
      </w:r>
      <w:r w:rsidR="009B1B73">
        <w:rPr>
          <w:szCs w:val="22"/>
        </w:rPr>
        <w:t xml:space="preserve"> </w:t>
      </w:r>
      <w:r w:rsidRPr="00452866">
        <w:rPr>
          <w:szCs w:val="22"/>
        </w:rPr>
        <w:t xml:space="preserve">no later than the above comment filing date.  Unless otherwise notified by the Commission, </w:t>
      </w:r>
      <w:r w:rsidR="008E71E0">
        <w:rPr>
          <w:szCs w:val="22"/>
        </w:rPr>
        <w:t>Tychron</w:t>
      </w:r>
      <w:r w:rsidR="00F16F14">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4C95A0C4">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w:t>
      </w:r>
      <w:r w:rsidRPr="00452866">
        <w:rPr>
          <w:szCs w:val="22"/>
        </w:rPr>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080A197">
      <w:pPr>
        <w:rPr>
          <w:szCs w:val="22"/>
        </w:rPr>
      </w:pPr>
      <w:r w:rsidRPr="00452866">
        <w:rPr>
          <w:szCs w:val="22"/>
        </w:rPr>
        <w:tab/>
      </w:r>
      <w:r w:rsidRPr="00452866" w:rsidR="00771312">
        <w:rPr>
          <w:szCs w:val="22"/>
        </w:rPr>
        <w:t>For further information, please contact</w:t>
      </w:r>
      <w:r w:rsidR="00771312">
        <w:rPr>
          <w:szCs w:val="22"/>
        </w:rPr>
        <w:t xml:space="preserve"> 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442FF5" w:rsidP="00334AD5" w14:paraId="5EAAE905" w14:textId="53DF94EC">
      <w:pPr>
        <w:pStyle w:val="FootnoteText"/>
      </w:pPr>
      <w:r w:rsidRPr="00442FF5">
        <w:rPr>
          <w:rStyle w:val="FootnoteReference"/>
          <w:sz w:val="20"/>
        </w:rPr>
        <w:footnoteRef/>
      </w:r>
      <w:r w:rsidRPr="00442FF5">
        <w:t xml:space="preserve"> We assign WC Docket No. </w:t>
      </w:r>
      <w:r w:rsidR="008E71E0">
        <w:t>20</w:t>
      </w:r>
      <w:r w:rsidRPr="00442FF5" w:rsidR="009B1B73">
        <w:t>-</w:t>
      </w:r>
      <w:r w:rsidR="008E71E0">
        <w:t>393</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334AD5" w14:paraId="1F996626" w14:textId="7FCF47D7">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008E71E0">
        <w:t>Tychron</w:t>
      </w:r>
      <w:r w:rsidRPr="00442FF5" w:rsidR="004971A4">
        <w:t xml:space="preserve"> </w:t>
      </w:r>
      <w:r w:rsidRPr="00442FF5" w:rsidR="00165F87">
        <w:t xml:space="preserve">for Authorization to Obtain Numbering Resources, WC Docket No. </w:t>
      </w:r>
      <w:r w:rsidR="008E71E0">
        <w:t>20</w:t>
      </w:r>
      <w:r w:rsidRPr="00442FF5" w:rsidR="00165F87">
        <w:t>-</w:t>
      </w:r>
      <w:r w:rsidR="008E71E0">
        <w:t>393</w:t>
      </w:r>
      <w:r w:rsidRPr="00442FF5" w:rsidR="00165F87">
        <w:t xml:space="preserve"> (filed </w:t>
      </w:r>
      <w:r w:rsidR="008E71E0">
        <w:t>Nov. 17, 2020</w:t>
      </w:r>
      <w:r w:rsidRPr="00442FF5" w:rsidR="00165F87">
        <w:t xml:space="preserve">), </w:t>
      </w:r>
      <w:hyperlink r:id="rId1" w:history="1"/>
      <w:r w:rsidRPr="00442FF5" w:rsidR="00165F87">
        <w:t xml:space="preserve"> </w:t>
      </w:r>
      <w:hyperlink r:id="rId2" w:history="1">
        <w:r w:rsidRPr="007114DF" w:rsidR="008E71E0">
          <w:rPr>
            <w:rStyle w:val="Hyperlink"/>
          </w:rPr>
          <w:t>https://www.fcc.gov/ecfs/filing/1117433117085</w:t>
        </w:r>
      </w:hyperlink>
      <w:r w:rsidR="008E71E0">
        <w:t xml:space="preserve"> </w:t>
      </w:r>
      <w:r w:rsidRPr="00442FF5" w:rsidR="00165F87">
        <w:t>(</w:t>
      </w:r>
      <w:r w:rsidR="008E71E0">
        <w:t>Tychron</w:t>
      </w:r>
      <w:r w:rsidRPr="00442FF5" w:rsidR="004971A4">
        <w:t xml:space="preserve"> </w:t>
      </w:r>
      <w:r w:rsidRPr="00442FF5" w:rsidR="00165F87">
        <w:t xml:space="preserve">Application); </w:t>
      </w:r>
      <w:r w:rsidRPr="00442FF5" w:rsidR="00165F87">
        <w:rPr>
          <w:i/>
          <w:iCs/>
        </w:rPr>
        <w:t>see also</w:t>
      </w:r>
      <w:r w:rsidRPr="00442FF5" w:rsidR="00165F87">
        <w:t xml:space="preserve"> 47 CFR § 52.15(g)(3).  </w:t>
      </w:r>
      <w:r w:rsidRPr="00442FF5">
        <w:t xml:space="preserve">For purposes of this Public Notice, the Numbering Administrators include the North American Numbering Plan Administrator and the Pooling Administrator.  </w:t>
      </w:r>
    </w:p>
  </w:footnote>
  <w:footnote w:id="5">
    <w:p w:rsidR="00165F87" w:rsidRPr="00442FF5" w14:paraId="7C6ED4BB" w14:textId="2050F3EA">
      <w:pPr>
        <w:pStyle w:val="FootnoteText"/>
      </w:pPr>
      <w:r w:rsidRPr="00442FF5">
        <w:rPr>
          <w:rStyle w:val="FootnoteReference"/>
          <w:sz w:val="20"/>
        </w:rPr>
        <w:footnoteRef/>
      </w:r>
      <w:r w:rsidRPr="00442FF5">
        <w:t xml:space="preserve"> </w:t>
      </w:r>
      <w:r w:rsidR="008E71E0">
        <w:t>Tychron</w:t>
      </w:r>
      <w:r w:rsidRPr="00442FF5" w:rsidR="00EC58FD">
        <w:t xml:space="preserve"> </w:t>
      </w:r>
      <w:r w:rsidRPr="00442FF5" w:rsidR="004971A4">
        <w:t>Application</w:t>
      </w:r>
      <w:r w:rsidRPr="00442FF5" w:rsidR="00EC58FD">
        <w:t xml:space="preserve"> at </w:t>
      </w:r>
      <w:r w:rsidR="008E71E0">
        <w:t>2</w:t>
      </w:r>
      <w:r w:rsidRPr="00442FF5" w:rsidR="00EC58FD">
        <w:t>.</w:t>
      </w:r>
    </w:p>
  </w:footnote>
  <w:footnote w:id="6">
    <w:p w:rsidR="00E90579" w:rsidRPr="00442FF5" w14:paraId="6EBBAB98" w14:textId="32264656">
      <w:pPr>
        <w:pStyle w:val="FootnoteText"/>
      </w:pPr>
      <w:r w:rsidRPr="00442FF5">
        <w:rPr>
          <w:rStyle w:val="FootnoteReference"/>
          <w:sz w:val="20"/>
        </w:rPr>
        <w:footnoteRef/>
      </w:r>
      <w:r w:rsidRPr="00442FF5">
        <w:t xml:space="preserve"> </w:t>
      </w:r>
      <w:r w:rsidR="008E71E0">
        <w:t>Tychron</w:t>
      </w:r>
      <w:r w:rsidRPr="00442FF5" w:rsidR="00EC58FD">
        <w:t xml:space="preserve"> Application at </w:t>
      </w:r>
      <w:r w:rsidR="005C3A0A">
        <w:t>1-2</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9A5333C" w14:textId="54F766D3">
      <w:pPr>
        <w:pStyle w:val="FootnoteText"/>
      </w:pPr>
      <w:r w:rsidRPr="00442FF5">
        <w:rPr>
          <w:rStyle w:val="FootnoteReference"/>
          <w:sz w:val="20"/>
        </w:rPr>
        <w:footnoteRef/>
      </w:r>
      <w:r w:rsidRPr="00442FF5">
        <w:t xml:space="preserve"> </w:t>
      </w:r>
      <w:r w:rsidR="008E71E0">
        <w:t>Tychron</w:t>
      </w:r>
      <w:r w:rsidRPr="00442FF5" w:rsidR="00EC58FD">
        <w:t xml:space="preserve"> Application at </w:t>
      </w:r>
      <w:r w:rsidR="005C3A0A">
        <w:t>3</w:t>
      </w:r>
      <w:r w:rsidRPr="00442FF5" w:rsidR="00EC58FD">
        <w:t xml:space="preserve">; </w:t>
      </w:r>
      <w:r w:rsidRPr="00442FF5" w:rsidR="00EC58FD">
        <w:rPr>
          <w:i/>
          <w:iCs/>
        </w:rPr>
        <w:t xml:space="preserve">see </w:t>
      </w:r>
      <w:r w:rsidRPr="00442FF5">
        <w:t>47 CFR § 52.15(g)(3)(i)(D).</w:t>
      </w:r>
    </w:p>
  </w:footnote>
  <w:footnote w:id="8">
    <w:p w:rsidR="00334AD5" w:rsidRPr="00442FF5" w:rsidP="00334AD5" w14:paraId="31AB702C" w14:textId="1E289CAB">
      <w:pPr>
        <w:pStyle w:val="FootnoteText"/>
      </w:pPr>
      <w:r w:rsidRPr="00442FF5">
        <w:rPr>
          <w:rStyle w:val="FootnoteReference"/>
          <w:sz w:val="20"/>
        </w:rPr>
        <w:footnoteRef/>
      </w:r>
      <w:r w:rsidRPr="00442FF5">
        <w:t xml:space="preserve"> </w:t>
      </w:r>
      <w:r w:rsidR="008E71E0">
        <w:t>Tychron</w:t>
      </w:r>
      <w:r w:rsidRPr="00442FF5" w:rsidR="00EC58FD">
        <w:t xml:space="preserve"> Application at </w:t>
      </w:r>
      <w:r w:rsidR="005C3A0A">
        <w:t>3;</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18FB06A1" w14:textId="365657E9">
      <w:pPr>
        <w:pStyle w:val="FootnoteText"/>
      </w:pPr>
      <w:r w:rsidRPr="00442FF5">
        <w:rPr>
          <w:rStyle w:val="FootnoteReference"/>
          <w:sz w:val="20"/>
        </w:rPr>
        <w:footnoteRef/>
      </w:r>
      <w:r w:rsidRPr="00442FF5">
        <w:t xml:space="preserve"> </w:t>
      </w:r>
      <w:r w:rsidR="008E71E0">
        <w:t>Tychron</w:t>
      </w:r>
      <w:r w:rsidRPr="00442FF5" w:rsidR="00EC58FD">
        <w:t xml:space="preserve"> Application at </w:t>
      </w:r>
      <w:r w:rsidR="005C3A0A">
        <w:t>4</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1">
    <w:p w:rsidR="00334AD5" w:rsidRPr="005321BE" w:rsidP="00334AD5" w14:paraId="588FBC3B" w14:textId="75027933">
      <w:pPr>
        <w:pStyle w:val="FootnoteText"/>
      </w:pPr>
      <w:r w:rsidRPr="005321BE">
        <w:rPr>
          <w:rStyle w:val="FootnoteReference"/>
          <w:sz w:val="20"/>
        </w:rPr>
        <w:footnoteRef/>
      </w:r>
      <w:r w:rsidRPr="005321BE">
        <w:t xml:space="preserve"> </w:t>
      </w:r>
      <w:r w:rsidR="008E71E0">
        <w:rPr>
          <w:szCs w:val="22"/>
        </w:rPr>
        <w:t>Tychron</w:t>
      </w:r>
      <w:r w:rsidR="00DC0BF9">
        <w:rPr>
          <w:szCs w:val="22"/>
        </w:rPr>
        <w:t xml:space="preserve"> Application</w:t>
      </w:r>
      <w:r w:rsidR="00EC58FD">
        <w:t xml:space="preserve"> at </w:t>
      </w:r>
      <w:r w:rsidR="005C3A0A">
        <w:t>4</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53E30577">
    <w:pPr>
      <w:tabs>
        <w:tab w:val="center" w:pos="4680"/>
        <w:tab w:val="right" w:pos="9360"/>
      </w:tabs>
    </w:pPr>
    <w:r w:rsidRPr="009838BC">
      <w:rPr>
        <w:b/>
      </w:rPr>
      <w:tab/>
      <w:t>Federal Communications Commission</w:t>
    </w:r>
    <w:r w:rsidRPr="009838BC">
      <w:rPr>
        <w:b/>
      </w:rPr>
      <w:tab/>
    </w:r>
    <w:r w:rsidR="00D957AF">
      <w:rPr>
        <w:b/>
      </w:rPr>
      <w:t>DA 21-97</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18439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6560"/>
    <w:rsid w:val="00037F90"/>
    <w:rsid w:val="000875BF"/>
    <w:rsid w:val="00091E51"/>
    <w:rsid w:val="00096D8C"/>
    <w:rsid w:val="000A4F31"/>
    <w:rsid w:val="000B2479"/>
    <w:rsid w:val="000C0B65"/>
    <w:rsid w:val="000E3D42"/>
    <w:rsid w:val="000E5884"/>
    <w:rsid w:val="000F43D1"/>
    <w:rsid w:val="00103469"/>
    <w:rsid w:val="00122BD5"/>
    <w:rsid w:val="0013352D"/>
    <w:rsid w:val="00165C6D"/>
    <w:rsid w:val="00165F87"/>
    <w:rsid w:val="0017199B"/>
    <w:rsid w:val="001979D9"/>
    <w:rsid w:val="001A6026"/>
    <w:rsid w:val="001C06E1"/>
    <w:rsid w:val="001D1F22"/>
    <w:rsid w:val="001D6BCF"/>
    <w:rsid w:val="001E01CA"/>
    <w:rsid w:val="002060D9"/>
    <w:rsid w:val="00210F21"/>
    <w:rsid w:val="00226822"/>
    <w:rsid w:val="00230197"/>
    <w:rsid w:val="00243CE0"/>
    <w:rsid w:val="00260594"/>
    <w:rsid w:val="00264B52"/>
    <w:rsid w:val="00285017"/>
    <w:rsid w:val="0029223C"/>
    <w:rsid w:val="00293241"/>
    <w:rsid w:val="00293E74"/>
    <w:rsid w:val="0029562D"/>
    <w:rsid w:val="002A1235"/>
    <w:rsid w:val="002A2D2E"/>
    <w:rsid w:val="003255EB"/>
    <w:rsid w:val="00334AD5"/>
    <w:rsid w:val="00335690"/>
    <w:rsid w:val="00343749"/>
    <w:rsid w:val="00357D50"/>
    <w:rsid w:val="00371EC1"/>
    <w:rsid w:val="003872F5"/>
    <w:rsid w:val="003925DC"/>
    <w:rsid w:val="00394035"/>
    <w:rsid w:val="003A72C7"/>
    <w:rsid w:val="003A7D37"/>
    <w:rsid w:val="003B0550"/>
    <w:rsid w:val="003B694F"/>
    <w:rsid w:val="003C5F2C"/>
    <w:rsid w:val="003D4940"/>
    <w:rsid w:val="003D66F8"/>
    <w:rsid w:val="003F171C"/>
    <w:rsid w:val="003F2D9F"/>
    <w:rsid w:val="004045A6"/>
    <w:rsid w:val="00405106"/>
    <w:rsid w:val="00412FC5"/>
    <w:rsid w:val="004220BE"/>
    <w:rsid w:val="00422276"/>
    <w:rsid w:val="004242F1"/>
    <w:rsid w:val="00442FF5"/>
    <w:rsid w:val="00445A00"/>
    <w:rsid w:val="00451B0F"/>
    <w:rsid w:val="00452866"/>
    <w:rsid w:val="0046125F"/>
    <w:rsid w:val="00484052"/>
    <w:rsid w:val="0048612D"/>
    <w:rsid w:val="00487524"/>
    <w:rsid w:val="00496106"/>
    <w:rsid w:val="004971A4"/>
    <w:rsid w:val="004C12D0"/>
    <w:rsid w:val="004C2EE3"/>
    <w:rsid w:val="004E0884"/>
    <w:rsid w:val="004E4A22"/>
    <w:rsid w:val="00511968"/>
    <w:rsid w:val="005321BE"/>
    <w:rsid w:val="005329E9"/>
    <w:rsid w:val="0054053D"/>
    <w:rsid w:val="0055614C"/>
    <w:rsid w:val="00572CDD"/>
    <w:rsid w:val="0059197D"/>
    <w:rsid w:val="005C3A0A"/>
    <w:rsid w:val="005E7F13"/>
    <w:rsid w:val="00607BA5"/>
    <w:rsid w:val="006148B3"/>
    <w:rsid w:val="00626EB6"/>
    <w:rsid w:val="006353A3"/>
    <w:rsid w:val="00652A86"/>
    <w:rsid w:val="00655D03"/>
    <w:rsid w:val="00683F84"/>
    <w:rsid w:val="0069551B"/>
    <w:rsid w:val="00697FC9"/>
    <w:rsid w:val="006A6A81"/>
    <w:rsid w:val="006E26AF"/>
    <w:rsid w:val="006E2DB9"/>
    <w:rsid w:val="006F7393"/>
    <w:rsid w:val="0070224F"/>
    <w:rsid w:val="007114DF"/>
    <w:rsid w:val="007115F7"/>
    <w:rsid w:val="00771312"/>
    <w:rsid w:val="00785689"/>
    <w:rsid w:val="0079754B"/>
    <w:rsid w:val="007A16B7"/>
    <w:rsid w:val="007A1E6D"/>
    <w:rsid w:val="007E07A7"/>
    <w:rsid w:val="007E63F9"/>
    <w:rsid w:val="00811E19"/>
    <w:rsid w:val="00816348"/>
    <w:rsid w:val="00821385"/>
    <w:rsid w:val="00822CE0"/>
    <w:rsid w:val="00837C62"/>
    <w:rsid w:val="00841AB1"/>
    <w:rsid w:val="0086073F"/>
    <w:rsid w:val="0088358F"/>
    <w:rsid w:val="008B54CB"/>
    <w:rsid w:val="008B7B6C"/>
    <w:rsid w:val="008C22FD"/>
    <w:rsid w:val="008E71E0"/>
    <w:rsid w:val="008F4C4F"/>
    <w:rsid w:val="00904EE6"/>
    <w:rsid w:val="00910F12"/>
    <w:rsid w:val="00926503"/>
    <w:rsid w:val="00930ECF"/>
    <w:rsid w:val="00931735"/>
    <w:rsid w:val="00940190"/>
    <w:rsid w:val="00974746"/>
    <w:rsid w:val="009838BC"/>
    <w:rsid w:val="009A5BDC"/>
    <w:rsid w:val="009B1B73"/>
    <w:rsid w:val="009C0AE2"/>
    <w:rsid w:val="009F6627"/>
    <w:rsid w:val="00A0456B"/>
    <w:rsid w:val="00A4546C"/>
    <w:rsid w:val="00A45F4F"/>
    <w:rsid w:val="00A600A9"/>
    <w:rsid w:val="00A80584"/>
    <w:rsid w:val="00A866AC"/>
    <w:rsid w:val="00AA3FAE"/>
    <w:rsid w:val="00AA55B7"/>
    <w:rsid w:val="00AA5B9E"/>
    <w:rsid w:val="00AB14FF"/>
    <w:rsid w:val="00AB2407"/>
    <w:rsid w:val="00AB496D"/>
    <w:rsid w:val="00AB53DF"/>
    <w:rsid w:val="00AC71A9"/>
    <w:rsid w:val="00AD6BF4"/>
    <w:rsid w:val="00AE73E0"/>
    <w:rsid w:val="00AF4646"/>
    <w:rsid w:val="00B07E5C"/>
    <w:rsid w:val="00B16755"/>
    <w:rsid w:val="00B26351"/>
    <w:rsid w:val="00B326E3"/>
    <w:rsid w:val="00B3546F"/>
    <w:rsid w:val="00B36D8D"/>
    <w:rsid w:val="00B376F7"/>
    <w:rsid w:val="00B50DCA"/>
    <w:rsid w:val="00B811F7"/>
    <w:rsid w:val="00BA5DC6"/>
    <w:rsid w:val="00BA6196"/>
    <w:rsid w:val="00BB4CA6"/>
    <w:rsid w:val="00BC08FA"/>
    <w:rsid w:val="00BC6D8C"/>
    <w:rsid w:val="00C16AF2"/>
    <w:rsid w:val="00C20DDC"/>
    <w:rsid w:val="00C2448D"/>
    <w:rsid w:val="00C27144"/>
    <w:rsid w:val="00C34006"/>
    <w:rsid w:val="00C426B1"/>
    <w:rsid w:val="00C52028"/>
    <w:rsid w:val="00C82B6B"/>
    <w:rsid w:val="00C8396D"/>
    <w:rsid w:val="00C90D6A"/>
    <w:rsid w:val="00CA3425"/>
    <w:rsid w:val="00CC72B6"/>
    <w:rsid w:val="00D0218D"/>
    <w:rsid w:val="00D024C4"/>
    <w:rsid w:val="00D216CD"/>
    <w:rsid w:val="00D51DD5"/>
    <w:rsid w:val="00D53750"/>
    <w:rsid w:val="00D74217"/>
    <w:rsid w:val="00D76D42"/>
    <w:rsid w:val="00D957AF"/>
    <w:rsid w:val="00DA2529"/>
    <w:rsid w:val="00DB130A"/>
    <w:rsid w:val="00DC0BF9"/>
    <w:rsid w:val="00DC10A1"/>
    <w:rsid w:val="00DC655F"/>
    <w:rsid w:val="00DD7EBD"/>
    <w:rsid w:val="00DF62B6"/>
    <w:rsid w:val="00E07225"/>
    <w:rsid w:val="00E155B7"/>
    <w:rsid w:val="00E46A77"/>
    <w:rsid w:val="00E5409F"/>
    <w:rsid w:val="00E548AC"/>
    <w:rsid w:val="00E61548"/>
    <w:rsid w:val="00E90579"/>
    <w:rsid w:val="00E92EE1"/>
    <w:rsid w:val="00EB748E"/>
    <w:rsid w:val="00EC0185"/>
    <w:rsid w:val="00EC58FD"/>
    <w:rsid w:val="00ED037E"/>
    <w:rsid w:val="00EF31E3"/>
    <w:rsid w:val="00F021FA"/>
    <w:rsid w:val="00F0255C"/>
    <w:rsid w:val="00F16F14"/>
    <w:rsid w:val="00F57ACA"/>
    <w:rsid w:val="00F60919"/>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117433117085"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