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76C9C" w:rsidRPr="003B0717" w:rsidP="00B76C9C" w14:paraId="6F03219D" w14:textId="77777777">
      <w:pPr>
        <w:tabs>
          <w:tab w:val="left" w:pos="6480"/>
        </w:tabs>
        <w:rPr>
          <w:sz w:val="22"/>
          <w:szCs w:val="22"/>
        </w:rPr>
      </w:pPr>
    </w:p>
    <w:p w:rsidR="00B76C9C" w:rsidRPr="003B0717" w:rsidP="00341F39" w14:paraId="2E4A61DE" w14:textId="789DA89E">
      <w:pPr>
        <w:tabs>
          <w:tab w:val="left" w:pos="6480"/>
        </w:tabs>
        <w:ind w:left="6480"/>
        <w:rPr>
          <w:sz w:val="22"/>
          <w:szCs w:val="22"/>
        </w:rPr>
      </w:pPr>
      <w:r>
        <w:rPr>
          <w:sz w:val="22"/>
          <w:szCs w:val="22"/>
        </w:rPr>
        <w:t>DA 21-</w:t>
      </w:r>
      <w:r w:rsidR="00FE7157">
        <w:rPr>
          <w:sz w:val="22"/>
          <w:szCs w:val="22"/>
        </w:rPr>
        <w:t>984</w:t>
      </w:r>
      <w:r w:rsidRPr="003B0717">
        <w:rPr>
          <w:sz w:val="22"/>
          <w:szCs w:val="22"/>
        </w:rPr>
        <w:tab/>
      </w:r>
      <w:r>
        <w:rPr>
          <w:sz w:val="22"/>
          <w:szCs w:val="22"/>
        </w:rPr>
        <w:br/>
      </w:r>
      <w:r w:rsidRPr="003B0717">
        <w:rPr>
          <w:sz w:val="22"/>
          <w:szCs w:val="22"/>
        </w:rPr>
        <w:t>In Reply Refer to:</w:t>
      </w:r>
    </w:p>
    <w:p w:rsidR="00B76C9C" w:rsidP="00B76C9C" w14:paraId="76995903" w14:textId="2F57B807">
      <w:pPr>
        <w:tabs>
          <w:tab w:val="left" w:pos="6480"/>
        </w:tabs>
        <w:rPr>
          <w:sz w:val="22"/>
          <w:szCs w:val="22"/>
        </w:rPr>
      </w:pPr>
      <w:r w:rsidRPr="003B0717">
        <w:rPr>
          <w:sz w:val="22"/>
          <w:szCs w:val="22"/>
        </w:rPr>
        <w:tab/>
        <w:t>1800B3-HOD</w:t>
      </w:r>
      <w:r w:rsidR="00AE48A3">
        <w:rPr>
          <w:sz w:val="22"/>
          <w:szCs w:val="22"/>
        </w:rPr>
        <w:br/>
      </w:r>
      <w:r w:rsidR="00AE48A3">
        <w:rPr>
          <w:sz w:val="22"/>
          <w:szCs w:val="22"/>
        </w:rPr>
        <w:tab/>
      </w:r>
      <w:r w:rsidRPr="00B80467" w:rsidR="00AE48A3">
        <w:rPr>
          <w:sz w:val="22"/>
          <w:szCs w:val="22"/>
        </w:rPr>
        <w:t>Released:</w:t>
      </w:r>
      <w:r w:rsidRPr="00B80467" w:rsidR="00AE48A3">
        <w:rPr>
          <w:b/>
          <w:sz w:val="22"/>
          <w:szCs w:val="22"/>
        </w:rPr>
        <w:t xml:space="preserve">  </w:t>
      </w:r>
      <w:r w:rsidR="00F963F6">
        <w:rPr>
          <w:sz w:val="22"/>
          <w:szCs w:val="22"/>
        </w:rPr>
        <w:t>August</w:t>
      </w:r>
      <w:r w:rsidRPr="00B80467" w:rsidR="00F963F6">
        <w:rPr>
          <w:sz w:val="22"/>
          <w:szCs w:val="22"/>
        </w:rPr>
        <w:t xml:space="preserve"> </w:t>
      </w:r>
      <w:r w:rsidR="00FE7157">
        <w:rPr>
          <w:sz w:val="22"/>
          <w:szCs w:val="22"/>
        </w:rPr>
        <w:t>11,</w:t>
      </w:r>
      <w:r w:rsidRPr="00B80467" w:rsidR="00AE48A3">
        <w:rPr>
          <w:sz w:val="22"/>
          <w:szCs w:val="22"/>
        </w:rPr>
        <w:t xml:space="preserve"> </w:t>
      </w:r>
      <w:r w:rsidR="00AE48A3">
        <w:rPr>
          <w:sz w:val="22"/>
          <w:szCs w:val="22"/>
        </w:rPr>
        <w:t>2021</w:t>
      </w:r>
    </w:p>
    <w:p w:rsidR="00AE48A3" w:rsidRPr="003B0717" w:rsidP="00B76C9C" w14:paraId="4522D5D3" w14:textId="77777777">
      <w:pPr>
        <w:tabs>
          <w:tab w:val="left" w:pos="6480"/>
        </w:tabs>
        <w:rPr>
          <w:sz w:val="22"/>
          <w:szCs w:val="22"/>
        </w:rPr>
      </w:pPr>
    </w:p>
    <w:p w:rsidR="00B76C9C" w:rsidRPr="003B0717" w:rsidP="00B76C9C" w14:paraId="73F8C059" w14:textId="77777777">
      <w:pPr>
        <w:tabs>
          <w:tab w:val="left" w:pos="6480"/>
        </w:tabs>
        <w:rPr>
          <w:sz w:val="22"/>
          <w:szCs w:val="22"/>
        </w:rPr>
      </w:pPr>
      <w:r w:rsidRPr="003B0717">
        <w:rPr>
          <w:b/>
          <w:bCs/>
          <w:sz w:val="22"/>
          <w:szCs w:val="22"/>
        </w:rPr>
        <w:t>SENT BY EMAIL</w:t>
      </w:r>
      <w:r w:rsidRPr="003B0717">
        <w:rPr>
          <w:sz w:val="22"/>
          <w:szCs w:val="22"/>
        </w:rPr>
        <w:tab/>
      </w:r>
    </w:p>
    <w:p w:rsidR="00B76C9C" w:rsidRPr="003B0717" w:rsidP="00B76C9C" w14:paraId="28F804B4" w14:textId="77777777">
      <w:pPr>
        <w:rPr>
          <w:sz w:val="22"/>
          <w:szCs w:val="22"/>
        </w:rPr>
      </w:pPr>
      <w:r w:rsidRPr="003B0717">
        <w:rPr>
          <w:sz w:val="22"/>
          <w:szCs w:val="22"/>
        </w:rPr>
        <w:t>Clear Communications, Inc.</w:t>
      </w:r>
    </w:p>
    <w:p w:rsidR="00B76C9C" w:rsidRPr="003B0717" w:rsidP="00B76C9C" w14:paraId="4DD9364C" w14:textId="1E2FCAC5">
      <w:pPr>
        <w:rPr>
          <w:sz w:val="22"/>
          <w:szCs w:val="22"/>
        </w:rPr>
      </w:pPr>
      <w:r w:rsidRPr="003B0717">
        <w:rPr>
          <w:sz w:val="22"/>
          <w:szCs w:val="22"/>
        </w:rPr>
        <w:t>c/o Melodie A. Virtue, Esq.</w:t>
      </w:r>
    </w:p>
    <w:p w:rsidR="00B76C9C" w:rsidRPr="003B0717" w:rsidP="00B76C9C" w14:paraId="2104D156" w14:textId="2174D58F">
      <w:pPr>
        <w:rPr>
          <w:sz w:val="22"/>
          <w:szCs w:val="22"/>
        </w:rPr>
      </w:pPr>
      <w:r w:rsidRPr="003B0717">
        <w:rPr>
          <w:sz w:val="22"/>
          <w:szCs w:val="22"/>
        </w:rPr>
        <w:t>Foster Garvey PC</w:t>
      </w:r>
    </w:p>
    <w:p w:rsidR="00B76C9C" w:rsidRPr="003B0717" w:rsidP="00B76C9C" w14:paraId="50DF8DE8" w14:textId="48CBE15F">
      <w:pPr>
        <w:rPr>
          <w:sz w:val="22"/>
          <w:szCs w:val="22"/>
        </w:rPr>
      </w:pPr>
      <w:r w:rsidRPr="003B0717">
        <w:rPr>
          <w:sz w:val="22"/>
          <w:szCs w:val="22"/>
        </w:rPr>
        <w:t>1000 Potomac Street, NW</w:t>
      </w:r>
    </w:p>
    <w:p w:rsidR="00317013" w:rsidRPr="003B0717" w:rsidP="00B76C9C" w14:paraId="5091DB71" w14:textId="5DE83AF7">
      <w:pPr>
        <w:rPr>
          <w:sz w:val="22"/>
          <w:szCs w:val="22"/>
        </w:rPr>
      </w:pPr>
      <w:r w:rsidRPr="003B0717">
        <w:rPr>
          <w:sz w:val="22"/>
          <w:szCs w:val="22"/>
        </w:rPr>
        <w:t>Suite 200</w:t>
      </w:r>
    </w:p>
    <w:p w:rsidR="00B76C9C" w:rsidRPr="003B0717" w:rsidP="00B76C9C" w14:paraId="2B53E9EE" w14:textId="30CE963E">
      <w:pPr>
        <w:rPr>
          <w:sz w:val="22"/>
          <w:szCs w:val="22"/>
        </w:rPr>
      </w:pPr>
      <w:r w:rsidRPr="003B0717">
        <w:rPr>
          <w:sz w:val="22"/>
          <w:szCs w:val="22"/>
        </w:rPr>
        <w:t>Washington, DC 20007</w:t>
      </w:r>
    </w:p>
    <w:p w:rsidR="00B76C9C" w:rsidRPr="00C92CD0" w:rsidP="00B76C9C" w14:paraId="0066A4B0" w14:textId="59282376">
      <w:pPr>
        <w:rPr>
          <w:color w:val="4472C4"/>
          <w:sz w:val="22"/>
          <w:szCs w:val="22"/>
        </w:rPr>
      </w:pPr>
      <w:hyperlink r:id="rId5" w:history="1">
        <w:r w:rsidRPr="00C92CD0" w:rsidR="00E8731F">
          <w:rPr>
            <w:rStyle w:val="Hyperlink"/>
            <w:color w:val="4472C4"/>
            <w:sz w:val="22"/>
            <w:szCs w:val="22"/>
          </w:rPr>
          <w:t>Melodie.Virtue@foster.com</w:t>
        </w:r>
      </w:hyperlink>
      <w:r w:rsidRPr="00C92CD0">
        <w:rPr>
          <w:color w:val="4472C4"/>
          <w:sz w:val="22"/>
          <w:szCs w:val="22"/>
        </w:rPr>
        <w:t xml:space="preserve"> </w:t>
      </w:r>
    </w:p>
    <w:p w:rsidR="00B76C9C" w:rsidRPr="003B0717" w:rsidP="00B76C9C" w14:paraId="4D421179" w14:textId="77777777">
      <w:pPr>
        <w:rPr>
          <w:sz w:val="22"/>
          <w:szCs w:val="22"/>
        </w:rPr>
      </w:pPr>
    </w:p>
    <w:p w:rsidR="00B76C9C" w:rsidRPr="003B0717" w:rsidP="00B76C9C" w14:paraId="7AA529C4" w14:textId="77777777">
      <w:pPr>
        <w:rPr>
          <w:b/>
          <w:bCs/>
          <w:sz w:val="22"/>
          <w:szCs w:val="22"/>
        </w:rPr>
      </w:pPr>
      <w:r w:rsidRPr="003B0717">
        <w:rPr>
          <w:b/>
          <w:bCs/>
          <w:sz w:val="22"/>
          <w:szCs w:val="22"/>
        </w:rPr>
        <w:t>SENT BY EMAIL</w:t>
      </w:r>
    </w:p>
    <w:p w:rsidR="00B76C9C" w:rsidRPr="003B0717" w:rsidP="00B76C9C" w14:paraId="2D404A1A" w14:textId="177AAFE1">
      <w:pPr>
        <w:rPr>
          <w:sz w:val="22"/>
          <w:szCs w:val="22"/>
        </w:rPr>
      </w:pPr>
      <w:r w:rsidRPr="003B0717">
        <w:rPr>
          <w:sz w:val="22"/>
          <w:szCs w:val="22"/>
        </w:rPr>
        <w:t>Press Communications, LLC</w:t>
      </w:r>
    </w:p>
    <w:p w:rsidR="00B76C9C" w:rsidRPr="00F97D35" w:rsidP="00B76C9C" w14:paraId="166791B4" w14:textId="65F8879B">
      <w:pPr>
        <w:rPr>
          <w:sz w:val="22"/>
          <w:szCs w:val="22"/>
        </w:rPr>
      </w:pPr>
      <w:r w:rsidRPr="00F97D35">
        <w:rPr>
          <w:sz w:val="22"/>
          <w:szCs w:val="22"/>
        </w:rPr>
        <w:t>c/o</w:t>
      </w:r>
      <w:r w:rsidRPr="00F97D35" w:rsidR="00C96CD5">
        <w:rPr>
          <w:sz w:val="22"/>
          <w:szCs w:val="22"/>
        </w:rPr>
        <w:t xml:space="preserve"> </w:t>
      </w:r>
      <w:r w:rsidR="00CA0E12">
        <w:rPr>
          <w:sz w:val="22"/>
          <w:szCs w:val="22"/>
        </w:rPr>
        <w:t xml:space="preserve">F. </w:t>
      </w:r>
      <w:r w:rsidR="001A442D">
        <w:rPr>
          <w:sz w:val="22"/>
          <w:szCs w:val="22"/>
        </w:rPr>
        <w:t>Reid</w:t>
      </w:r>
      <w:r w:rsidR="00CA0E12">
        <w:rPr>
          <w:sz w:val="22"/>
          <w:szCs w:val="22"/>
        </w:rPr>
        <w:t xml:space="preserve"> Avett</w:t>
      </w:r>
      <w:r w:rsidRPr="00F97D35">
        <w:rPr>
          <w:sz w:val="22"/>
          <w:szCs w:val="22"/>
        </w:rPr>
        <w:t>, Esq.</w:t>
      </w:r>
    </w:p>
    <w:p w:rsidR="00B76C9C" w:rsidRPr="00F97D35" w:rsidP="00B76C9C" w14:paraId="1E4D5A18" w14:textId="07A0CD70">
      <w:pPr>
        <w:rPr>
          <w:sz w:val="22"/>
          <w:szCs w:val="22"/>
        </w:rPr>
      </w:pPr>
      <w:r w:rsidRPr="00F97D35">
        <w:rPr>
          <w:sz w:val="22"/>
          <w:szCs w:val="22"/>
        </w:rPr>
        <w:t>Womble Bond Dickinson (US) LLP</w:t>
      </w:r>
    </w:p>
    <w:p w:rsidR="00140A9E" w:rsidRPr="00F97D35" w:rsidP="00B76C9C" w14:paraId="3EF5E4D4" w14:textId="5815BB9F">
      <w:pPr>
        <w:rPr>
          <w:sz w:val="22"/>
          <w:szCs w:val="22"/>
        </w:rPr>
      </w:pPr>
      <w:r w:rsidRPr="00F97D35">
        <w:rPr>
          <w:sz w:val="22"/>
          <w:szCs w:val="22"/>
        </w:rPr>
        <w:t>1200 19</w:t>
      </w:r>
      <w:r w:rsidRPr="00F97D35">
        <w:rPr>
          <w:sz w:val="22"/>
          <w:szCs w:val="22"/>
          <w:vertAlign w:val="superscript"/>
        </w:rPr>
        <w:t>th</w:t>
      </w:r>
      <w:r w:rsidRPr="00F97D35">
        <w:rPr>
          <w:sz w:val="22"/>
          <w:szCs w:val="22"/>
        </w:rPr>
        <w:t xml:space="preserve"> Street, NW</w:t>
      </w:r>
    </w:p>
    <w:p w:rsidR="00317013" w:rsidRPr="00F97D35" w:rsidP="00B76C9C" w14:paraId="54CBB3FA" w14:textId="26847033">
      <w:pPr>
        <w:rPr>
          <w:sz w:val="22"/>
          <w:szCs w:val="22"/>
        </w:rPr>
      </w:pPr>
      <w:r w:rsidRPr="00F97D35">
        <w:rPr>
          <w:sz w:val="22"/>
          <w:szCs w:val="22"/>
        </w:rPr>
        <w:t>Suite 500</w:t>
      </w:r>
    </w:p>
    <w:p w:rsidR="00140A9E" w:rsidRPr="00F97D35" w:rsidP="00B76C9C" w14:paraId="6BA14D63" w14:textId="493CEE2D">
      <w:pPr>
        <w:rPr>
          <w:sz w:val="22"/>
          <w:szCs w:val="22"/>
        </w:rPr>
      </w:pPr>
      <w:r w:rsidRPr="00F97D35">
        <w:rPr>
          <w:sz w:val="22"/>
          <w:szCs w:val="22"/>
        </w:rPr>
        <w:t>Washington, DC 20036</w:t>
      </w:r>
    </w:p>
    <w:p w:rsidR="00B76C9C" w:rsidRPr="00C92CD0" w:rsidP="00B76C9C" w14:paraId="5FC45D8B" w14:textId="267365ED">
      <w:pPr>
        <w:tabs>
          <w:tab w:val="left" w:pos="4680"/>
        </w:tabs>
        <w:rPr>
          <w:color w:val="4472C4"/>
          <w:sz w:val="22"/>
          <w:szCs w:val="22"/>
        </w:rPr>
      </w:pPr>
      <w:hyperlink r:id="rId6" w:history="1">
        <w:r w:rsidRPr="00C92CD0" w:rsidR="000775B0">
          <w:rPr>
            <w:rStyle w:val="Hyperlink"/>
            <w:color w:val="4472C4"/>
            <w:sz w:val="22"/>
            <w:szCs w:val="22"/>
          </w:rPr>
          <w:t>Reid.Avett@wbd-us.com</w:t>
        </w:r>
      </w:hyperlink>
      <w:r w:rsidRPr="00C92CD0" w:rsidR="00E8731F">
        <w:rPr>
          <w:color w:val="4472C4"/>
          <w:sz w:val="22"/>
          <w:szCs w:val="22"/>
        </w:rPr>
        <w:t xml:space="preserve"> </w:t>
      </w:r>
    </w:p>
    <w:p w:rsidR="00B76C9C" w:rsidRPr="003B0717" w:rsidP="00B76C9C" w14:paraId="0B45850D" w14:textId="7C9AA669">
      <w:pPr>
        <w:tabs>
          <w:tab w:val="left" w:pos="4680"/>
        </w:tabs>
        <w:rPr>
          <w:sz w:val="22"/>
          <w:szCs w:val="22"/>
        </w:rPr>
      </w:pPr>
      <w:r w:rsidRPr="003B0717">
        <w:rPr>
          <w:sz w:val="22"/>
          <w:szCs w:val="22"/>
        </w:rPr>
        <w:tab/>
        <w:t>In re:</w:t>
      </w:r>
      <w:r w:rsidRPr="003B0717">
        <w:rPr>
          <w:sz w:val="22"/>
          <w:szCs w:val="22"/>
        </w:rPr>
        <w:tab/>
      </w:r>
      <w:r w:rsidRPr="003B0717" w:rsidR="00317013">
        <w:rPr>
          <w:sz w:val="22"/>
          <w:szCs w:val="22"/>
        </w:rPr>
        <w:t>Clear Communications, Inc.</w:t>
      </w:r>
    </w:p>
    <w:p w:rsidR="00B76C9C" w:rsidRPr="003B0717" w:rsidP="00B76C9C" w14:paraId="050DF840" w14:textId="676A8537">
      <w:pPr>
        <w:tabs>
          <w:tab w:val="left" w:pos="4680"/>
        </w:tabs>
        <w:rPr>
          <w:sz w:val="22"/>
          <w:szCs w:val="22"/>
        </w:rPr>
      </w:pPr>
      <w:r w:rsidRPr="003B0717">
        <w:rPr>
          <w:sz w:val="22"/>
          <w:szCs w:val="22"/>
        </w:rPr>
        <w:tab/>
      </w:r>
      <w:r w:rsidRPr="003B0717">
        <w:rPr>
          <w:sz w:val="22"/>
          <w:szCs w:val="22"/>
        </w:rPr>
        <w:tab/>
      </w:r>
      <w:r w:rsidRPr="003B0717">
        <w:rPr>
          <w:sz w:val="22"/>
          <w:szCs w:val="22"/>
        </w:rPr>
        <w:tab/>
        <w:t xml:space="preserve">New FM Translator, </w:t>
      </w:r>
      <w:r w:rsidRPr="003B0717" w:rsidR="00317013">
        <w:rPr>
          <w:sz w:val="22"/>
          <w:szCs w:val="22"/>
        </w:rPr>
        <w:t>Vineland, NJ</w:t>
      </w:r>
      <w:r w:rsidRPr="003B0717">
        <w:rPr>
          <w:sz w:val="22"/>
          <w:szCs w:val="22"/>
        </w:rPr>
        <w:t xml:space="preserve"> </w:t>
      </w:r>
    </w:p>
    <w:p w:rsidR="00B76C9C" w:rsidRPr="003B0717" w:rsidP="00B76C9C" w14:paraId="03F96F65" w14:textId="6E50C4EA">
      <w:pPr>
        <w:tabs>
          <w:tab w:val="left" w:pos="5760"/>
        </w:tabs>
        <w:rPr>
          <w:sz w:val="22"/>
          <w:szCs w:val="22"/>
        </w:rPr>
      </w:pPr>
      <w:r w:rsidRPr="003B0717">
        <w:rPr>
          <w:sz w:val="22"/>
          <w:szCs w:val="22"/>
        </w:rPr>
        <w:tab/>
        <w:t xml:space="preserve">Facility ID No. </w:t>
      </w:r>
      <w:r w:rsidRPr="003B0717" w:rsidR="00317013">
        <w:rPr>
          <w:sz w:val="22"/>
          <w:szCs w:val="22"/>
        </w:rPr>
        <w:t>202064</w:t>
      </w:r>
    </w:p>
    <w:p w:rsidR="00B76C9C" w:rsidRPr="003B0717" w:rsidP="00B76C9C" w14:paraId="13331564" w14:textId="091590D2">
      <w:pPr>
        <w:tabs>
          <w:tab w:val="left" w:pos="5760"/>
        </w:tabs>
        <w:rPr>
          <w:sz w:val="22"/>
          <w:szCs w:val="22"/>
        </w:rPr>
      </w:pPr>
      <w:r w:rsidRPr="003B0717">
        <w:rPr>
          <w:sz w:val="22"/>
          <w:szCs w:val="22"/>
        </w:rPr>
        <w:tab/>
        <w:t>File No. BNPFT-</w:t>
      </w:r>
      <w:r w:rsidRPr="003B0717" w:rsidR="00317013">
        <w:rPr>
          <w:sz w:val="22"/>
          <w:szCs w:val="22"/>
        </w:rPr>
        <w:t>20180502ABQ</w:t>
      </w:r>
    </w:p>
    <w:p w:rsidR="00B76C9C" w:rsidRPr="003B0717" w:rsidP="00B76C9C" w14:paraId="29C84A70" w14:textId="77777777">
      <w:pPr>
        <w:rPr>
          <w:sz w:val="22"/>
          <w:szCs w:val="22"/>
        </w:rPr>
      </w:pPr>
    </w:p>
    <w:p w:rsidR="00B76C9C" w:rsidRPr="003B0717" w:rsidP="00B76C9C" w14:paraId="03DC6B81" w14:textId="77777777">
      <w:pPr>
        <w:tabs>
          <w:tab w:val="left" w:pos="5760"/>
        </w:tabs>
        <w:rPr>
          <w:b/>
          <w:sz w:val="22"/>
          <w:szCs w:val="22"/>
        </w:rPr>
      </w:pPr>
      <w:r w:rsidRPr="003B0717">
        <w:rPr>
          <w:sz w:val="22"/>
          <w:szCs w:val="22"/>
        </w:rPr>
        <w:tab/>
      </w:r>
      <w:r w:rsidRPr="003B0717">
        <w:rPr>
          <w:b/>
          <w:sz w:val="22"/>
          <w:szCs w:val="22"/>
        </w:rPr>
        <w:t>Petition for Reconsideration</w:t>
      </w:r>
    </w:p>
    <w:p w:rsidR="0060098A" w:rsidRPr="003B0717" w:rsidP="0060098A" w14:paraId="582D1A77" w14:textId="77777777">
      <w:pPr>
        <w:rPr>
          <w:sz w:val="22"/>
          <w:szCs w:val="22"/>
        </w:rPr>
      </w:pPr>
      <w:r w:rsidRPr="003B0717">
        <w:rPr>
          <w:sz w:val="22"/>
          <w:szCs w:val="22"/>
        </w:rPr>
        <w:t>Dear Counsel:</w:t>
      </w:r>
    </w:p>
    <w:p w:rsidR="0060098A" w:rsidRPr="003B0717" w:rsidP="0060098A" w14:paraId="555D1DD9" w14:textId="77777777">
      <w:pPr>
        <w:rPr>
          <w:sz w:val="22"/>
          <w:szCs w:val="22"/>
        </w:rPr>
      </w:pPr>
    </w:p>
    <w:p w:rsidR="00204CE3" w:rsidRPr="003B0717" w:rsidP="0060098A" w14:paraId="18A2E481" w14:textId="6493F7B0">
      <w:pPr>
        <w:rPr>
          <w:sz w:val="22"/>
          <w:szCs w:val="22"/>
        </w:rPr>
      </w:pPr>
      <w:r w:rsidRPr="003B0717">
        <w:rPr>
          <w:sz w:val="22"/>
          <w:szCs w:val="22"/>
        </w:rPr>
        <w:t>We have before us a Petition for Reconsideration</w:t>
      </w:r>
      <w:r w:rsidRPr="003B0717" w:rsidR="00C63359">
        <w:rPr>
          <w:sz w:val="22"/>
          <w:szCs w:val="22"/>
        </w:rPr>
        <w:t xml:space="preserve"> and Reinstatement </w:t>
      </w:r>
      <w:r w:rsidRPr="003B0717" w:rsidR="00C63359">
        <w:rPr>
          <w:i/>
          <w:iCs/>
          <w:sz w:val="22"/>
          <w:szCs w:val="22"/>
        </w:rPr>
        <w:t xml:space="preserve">Nunc Pro </w:t>
      </w:r>
      <w:r w:rsidRPr="003B0717" w:rsidR="00C63359">
        <w:rPr>
          <w:i/>
          <w:iCs/>
          <w:sz w:val="22"/>
          <w:szCs w:val="22"/>
        </w:rPr>
        <w:t>Tunc</w:t>
      </w:r>
      <w:r w:rsidRPr="003B0717">
        <w:rPr>
          <w:sz w:val="22"/>
          <w:szCs w:val="22"/>
        </w:rPr>
        <w:t xml:space="preserve"> (Petition) filed by Clear Communications, Inc. (Clear) on</w:t>
      </w:r>
      <w:r w:rsidRPr="003B0717" w:rsidR="00C63359">
        <w:rPr>
          <w:sz w:val="22"/>
          <w:szCs w:val="22"/>
        </w:rPr>
        <w:t xml:space="preserve"> October 14, </w:t>
      </w:r>
      <w:r w:rsidR="00070F21">
        <w:rPr>
          <w:sz w:val="22"/>
          <w:szCs w:val="22"/>
        </w:rPr>
        <w:t>2020</w:t>
      </w:r>
      <w:r w:rsidRPr="003B0717">
        <w:rPr>
          <w:sz w:val="22"/>
          <w:szCs w:val="22"/>
        </w:rPr>
        <w:t xml:space="preserve"> and related pleadings.</w:t>
      </w:r>
      <w:r>
        <w:rPr>
          <w:rStyle w:val="FootnoteReference"/>
          <w:sz w:val="22"/>
          <w:szCs w:val="22"/>
        </w:rPr>
        <w:footnoteReference w:id="2"/>
      </w:r>
      <w:r w:rsidRPr="003B0717">
        <w:rPr>
          <w:sz w:val="22"/>
          <w:szCs w:val="22"/>
        </w:rPr>
        <w:t xml:space="preserve">  </w:t>
      </w:r>
      <w:r w:rsidRPr="003B0717" w:rsidR="004858B7">
        <w:rPr>
          <w:sz w:val="22"/>
          <w:szCs w:val="22"/>
        </w:rPr>
        <w:t>Clear</w:t>
      </w:r>
      <w:r w:rsidRPr="003B0717">
        <w:rPr>
          <w:sz w:val="22"/>
          <w:szCs w:val="22"/>
        </w:rPr>
        <w:t xml:space="preserve"> challenges a Media Bureau (</w:t>
      </w:r>
      <w:r w:rsidRPr="001D3E9B">
        <w:rPr>
          <w:sz w:val="22"/>
          <w:szCs w:val="22"/>
        </w:rPr>
        <w:t>Bureau</w:t>
      </w:r>
      <w:r w:rsidRPr="003B0717">
        <w:rPr>
          <w:sz w:val="22"/>
          <w:szCs w:val="22"/>
        </w:rPr>
        <w:t xml:space="preserve">) letter dated </w:t>
      </w:r>
      <w:r w:rsidRPr="003B0717" w:rsidR="000F6C1A">
        <w:rPr>
          <w:sz w:val="22"/>
          <w:szCs w:val="22"/>
        </w:rPr>
        <w:t xml:space="preserve">September 14, 2020 </w:t>
      </w:r>
      <w:r w:rsidRPr="003B0717">
        <w:rPr>
          <w:sz w:val="22"/>
          <w:szCs w:val="22"/>
        </w:rPr>
        <w:t>(</w:t>
      </w:r>
      <w:r w:rsidRPr="003B0717">
        <w:rPr>
          <w:i/>
          <w:iCs/>
          <w:sz w:val="22"/>
          <w:szCs w:val="22"/>
        </w:rPr>
        <w:t>Letter Order</w:t>
      </w:r>
      <w:r w:rsidRPr="003B0717" w:rsidR="000F6C1A">
        <w:rPr>
          <w:sz w:val="22"/>
          <w:szCs w:val="22"/>
        </w:rPr>
        <w:t>)</w:t>
      </w:r>
      <w:r w:rsidRPr="003B0717">
        <w:rPr>
          <w:sz w:val="22"/>
          <w:szCs w:val="22"/>
        </w:rPr>
        <w:t>.</w:t>
      </w:r>
      <w:r>
        <w:rPr>
          <w:rStyle w:val="FootnoteReference"/>
          <w:sz w:val="22"/>
          <w:szCs w:val="22"/>
        </w:rPr>
        <w:footnoteReference w:id="3"/>
      </w:r>
      <w:r w:rsidRPr="003B0717">
        <w:rPr>
          <w:sz w:val="22"/>
          <w:szCs w:val="22"/>
        </w:rPr>
        <w:t xml:space="preserve">  </w:t>
      </w:r>
      <w:r w:rsidR="0073346E">
        <w:rPr>
          <w:sz w:val="22"/>
          <w:szCs w:val="22"/>
        </w:rPr>
        <w:t xml:space="preserve">The </w:t>
      </w:r>
      <w:r w:rsidRPr="0073346E" w:rsidR="0073346E">
        <w:rPr>
          <w:i/>
          <w:iCs/>
          <w:sz w:val="22"/>
          <w:szCs w:val="22"/>
        </w:rPr>
        <w:t>Letter Order</w:t>
      </w:r>
      <w:r w:rsidRPr="003B0717">
        <w:rPr>
          <w:sz w:val="22"/>
          <w:szCs w:val="22"/>
        </w:rPr>
        <w:t xml:space="preserve"> granted a Petition to Deny filed by </w:t>
      </w:r>
      <w:r w:rsidRPr="003B0717" w:rsidR="000F6C1A">
        <w:rPr>
          <w:sz w:val="22"/>
          <w:szCs w:val="22"/>
        </w:rPr>
        <w:t>Press Communications</w:t>
      </w:r>
      <w:r w:rsidRPr="003B0717" w:rsidR="001330BB">
        <w:rPr>
          <w:sz w:val="22"/>
          <w:szCs w:val="22"/>
        </w:rPr>
        <w:t>, LLC (Press)</w:t>
      </w:r>
      <w:r w:rsidRPr="003B0717">
        <w:rPr>
          <w:sz w:val="22"/>
          <w:szCs w:val="22"/>
        </w:rPr>
        <w:t xml:space="preserve"> on </w:t>
      </w:r>
      <w:r w:rsidRPr="003B0717" w:rsidR="009F5C46">
        <w:rPr>
          <w:sz w:val="22"/>
          <w:szCs w:val="22"/>
        </w:rPr>
        <w:t>May 23, 2018</w:t>
      </w:r>
      <w:r w:rsidRPr="003B0717">
        <w:rPr>
          <w:sz w:val="22"/>
          <w:szCs w:val="22"/>
        </w:rPr>
        <w:t xml:space="preserve">, and dismissed </w:t>
      </w:r>
      <w:r w:rsidRPr="003B0717" w:rsidR="001330BB">
        <w:rPr>
          <w:sz w:val="22"/>
          <w:szCs w:val="22"/>
        </w:rPr>
        <w:t>Clear’s</w:t>
      </w:r>
      <w:r w:rsidRPr="003B0717">
        <w:rPr>
          <w:sz w:val="22"/>
          <w:szCs w:val="22"/>
        </w:rPr>
        <w:t xml:space="preserve"> application (Application) for a construction permit for </w:t>
      </w:r>
      <w:r w:rsidRPr="003B0717" w:rsidR="00CE5FE1">
        <w:rPr>
          <w:sz w:val="22"/>
          <w:szCs w:val="22"/>
        </w:rPr>
        <w:t xml:space="preserve">a </w:t>
      </w:r>
      <w:r w:rsidRPr="003B0717">
        <w:rPr>
          <w:sz w:val="22"/>
          <w:szCs w:val="22"/>
        </w:rPr>
        <w:t xml:space="preserve">new cross-service FM translator station </w:t>
      </w:r>
      <w:r w:rsidRPr="003B0717" w:rsidR="00CE5FE1">
        <w:rPr>
          <w:sz w:val="22"/>
          <w:szCs w:val="22"/>
        </w:rPr>
        <w:t xml:space="preserve">at </w:t>
      </w:r>
      <w:r w:rsidRPr="003B0717" w:rsidR="001330BB">
        <w:rPr>
          <w:sz w:val="22"/>
          <w:szCs w:val="22"/>
        </w:rPr>
        <w:t>Vineland, New Jersey</w:t>
      </w:r>
      <w:r w:rsidRPr="003B0717">
        <w:rPr>
          <w:sz w:val="22"/>
          <w:szCs w:val="22"/>
        </w:rPr>
        <w:t xml:space="preserve"> (Translator).</w:t>
      </w:r>
      <w:r>
        <w:rPr>
          <w:rStyle w:val="FootnoteReference"/>
          <w:sz w:val="22"/>
          <w:szCs w:val="22"/>
        </w:rPr>
        <w:footnoteReference w:id="4"/>
      </w:r>
      <w:r w:rsidRPr="003B0717">
        <w:rPr>
          <w:sz w:val="22"/>
          <w:szCs w:val="22"/>
        </w:rPr>
        <w:t xml:space="preserve">  For the reasons discussed below, we </w:t>
      </w:r>
      <w:r w:rsidRPr="003B0717" w:rsidR="001330BB">
        <w:rPr>
          <w:sz w:val="22"/>
          <w:szCs w:val="22"/>
        </w:rPr>
        <w:t>grant</w:t>
      </w:r>
      <w:r w:rsidRPr="003B0717">
        <w:rPr>
          <w:sz w:val="22"/>
          <w:szCs w:val="22"/>
        </w:rPr>
        <w:t xml:space="preserve"> the Petition</w:t>
      </w:r>
      <w:r w:rsidRPr="003B0717" w:rsidR="001330BB">
        <w:rPr>
          <w:sz w:val="22"/>
          <w:szCs w:val="22"/>
        </w:rPr>
        <w:t xml:space="preserve">, and reinstate </w:t>
      </w:r>
      <w:r w:rsidRPr="00A8022D" w:rsidR="001330BB">
        <w:rPr>
          <w:sz w:val="22"/>
          <w:szCs w:val="22"/>
        </w:rPr>
        <w:t xml:space="preserve">and grant the </w:t>
      </w:r>
      <w:r w:rsidRPr="00A8022D" w:rsidR="00322782">
        <w:rPr>
          <w:sz w:val="22"/>
          <w:szCs w:val="22"/>
        </w:rPr>
        <w:t xml:space="preserve">amended </w:t>
      </w:r>
      <w:r w:rsidRPr="00A8022D" w:rsidR="00F4208C">
        <w:rPr>
          <w:sz w:val="22"/>
          <w:szCs w:val="22"/>
        </w:rPr>
        <w:t>Application</w:t>
      </w:r>
      <w:r w:rsidRPr="00A8022D" w:rsidR="00322782">
        <w:rPr>
          <w:sz w:val="22"/>
          <w:szCs w:val="22"/>
        </w:rPr>
        <w:t xml:space="preserve"> that accompanied a Supplement and Amendment to Petition for Reconsideration and Reinstatement </w:t>
      </w:r>
      <w:r w:rsidRPr="00A8022D" w:rsidR="00322782">
        <w:rPr>
          <w:i/>
          <w:iCs/>
          <w:sz w:val="22"/>
          <w:szCs w:val="22"/>
        </w:rPr>
        <w:t xml:space="preserve">Nunc Pro </w:t>
      </w:r>
      <w:r w:rsidRPr="00A8022D" w:rsidR="00322782">
        <w:rPr>
          <w:i/>
          <w:iCs/>
          <w:sz w:val="22"/>
          <w:szCs w:val="22"/>
        </w:rPr>
        <w:t>Tunc</w:t>
      </w:r>
      <w:r w:rsidRPr="00A8022D" w:rsidR="00322782">
        <w:rPr>
          <w:sz w:val="22"/>
          <w:szCs w:val="22"/>
        </w:rPr>
        <w:t xml:space="preserve"> (Supplement) filed by Clear on December 31, 2020</w:t>
      </w:r>
      <w:r w:rsidRPr="00A8022D">
        <w:rPr>
          <w:sz w:val="22"/>
          <w:szCs w:val="22"/>
        </w:rPr>
        <w:t>.</w:t>
      </w:r>
    </w:p>
    <w:p w:rsidR="00AD0953" w:rsidRPr="003B0717" w:rsidP="0060098A" w14:paraId="003F2287" w14:textId="111C5675">
      <w:pPr>
        <w:rPr>
          <w:sz w:val="22"/>
          <w:szCs w:val="22"/>
        </w:rPr>
      </w:pPr>
    </w:p>
    <w:p w:rsidR="00AD0953" w:rsidRPr="003B0717" w:rsidP="00AD0953" w14:paraId="79F7AC54" w14:textId="6DD46623">
      <w:pPr>
        <w:ind w:right="720"/>
        <w:rPr>
          <w:sz w:val="22"/>
          <w:szCs w:val="22"/>
        </w:rPr>
      </w:pPr>
      <w:r w:rsidRPr="003B0717">
        <w:rPr>
          <w:b/>
          <w:sz w:val="22"/>
          <w:szCs w:val="22"/>
        </w:rPr>
        <w:t>Background.</w:t>
      </w:r>
      <w:r w:rsidRPr="003B0717">
        <w:rPr>
          <w:sz w:val="22"/>
          <w:szCs w:val="22"/>
        </w:rPr>
        <w:t xml:space="preserve">  </w:t>
      </w:r>
      <w:r w:rsidR="005333D0">
        <w:rPr>
          <w:sz w:val="22"/>
          <w:szCs w:val="22"/>
        </w:rPr>
        <w:t xml:space="preserve">On May 2, 2018, </w:t>
      </w:r>
      <w:r w:rsidRPr="003B0717">
        <w:rPr>
          <w:sz w:val="22"/>
          <w:szCs w:val="22"/>
        </w:rPr>
        <w:t>Clear filed the Application</w:t>
      </w:r>
      <w:r w:rsidR="00B037CB">
        <w:rPr>
          <w:sz w:val="22"/>
          <w:szCs w:val="22"/>
        </w:rPr>
        <w:t>, which sought a construction permit for</w:t>
      </w:r>
      <w:r w:rsidRPr="003B0717" w:rsidR="003572EC">
        <w:rPr>
          <w:sz w:val="22"/>
          <w:szCs w:val="22"/>
        </w:rPr>
        <w:t xml:space="preserve"> a new FM Translator on Channel 293 at Vineland, New Jersey</w:t>
      </w:r>
      <w:r w:rsidRPr="003B0717">
        <w:rPr>
          <w:sz w:val="22"/>
          <w:szCs w:val="22"/>
        </w:rPr>
        <w:t xml:space="preserve">.  </w:t>
      </w:r>
      <w:r w:rsidRPr="003B0717" w:rsidR="00626D5F">
        <w:rPr>
          <w:sz w:val="22"/>
          <w:szCs w:val="22"/>
        </w:rPr>
        <w:t>Press</w:t>
      </w:r>
      <w:r w:rsidRPr="003B0717">
        <w:rPr>
          <w:sz w:val="22"/>
          <w:szCs w:val="22"/>
        </w:rPr>
        <w:t xml:space="preserve"> </w:t>
      </w:r>
      <w:r w:rsidRPr="003B0717" w:rsidR="00BB6097">
        <w:rPr>
          <w:sz w:val="22"/>
          <w:szCs w:val="22"/>
        </w:rPr>
        <w:t xml:space="preserve">then </w:t>
      </w:r>
      <w:r w:rsidRPr="003B0717">
        <w:rPr>
          <w:sz w:val="22"/>
          <w:szCs w:val="22"/>
        </w:rPr>
        <w:t xml:space="preserve">filed </w:t>
      </w:r>
      <w:r w:rsidRPr="003B0717" w:rsidR="00626D5F">
        <w:rPr>
          <w:sz w:val="22"/>
          <w:szCs w:val="22"/>
        </w:rPr>
        <w:t>its</w:t>
      </w:r>
      <w:r w:rsidRPr="003B0717">
        <w:rPr>
          <w:sz w:val="22"/>
          <w:szCs w:val="22"/>
        </w:rPr>
        <w:t xml:space="preserve"> Petition to Deny.  </w:t>
      </w:r>
      <w:r w:rsidRPr="003B0717" w:rsidR="00103082">
        <w:rPr>
          <w:sz w:val="22"/>
          <w:szCs w:val="22"/>
        </w:rPr>
        <w:t>Press</w:t>
      </w:r>
      <w:r w:rsidRPr="003B0717">
        <w:rPr>
          <w:sz w:val="22"/>
          <w:szCs w:val="22"/>
        </w:rPr>
        <w:t xml:space="preserve"> alleged the Translator would cause interference to listeners of its </w:t>
      </w:r>
      <w:r w:rsidRPr="003B0717" w:rsidR="00FD7AB7">
        <w:rPr>
          <w:sz w:val="22"/>
          <w:szCs w:val="22"/>
        </w:rPr>
        <w:t xml:space="preserve">co-channel </w:t>
      </w:r>
      <w:r w:rsidRPr="003B0717">
        <w:rPr>
          <w:sz w:val="22"/>
          <w:szCs w:val="22"/>
        </w:rPr>
        <w:t>station—</w:t>
      </w:r>
      <w:r w:rsidRPr="003B0717" w:rsidR="002B2CB5">
        <w:rPr>
          <w:sz w:val="22"/>
          <w:szCs w:val="22"/>
        </w:rPr>
        <w:t>WTHJ(FM)</w:t>
      </w:r>
      <w:r w:rsidRPr="003B0717">
        <w:rPr>
          <w:sz w:val="22"/>
          <w:szCs w:val="22"/>
        </w:rPr>
        <w:t xml:space="preserve">, </w:t>
      </w:r>
      <w:r w:rsidRPr="003B0717" w:rsidR="002B2CB5">
        <w:rPr>
          <w:sz w:val="22"/>
          <w:szCs w:val="22"/>
        </w:rPr>
        <w:t>Bass River Township, New Jersey</w:t>
      </w:r>
      <w:r w:rsidRPr="003B0717">
        <w:rPr>
          <w:sz w:val="22"/>
          <w:szCs w:val="22"/>
        </w:rPr>
        <w:t>—in violation of section 74.1204(f) of the Commission’s rules (</w:t>
      </w:r>
      <w:r w:rsidRPr="00B037CB">
        <w:rPr>
          <w:sz w:val="22"/>
          <w:szCs w:val="22"/>
        </w:rPr>
        <w:t>Rules</w:t>
      </w:r>
      <w:r w:rsidRPr="003B0717">
        <w:rPr>
          <w:sz w:val="22"/>
          <w:szCs w:val="22"/>
        </w:rPr>
        <w:t>).</w:t>
      </w:r>
      <w:r>
        <w:rPr>
          <w:rStyle w:val="FootnoteReference"/>
          <w:sz w:val="22"/>
          <w:szCs w:val="22"/>
        </w:rPr>
        <w:footnoteReference w:id="5"/>
      </w:r>
      <w:r w:rsidRPr="003B0717">
        <w:rPr>
          <w:sz w:val="22"/>
          <w:szCs w:val="22"/>
        </w:rPr>
        <w:t xml:space="preserve">  </w:t>
      </w:r>
      <w:r w:rsidRPr="003B0717" w:rsidR="00F13E62">
        <w:rPr>
          <w:sz w:val="22"/>
          <w:szCs w:val="22"/>
        </w:rPr>
        <w:t>Clear opposed the Petition to Deny,</w:t>
      </w:r>
      <w:r>
        <w:rPr>
          <w:rStyle w:val="FootnoteReference"/>
          <w:sz w:val="22"/>
          <w:szCs w:val="22"/>
        </w:rPr>
        <w:footnoteReference w:id="6"/>
      </w:r>
      <w:r w:rsidRPr="003B0717" w:rsidR="00F13E62">
        <w:rPr>
          <w:sz w:val="22"/>
          <w:szCs w:val="22"/>
        </w:rPr>
        <w:t xml:space="preserve"> and Press replied.</w:t>
      </w:r>
      <w:r>
        <w:rPr>
          <w:rStyle w:val="FootnoteReference"/>
          <w:sz w:val="22"/>
          <w:szCs w:val="22"/>
        </w:rPr>
        <w:footnoteReference w:id="7"/>
      </w:r>
    </w:p>
    <w:p w:rsidR="00AD0953" w:rsidRPr="003B0717" w:rsidP="00AD0953" w14:paraId="2D9B031E" w14:textId="77777777">
      <w:pPr>
        <w:ind w:right="720"/>
        <w:rPr>
          <w:sz w:val="22"/>
          <w:szCs w:val="22"/>
        </w:rPr>
      </w:pPr>
    </w:p>
    <w:p w:rsidR="000B5A32" w:rsidRPr="003B0717" w:rsidP="00AD0953" w14:paraId="278C169D" w14:textId="5598D655">
      <w:pPr>
        <w:ind w:right="720"/>
        <w:rPr>
          <w:sz w:val="22"/>
          <w:szCs w:val="22"/>
        </w:rPr>
      </w:pPr>
      <w:r w:rsidRPr="003B0717">
        <w:rPr>
          <w:sz w:val="22"/>
          <w:szCs w:val="22"/>
        </w:rPr>
        <w:t xml:space="preserve">The Petition to Deny was </w:t>
      </w:r>
      <w:r w:rsidRPr="003B0717" w:rsidR="00A5533F">
        <w:rPr>
          <w:sz w:val="22"/>
          <w:szCs w:val="22"/>
        </w:rPr>
        <w:t xml:space="preserve">still </w:t>
      </w:r>
      <w:r w:rsidRPr="003B0717">
        <w:rPr>
          <w:sz w:val="22"/>
          <w:szCs w:val="22"/>
        </w:rPr>
        <w:t xml:space="preserve">pending on August 13, 2019, when </w:t>
      </w:r>
      <w:r w:rsidRPr="003B0717" w:rsidR="00FC6C53">
        <w:rPr>
          <w:sz w:val="22"/>
          <w:szCs w:val="22"/>
        </w:rPr>
        <w:t xml:space="preserve">changes </w:t>
      </w:r>
      <w:r w:rsidRPr="003B0717" w:rsidR="00BB6097">
        <w:rPr>
          <w:sz w:val="22"/>
          <w:szCs w:val="22"/>
        </w:rPr>
        <w:t xml:space="preserve">the Commission had made </w:t>
      </w:r>
      <w:r w:rsidRPr="003B0717" w:rsidR="003A3409">
        <w:rPr>
          <w:sz w:val="22"/>
          <w:szCs w:val="22"/>
        </w:rPr>
        <w:t>to</w:t>
      </w:r>
      <w:r w:rsidRPr="003B0717">
        <w:rPr>
          <w:sz w:val="22"/>
          <w:szCs w:val="22"/>
        </w:rPr>
        <w:t xml:space="preserve"> section 74.1204(f) </w:t>
      </w:r>
      <w:r w:rsidRPr="003B0717" w:rsidR="00742026">
        <w:rPr>
          <w:sz w:val="22"/>
          <w:szCs w:val="22"/>
        </w:rPr>
        <w:t>became effective</w:t>
      </w:r>
      <w:r w:rsidRPr="003B0717">
        <w:rPr>
          <w:sz w:val="22"/>
          <w:szCs w:val="22"/>
        </w:rPr>
        <w:t>.</w:t>
      </w:r>
      <w:r>
        <w:rPr>
          <w:rStyle w:val="FootnoteReference"/>
          <w:sz w:val="22"/>
          <w:szCs w:val="22"/>
        </w:rPr>
        <w:footnoteReference w:id="8"/>
      </w:r>
      <w:r w:rsidRPr="003B0717">
        <w:rPr>
          <w:sz w:val="22"/>
          <w:szCs w:val="22"/>
        </w:rPr>
        <w:t xml:space="preserve">  </w:t>
      </w:r>
      <w:r w:rsidRPr="003B0717" w:rsidR="009B38A8">
        <w:rPr>
          <w:sz w:val="22"/>
          <w:szCs w:val="22"/>
        </w:rPr>
        <w:t>Thus</w:t>
      </w:r>
      <w:r w:rsidRPr="003B0717">
        <w:rPr>
          <w:sz w:val="22"/>
          <w:szCs w:val="22"/>
        </w:rPr>
        <w:t xml:space="preserve">, on </w:t>
      </w:r>
      <w:r w:rsidRPr="003B0717" w:rsidR="009025D7">
        <w:rPr>
          <w:sz w:val="22"/>
          <w:szCs w:val="22"/>
        </w:rPr>
        <w:t>September 9, 2019</w:t>
      </w:r>
      <w:r w:rsidRPr="003B0717">
        <w:rPr>
          <w:sz w:val="22"/>
          <w:szCs w:val="22"/>
        </w:rPr>
        <w:t xml:space="preserve">, </w:t>
      </w:r>
      <w:r w:rsidRPr="003B0717" w:rsidR="009B38A8">
        <w:rPr>
          <w:sz w:val="22"/>
          <w:szCs w:val="22"/>
        </w:rPr>
        <w:t>we</w:t>
      </w:r>
      <w:r w:rsidRPr="003B0717">
        <w:rPr>
          <w:sz w:val="22"/>
          <w:szCs w:val="22"/>
        </w:rPr>
        <w:t xml:space="preserve"> notified </w:t>
      </w:r>
      <w:r w:rsidRPr="003B0717" w:rsidR="009B38A8">
        <w:rPr>
          <w:sz w:val="22"/>
          <w:szCs w:val="22"/>
        </w:rPr>
        <w:t>Press</w:t>
      </w:r>
      <w:r w:rsidRPr="003B0717">
        <w:rPr>
          <w:sz w:val="22"/>
          <w:szCs w:val="22"/>
        </w:rPr>
        <w:t xml:space="preserve"> that it had 30 days to bring the Petition to Deny into compliance with the updated translator interference complaint requirements.</w:t>
      </w:r>
      <w:r>
        <w:rPr>
          <w:rStyle w:val="FootnoteReference"/>
          <w:sz w:val="22"/>
          <w:szCs w:val="22"/>
        </w:rPr>
        <w:footnoteReference w:id="9"/>
      </w:r>
      <w:r w:rsidRPr="003B0717">
        <w:rPr>
          <w:sz w:val="22"/>
          <w:szCs w:val="22"/>
        </w:rPr>
        <w:t xml:space="preserve"> </w:t>
      </w:r>
      <w:r w:rsidRPr="003B0717" w:rsidR="009B38A8">
        <w:rPr>
          <w:sz w:val="22"/>
          <w:szCs w:val="22"/>
        </w:rPr>
        <w:t xml:space="preserve"> </w:t>
      </w:r>
      <w:r w:rsidRPr="003B0717">
        <w:rPr>
          <w:sz w:val="22"/>
          <w:szCs w:val="22"/>
        </w:rPr>
        <w:t xml:space="preserve">On </w:t>
      </w:r>
      <w:r w:rsidRPr="003B0717" w:rsidR="00013A58">
        <w:rPr>
          <w:sz w:val="22"/>
          <w:szCs w:val="22"/>
        </w:rPr>
        <w:t>October 9, 2019</w:t>
      </w:r>
      <w:r w:rsidRPr="003B0717">
        <w:rPr>
          <w:sz w:val="22"/>
          <w:szCs w:val="22"/>
        </w:rPr>
        <w:t xml:space="preserve">, </w:t>
      </w:r>
      <w:r w:rsidRPr="003B0717" w:rsidR="009B38A8">
        <w:rPr>
          <w:sz w:val="22"/>
          <w:szCs w:val="22"/>
        </w:rPr>
        <w:t>Press</w:t>
      </w:r>
      <w:r w:rsidRPr="003B0717">
        <w:rPr>
          <w:sz w:val="22"/>
          <w:szCs w:val="22"/>
        </w:rPr>
        <w:t xml:space="preserve"> </w:t>
      </w:r>
      <w:r w:rsidRPr="003B0717" w:rsidR="00013A58">
        <w:rPr>
          <w:sz w:val="22"/>
          <w:szCs w:val="22"/>
        </w:rPr>
        <w:t>filed a Supplement to Petition to Deny</w:t>
      </w:r>
      <w:r w:rsidRPr="003B0717" w:rsidR="003A3409">
        <w:rPr>
          <w:sz w:val="22"/>
          <w:szCs w:val="22"/>
        </w:rPr>
        <w:t>.</w:t>
      </w:r>
      <w:r>
        <w:rPr>
          <w:rStyle w:val="FootnoteReference"/>
          <w:sz w:val="22"/>
          <w:szCs w:val="22"/>
        </w:rPr>
        <w:footnoteReference w:id="10"/>
      </w:r>
      <w:r w:rsidRPr="003B0717" w:rsidR="00D57B9E">
        <w:rPr>
          <w:sz w:val="22"/>
          <w:szCs w:val="22"/>
        </w:rPr>
        <w:t xml:space="preserve"> </w:t>
      </w:r>
    </w:p>
    <w:p w:rsidR="009B38A8" w:rsidRPr="003B0717" w:rsidP="00AD0953" w14:paraId="0BF9998A" w14:textId="77777777">
      <w:pPr>
        <w:ind w:right="720"/>
        <w:rPr>
          <w:sz w:val="22"/>
          <w:szCs w:val="22"/>
        </w:rPr>
      </w:pPr>
    </w:p>
    <w:p w:rsidR="00AD0953" w:rsidRPr="003B0717" w:rsidP="00AD0953" w14:paraId="2ED35178" w14:textId="74702E02">
      <w:pPr>
        <w:ind w:right="720"/>
        <w:rPr>
          <w:sz w:val="22"/>
          <w:szCs w:val="22"/>
        </w:rPr>
      </w:pPr>
      <w:r w:rsidRPr="003B0717">
        <w:rPr>
          <w:sz w:val="22"/>
          <w:szCs w:val="22"/>
        </w:rPr>
        <w:t xml:space="preserve">After reviewing </w:t>
      </w:r>
      <w:r w:rsidRPr="003B0717" w:rsidR="00DC33E9">
        <w:rPr>
          <w:sz w:val="22"/>
          <w:szCs w:val="22"/>
        </w:rPr>
        <w:t xml:space="preserve">the Supplement to Petition to Deny, we </w:t>
      </w:r>
      <w:r w:rsidRPr="003B0717" w:rsidR="005F7BCC">
        <w:rPr>
          <w:sz w:val="22"/>
          <w:szCs w:val="22"/>
        </w:rPr>
        <w:t>concluded</w:t>
      </w:r>
      <w:r w:rsidRPr="003B0717" w:rsidR="00DC33E9">
        <w:rPr>
          <w:sz w:val="22"/>
          <w:szCs w:val="22"/>
        </w:rPr>
        <w:t xml:space="preserve"> </w:t>
      </w:r>
      <w:r w:rsidRPr="003B0717" w:rsidR="006B6A32">
        <w:rPr>
          <w:sz w:val="22"/>
          <w:szCs w:val="22"/>
        </w:rPr>
        <w:t xml:space="preserve">Press had adequately substantiated its </w:t>
      </w:r>
      <w:r w:rsidR="003B0A0F">
        <w:rPr>
          <w:sz w:val="22"/>
          <w:szCs w:val="22"/>
        </w:rPr>
        <w:t>claims of predicted interference to WTHJ(FM) listeners</w:t>
      </w:r>
      <w:r w:rsidRPr="003B0717" w:rsidR="006B6A32">
        <w:rPr>
          <w:sz w:val="22"/>
          <w:szCs w:val="22"/>
        </w:rPr>
        <w:t xml:space="preserve">. </w:t>
      </w:r>
      <w:r w:rsidRPr="003B0717" w:rsidR="003A3409">
        <w:rPr>
          <w:sz w:val="22"/>
          <w:szCs w:val="22"/>
        </w:rPr>
        <w:t xml:space="preserve"> </w:t>
      </w:r>
      <w:r w:rsidRPr="003B0717" w:rsidR="006B6A32">
        <w:rPr>
          <w:sz w:val="22"/>
          <w:szCs w:val="22"/>
        </w:rPr>
        <w:t>Accordingly, on September 14, 2020, we</w:t>
      </w:r>
      <w:r w:rsidRPr="003B0717" w:rsidR="003A3409">
        <w:rPr>
          <w:sz w:val="22"/>
          <w:szCs w:val="22"/>
        </w:rPr>
        <w:t xml:space="preserve"> </w:t>
      </w:r>
      <w:r w:rsidRPr="003B0717" w:rsidR="006B6A32">
        <w:rPr>
          <w:sz w:val="22"/>
          <w:szCs w:val="22"/>
        </w:rPr>
        <w:t>granted the Petition to Deny and dismissed the Application.</w:t>
      </w:r>
    </w:p>
    <w:p w:rsidR="00AD0953" w:rsidRPr="003B0717" w:rsidP="006B6A32" w14:paraId="198406AB" w14:textId="77777777">
      <w:pPr>
        <w:rPr>
          <w:sz w:val="22"/>
          <w:szCs w:val="22"/>
        </w:rPr>
      </w:pPr>
    </w:p>
    <w:p w:rsidR="00AD0953" w:rsidRPr="003B0717" w:rsidP="006B6A32" w14:paraId="79009380" w14:textId="7A73709A">
      <w:pPr>
        <w:rPr>
          <w:sz w:val="22"/>
          <w:szCs w:val="22"/>
        </w:rPr>
      </w:pPr>
      <w:r w:rsidRPr="003B0717">
        <w:rPr>
          <w:sz w:val="22"/>
          <w:szCs w:val="22"/>
        </w:rPr>
        <w:t>Clear</w:t>
      </w:r>
      <w:r w:rsidRPr="003B0717">
        <w:rPr>
          <w:sz w:val="22"/>
          <w:szCs w:val="22"/>
        </w:rPr>
        <w:t xml:space="preserve"> then filed the Petitio</w:t>
      </w:r>
      <w:r w:rsidRPr="003B0717" w:rsidR="008B4364">
        <w:rPr>
          <w:sz w:val="22"/>
          <w:szCs w:val="22"/>
        </w:rPr>
        <w:t>n</w:t>
      </w:r>
      <w:r w:rsidRPr="003B0717" w:rsidR="002D561C">
        <w:rPr>
          <w:sz w:val="22"/>
          <w:szCs w:val="22"/>
        </w:rPr>
        <w:t xml:space="preserve">, which was accompanied by </w:t>
      </w:r>
      <w:r w:rsidRPr="003B0717" w:rsidR="00CD6C07">
        <w:rPr>
          <w:sz w:val="22"/>
          <w:szCs w:val="22"/>
        </w:rPr>
        <w:t>a minor curative</w:t>
      </w:r>
      <w:r w:rsidRPr="003B0717" w:rsidR="002D561C">
        <w:rPr>
          <w:sz w:val="22"/>
          <w:szCs w:val="22"/>
        </w:rPr>
        <w:t xml:space="preserve"> amendment</w:t>
      </w:r>
      <w:r w:rsidRPr="003B0717" w:rsidR="00CD6C07">
        <w:rPr>
          <w:sz w:val="22"/>
          <w:szCs w:val="22"/>
        </w:rPr>
        <w:t xml:space="preserve"> to the Application</w:t>
      </w:r>
      <w:r w:rsidRPr="003B0717" w:rsidR="003B4091">
        <w:rPr>
          <w:sz w:val="22"/>
          <w:szCs w:val="22"/>
        </w:rPr>
        <w:t xml:space="preserve">.  </w:t>
      </w:r>
      <w:r w:rsidRPr="003B0717" w:rsidR="004248DE">
        <w:rPr>
          <w:sz w:val="22"/>
          <w:szCs w:val="22"/>
        </w:rPr>
        <w:t xml:space="preserve">The </w:t>
      </w:r>
      <w:r w:rsidRPr="003B0717" w:rsidR="00D54B39">
        <w:rPr>
          <w:sz w:val="22"/>
          <w:szCs w:val="22"/>
        </w:rPr>
        <w:t xml:space="preserve">curative </w:t>
      </w:r>
      <w:r w:rsidRPr="003B0717" w:rsidR="004248DE">
        <w:rPr>
          <w:sz w:val="22"/>
          <w:szCs w:val="22"/>
        </w:rPr>
        <w:t xml:space="preserve">amendment </w:t>
      </w:r>
      <w:r w:rsidRPr="003B0717" w:rsidR="008D05FC">
        <w:rPr>
          <w:sz w:val="22"/>
          <w:szCs w:val="22"/>
        </w:rPr>
        <w:t>sought to modify</w:t>
      </w:r>
      <w:r w:rsidRPr="003B0717" w:rsidR="004248DE">
        <w:rPr>
          <w:sz w:val="22"/>
          <w:szCs w:val="22"/>
        </w:rPr>
        <w:t xml:space="preserve"> the </w:t>
      </w:r>
      <w:r w:rsidR="004C7417">
        <w:rPr>
          <w:sz w:val="22"/>
          <w:szCs w:val="22"/>
        </w:rPr>
        <w:t>Translator’s</w:t>
      </w:r>
      <w:r w:rsidRPr="003B0717" w:rsidR="004248DE">
        <w:rPr>
          <w:sz w:val="22"/>
          <w:szCs w:val="22"/>
        </w:rPr>
        <w:t xml:space="preserve"> directional antenna pattern to eliminate predicted interference </w:t>
      </w:r>
      <w:r w:rsidRPr="003B0717" w:rsidR="00716440">
        <w:rPr>
          <w:sz w:val="22"/>
          <w:szCs w:val="22"/>
        </w:rPr>
        <w:t xml:space="preserve">to the WTHJ(FM) listeners </w:t>
      </w:r>
      <w:r w:rsidRPr="003B0717" w:rsidR="004248DE">
        <w:rPr>
          <w:sz w:val="22"/>
          <w:szCs w:val="22"/>
        </w:rPr>
        <w:t xml:space="preserve">identified </w:t>
      </w:r>
      <w:r w:rsidR="00DA0A11">
        <w:rPr>
          <w:sz w:val="22"/>
          <w:szCs w:val="22"/>
        </w:rPr>
        <w:t xml:space="preserve">by Press </w:t>
      </w:r>
      <w:r w:rsidRPr="003B0717" w:rsidR="004248DE">
        <w:rPr>
          <w:sz w:val="22"/>
          <w:szCs w:val="22"/>
        </w:rPr>
        <w:t xml:space="preserve">in the Supplement to Petition to Deny.  </w:t>
      </w:r>
      <w:r w:rsidRPr="003B0717" w:rsidR="004547F3">
        <w:rPr>
          <w:sz w:val="22"/>
          <w:szCs w:val="22"/>
        </w:rPr>
        <w:t xml:space="preserve">Clear </w:t>
      </w:r>
      <w:r w:rsidRPr="003B0717" w:rsidR="00577678">
        <w:rPr>
          <w:sz w:val="22"/>
          <w:szCs w:val="22"/>
        </w:rPr>
        <w:t>urged us</w:t>
      </w:r>
      <w:r w:rsidRPr="003B0717" w:rsidR="000E023F">
        <w:rPr>
          <w:sz w:val="22"/>
          <w:szCs w:val="22"/>
        </w:rPr>
        <w:t xml:space="preserve"> </w:t>
      </w:r>
      <w:r w:rsidR="00DA0A11">
        <w:rPr>
          <w:sz w:val="22"/>
          <w:szCs w:val="22"/>
        </w:rPr>
        <w:t xml:space="preserve">to </w:t>
      </w:r>
      <w:r w:rsidRPr="003B0717" w:rsidR="000E023F">
        <w:rPr>
          <w:sz w:val="22"/>
          <w:szCs w:val="22"/>
        </w:rPr>
        <w:t xml:space="preserve">grant reconsideration, and reinstate the Application, as amended, pursuant to the Commission’s </w:t>
      </w:r>
      <w:r w:rsidRPr="003B0717" w:rsidR="008D05FC">
        <w:rPr>
          <w:i/>
          <w:iCs/>
          <w:sz w:val="22"/>
          <w:szCs w:val="22"/>
        </w:rPr>
        <w:t>N</w:t>
      </w:r>
      <w:r w:rsidRPr="003B0717" w:rsidR="000E023F">
        <w:rPr>
          <w:i/>
          <w:iCs/>
          <w:sz w:val="22"/>
          <w:szCs w:val="22"/>
        </w:rPr>
        <w:t xml:space="preserve">unc </w:t>
      </w:r>
      <w:r w:rsidRPr="003B0717" w:rsidR="008D05FC">
        <w:rPr>
          <w:i/>
          <w:iCs/>
          <w:sz w:val="22"/>
          <w:szCs w:val="22"/>
        </w:rPr>
        <w:t>P</w:t>
      </w:r>
      <w:r w:rsidRPr="003B0717" w:rsidR="000E023F">
        <w:rPr>
          <w:i/>
          <w:iCs/>
          <w:sz w:val="22"/>
          <w:szCs w:val="22"/>
        </w:rPr>
        <w:t xml:space="preserve">ro </w:t>
      </w:r>
      <w:r w:rsidRPr="003B0717" w:rsidR="008D05FC">
        <w:rPr>
          <w:i/>
          <w:iCs/>
          <w:sz w:val="22"/>
          <w:szCs w:val="22"/>
        </w:rPr>
        <w:t>T</w:t>
      </w:r>
      <w:r w:rsidRPr="003B0717" w:rsidR="000E023F">
        <w:rPr>
          <w:i/>
          <w:iCs/>
          <w:sz w:val="22"/>
          <w:szCs w:val="22"/>
        </w:rPr>
        <w:t>unc</w:t>
      </w:r>
      <w:r w:rsidRPr="003B0717" w:rsidR="000E023F">
        <w:rPr>
          <w:sz w:val="22"/>
          <w:szCs w:val="22"/>
        </w:rPr>
        <w:t xml:space="preserve"> policy</w:t>
      </w:r>
      <w:r w:rsidRPr="003B0717" w:rsidR="00577678">
        <w:rPr>
          <w:sz w:val="22"/>
          <w:szCs w:val="22"/>
        </w:rPr>
        <w:t>.</w:t>
      </w:r>
      <w:r>
        <w:rPr>
          <w:rStyle w:val="FootnoteReference"/>
          <w:sz w:val="22"/>
          <w:szCs w:val="22"/>
        </w:rPr>
        <w:footnoteReference w:id="11"/>
      </w:r>
      <w:r w:rsidRPr="003B0717" w:rsidR="000E023F">
        <w:rPr>
          <w:sz w:val="22"/>
          <w:szCs w:val="22"/>
        </w:rPr>
        <w:t xml:space="preserve">  </w:t>
      </w:r>
      <w:r w:rsidRPr="003B0717" w:rsidR="00024CCB">
        <w:rPr>
          <w:sz w:val="22"/>
          <w:szCs w:val="22"/>
        </w:rPr>
        <w:t xml:space="preserve">Clear </w:t>
      </w:r>
      <w:r w:rsidR="00DA0A11">
        <w:rPr>
          <w:sz w:val="22"/>
          <w:szCs w:val="22"/>
        </w:rPr>
        <w:t xml:space="preserve">also </w:t>
      </w:r>
      <w:r w:rsidRPr="003B0717" w:rsidR="00024CCB">
        <w:rPr>
          <w:sz w:val="22"/>
          <w:szCs w:val="22"/>
        </w:rPr>
        <w:t>argu</w:t>
      </w:r>
      <w:r w:rsidRPr="003B0717" w:rsidR="00FE25D3">
        <w:rPr>
          <w:sz w:val="22"/>
          <w:szCs w:val="22"/>
        </w:rPr>
        <w:t>e</w:t>
      </w:r>
      <w:r w:rsidRPr="003B0717" w:rsidR="00577678">
        <w:rPr>
          <w:sz w:val="22"/>
          <w:szCs w:val="22"/>
        </w:rPr>
        <w:t>d</w:t>
      </w:r>
      <w:r w:rsidRPr="003B0717" w:rsidR="00FE25D3">
        <w:rPr>
          <w:sz w:val="22"/>
          <w:szCs w:val="22"/>
        </w:rPr>
        <w:t xml:space="preserve"> </w:t>
      </w:r>
      <w:r w:rsidRPr="003B0717" w:rsidR="00024CCB">
        <w:rPr>
          <w:sz w:val="22"/>
          <w:szCs w:val="22"/>
        </w:rPr>
        <w:t xml:space="preserve">that </w:t>
      </w:r>
      <w:r w:rsidRPr="003B0717" w:rsidR="00935656">
        <w:rPr>
          <w:sz w:val="22"/>
          <w:szCs w:val="22"/>
        </w:rPr>
        <w:t xml:space="preserve">reconsideration </w:t>
      </w:r>
      <w:r w:rsidRPr="003B0717" w:rsidR="00577678">
        <w:rPr>
          <w:sz w:val="22"/>
          <w:szCs w:val="22"/>
        </w:rPr>
        <w:t>was</w:t>
      </w:r>
      <w:r w:rsidRPr="003B0717" w:rsidR="00935656">
        <w:rPr>
          <w:sz w:val="22"/>
          <w:szCs w:val="22"/>
        </w:rPr>
        <w:t xml:space="preserve"> justified </w:t>
      </w:r>
      <w:r w:rsidRPr="003B0717" w:rsidR="00024CCB">
        <w:rPr>
          <w:sz w:val="22"/>
          <w:szCs w:val="22"/>
        </w:rPr>
        <w:t>because</w:t>
      </w:r>
      <w:r w:rsidRPr="003B0717" w:rsidR="00020A75">
        <w:rPr>
          <w:sz w:val="22"/>
          <w:szCs w:val="22"/>
        </w:rPr>
        <w:t xml:space="preserve"> </w:t>
      </w:r>
      <w:r w:rsidRPr="003B0717" w:rsidR="00181715">
        <w:rPr>
          <w:sz w:val="22"/>
          <w:szCs w:val="22"/>
        </w:rPr>
        <w:t xml:space="preserve">we failed to follow the notification procedures established in the </w:t>
      </w:r>
      <w:r w:rsidRPr="003B0717" w:rsidR="00181715">
        <w:rPr>
          <w:i/>
          <w:iCs/>
          <w:sz w:val="22"/>
          <w:szCs w:val="22"/>
        </w:rPr>
        <w:t>FM Translator Interference Order</w:t>
      </w:r>
      <w:r w:rsidRPr="003B0717" w:rsidR="00181715">
        <w:rPr>
          <w:sz w:val="22"/>
          <w:szCs w:val="22"/>
        </w:rPr>
        <w:t>.</w:t>
      </w:r>
      <w:r>
        <w:rPr>
          <w:rStyle w:val="FootnoteReference"/>
          <w:sz w:val="22"/>
          <w:szCs w:val="22"/>
        </w:rPr>
        <w:footnoteReference w:id="12"/>
      </w:r>
      <w:r w:rsidRPr="003B0717" w:rsidR="00181715">
        <w:rPr>
          <w:sz w:val="22"/>
          <w:szCs w:val="22"/>
        </w:rPr>
        <w:t xml:space="preserve">  </w:t>
      </w:r>
    </w:p>
    <w:p w:rsidR="0023171C" w:rsidRPr="003B0717" w:rsidP="006B6A32" w14:paraId="022CE20F" w14:textId="0EE90AFB">
      <w:pPr>
        <w:rPr>
          <w:sz w:val="22"/>
          <w:szCs w:val="22"/>
        </w:rPr>
      </w:pPr>
    </w:p>
    <w:p w:rsidR="0023171C" w:rsidRPr="003B0717" w:rsidP="006B6A32" w14:paraId="1D56F523" w14:textId="13A39101">
      <w:pPr>
        <w:rPr>
          <w:sz w:val="22"/>
          <w:szCs w:val="22"/>
        </w:rPr>
      </w:pPr>
      <w:r w:rsidRPr="003B0717">
        <w:rPr>
          <w:sz w:val="22"/>
          <w:szCs w:val="22"/>
        </w:rPr>
        <w:t xml:space="preserve">Press </w:t>
      </w:r>
      <w:r w:rsidRPr="003B0717" w:rsidR="00D6487C">
        <w:rPr>
          <w:sz w:val="22"/>
          <w:szCs w:val="22"/>
        </w:rPr>
        <w:t xml:space="preserve">opposed the Petition, arguing </w:t>
      </w:r>
      <w:r w:rsidRPr="003B0717" w:rsidR="00FA15F5">
        <w:rPr>
          <w:sz w:val="22"/>
          <w:szCs w:val="22"/>
        </w:rPr>
        <w:t xml:space="preserve">the </w:t>
      </w:r>
      <w:r w:rsidRPr="003B0717" w:rsidR="004371CE">
        <w:rPr>
          <w:i/>
          <w:iCs/>
          <w:sz w:val="22"/>
          <w:szCs w:val="22"/>
        </w:rPr>
        <w:t>N</w:t>
      </w:r>
      <w:r w:rsidRPr="003B0717" w:rsidR="00FA15F5">
        <w:rPr>
          <w:i/>
          <w:iCs/>
          <w:sz w:val="22"/>
          <w:szCs w:val="22"/>
        </w:rPr>
        <w:t xml:space="preserve">unc </w:t>
      </w:r>
      <w:r w:rsidRPr="003B0717" w:rsidR="004371CE">
        <w:rPr>
          <w:i/>
          <w:iCs/>
          <w:sz w:val="22"/>
          <w:szCs w:val="22"/>
        </w:rPr>
        <w:t>P</w:t>
      </w:r>
      <w:r w:rsidRPr="003B0717" w:rsidR="00FA15F5">
        <w:rPr>
          <w:i/>
          <w:iCs/>
          <w:sz w:val="22"/>
          <w:szCs w:val="22"/>
        </w:rPr>
        <w:t xml:space="preserve">ro </w:t>
      </w:r>
      <w:r w:rsidRPr="003B0717" w:rsidR="004371CE">
        <w:rPr>
          <w:i/>
          <w:iCs/>
          <w:sz w:val="22"/>
          <w:szCs w:val="22"/>
        </w:rPr>
        <w:t>T</w:t>
      </w:r>
      <w:r w:rsidRPr="003B0717" w:rsidR="00FA15F5">
        <w:rPr>
          <w:i/>
          <w:iCs/>
          <w:sz w:val="22"/>
          <w:szCs w:val="22"/>
        </w:rPr>
        <w:t>unc</w:t>
      </w:r>
      <w:r w:rsidRPr="003B0717" w:rsidR="00FA15F5">
        <w:rPr>
          <w:sz w:val="22"/>
          <w:szCs w:val="22"/>
        </w:rPr>
        <w:t xml:space="preserve"> policy </w:t>
      </w:r>
      <w:r w:rsidRPr="003B0717" w:rsidR="00D01B54">
        <w:rPr>
          <w:sz w:val="22"/>
          <w:szCs w:val="22"/>
        </w:rPr>
        <w:t>did</w:t>
      </w:r>
      <w:r w:rsidRPr="003B0717" w:rsidR="00FA15F5">
        <w:rPr>
          <w:sz w:val="22"/>
          <w:szCs w:val="22"/>
        </w:rPr>
        <w:t xml:space="preserve"> not apply because the Commission “changed the procedures for remedying a defective unacceptable for filing FM translator application” in the </w:t>
      </w:r>
      <w:r w:rsidRPr="003B0717" w:rsidR="00FA15F5">
        <w:rPr>
          <w:i/>
          <w:iCs/>
          <w:sz w:val="22"/>
          <w:szCs w:val="22"/>
        </w:rPr>
        <w:t>FM Translator Interference Order</w:t>
      </w:r>
      <w:r w:rsidRPr="003B0717" w:rsidR="00FA15F5">
        <w:rPr>
          <w:sz w:val="22"/>
          <w:szCs w:val="22"/>
        </w:rPr>
        <w:t>.</w:t>
      </w:r>
      <w:r>
        <w:rPr>
          <w:rStyle w:val="FootnoteReference"/>
          <w:sz w:val="22"/>
          <w:szCs w:val="22"/>
        </w:rPr>
        <w:footnoteReference w:id="13"/>
      </w:r>
      <w:r w:rsidRPr="003B0717" w:rsidR="00FA15F5">
        <w:rPr>
          <w:sz w:val="22"/>
          <w:szCs w:val="22"/>
        </w:rPr>
        <w:t xml:space="preserve">  </w:t>
      </w:r>
      <w:r w:rsidRPr="003B0717" w:rsidR="0015269C">
        <w:rPr>
          <w:sz w:val="22"/>
          <w:szCs w:val="22"/>
        </w:rPr>
        <w:t xml:space="preserve">Press </w:t>
      </w:r>
      <w:r w:rsidRPr="003B0717" w:rsidR="00A0254F">
        <w:rPr>
          <w:sz w:val="22"/>
          <w:szCs w:val="22"/>
        </w:rPr>
        <w:t xml:space="preserve">further </w:t>
      </w:r>
      <w:r w:rsidRPr="003B0717" w:rsidR="0015269C">
        <w:rPr>
          <w:sz w:val="22"/>
          <w:szCs w:val="22"/>
        </w:rPr>
        <w:t>argue</w:t>
      </w:r>
      <w:r w:rsidRPr="003B0717" w:rsidR="00D01B54">
        <w:rPr>
          <w:sz w:val="22"/>
          <w:szCs w:val="22"/>
        </w:rPr>
        <w:t>d</w:t>
      </w:r>
      <w:r w:rsidRPr="003B0717" w:rsidR="0015269C">
        <w:rPr>
          <w:sz w:val="22"/>
          <w:szCs w:val="22"/>
        </w:rPr>
        <w:t xml:space="preserve"> that </w:t>
      </w:r>
      <w:r w:rsidRPr="003B0717" w:rsidR="00F242B3">
        <w:rPr>
          <w:sz w:val="22"/>
          <w:szCs w:val="22"/>
        </w:rPr>
        <w:t xml:space="preserve">the procedures Clear </w:t>
      </w:r>
      <w:r w:rsidRPr="003B0717" w:rsidR="00D01B54">
        <w:rPr>
          <w:sz w:val="22"/>
          <w:szCs w:val="22"/>
        </w:rPr>
        <w:t>claimed</w:t>
      </w:r>
      <w:r w:rsidRPr="003B0717" w:rsidR="00F242B3">
        <w:rPr>
          <w:sz w:val="22"/>
          <w:szCs w:val="22"/>
        </w:rPr>
        <w:t xml:space="preserve"> the Bureau failed to follow </w:t>
      </w:r>
      <w:r w:rsidRPr="003B0717" w:rsidR="00D01B54">
        <w:rPr>
          <w:sz w:val="22"/>
          <w:szCs w:val="22"/>
        </w:rPr>
        <w:t>were</w:t>
      </w:r>
      <w:r w:rsidRPr="003B0717" w:rsidR="00F242B3">
        <w:rPr>
          <w:sz w:val="22"/>
          <w:szCs w:val="22"/>
        </w:rPr>
        <w:t xml:space="preserve"> inapplicable.</w:t>
      </w:r>
      <w:r>
        <w:rPr>
          <w:rStyle w:val="FootnoteReference"/>
          <w:sz w:val="22"/>
          <w:szCs w:val="22"/>
        </w:rPr>
        <w:footnoteReference w:id="14"/>
      </w:r>
      <w:r w:rsidRPr="003B0717" w:rsidR="00F242B3">
        <w:rPr>
          <w:sz w:val="22"/>
          <w:szCs w:val="22"/>
        </w:rPr>
        <w:t xml:space="preserve"> </w:t>
      </w:r>
      <w:r w:rsidRPr="003B0717" w:rsidR="00585A3E">
        <w:rPr>
          <w:sz w:val="22"/>
          <w:szCs w:val="22"/>
        </w:rPr>
        <w:t xml:space="preserve"> </w:t>
      </w:r>
      <w:r w:rsidRPr="003B0717" w:rsidR="005936A7">
        <w:rPr>
          <w:sz w:val="22"/>
          <w:szCs w:val="22"/>
        </w:rPr>
        <w:t>Finally, Press argue</w:t>
      </w:r>
      <w:r w:rsidRPr="003B0717" w:rsidR="00DC5EA9">
        <w:rPr>
          <w:sz w:val="22"/>
          <w:szCs w:val="22"/>
        </w:rPr>
        <w:t>d</w:t>
      </w:r>
      <w:r w:rsidRPr="003B0717" w:rsidR="005936A7">
        <w:rPr>
          <w:sz w:val="22"/>
          <w:szCs w:val="22"/>
        </w:rPr>
        <w:t xml:space="preserve"> that, even as amended, the Application </w:t>
      </w:r>
      <w:r w:rsidRPr="003B0717" w:rsidR="00DC5EA9">
        <w:rPr>
          <w:sz w:val="22"/>
          <w:szCs w:val="22"/>
        </w:rPr>
        <w:t>was</w:t>
      </w:r>
      <w:r w:rsidRPr="003B0717" w:rsidR="005936A7">
        <w:rPr>
          <w:sz w:val="22"/>
          <w:szCs w:val="22"/>
        </w:rPr>
        <w:t xml:space="preserve"> unacceptable for filing </w:t>
      </w:r>
      <w:r w:rsidRPr="003B0717" w:rsidR="00FD44B6">
        <w:rPr>
          <w:sz w:val="22"/>
          <w:szCs w:val="22"/>
        </w:rPr>
        <w:t>due to predicted interference to WTHJ(FM)</w:t>
      </w:r>
      <w:r w:rsidRPr="003B0717" w:rsidR="00DC5EA9">
        <w:rPr>
          <w:sz w:val="22"/>
          <w:szCs w:val="22"/>
        </w:rPr>
        <w:t xml:space="preserve"> listeners</w:t>
      </w:r>
      <w:r w:rsidRPr="003B0717" w:rsidR="00FD44B6">
        <w:rPr>
          <w:sz w:val="22"/>
          <w:szCs w:val="22"/>
        </w:rPr>
        <w:t>.</w:t>
      </w:r>
      <w:r>
        <w:rPr>
          <w:rStyle w:val="FootnoteReference"/>
          <w:sz w:val="22"/>
          <w:szCs w:val="22"/>
        </w:rPr>
        <w:footnoteReference w:id="15"/>
      </w:r>
      <w:r w:rsidRPr="003B0717" w:rsidR="00FD44B6">
        <w:rPr>
          <w:sz w:val="22"/>
          <w:szCs w:val="22"/>
        </w:rPr>
        <w:t xml:space="preserve">  </w:t>
      </w:r>
    </w:p>
    <w:p w:rsidR="00AD0953" w:rsidRPr="003B0717" w:rsidP="0060098A" w14:paraId="072D8FF0" w14:textId="41227ED9">
      <w:pPr>
        <w:rPr>
          <w:sz w:val="22"/>
          <w:szCs w:val="22"/>
        </w:rPr>
      </w:pPr>
    </w:p>
    <w:p w:rsidR="00795CED" w:rsidRPr="003B0717" w:rsidP="0060098A" w14:paraId="636920A0" w14:textId="6FA4F75A">
      <w:pPr>
        <w:rPr>
          <w:sz w:val="22"/>
          <w:szCs w:val="22"/>
        </w:rPr>
      </w:pPr>
      <w:r w:rsidRPr="003B0717">
        <w:rPr>
          <w:sz w:val="22"/>
          <w:szCs w:val="22"/>
        </w:rPr>
        <w:t xml:space="preserve">On reply, Clear </w:t>
      </w:r>
      <w:r w:rsidRPr="003B0717" w:rsidR="00511E89">
        <w:rPr>
          <w:sz w:val="22"/>
          <w:szCs w:val="22"/>
        </w:rPr>
        <w:t xml:space="preserve">again </w:t>
      </w:r>
      <w:r w:rsidRPr="003B0717" w:rsidR="00704E69">
        <w:rPr>
          <w:sz w:val="22"/>
          <w:szCs w:val="22"/>
        </w:rPr>
        <w:t>assert</w:t>
      </w:r>
      <w:r w:rsidRPr="003B0717" w:rsidR="00DC5EA9">
        <w:rPr>
          <w:sz w:val="22"/>
          <w:szCs w:val="22"/>
        </w:rPr>
        <w:t>ed</w:t>
      </w:r>
      <w:r w:rsidRPr="003B0717" w:rsidR="00511E89">
        <w:rPr>
          <w:sz w:val="22"/>
          <w:szCs w:val="22"/>
        </w:rPr>
        <w:t xml:space="preserve"> that the </w:t>
      </w:r>
      <w:r w:rsidRPr="003B0717" w:rsidR="004371CE">
        <w:rPr>
          <w:i/>
          <w:iCs/>
          <w:sz w:val="22"/>
          <w:szCs w:val="22"/>
        </w:rPr>
        <w:t>N</w:t>
      </w:r>
      <w:r w:rsidRPr="003B0717" w:rsidR="00511E89">
        <w:rPr>
          <w:i/>
          <w:iCs/>
          <w:sz w:val="22"/>
          <w:szCs w:val="22"/>
        </w:rPr>
        <w:t xml:space="preserve">unc </w:t>
      </w:r>
      <w:r w:rsidRPr="003B0717" w:rsidR="004371CE">
        <w:rPr>
          <w:i/>
          <w:iCs/>
          <w:sz w:val="22"/>
          <w:szCs w:val="22"/>
        </w:rPr>
        <w:t>P</w:t>
      </w:r>
      <w:r w:rsidRPr="003B0717" w:rsidR="00511E89">
        <w:rPr>
          <w:i/>
          <w:iCs/>
          <w:sz w:val="22"/>
          <w:szCs w:val="22"/>
        </w:rPr>
        <w:t xml:space="preserve">ro </w:t>
      </w:r>
      <w:r w:rsidRPr="003B0717" w:rsidR="004371CE">
        <w:rPr>
          <w:i/>
          <w:iCs/>
          <w:sz w:val="22"/>
          <w:szCs w:val="22"/>
        </w:rPr>
        <w:t>T</w:t>
      </w:r>
      <w:r w:rsidRPr="003B0717" w:rsidR="00511E89">
        <w:rPr>
          <w:i/>
          <w:iCs/>
          <w:sz w:val="22"/>
          <w:szCs w:val="22"/>
        </w:rPr>
        <w:t>unc</w:t>
      </w:r>
      <w:r w:rsidRPr="003B0717" w:rsidR="00511E89">
        <w:rPr>
          <w:sz w:val="22"/>
          <w:szCs w:val="22"/>
        </w:rPr>
        <w:t xml:space="preserve"> </w:t>
      </w:r>
      <w:r w:rsidRPr="00A85C3A" w:rsidR="00807193">
        <w:rPr>
          <w:i/>
          <w:iCs/>
          <w:sz w:val="22"/>
          <w:szCs w:val="22"/>
        </w:rPr>
        <w:t>P</w:t>
      </w:r>
      <w:r w:rsidRPr="00A85C3A" w:rsidR="00511E89">
        <w:rPr>
          <w:i/>
          <w:iCs/>
          <w:sz w:val="22"/>
          <w:szCs w:val="22"/>
        </w:rPr>
        <w:t>olicy</w:t>
      </w:r>
      <w:r w:rsidRPr="003B0717" w:rsidR="00511E89">
        <w:rPr>
          <w:sz w:val="22"/>
          <w:szCs w:val="22"/>
        </w:rPr>
        <w:t xml:space="preserve"> </w:t>
      </w:r>
      <w:r w:rsidRPr="003B0717" w:rsidR="00DC5EA9">
        <w:rPr>
          <w:sz w:val="22"/>
          <w:szCs w:val="22"/>
        </w:rPr>
        <w:t>applied</w:t>
      </w:r>
      <w:r w:rsidRPr="003B0717" w:rsidR="00401BDF">
        <w:rPr>
          <w:sz w:val="22"/>
          <w:szCs w:val="22"/>
        </w:rPr>
        <w:t>, and argue</w:t>
      </w:r>
      <w:r w:rsidRPr="003B0717" w:rsidR="00DC5EA9">
        <w:rPr>
          <w:sz w:val="22"/>
          <w:szCs w:val="22"/>
        </w:rPr>
        <w:t>d</w:t>
      </w:r>
      <w:r w:rsidRPr="003B0717" w:rsidR="00401BDF">
        <w:rPr>
          <w:sz w:val="22"/>
          <w:szCs w:val="22"/>
        </w:rPr>
        <w:t xml:space="preserve"> nothing in the </w:t>
      </w:r>
      <w:r w:rsidRPr="003B0717" w:rsidR="00401BDF">
        <w:rPr>
          <w:i/>
          <w:iCs/>
          <w:sz w:val="22"/>
          <w:szCs w:val="22"/>
        </w:rPr>
        <w:t>FM Translator Interference Order</w:t>
      </w:r>
      <w:r w:rsidRPr="003B0717" w:rsidR="00401BDF">
        <w:rPr>
          <w:sz w:val="22"/>
          <w:szCs w:val="22"/>
        </w:rPr>
        <w:t xml:space="preserve"> </w:t>
      </w:r>
      <w:r w:rsidRPr="003B0717" w:rsidR="00BA42F5">
        <w:rPr>
          <w:sz w:val="22"/>
          <w:szCs w:val="22"/>
        </w:rPr>
        <w:t>suggest</w:t>
      </w:r>
      <w:r w:rsidRPr="003B0717" w:rsidR="00DC5EA9">
        <w:rPr>
          <w:sz w:val="22"/>
          <w:szCs w:val="22"/>
        </w:rPr>
        <w:t>ed</w:t>
      </w:r>
      <w:r w:rsidRPr="003B0717" w:rsidR="00BA42F5">
        <w:rPr>
          <w:sz w:val="22"/>
          <w:szCs w:val="22"/>
        </w:rPr>
        <w:t xml:space="preserve"> otherwise.</w:t>
      </w:r>
      <w:r>
        <w:rPr>
          <w:rStyle w:val="FootnoteReference"/>
          <w:sz w:val="22"/>
          <w:szCs w:val="22"/>
        </w:rPr>
        <w:footnoteReference w:id="16"/>
      </w:r>
      <w:r w:rsidRPr="003B0717" w:rsidR="00BA42F5">
        <w:rPr>
          <w:sz w:val="22"/>
          <w:szCs w:val="22"/>
        </w:rPr>
        <w:t xml:space="preserve">  </w:t>
      </w:r>
    </w:p>
    <w:p w:rsidR="00F10257" w:rsidRPr="003B0717" w:rsidP="0060098A" w14:paraId="542B1873" w14:textId="1455CB5F">
      <w:pPr>
        <w:rPr>
          <w:sz w:val="22"/>
          <w:szCs w:val="22"/>
        </w:rPr>
      </w:pPr>
    </w:p>
    <w:p w:rsidR="00F10257" w:rsidRPr="003B0717" w:rsidP="0060098A" w14:paraId="3A67BBF3" w14:textId="563F3AA8">
      <w:pPr>
        <w:rPr>
          <w:sz w:val="22"/>
          <w:szCs w:val="22"/>
        </w:rPr>
      </w:pPr>
      <w:r w:rsidRPr="003B0717">
        <w:rPr>
          <w:sz w:val="22"/>
          <w:szCs w:val="22"/>
        </w:rPr>
        <w:t xml:space="preserve">Press then filed </w:t>
      </w:r>
      <w:r w:rsidRPr="009D3014" w:rsidR="009D3014">
        <w:rPr>
          <w:sz w:val="22"/>
          <w:szCs w:val="22"/>
        </w:rPr>
        <w:t>a Second Supplement and Interference Package in Response to Amendment (</w:t>
      </w:r>
      <w:r w:rsidRPr="009D3014" w:rsidR="00506234">
        <w:rPr>
          <w:sz w:val="22"/>
          <w:szCs w:val="22"/>
        </w:rPr>
        <w:t>Second</w:t>
      </w:r>
      <w:r w:rsidRPr="003B0717" w:rsidR="00506234">
        <w:rPr>
          <w:sz w:val="22"/>
          <w:szCs w:val="22"/>
        </w:rPr>
        <w:t xml:space="preserve"> Interference Package</w:t>
      </w:r>
      <w:r w:rsidR="009D3014">
        <w:rPr>
          <w:sz w:val="22"/>
          <w:szCs w:val="22"/>
        </w:rPr>
        <w:t>).  Therein, Press</w:t>
      </w:r>
      <w:r w:rsidRPr="003B0717">
        <w:rPr>
          <w:sz w:val="22"/>
          <w:szCs w:val="22"/>
        </w:rPr>
        <w:t xml:space="preserve"> </w:t>
      </w:r>
      <w:r w:rsidRPr="003B0717" w:rsidR="00592022">
        <w:rPr>
          <w:sz w:val="22"/>
          <w:szCs w:val="22"/>
        </w:rPr>
        <w:t>allege</w:t>
      </w:r>
      <w:r w:rsidRPr="003B0717" w:rsidR="006A12B4">
        <w:rPr>
          <w:sz w:val="22"/>
          <w:szCs w:val="22"/>
        </w:rPr>
        <w:t>s</w:t>
      </w:r>
      <w:r w:rsidRPr="003B0717">
        <w:rPr>
          <w:sz w:val="22"/>
          <w:szCs w:val="22"/>
        </w:rPr>
        <w:t xml:space="preserve"> listeners</w:t>
      </w:r>
      <w:r w:rsidRPr="003B0717" w:rsidR="00373B17">
        <w:rPr>
          <w:sz w:val="22"/>
          <w:szCs w:val="22"/>
        </w:rPr>
        <w:t xml:space="preserve"> </w:t>
      </w:r>
      <w:r w:rsidRPr="003B0717" w:rsidR="00592022">
        <w:rPr>
          <w:sz w:val="22"/>
          <w:szCs w:val="22"/>
        </w:rPr>
        <w:t xml:space="preserve">within </w:t>
      </w:r>
      <w:r w:rsidRPr="003B0717" w:rsidR="004457EB">
        <w:rPr>
          <w:sz w:val="22"/>
          <w:szCs w:val="22"/>
        </w:rPr>
        <w:t>WTHJ</w:t>
      </w:r>
      <w:r w:rsidRPr="003B0717" w:rsidR="00592022">
        <w:rPr>
          <w:sz w:val="22"/>
          <w:szCs w:val="22"/>
        </w:rPr>
        <w:t xml:space="preserve">(FM)’s 45 dBµ contour </w:t>
      </w:r>
      <w:r w:rsidRPr="003B0717" w:rsidR="00373B17">
        <w:rPr>
          <w:sz w:val="22"/>
          <w:szCs w:val="22"/>
        </w:rPr>
        <w:t xml:space="preserve">would </w:t>
      </w:r>
      <w:r w:rsidRPr="003B0717" w:rsidR="007A0E9D">
        <w:rPr>
          <w:sz w:val="22"/>
          <w:szCs w:val="22"/>
        </w:rPr>
        <w:t>experience</w:t>
      </w:r>
      <w:r w:rsidRPr="003B0717" w:rsidR="00373B17">
        <w:rPr>
          <w:sz w:val="22"/>
          <w:szCs w:val="22"/>
        </w:rPr>
        <w:t xml:space="preserve"> interfe</w:t>
      </w:r>
      <w:r w:rsidRPr="003B0717" w:rsidR="007A0E9D">
        <w:rPr>
          <w:sz w:val="22"/>
          <w:szCs w:val="22"/>
        </w:rPr>
        <w:t xml:space="preserve">rence from the facilities proposed in the </w:t>
      </w:r>
      <w:r w:rsidRPr="003B0717" w:rsidR="00592022">
        <w:rPr>
          <w:sz w:val="22"/>
          <w:szCs w:val="22"/>
        </w:rPr>
        <w:t>curative amendment</w:t>
      </w:r>
      <w:r w:rsidRPr="003B0717" w:rsidR="007A0E9D">
        <w:rPr>
          <w:sz w:val="22"/>
          <w:szCs w:val="22"/>
        </w:rPr>
        <w:t>.</w:t>
      </w:r>
      <w:r>
        <w:rPr>
          <w:rStyle w:val="FootnoteReference"/>
          <w:sz w:val="22"/>
          <w:szCs w:val="22"/>
        </w:rPr>
        <w:footnoteReference w:id="17"/>
      </w:r>
      <w:r w:rsidRPr="003B0717" w:rsidR="007A0E9D">
        <w:rPr>
          <w:sz w:val="22"/>
          <w:szCs w:val="22"/>
        </w:rPr>
        <w:t xml:space="preserve">  </w:t>
      </w:r>
      <w:r w:rsidRPr="003B0717" w:rsidR="00FC137E">
        <w:rPr>
          <w:sz w:val="22"/>
          <w:szCs w:val="22"/>
        </w:rPr>
        <w:t xml:space="preserve">Press characterizes the </w:t>
      </w:r>
      <w:r w:rsidRPr="003B0717" w:rsidR="00F029A2">
        <w:rPr>
          <w:sz w:val="22"/>
          <w:szCs w:val="22"/>
        </w:rPr>
        <w:t xml:space="preserve">curative </w:t>
      </w:r>
      <w:r w:rsidRPr="003B0717" w:rsidR="00FC137E">
        <w:rPr>
          <w:sz w:val="22"/>
          <w:szCs w:val="22"/>
        </w:rPr>
        <w:t xml:space="preserve">amendment </w:t>
      </w:r>
      <w:r w:rsidR="00092603">
        <w:rPr>
          <w:sz w:val="22"/>
          <w:szCs w:val="22"/>
        </w:rPr>
        <w:t xml:space="preserve">that accompanied the Petition </w:t>
      </w:r>
      <w:r w:rsidRPr="003B0717" w:rsidR="00FC137E">
        <w:rPr>
          <w:sz w:val="22"/>
          <w:szCs w:val="22"/>
        </w:rPr>
        <w:t xml:space="preserve">as </w:t>
      </w:r>
      <w:r w:rsidRPr="003B0717" w:rsidR="0051799E">
        <w:rPr>
          <w:sz w:val="22"/>
          <w:szCs w:val="22"/>
        </w:rPr>
        <w:t>the one bit</w:t>
      </w:r>
      <w:r w:rsidRPr="003B0717" w:rsidR="00F029A2">
        <w:rPr>
          <w:sz w:val="22"/>
          <w:szCs w:val="22"/>
        </w:rPr>
        <w:t>e</w:t>
      </w:r>
      <w:r w:rsidRPr="003B0717" w:rsidR="0051799E">
        <w:rPr>
          <w:sz w:val="22"/>
          <w:szCs w:val="22"/>
        </w:rPr>
        <w:t xml:space="preserve"> </w:t>
      </w:r>
      <w:r w:rsidR="006C16AA">
        <w:rPr>
          <w:sz w:val="22"/>
          <w:szCs w:val="22"/>
        </w:rPr>
        <w:t>at</w:t>
      </w:r>
      <w:r w:rsidRPr="003B0717" w:rsidR="0051799E">
        <w:rPr>
          <w:sz w:val="22"/>
          <w:szCs w:val="22"/>
        </w:rPr>
        <w:t xml:space="preserve"> the apple that Clear </w:t>
      </w:r>
      <w:r w:rsidRPr="003B0717" w:rsidR="00F029A2">
        <w:rPr>
          <w:sz w:val="22"/>
          <w:szCs w:val="22"/>
        </w:rPr>
        <w:t>claims</w:t>
      </w:r>
      <w:r w:rsidRPr="003B0717" w:rsidR="0051799E">
        <w:rPr>
          <w:sz w:val="22"/>
          <w:szCs w:val="22"/>
        </w:rPr>
        <w:t xml:space="preserve"> it </w:t>
      </w:r>
      <w:r w:rsidRPr="003B0717" w:rsidR="00F029A2">
        <w:rPr>
          <w:sz w:val="22"/>
          <w:szCs w:val="22"/>
        </w:rPr>
        <w:t>is</w:t>
      </w:r>
      <w:r w:rsidRPr="003B0717" w:rsidR="0051799E">
        <w:rPr>
          <w:sz w:val="22"/>
          <w:szCs w:val="22"/>
        </w:rPr>
        <w:t xml:space="preserve"> allowed under the </w:t>
      </w:r>
      <w:r w:rsidRPr="003B0717" w:rsidR="004371CE">
        <w:rPr>
          <w:i/>
          <w:iCs/>
          <w:sz w:val="22"/>
          <w:szCs w:val="22"/>
        </w:rPr>
        <w:t>N</w:t>
      </w:r>
      <w:r w:rsidRPr="003B0717" w:rsidR="0051799E">
        <w:rPr>
          <w:i/>
          <w:iCs/>
          <w:sz w:val="22"/>
          <w:szCs w:val="22"/>
        </w:rPr>
        <w:t xml:space="preserve">unc </w:t>
      </w:r>
      <w:r w:rsidRPr="003B0717" w:rsidR="004371CE">
        <w:rPr>
          <w:i/>
          <w:iCs/>
          <w:sz w:val="22"/>
          <w:szCs w:val="22"/>
        </w:rPr>
        <w:t>P</w:t>
      </w:r>
      <w:r w:rsidRPr="003B0717" w:rsidR="0051799E">
        <w:rPr>
          <w:i/>
          <w:iCs/>
          <w:sz w:val="22"/>
          <w:szCs w:val="22"/>
        </w:rPr>
        <w:t xml:space="preserve">ro </w:t>
      </w:r>
      <w:r w:rsidRPr="003B0717" w:rsidR="004371CE">
        <w:rPr>
          <w:i/>
          <w:iCs/>
          <w:sz w:val="22"/>
          <w:szCs w:val="22"/>
        </w:rPr>
        <w:t>T</w:t>
      </w:r>
      <w:r w:rsidRPr="003B0717" w:rsidR="0051799E">
        <w:rPr>
          <w:i/>
          <w:iCs/>
          <w:sz w:val="22"/>
          <w:szCs w:val="22"/>
        </w:rPr>
        <w:t>unc</w:t>
      </w:r>
      <w:r w:rsidRPr="003B0717" w:rsidR="0051799E">
        <w:rPr>
          <w:sz w:val="22"/>
          <w:szCs w:val="22"/>
        </w:rPr>
        <w:t xml:space="preserve"> </w:t>
      </w:r>
      <w:r w:rsidRPr="00A85C3A" w:rsidR="00807193">
        <w:rPr>
          <w:i/>
          <w:iCs/>
          <w:sz w:val="22"/>
          <w:szCs w:val="22"/>
        </w:rPr>
        <w:t>P</w:t>
      </w:r>
      <w:r w:rsidRPr="00A85C3A" w:rsidR="0051799E">
        <w:rPr>
          <w:i/>
          <w:iCs/>
          <w:sz w:val="22"/>
          <w:szCs w:val="22"/>
        </w:rPr>
        <w:t>olicy</w:t>
      </w:r>
      <w:r w:rsidRPr="003B0717" w:rsidR="0051799E">
        <w:rPr>
          <w:sz w:val="22"/>
          <w:szCs w:val="22"/>
        </w:rPr>
        <w:t>.</w:t>
      </w:r>
      <w:r>
        <w:rPr>
          <w:rStyle w:val="FootnoteReference"/>
          <w:sz w:val="22"/>
          <w:szCs w:val="22"/>
        </w:rPr>
        <w:footnoteReference w:id="18"/>
      </w:r>
      <w:r w:rsidRPr="003B0717" w:rsidR="0051799E">
        <w:rPr>
          <w:sz w:val="22"/>
          <w:szCs w:val="22"/>
        </w:rPr>
        <w:t xml:space="preserve">  </w:t>
      </w:r>
      <w:r w:rsidRPr="003B0717" w:rsidR="000304BB">
        <w:rPr>
          <w:sz w:val="22"/>
          <w:szCs w:val="22"/>
        </w:rPr>
        <w:t>Press argues that</w:t>
      </w:r>
      <w:r w:rsidR="006C16AA">
        <w:rPr>
          <w:sz w:val="22"/>
          <w:szCs w:val="22"/>
        </w:rPr>
        <w:t xml:space="preserve"> we</w:t>
      </w:r>
      <w:r w:rsidRPr="003B0717" w:rsidR="00D043FF">
        <w:rPr>
          <w:sz w:val="22"/>
          <w:szCs w:val="22"/>
        </w:rPr>
        <w:t xml:space="preserve"> must deny reconsideration</w:t>
      </w:r>
      <w:r w:rsidR="006C16AA">
        <w:rPr>
          <w:sz w:val="22"/>
          <w:szCs w:val="22"/>
        </w:rPr>
        <w:t xml:space="preserve"> </w:t>
      </w:r>
      <w:r w:rsidRPr="003B0717" w:rsidR="006C16AA">
        <w:rPr>
          <w:sz w:val="22"/>
          <w:szCs w:val="22"/>
        </w:rPr>
        <w:t>because the amendment is unacceptable under section 74.1204(f)</w:t>
      </w:r>
      <w:r w:rsidRPr="003B0717" w:rsidR="00D043FF">
        <w:rPr>
          <w:sz w:val="22"/>
          <w:szCs w:val="22"/>
        </w:rPr>
        <w:t>.</w:t>
      </w:r>
      <w:r>
        <w:rPr>
          <w:rStyle w:val="FootnoteReference"/>
          <w:sz w:val="22"/>
          <w:szCs w:val="22"/>
        </w:rPr>
        <w:footnoteReference w:id="19"/>
      </w:r>
      <w:r w:rsidRPr="003B0717" w:rsidR="00AA2DD8">
        <w:rPr>
          <w:sz w:val="22"/>
          <w:szCs w:val="22"/>
        </w:rPr>
        <w:t xml:space="preserve">  </w:t>
      </w:r>
    </w:p>
    <w:p w:rsidR="001B5F75" w:rsidRPr="003B0717" w:rsidP="0060098A" w14:paraId="177B8B78" w14:textId="79A2478B">
      <w:pPr>
        <w:rPr>
          <w:sz w:val="22"/>
          <w:szCs w:val="22"/>
        </w:rPr>
      </w:pPr>
    </w:p>
    <w:p w:rsidR="001B5F75" w:rsidRPr="003B0717" w:rsidP="0060098A" w14:paraId="619F8E3D" w14:textId="52BA1772">
      <w:pPr>
        <w:rPr>
          <w:sz w:val="22"/>
          <w:szCs w:val="22"/>
        </w:rPr>
      </w:pPr>
      <w:r w:rsidRPr="003B0717">
        <w:rPr>
          <w:sz w:val="22"/>
          <w:szCs w:val="22"/>
        </w:rPr>
        <w:t xml:space="preserve">In response, Clear </w:t>
      </w:r>
      <w:r w:rsidRPr="000539CA">
        <w:rPr>
          <w:sz w:val="22"/>
          <w:szCs w:val="22"/>
        </w:rPr>
        <w:t>filed</w:t>
      </w:r>
      <w:r w:rsidRPr="000539CA" w:rsidR="00230F1B">
        <w:rPr>
          <w:sz w:val="22"/>
          <w:szCs w:val="22"/>
        </w:rPr>
        <w:t xml:space="preserve"> </w:t>
      </w:r>
      <w:r w:rsidRPr="000539CA" w:rsidR="000539CA">
        <w:rPr>
          <w:sz w:val="22"/>
          <w:szCs w:val="22"/>
        </w:rPr>
        <w:t xml:space="preserve">a Supplement and Amendment to Petition for Reconsideration and Reinstatement </w:t>
      </w:r>
      <w:r w:rsidRPr="000539CA" w:rsidR="000539CA">
        <w:rPr>
          <w:i/>
          <w:iCs/>
          <w:sz w:val="22"/>
          <w:szCs w:val="22"/>
        </w:rPr>
        <w:t xml:space="preserve">Nunc Pro </w:t>
      </w:r>
      <w:r w:rsidRPr="000539CA" w:rsidR="000539CA">
        <w:rPr>
          <w:i/>
          <w:iCs/>
          <w:sz w:val="22"/>
          <w:szCs w:val="22"/>
        </w:rPr>
        <w:t>Tunc</w:t>
      </w:r>
      <w:r w:rsidRPr="000539CA" w:rsidR="000539CA">
        <w:rPr>
          <w:sz w:val="22"/>
          <w:szCs w:val="22"/>
        </w:rPr>
        <w:t xml:space="preserve"> (</w:t>
      </w:r>
      <w:r w:rsidRPr="00DB5B27" w:rsidR="00230F1B">
        <w:rPr>
          <w:sz w:val="22"/>
          <w:szCs w:val="22"/>
        </w:rPr>
        <w:t>Supplement</w:t>
      </w:r>
      <w:r w:rsidRPr="000539CA" w:rsidR="000539CA">
        <w:rPr>
          <w:sz w:val="22"/>
          <w:szCs w:val="22"/>
        </w:rPr>
        <w:t>)</w:t>
      </w:r>
      <w:r w:rsidRPr="000539CA" w:rsidR="002150A0">
        <w:rPr>
          <w:sz w:val="22"/>
          <w:szCs w:val="22"/>
        </w:rPr>
        <w:t xml:space="preserve">, </w:t>
      </w:r>
      <w:r w:rsidRPr="000539CA" w:rsidR="00640CC0">
        <w:rPr>
          <w:sz w:val="22"/>
          <w:szCs w:val="22"/>
        </w:rPr>
        <w:t>an</w:t>
      </w:r>
      <w:r w:rsidRPr="003B0717" w:rsidR="002150A0">
        <w:rPr>
          <w:sz w:val="22"/>
          <w:szCs w:val="22"/>
        </w:rPr>
        <w:t xml:space="preserve"> amendment to the curative amendment,</w:t>
      </w:r>
      <w:r w:rsidRPr="003B0717" w:rsidR="00230F1B">
        <w:rPr>
          <w:sz w:val="22"/>
          <w:szCs w:val="22"/>
        </w:rPr>
        <w:t xml:space="preserve"> and the Motion</w:t>
      </w:r>
      <w:r w:rsidRPr="003B0717" w:rsidR="003F2415">
        <w:rPr>
          <w:sz w:val="22"/>
          <w:szCs w:val="22"/>
        </w:rPr>
        <w:t xml:space="preserve">.  </w:t>
      </w:r>
      <w:r w:rsidRPr="003B0717" w:rsidR="00FE0618">
        <w:rPr>
          <w:sz w:val="22"/>
          <w:szCs w:val="22"/>
        </w:rPr>
        <w:t xml:space="preserve">Clear </w:t>
      </w:r>
      <w:r w:rsidRPr="003B0717" w:rsidR="00F5452E">
        <w:rPr>
          <w:sz w:val="22"/>
          <w:szCs w:val="22"/>
        </w:rPr>
        <w:t xml:space="preserve">argues that we should </w:t>
      </w:r>
      <w:r w:rsidRPr="003B0717" w:rsidR="005A2E94">
        <w:rPr>
          <w:sz w:val="22"/>
          <w:szCs w:val="22"/>
        </w:rPr>
        <w:t>grant it leave to file the</w:t>
      </w:r>
      <w:r w:rsidRPr="003B0717" w:rsidR="00F5452E">
        <w:rPr>
          <w:sz w:val="22"/>
          <w:szCs w:val="22"/>
        </w:rPr>
        <w:t xml:space="preserve"> </w:t>
      </w:r>
      <w:r w:rsidRPr="003B0717" w:rsidR="005A2E94">
        <w:rPr>
          <w:sz w:val="22"/>
          <w:szCs w:val="22"/>
        </w:rPr>
        <w:t>Supplement</w:t>
      </w:r>
      <w:r w:rsidRPr="003B0717" w:rsidR="00F5452E">
        <w:rPr>
          <w:sz w:val="22"/>
          <w:szCs w:val="22"/>
        </w:rPr>
        <w:t xml:space="preserve"> </w:t>
      </w:r>
      <w:r w:rsidRPr="003B0717" w:rsidR="00D41F76">
        <w:rPr>
          <w:sz w:val="22"/>
          <w:szCs w:val="22"/>
        </w:rPr>
        <w:t xml:space="preserve">and amend </w:t>
      </w:r>
      <w:r w:rsidRPr="003B0717" w:rsidR="005A2E94">
        <w:rPr>
          <w:sz w:val="22"/>
          <w:szCs w:val="22"/>
        </w:rPr>
        <w:t>the curative amendment</w:t>
      </w:r>
      <w:r w:rsidRPr="003B0717" w:rsidR="00D41F76">
        <w:rPr>
          <w:sz w:val="22"/>
          <w:szCs w:val="22"/>
        </w:rPr>
        <w:t xml:space="preserve"> </w:t>
      </w:r>
      <w:r w:rsidRPr="003B0717" w:rsidR="005A2E94">
        <w:rPr>
          <w:sz w:val="22"/>
          <w:szCs w:val="22"/>
        </w:rPr>
        <w:t>because Press submitted</w:t>
      </w:r>
      <w:r w:rsidRPr="003B0717" w:rsidR="00E1267A">
        <w:rPr>
          <w:sz w:val="22"/>
          <w:szCs w:val="22"/>
        </w:rPr>
        <w:t xml:space="preserve"> </w:t>
      </w:r>
      <w:r w:rsidRPr="003B0717" w:rsidR="001D61F8">
        <w:rPr>
          <w:sz w:val="22"/>
          <w:szCs w:val="22"/>
        </w:rPr>
        <w:t xml:space="preserve">new evidence of </w:t>
      </w:r>
      <w:r w:rsidRPr="003B0717" w:rsidR="005A2E94">
        <w:rPr>
          <w:sz w:val="22"/>
          <w:szCs w:val="22"/>
        </w:rPr>
        <w:t xml:space="preserve">predicted interference to </w:t>
      </w:r>
      <w:r w:rsidRPr="003B0717" w:rsidR="001D61F8">
        <w:rPr>
          <w:sz w:val="22"/>
          <w:szCs w:val="22"/>
        </w:rPr>
        <w:t>additional listeners.</w:t>
      </w:r>
      <w:r>
        <w:rPr>
          <w:rStyle w:val="FootnoteReference"/>
          <w:sz w:val="22"/>
          <w:szCs w:val="22"/>
        </w:rPr>
        <w:footnoteReference w:id="20"/>
      </w:r>
      <w:r w:rsidRPr="003B0717" w:rsidR="001D61F8">
        <w:rPr>
          <w:sz w:val="22"/>
          <w:szCs w:val="22"/>
        </w:rPr>
        <w:t xml:space="preserve">  </w:t>
      </w:r>
      <w:r w:rsidRPr="003B0717" w:rsidR="005B492E">
        <w:rPr>
          <w:sz w:val="22"/>
          <w:szCs w:val="22"/>
        </w:rPr>
        <w:t xml:space="preserve">Clear states that it was not aware of </w:t>
      </w:r>
      <w:r w:rsidRPr="003B0717" w:rsidR="002C7E1B">
        <w:rPr>
          <w:sz w:val="22"/>
          <w:szCs w:val="22"/>
        </w:rPr>
        <w:t xml:space="preserve">those listeners </w:t>
      </w:r>
      <w:r w:rsidRPr="00F93324" w:rsidR="002C7E1B">
        <w:rPr>
          <w:sz w:val="22"/>
          <w:szCs w:val="22"/>
        </w:rPr>
        <w:t>when it “redesigned its proposal to protect the previously identified listeners.”</w:t>
      </w:r>
      <w:r>
        <w:rPr>
          <w:rStyle w:val="FootnoteReference"/>
          <w:sz w:val="22"/>
          <w:szCs w:val="22"/>
        </w:rPr>
        <w:footnoteReference w:id="21"/>
      </w:r>
      <w:r w:rsidRPr="00F93324" w:rsidR="002C7E1B">
        <w:rPr>
          <w:sz w:val="22"/>
          <w:szCs w:val="22"/>
        </w:rPr>
        <w:t xml:space="preserve">  </w:t>
      </w:r>
      <w:r w:rsidRPr="00F93324" w:rsidR="00EA4222">
        <w:rPr>
          <w:sz w:val="22"/>
          <w:szCs w:val="22"/>
        </w:rPr>
        <w:t xml:space="preserve">Clear argues that </w:t>
      </w:r>
      <w:r w:rsidRPr="00F93324" w:rsidR="005A2E94">
        <w:rPr>
          <w:sz w:val="22"/>
          <w:szCs w:val="22"/>
        </w:rPr>
        <w:t>the</w:t>
      </w:r>
      <w:r w:rsidRPr="00F93324" w:rsidR="00EA4222">
        <w:rPr>
          <w:sz w:val="22"/>
          <w:szCs w:val="22"/>
        </w:rPr>
        <w:t xml:space="preserve"> amendment to the</w:t>
      </w:r>
      <w:r w:rsidRPr="00F93324" w:rsidR="005A2E94">
        <w:rPr>
          <w:sz w:val="22"/>
          <w:szCs w:val="22"/>
        </w:rPr>
        <w:t xml:space="preserve"> curative</w:t>
      </w:r>
      <w:r w:rsidRPr="00F93324" w:rsidR="00EA4222">
        <w:rPr>
          <w:sz w:val="22"/>
          <w:szCs w:val="22"/>
        </w:rPr>
        <w:t xml:space="preserve"> amendment is permitted under the </w:t>
      </w:r>
      <w:r w:rsidRPr="00F93324" w:rsidR="00402F2A">
        <w:rPr>
          <w:i/>
          <w:iCs/>
          <w:sz w:val="22"/>
          <w:szCs w:val="22"/>
        </w:rPr>
        <w:t>N</w:t>
      </w:r>
      <w:r w:rsidRPr="00F93324" w:rsidR="00EA4222">
        <w:rPr>
          <w:i/>
          <w:iCs/>
          <w:sz w:val="22"/>
          <w:szCs w:val="22"/>
        </w:rPr>
        <w:t xml:space="preserve">unc </w:t>
      </w:r>
      <w:r w:rsidRPr="00F93324" w:rsidR="00402F2A">
        <w:rPr>
          <w:i/>
          <w:iCs/>
          <w:sz w:val="22"/>
          <w:szCs w:val="22"/>
        </w:rPr>
        <w:t>P</w:t>
      </w:r>
      <w:r w:rsidRPr="00F93324" w:rsidR="00EA4222">
        <w:rPr>
          <w:i/>
          <w:iCs/>
          <w:sz w:val="22"/>
          <w:szCs w:val="22"/>
        </w:rPr>
        <w:t xml:space="preserve">ro </w:t>
      </w:r>
      <w:r w:rsidRPr="00F93324" w:rsidR="00402F2A">
        <w:rPr>
          <w:i/>
          <w:iCs/>
          <w:sz w:val="22"/>
          <w:szCs w:val="22"/>
        </w:rPr>
        <w:t>T</w:t>
      </w:r>
      <w:r w:rsidRPr="00F93324" w:rsidR="00EA4222">
        <w:rPr>
          <w:i/>
          <w:iCs/>
          <w:sz w:val="22"/>
          <w:szCs w:val="22"/>
        </w:rPr>
        <w:t>unc</w:t>
      </w:r>
      <w:r w:rsidRPr="00F93324" w:rsidR="00EA4222">
        <w:rPr>
          <w:sz w:val="22"/>
          <w:szCs w:val="22"/>
        </w:rPr>
        <w:t xml:space="preserve"> </w:t>
      </w:r>
      <w:r w:rsidRPr="00A85C3A" w:rsidR="00807193">
        <w:rPr>
          <w:i/>
          <w:iCs/>
          <w:sz w:val="22"/>
          <w:szCs w:val="22"/>
        </w:rPr>
        <w:t>P</w:t>
      </w:r>
      <w:r w:rsidRPr="00A85C3A" w:rsidR="00EA4222">
        <w:rPr>
          <w:i/>
          <w:iCs/>
          <w:sz w:val="22"/>
          <w:szCs w:val="22"/>
        </w:rPr>
        <w:t>olicy</w:t>
      </w:r>
      <w:r w:rsidRPr="00F93324" w:rsidR="00900B26">
        <w:rPr>
          <w:sz w:val="22"/>
          <w:szCs w:val="22"/>
        </w:rPr>
        <w:t xml:space="preserve"> because </w:t>
      </w:r>
      <w:r w:rsidRPr="00F93324" w:rsidR="005A2E94">
        <w:rPr>
          <w:sz w:val="22"/>
          <w:szCs w:val="22"/>
        </w:rPr>
        <w:t>the</w:t>
      </w:r>
      <w:r w:rsidRPr="00F93324" w:rsidR="00900B26">
        <w:rPr>
          <w:sz w:val="22"/>
          <w:szCs w:val="22"/>
        </w:rPr>
        <w:t xml:space="preserve"> Petition remains pending, and the Application has been dismissed only once.</w:t>
      </w:r>
      <w:r>
        <w:rPr>
          <w:rStyle w:val="FootnoteReference"/>
          <w:sz w:val="22"/>
          <w:szCs w:val="22"/>
        </w:rPr>
        <w:footnoteReference w:id="22"/>
      </w:r>
      <w:r w:rsidRPr="00F93324" w:rsidR="00900B26">
        <w:rPr>
          <w:sz w:val="22"/>
          <w:szCs w:val="22"/>
        </w:rPr>
        <w:t xml:space="preserve">  </w:t>
      </w:r>
      <w:r w:rsidRPr="00F93324" w:rsidR="003C2EDB">
        <w:rPr>
          <w:sz w:val="22"/>
          <w:szCs w:val="22"/>
        </w:rPr>
        <w:t xml:space="preserve">Clear notes that, given the limited nature of the </w:t>
      </w:r>
      <w:r w:rsidRPr="00F93324" w:rsidR="005A2E94">
        <w:rPr>
          <w:sz w:val="22"/>
          <w:szCs w:val="22"/>
        </w:rPr>
        <w:t>cross-service FM translator</w:t>
      </w:r>
      <w:r w:rsidRPr="00F93324" w:rsidR="003C2EDB">
        <w:rPr>
          <w:sz w:val="22"/>
          <w:szCs w:val="22"/>
        </w:rPr>
        <w:t xml:space="preserve"> filing window</w:t>
      </w:r>
      <w:r w:rsidRPr="00F93324" w:rsidR="002F302E">
        <w:rPr>
          <w:sz w:val="22"/>
          <w:szCs w:val="22"/>
        </w:rPr>
        <w:t>s</w:t>
      </w:r>
      <w:r w:rsidRPr="00F93324" w:rsidR="003C2EDB">
        <w:rPr>
          <w:sz w:val="22"/>
          <w:szCs w:val="22"/>
        </w:rPr>
        <w:t xml:space="preserve">, it would be precluded </w:t>
      </w:r>
      <w:r w:rsidRPr="00F93324" w:rsidR="003C2EDB">
        <w:rPr>
          <w:sz w:val="22"/>
          <w:szCs w:val="22"/>
        </w:rPr>
        <w:t>from</w:t>
      </w:r>
      <w:r w:rsidRPr="00F93324" w:rsidR="00DC5EA2">
        <w:rPr>
          <w:sz w:val="22"/>
          <w:szCs w:val="22"/>
        </w:rPr>
        <w:t xml:space="preserve"> “an opportunity to obtain a fill-in AM translator absent reinstatement and the ability to amend” the amendment.</w:t>
      </w:r>
      <w:r>
        <w:rPr>
          <w:rStyle w:val="FootnoteReference"/>
          <w:sz w:val="22"/>
          <w:szCs w:val="22"/>
        </w:rPr>
        <w:footnoteReference w:id="23"/>
      </w:r>
      <w:r w:rsidRPr="003B0717" w:rsidR="00DC5EA2">
        <w:rPr>
          <w:sz w:val="22"/>
          <w:szCs w:val="22"/>
        </w:rPr>
        <w:t xml:space="preserve">  </w:t>
      </w:r>
    </w:p>
    <w:p w:rsidR="0049234F" w:rsidRPr="003B0717" w:rsidP="0060098A" w14:paraId="21A847F0" w14:textId="4FDC809A">
      <w:pPr>
        <w:rPr>
          <w:sz w:val="22"/>
          <w:szCs w:val="22"/>
        </w:rPr>
      </w:pPr>
    </w:p>
    <w:p w:rsidR="008A15D8" w:rsidRPr="003B0717" w:rsidP="00203439" w14:paraId="4663DAAB" w14:textId="41000178">
      <w:pPr>
        <w:rPr>
          <w:sz w:val="22"/>
          <w:szCs w:val="22"/>
        </w:rPr>
      </w:pPr>
      <w:r w:rsidRPr="003B0717">
        <w:rPr>
          <w:b/>
          <w:bCs/>
          <w:sz w:val="22"/>
          <w:szCs w:val="22"/>
        </w:rPr>
        <w:t>Discussion.</w:t>
      </w:r>
      <w:r w:rsidRPr="003B0717" w:rsidR="00915C54">
        <w:rPr>
          <w:b/>
          <w:bCs/>
          <w:sz w:val="22"/>
          <w:szCs w:val="22"/>
        </w:rPr>
        <w:t xml:space="preserve">  </w:t>
      </w:r>
      <w:r w:rsidRPr="003B0717" w:rsidR="00915C54">
        <w:rPr>
          <w:i/>
          <w:iCs/>
          <w:sz w:val="22"/>
          <w:szCs w:val="22"/>
        </w:rPr>
        <w:t xml:space="preserve">Procedural Issues.  </w:t>
      </w:r>
      <w:r w:rsidRPr="003B0717" w:rsidR="00C22F57">
        <w:rPr>
          <w:sz w:val="22"/>
          <w:szCs w:val="22"/>
        </w:rPr>
        <w:t xml:space="preserve">Under </w:t>
      </w:r>
      <w:r w:rsidRPr="003B0717" w:rsidR="002A0E04">
        <w:rPr>
          <w:sz w:val="22"/>
          <w:szCs w:val="22"/>
        </w:rPr>
        <w:t xml:space="preserve">Section 1.106(f) of the </w:t>
      </w:r>
      <w:r w:rsidRPr="003B0717" w:rsidR="00DF0439">
        <w:rPr>
          <w:sz w:val="22"/>
          <w:szCs w:val="22"/>
        </w:rPr>
        <w:t>Rules</w:t>
      </w:r>
      <w:r w:rsidRPr="003B0717" w:rsidR="00C22F57">
        <w:rPr>
          <w:sz w:val="22"/>
          <w:szCs w:val="22"/>
        </w:rPr>
        <w:t xml:space="preserve">, </w:t>
      </w:r>
      <w:r w:rsidRPr="003B0717" w:rsidR="002A0E04">
        <w:rPr>
          <w:sz w:val="22"/>
          <w:szCs w:val="22"/>
        </w:rPr>
        <w:t>petition</w:t>
      </w:r>
      <w:r w:rsidRPr="003B0717" w:rsidR="00A51883">
        <w:rPr>
          <w:sz w:val="22"/>
          <w:szCs w:val="22"/>
        </w:rPr>
        <w:t>s</w:t>
      </w:r>
      <w:r w:rsidRPr="003B0717">
        <w:rPr>
          <w:sz w:val="22"/>
          <w:szCs w:val="22"/>
        </w:rPr>
        <w:t xml:space="preserve"> </w:t>
      </w:r>
      <w:r w:rsidRPr="003B0717" w:rsidR="002A0E04">
        <w:rPr>
          <w:sz w:val="22"/>
          <w:szCs w:val="22"/>
        </w:rPr>
        <w:t>for reconsideration</w:t>
      </w:r>
      <w:r w:rsidRPr="003B0717" w:rsidR="00A51883">
        <w:rPr>
          <w:sz w:val="22"/>
          <w:szCs w:val="22"/>
        </w:rPr>
        <w:t xml:space="preserve"> </w:t>
      </w:r>
      <w:r w:rsidRPr="003B0717" w:rsidR="00925E75">
        <w:rPr>
          <w:sz w:val="22"/>
          <w:szCs w:val="22"/>
        </w:rPr>
        <w:t xml:space="preserve">of the </w:t>
      </w:r>
      <w:r w:rsidRPr="003B0717" w:rsidR="00925E75">
        <w:rPr>
          <w:i/>
          <w:iCs/>
          <w:sz w:val="22"/>
          <w:szCs w:val="22"/>
        </w:rPr>
        <w:t>Letter Order</w:t>
      </w:r>
      <w:r w:rsidRPr="003B0717" w:rsidR="00925E75">
        <w:rPr>
          <w:sz w:val="22"/>
          <w:szCs w:val="22"/>
        </w:rPr>
        <w:t xml:space="preserve"> </w:t>
      </w:r>
      <w:r w:rsidRPr="003B0717" w:rsidR="00A51883">
        <w:rPr>
          <w:sz w:val="22"/>
          <w:szCs w:val="22"/>
        </w:rPr>
        <w:t>and any supplements thereto</w:t>
      </w:r>
      <w:r w:rsidRPr="003B0717" w:rsidR="00925E75">
        <w:rPr>
          <w:sz w:val="22"/>
          <w:szCs w:val="22"/>
        </w:rPr>
        <w:t xml:space="preserve"> </w:t>
      </w:r>
      <w:r w:rsidRPr="003B0717" w:rsidR="00C22F57">
        <w:rPr>
          <w:sz w:val="22"/>
          <w:szCs w:val="22"/>
        </w:rPr>
        <w:t>were required to be</w:t>
      </w:r>
      <w:r w:rsidRPr="003B0717" w:rsidR="00925E75">
        <w:rPr>
          <w:sz w:val="22"/>
          <w:szCs w:val="22"/>
        </w:rPr>
        <w:t xml:space="preserve"> filed </w:t>
      </w:r>
      <w:r w:rsidRPr="003B0717" w:rsidR="002A0E04">
        <w:rPr>
          <w:sz w:val="22"/>
          <w:szCs w:val="22"/>
        </w:rPr>
        <w:t xml:space="preserve">within 30 days of public notice of </w:t>
      </w:r>
      <w:r w:rsidRPr="003B0717">
        <w:rPr>
          <w:sz w:val="22"/>
          <w:szCs w:val="22"/>
        </w:rPr>
        <w:t xml:space="preserve">the </w:t>
      </w:r>
      <w:r w:rsidRPr="003B0717" w:rsidR="00925E75">
        <w:rPr>
          <w:sz w:val="22"/>
          <w:szCs w:val="22"/>
        </w:rPr>
        <w:t>actions taken therein</w:t>
      </w:r>
      <w:r w:rsidRPr="003B0717" w:rsidR="002A0E04">
        <w:rPr>
          <w:sz w:val="22"/>
          <w:szCs w:val="22"/>
        </w:rPr>
        <w:t>.</w:t>
      </w:r>
      <w:r>
        <w:rPr>
          <w:rStyle w:val="FootnoteReference"/>
          <w:sz w:val="22"/>
          <w:szCs w:val="22"/>
        </w:rPr>
        <w:footnoteReference w:id="24"/>
      </w:r>
      <w:r w:rsidRPr="003B0717" w:rsidR="002A0E04">
        <w:rPr>
          <w:sz w:val="22"/>
          <w:szCs w:val="22"/>
        </w:rPr>
        <w:t xml:space="preserve">  </w:t>
      </w:r>
      <w:r w:rsidRPr="003B0717" w:rsidR="00602BEE">
        <w:rPr>
          <w:sz w:val="22"/>
          <w:szCs w:val="22"/>
        </w:rPr>
        <w:t>Clear timely filed the Petition.  However, the Supplement was filed a</w:t>
      </w:r>
      <w:r w:rsidRPr="003B0717" w:rsidR="00DB0F38">
        <w:rPr>
          <w:sz w:val="22"/>
          <w:szCs w:val="22"/>
        </w:rPr>
        <w:t xml:space="preserve">fter the 30-day deadline had passed.  Accordingly, Clear </w:t>
      </w:r>
      <w:r w:rsidRPr="003B0717" w:rsidR="00832415">
        <w:rPr>
          <w:sz w:val="22"/>
          <w:szCs w:val="22"/>
        </w:rPr>
        <w:t xml:space="preserve">separately </w:t>
      </w:r>
      <w:r w:rsidRPr="003B0717" w:rsidR="00DB0F38">
        <w:rPr>
          <w:sz w:val="22"/>
          <w:szCs w:val="22"/>
        </w:rPr>
        <w:t xml:space="preserve">requested </w:t>
      </w:r>
      <w:r w:rsidRPr="003B0717" w:rsidR="00832415">
        <w:rPr>
          <w:sz w:val="22"/>
          <w:szCs w:val="22"/>
        </w:rPr>
        <w:t>leave to file the Supplement</w:t>
      </w:r>
      <w:r w:rsidRPr="003B0717" w:rsidR="003F3003">
        <w:rPr>
          <w:sz w:val="22"/>
          <w:szCs w:val="22"/>
        </w:rPr>
        <w:t xml:space="preserve"> as required by section 1.106(f)</w:t>
      </w:r>
      <w:r w:rsidRPr="003B0717" w:rsidR="00A444BD">
        <w:rPr>
          <w:sz w:val="22"/>
          <w:szCs w:val="22"/>
        </w:rPr>
        <w:t>.</w:t>
      </w:r>
      <w:r>
        <w:rPr>
          <w:rStyle w:val="FootnoteReference"/>
          <w:sz w:val="22"/>
          <w:szCs w:val="22"/>
        </w:rPr>
        <w:footnoteReference w:id="25"/>
      </w:r>
      <w:r w:rsidRPr="003B0717" w:rsidR="001214F5">
        <w:rPr>
          <w:sz w:val="22"/>
          <w:szCs w:val="22"/>
        </w:rPr>
        <w:t xml:space="preserve">  Clear argues</w:t>
      </w:r>
      <w:r w:rsidRPr="003B0717" w:rsidR="00D9159D">
        <w:rPr>
          <w:sz w:val="22"/>
          <w:szCs w:val="22"/>
        </w:rPr>
        <w:t xml:space="preserve"> </w:t>
      </w:r>
      <w:r w:rsidRPr="003B0717" w:rsidR="001214F5">
        <w:rPr>
          <w:sz w:val="22"/>
          <w:szCs w:val="22"/>
        </w:rPr>
        <w:t xml:space="preserve">that </w:t>
      </w:r>
      <w:r w:rsidRPr="003B0717" w:rsidR="00A444BD">
        <w:rPr>
          <w:sz w:val="22"/>
          <w:szCs w:val="22"/>
        </w:rPr>
        <w:t xml:space="preserve">we should </w:t>
      </w:r>
      <w:r w:rsidRPr="003B0717" w:rsidR="00DA3912">
        <w:rPr>
          <w:sz w:val="22"/>
          <w:szCs w:val="22"/>
        </w:rPr>
        <w:t xml:space="preserve">accept the late-filed Supplement </w:t>
      </w:r>
      <w:r w:rsidRPr="003B0717" w:rsidR="0097151C">
        <w:rPr>
          <w:sz w:val="22"/>
          <w:szCs w:val="22"/>
        </w:rPr>
        <w:t xml:space="preserve">because </w:t>
      </w:r>
      <w:r w:rsidRPr="003B0717" w:rsidR="00DA3912">
        <w:rPr>
          <w:sz w:val="22"/>
          <w:szCs w:val="22"/>
        </w:rPr>
        <w:t xml:space="preserve">it responds to </w:t>
      </w:r>
      <w:r w:rsidRPr="003B0717" w:rsidR="00393E24">
        <w:rPr>
          <w:sz w:val="22"/>
          <w:szCs w:val="22"/>
        </w:rPr>
        <w:t xml:space="preserve">new evidence </w:t>
      </w:r>
      <w:r w:rsidRPr="003B0717" w:rsidR="00DA3912">
        <w:rPr>
          <w:sz w:val="22"/>
          <w:szCs w:val="22"/>
        </w:rPr>
        <w:t xml:space="preserve">submitted by Press </w:t>
      </w:r>
      <w:r w:rsidRPr="003B0717" w:rsidR="00393E24">
        <w:rPr>
          <w:sz w:val="22"/>
          <w:szCs w:val="22"/>
        </w:rPr>
        <w:t xml:space="preserve">after the 30-day deadline </w:t>
      </w:r>
      <w:r w:rsidRPr="003B0717" w:rsidR="00D9159D">
        <w:rPr>
          <w:sz w:val="22"/>
          <w:szCs w:val="22"/>
        </w:rPr>
        <w:t xml:space="preserve">for filing and supplementing the Petition </w:t>
      </w:r>
      <w:r w:rsidRPr="003B0717" w:rsidR="00393E24">
        <w:rPr>
          <w:sz w:val="22"/>
          <w:szCs w:val="22"/>
        </w:rPr>
        <w:t>had passed</w:t>
      </w:r>
      <w:r w:rsidRPr="003B0717" w:rsidR="00F173F2">
        <w:rPr>
          <w:sz w:val="22"/>
          <w:szCs w:val="22"/>
        </w:rPr>
        <w:t>.</w:t>
      </w:r>
      <w:r>
        <w:rPr>
          <w:rStyle w:val="FootnoteReference"/>
          <w:sz w:val="22"/>
          <w:szCs w:val="22"/>
        </w:rPr>
        <w:footnoteReference w:id="26"/>
      </w:r>
      <w:r w:rsidRPr="003B0717" w:rsidR="00F173F2">
        <w:rPr>
          <w:sz w:val="22"/>
          <w:szCs w:val="22"/>
        </w:rPr>
        <w:t xml:space="preserve">  </w:t>
      </w:r>
      <w:r w:rsidRPr="003B0717" w:rsidR="00D9159D">
        <w:rPr>
          <w:sz w:val="22"/>
          <w:szCs w:val="22"/>
        </w:rPr>
        <w:t>We agree and will consider</w:t>
      </w:r>
      <w:r w:rsidRPr="003B0717" w:rsidR="00CD5F9D">
        <w:rPr>
          <w:sz w:val="22"/>
          <w:szCs w:val="22"/>
        </w:rPr>
        <w:t xml:space="preserve"> the Supplement below.</w:t>
      </w:r>
      <w:r>
        <w:rPr>
          <w:rStyle w:val="FootnoteReference"/>
          <w:sz w:val="22"/>
          <w:szCs w:val="22"/>
        </w:rPr>
        <w:footnoteReference w:id="27"/>
      </w:r>
    </w:p>
    <w:p w:rsidR="0049234F" w:rsidRPr="003B0717" w:rsidP="0060098A" w14:paraId="593E798C" w14:textId="625455D3">
      <w:pPr>
        <w:rPr>
          <w:sz w:val="22"/>
          <w:szCs w:val="22"/>
        </w:rPr>
      </w:pPr>
    </w:p>
    <w:p w:rsidR="00A067D0" w:rsidRPr="003B0717" w:rsidP="000D6099" w14:paraId="7DC673ED" w14:textId="1999DED2">
      <w:pPr>
        <w:rPr>
          <w:sz w:val="22"/>
          <w:szCs w:val="22"/>
        </w:rPr>
      </w:pPr>
      <w:r w:rsidRPr="003B0717">
        <w:rPr>
          <w:i/>
          <w:iCs/>
          <w:sz w:val="22"/>
          <w:szCs w:val="22"/>
        </w:rPr>
        <w:t>Substantive Issues.</w:t>
      </w:r>
      <w:r w:rsidRPr="003B0717" w:rsidR="00F436E0">
        <w:rPr>
          <w:i/>
          <w:iCs/>
          <w:sz w:val="22"/>
          <w:szCs w:val="22"/>
        </w:rPr>
        <w:t xml:space="preserve">  </w:t>
      </w:r>
      <w:r w:rsidRPr="003B0717" w:rsidR="00F436E0">
        <w:rPr>
          <w:sz w:val="22"/>
          <w:szCs w:val="22"/>
        </w:rPr>
        <w:t xml:space="preserve">At the outset, we </w:t>
      </w:r>
      <w:r w:rsidRPr="003B0717" w:rsidR="00317CAD">
        <w:rPr>
          <w:sz w:val="22"/>
          <w:szCs w:val="22"/>
        </w:rPr>
        <w:t xml:space="preserve">find that the </w:t>
      </w:r>
      <w:r w:rsidRPr="003B0717" w:rsidR="008F71E4">
        <w:rPr>
          <w:sz w:val="22"/>
          <w:szCs w:val="22"/>
        </w:rPr>
        <w:t xml:space="preserve">Commission’s </w:t>
      </w:r>
      <w:r w:rsidRPr="003B0717" w:rsidR="00317CAD">
        <w:rPr>
          <w:i/>
          <w:iCs/>
          <w:sz w:val="22"/>
          <w:szCs w:val="22"/>
        </w:rPr>
        <w:t xml:space="preserve">Nunc Pro </w:t>
      </w:r>
      <w:r w:rsidRPr="003B0717" w:rsidR="00317CAD">
        <w:rPr>
          <w:i/>
          <w:iCs/>
          <w:sz w:val="22"/>
          <w:szCs w:val="22"/>
        </w:rPr>
        <w:t>Tunc</w:t>
      </w:r>
      <w:r w:rsidRPr="003B0717" w:rsidR="00317CAD">
        <w:rPr>
          <w:sz w:val="22"/>
          <w:szCs w:val="22"/>
        </w:rPr>
        <w:t xml:space="preserve"> </w:t>
      </w:r>
      <w:r w:rsidRPr="00A85C3A" w:rsidR="00807193">
        <w:rPr>
          <w:i/>
          <w:iCs/>
          <w:sz w:val="22"/>
          <w:szCs w:val="22"/>
        </w:rPr>
        <w:t>P</w:t>
      </w:r>
      <w:r w:rsidRPr="00A85C3A" w:rsidR="00317CAD">
        <w:rPr>
          <w:i/>
          <w:iCs/>
          <w:sz w:val="22"/>
          <w:szCs w:val="22"/>
        </w:rPr>
        <w:t>olicy</w:t>
      </w:r>
      <w:r w:rsidRPr="003B0717" w:rsidR="00317CAD">
        <w:rPr>
          <w:sz w:val="22"/>
          <w:szCs w:val="22"/>
        </w:rPr>
        <w:t xml:space="preserve"> </w:t>
      </w:r>
      <w:r w:rsidRPr="003B0717" w:rsidR="00A11A15">
        <w:rPr>
          <w:sz w:val="22"/>
          <w:szCs w:val="22"/>
        </w:rPr>
        <w:t>applies here</w:t>
      </w:r>
      <w:r w:rsidRPr="003B0717" w:rsidR="00B217E1">
        <w:rPr>
          <w:sz w:val="22"/>
          <w:szCs w:val="22"/>
        </w:rPr>
        <w:t>,</w:t>
      </w:r>
      <w:r>
        <w:rPr>
          <w:rStyle w:val="FootnoteReference"/>
          <w:sz w:val="22"/>
          <w:szCs w:val="22"/>
        </w:rPr>
        <w:footnoteReference w:id="28"/>
      </w:r>
      <w:r w:rsidRPr="003B0717" w:rsidR="00A11A15">
        <w:rPr>
          <w:sz w:val="22"/>
          <w:szCs w:val="22"/>
        </w:rPr>
        <w:t xml:space="preserve"> and that it </w:t>
      </w:r>
      <w:r w:rsidRPr="003B0717" w:rsidR="00317CAD">
        <w:rPr>
          <w:sz w:val="22"/>
          <w:szCs w:val="22"/>
        </w:rPr>
        <w:t xml:space="preserve">does not prevent </w:t>
      </w:r>
      <w:r w:rsidRPr="003B0717" w:rsidR="0057446A">
        <w:rPr>
          <w:sz w:val="22"/>
          <w:szCs w:val="22"/>
        </w:rPr>
        <w:t>us from accepting</w:t>
      </w:r>
      <w:r w:rsidRPr="003B0717" w:rsidR="00F436E0">
        <w:rPr>
          <w:sz w:val="22"/>
          <w:szCs w:val="22"/>
        </w:rPr>
        <w:t xml:space="preserve"> the</w:t>
      </w:r>
      <w:r w:rsidRPr="003B0717" w:rsidR="00805977">
        <w:rPr>
          <w:sz w:val="22"/>
          <w:szCs w:val="22"/>
        </w:rPr>
        <w:t xml:space="preserve"> amendment to the curative</w:t>
      </w:r>
      <w:r w:rsidRPr="003B0717" w:rsidR="00F436E0">
        <w:rPr>
          <w:sz w:val="22"/>
          <w:szCs w:val="22"/>
        </w:rPr>
        <w:t xml:space="preserve"> amendment </w:t>
      </w:r>
      <w:r w:rsidRPr="003B0717" w:rsidR="00F045CF">
        <w:rPr>
          <w:sz w:val="22"/>
          <w:szCs w:val="22"/>
        </w:rPr>
        <w:t>that accompanied the Supplement</w:t>
      </w:r>
      <w:r w:rsidRPr="003B0717" w:rsidR="00F436E0">
        <w:rPr>
          <w:sz w:val="22"/>
          <w:szCs w:val="22"/>
        </w:rPr>
        <w:t>.</w:t>
      </w:r>
      <w:r w:rsidRPr="003B0717" w:rsidR="008B6DC8">
        <w:rPr>
          <w:sz w:val="22"/>
          <w:szCs w:val="22"/>
        </w:rPr>
        <w:t xml:space="preserve">  </w:t>
      </w:r>
      <w:r w:rsidRPr="003B0717" w:rsidR="008659AA">
        <w:rPr>
          <w:sz w:val="22"/>
          <w:szCs w:val="22"/>
        </w:rPr>
        <w:t xml:space="preserve">Under the </w:t>
      </w:r>
      <w:r w:rsidRPr="003B0717" w:rsidR="008659AA">
        <w:rPr>
          <w:i/>
          <w:iCs/>
          <w:sz w:val="22"/>
          <w:szCs w:val="22"/>
        </w:rPr>
        <w:t xml:space="preserve">Nunc Pro </w:t>
      </w:r>
      <w:r w:rsidRPr="003B0717" w:rsidR="008659AA">
        <w:rPr>
          <w:i/>
          <w:iCs/>
          <w:sz w:val="22"/>
          <w:szCs w:val="22"/>
        </w:rPr>
        <w:t>Tunc</w:t>
      </w:r>
      <w:r w:rsidRPr="003B0717" w:rsidR="008659AA">
        <w:rPr>
          <w:sz w:val="22"/>
          <w:szCs w:val="22"/>
        </w:rPr>
        <w:t xml:space="preserve"> </w:t>
      </w:r>
      <w:r w:rsidRPr="00A85C3A" w:rsidR="00807193">
        <w:rPr>
          <w:i/>
          <w:iCs/>
          <w:sz w:val="22"/>
          <w:szCs w:val="22"/>
        </w:rPr>
        <w:t>P</w:t>
      </w:r>
      <w:r w:rsidRPr="00A85C3A" w:rsidR="008659AA">
        <w:rPr>
          <w:i/>
          <w:iCs/>
          <w:sz w:val="22"/>
          <w:szCs w:val="22"/>
        </w:rPr>
        <w:t>olicy</w:t>
      </w:r>
      <w:r w:rsidRPr="003B0717" w:rsidR="008659AA">
        <w:rPr>
          <w:sz w:val="22"/>
          <w:szCs w:val="22"/>
        </w:rPr>
        <w:t>, the Commission will grant “reconsideration of an action dismissing or returning an application as unacceptable for filing when an applicant submits a relatively minor curative amendment</w:t>
      </w:r>
      <w:r w:rsidRPr="003B0717" w:rsidR="00171E4D">
        <w:rPr>
          <w:sz w:val="22"/>
          <w:szCs w:val="22"/>
        </w:rPr>
        <w:t xml:space="preserve"> within 30 days</w:t>
      </w:r>
      <w:r w:rsidRPr="003B0717" w:rsidR="008659AA">
        <w:rPr>
          <w:sz w:val="22"/>
          <w:szCs w:val="22"/>
        </w:rPr>
        <w:t>.”</w:t>
      </w:r>
      <w:r>
        <w:rPr>
          <w:rStyle w:val="FootnoteReference"/>
          <w:sz w:val="22"/>
          <w:szCs w:val="22"/>
        </w:rPr>
        <w:footnoteReference w:id="29"/>
      </w:r>
      <w:r w:rsidRPr="003B0717" w:rsidR="006D5972">
        <w:rPr>
          <w:rStyle w:val="FootnoteReference"/>
          <w:sz w:val="22"/>
          <w:szCs w:val="22"/>
        </w:rPr>
        <w:t xml:space="preserve"> </w:t>
      </w:r>
      <w:r w:rsidRPr="003B0717" w:rsidR="00805977">
        <w:rPr>
          <w:sz w:val="22"/>
          <w:szCs w:val="22"/>
        </w:rPr>
        <w:t xml:space="preserve">  </w:t>
      </w:r>
      <w:r w:rsidRPr="003B0717">
        <w:rPr>
          <w:sz w:val="22"/>
          <w:szCs w:val="22"/>
        </w:rPr>
        <w:t xml:space="preserve">Clear </w:t>
      </w:r>
      <w:r w:rsidR="00632B9D">
        <w:rPr>
          <w:sz w:val="22"/>
          <w:szCs w:val="22"/>
        </w:rPr>
        <w:t>complied with these requirements, timely filing the Petition and the curative amendment, which</w:t>
      </w:r>
      <w:r w:rsidRPr="003B0717" w:rsidR="007B3819">
        <w:rPr>
          <w:sz w:val="22"/>
          <w:szCs w:val="22"/>
        </w:rPr>
        <w:t>, at the time it was filed, remedied all application defects.</w:t>
      </w:r>
      <w:r w:rsidRPr="003B0717" w:rsidR="00C851AB">
        <w:rPr>
          <w:sz w:val="22"/>
          <w:szCs w:val="22"/>
        </w:rPr>
        <w:t xml:space="preserve">  </w:t>
      </w:r>
      <w:r w:rsidRPr="003B0717" w:rsidR="00454521">
        <w:rPr>
          <w:sz w:val="22"/>
          <w:szCs w:val="22"/>
        </w:rPr>
        <w:t>This is not a case of an applicant filing an “incomplete or poorly prepared application[ ].”</w:t>
      </w:r>
      <w:r>
        <w:rPr>
          <w:rStyle w:val="FootnoteReference"/>
          <w:sz w:val="22"/>
          <w:szCs w:val="22"/>
        </w:rPr>
        <w:footnoteReference w:id="30"/>
      </w:r>
      <w:r w:rsidRPr="003B0717" w:rsidR="00454521">
        <w:rPr>
          <w:sz w:val="22"/>
          <w:szCs w:val="22"/>
        </w:rPr>
        <w:t xml:space="preserve">  Rather, this is a case of new evidence that was submitted after the time to file a curative amendment </w:t>
      </w:r>
      <w:r w:rsidR="005C2DDA">
        <w:rPr>
          <w:sz w:val="22"/>
          <w:szCs w:val="22"/>
        </w:rPr>
        <w:t xml:space="preserve">period </w:t>
      </w:r>
      <w:r w:rsidRPr="003B0717" w:rsidR="00454521">
        <w:rPr>
          <w:sz w:val="22"/>
          <w:szCs w:val="22"/>
        </w:rPr>
        <w:t>had run, and rendered an otherwise acceptable application unacceptable.</w:t>
      </w:r>
      <w:r>
        <w:rPr>
          <w:rStyle w:val="FootnoteReference"/>
          <w:sz w:val="22"/>
          <w:szCs w:val="22"/>
        </w:rPr>
        <w:footnoteReference w:id="31"/>
      </w:r>
      <w:r w:rsidRPr="003B0717" w:rsidR="00454521">
        <w:rPr>
          <w:sz w:val="22"/>
          <w:szCs w:val="22"/>
        </w:rPr>
        <w:t xml:space="preserve">  </w:t>
      </w:r>
      <w:r w:rsidRPr="003B0717" w:rsidR="00264E02">
        <w:rPr>
          <w:sz w:val="22"/>
          <w:szCs w:val="22"/>
        </w:rPr>
        <w:t xml:space="preserve">Further, as </w:t>
      </w:r>
      <w:r w:rsidRPr="003B0717" w:rsidR="002017EB">
        <w:rPr>
          <w:sz w:val="22"/>
          <w:szCs w:val="22"/>
        </w:rPr>
        <w:t>Clear notes, given the limited nature of the cross-service FM translator filing window</w:t>
      </w:r>
      <w:r w:rsidR="00BF67E6">
        <w:rPr>
          <w:sz w:val="22"/>
          <w:szCs w:val="22"/>
        </w:rPr>
        <w:t xml:space="preserve"> in which the Application was originally filed</w:t>
      </w:r>
      <w:r w:rsidRPr="003B0717" w:rsidR="002017EB">
        <w:rPr>
          <w:sz w:val="22"/>
          <w:szCs w:val="22"/>
        </w:rPr>
        <w:t>,</w:t>
      </w:r>
      <w:r w:rsidR="004D259D">
        <w:rPr>
          <w:sz w:val="22"/>
          <w:szCs w:val="22"/>
        </w:rPr>
        <w:t xml:space="preserve"> </w:t>
      </w:r>
      <w:r w:rsidRPr="003B0717" w:rsidR="002017EB">
        <w:rPr>
          <w:sz w:val="22"/>
          <w:szCs w:val="22"/>
        </w:rPr>
        <w:t>it would be precluded from “an opportunity to obtain a fill-in AM translator absent reinstatement and the ability to amend” the amendment.</w:t>
      </w:r>
      <w:r>
        <w:rPr>
          <w:rStyle w:val="FootnoteReference"/>
          <w:sz w:val="22"/>
          <w:szCs w:val="22"/>
        </w:rPr>
        <w:footnoteReference w:id="32"/>
      </w:r>
      <w:r w:rsidRPr="003B0717" w:rsidR="002017EB">
        <w:rPr>
          <w:sz w:val="22"/>
          <w:szCs w:val="22"/>
        </w:rPr>
        <w:t xml:space="preserve">  </w:t>
      </w:r>
      <w:r w:rsidRPr="003B0717" w:rsidR="00454521">
        <w:rPr>
          <w:sz w:val="22"/>
          <w:szCs w:val="22"/>
        </w:rPr>
        <w:t>We believe that</w:t>
      </w:r>
      <w:r w:rsidR="005C2DDA">
        <w:rPr>
          <w:sz w:val="22"/>
          <w:szCs w:val="22"/>
        </w:rPr>
        <w:t xml:space="preserve"> this case falls </w:t>
      </w:r>
      <w:r w:rsidR="005C2DDA">
        <w:rPr>
          <w:sz w:val="22"/>
          <w:szCs w:val="22"/>
        </w:rPr>
        <w:t xml:space="preserve">within the scope of the </w:t>
      </w:r>
      <w:r w:rsidRPr="008F71AB" w:rsidR="005C2DDA">
        <w:rPr>
          <w:i/>
          <w:iCs/>
          <w:sz w:val="22"/>
          <w:szCs w:val="22"/>
        </w:rPr>
        <w:t xml:space="preserve">Nunc Pro </w:t>
      </w:r>
      <w:r w:rsidRPr="008F71AB" w:rsidR="005C2DDA">
        <w:rPr>
          <w:i/>
          <w:iCs/>
          <w:sz w:val="22"/>
          <w:szCs w:val="22"/>
        </w:rPr>
        <w:t>Tunc</w:t>
      </w:r>
      <w:r w:rsidRPr="008F71AB" w:rsidR="005C2DDA">
        <w:rPr>
          <w:i/>
          <w:iCs/>
          <w:sz w:val="22"/>
          <w:szCs w:val="22"/>
        </w:rPr>
        <w:t xml:space="preserve"> Policy</w:t>
      </w:r>
      <w:r w:rsidR="005C2DDA">
        <w:rPr>
          <w:sz w:val="22"/>
          <w:szCs w:val="22"/>
        </w:rPr>
        <w:t xml:space="preserve"> and we accordingly find Clear’s</w:t>
      </w:r>
      <w:r w:rsidRPr="003B0717" w:rsidR="00454521">
        <w:rPr>
          <w:sz w:val="22"/>
          <w:szCs w:val="22"/>
        </w:rPr>
        <w:t xml:space="preserve"> curative amendment</w:t>
      </w:r>
      <w:r w:rsidR="005C2DDA">
        <w:rPr>
          <w:sz w:val="22"/>
          <w:szCs w:val="22"/>
        </w:rPr>
        <w:t xml:space="preserve"> is acceptable</w:t>
      </w:r>
      <w:r w:rsidRPr="003B0717" w:rsidR="00454521">
        <w:rPr>
          <w:sz w:val="22"/>
          <w:szCs w:val="22"/>
        </w:rPr>
        <w:t xml:space="preserve">.  </w:t>
      </w:r>
    </w:p>
    <w:p w:rsidR="00A067D0" w:rsidRPr="003B0717" w:rsidP="000D6099" w14:paraId="40411822" w14:textId="77777777">
      <w:pPr>
        <w:rPr>
          <w:sz w:val="22"/>
          <w:szCs w:val="22"/>
        </w:rPr>
      </w:pPr>
    </w:p>
    <w:p w:rsidR="002F639E" w:rsidRPr="003B0717" w:rsidP="000D6099" w14:paraId="4837BE7A" w14:textId="136515A2">
      <w:pPr>
        <w:rPr>
          <w:sz w:val="22"/>
          <w:szCs w:val="22"/>
        </w:rPr>
      </w:pPr>
      <w:r w:rsidRPr="003B0717">
        <w:rPr>
          <w:sz w:val="22"/>
          <w:szCs w:val="22"/>
        </w:rPr>
        <w:t>W</w:t>
      </w:r>
      <w:r w:rsidRPr="003B0717" w:rsidR="008659AA">
        <w:rPr>
          <w:sz w:val="22"/>
          <w:szCs w:val="22"/>
        </w:rPr>
        <w:t>e acknowledge that there</w:t>
      </w:r>
      <w:r w:rsidRPr="003B0717" w:rsidR="00B05A18">
        <w:rPr>
          <w:sz w:val="22"/>
          <w:szCs w:val="22"/>
        </w:rPr>
        <w:t xml:space="preserve"> are </w:t>
      </w:r>
      <w:r w:rsidRPr="003B0717" w:rsidR="00A069F3">
        <w:rPr>
          <w:sz w:val="22"/>
          <w:szCs w:val="22"/>
        </w:rPr>
        <w:t>two</w:t>
      </w:r>
      <w:r w:rsidRPr="003B0717" w:rsidR="00B05A18">
        <w:rPr>
          <w:sz w:val="22"/>
          <w:szCs w:val="22"/>
        </w:rPr>
        <w:t xml:space="preserve"> Commission decisions suggesting that an applicant </w:t>
      </w:r>
      <w:r w:rsidRPr="003B0717">
        <w:rPr>
          <w:sz w:val="22"/>
          <w:szCs w:val="22"/>
        </w:rPr>
        <w:t xml:space="preserve">may </w:t>
      </w:r>
      <w:r w:rsidRPr="003B0717" w:rsidR="00B05A18">
        <w:rPr>
          <w:sz w:val="22"/>
          <w:szCs w:val="22"/>
        </w:rPr>
        <w:t xml:space="preserve">file </w:t>
      </w:r>
      <w:r w:rsidRPr="003B0717">
        <w:rPr>
          <w:sz w:val="22"/>
          <w:szCs w:val="22"/>
        </w:rPr>
        <w:t>only one</w:t>
      </w:r>
      <w:r w:rsidRPr="003B0717" w:rsidR="000D6099">
        <w:rPr>
          <w:sz w:val="22"/>
          <w:szCs w:val="22"/>
        </w:rPr>
        <w:t xml:space="preserve"> curative amendment</w:t>
      </w:r>
      <w:r w:rsidRPr="003B0717" w:rsidR="00454521">
        <w:rPr>
          <w:sz w:val="22"/>
          <w:szCs w:val="22"/>
        </w:rPr>
        <w:t>,</w:t>
      </w:r>
      <w:r w:rsidRPr="003B0717" w:rsidR="000D6099">
        <w:rPr>
          <w:sz w:val="22"/>
          <w:szCs w:val="22"/>
        </w:rPr>
        <w:t xml:space="preserve"> </w:t>
      </w:r>
      <w:r w:rsidR="00210EEC">
        <w:rPr>
          <w:sz w:val="22"/>
          <w:szCs w:val="22"/>
        </w:rPr>
        <w:t>which</w:t>
      </w:r>
      <w:r w:rsidRPr="003B0717">
        <w:rPr>
          <w:sz w:val="22"/>
          <w:szCs w:val="22"/>
        </w:rPr>
        <w:t xml:space="preserve"> must</w:t>
      </w:r>
      <w:r w:rsidRPr="003B0717" w:rsidR="000D6099">
        <w:rPr>
          <w:sz w:val="22"/>
          <w:szCs w:val="22"/>
        </w:rPr>
        <w:t xml:space="preserve"> </w:t>
      </w:r>
      <w:r w:rsidRPr="003B0717">
        <w:rPr>
          <w:sz w:val="22"/>
          <w:szCs w:val="22"/>
        </w:rPr>
        <w:t>remedy</w:t>
      </w:r>
      <w:r w:rsidRPr="003B0717" w:rsidR="000D6099">
        <w:rPr>
          <w:sz w:val="22"/>
          <w:szCs w:val="22"/>
        </w:rPr>
        <w:t xml:space="preserve"> all defect</w:t>
      </w:r>
      <w:r w:rsidRPr="003B0717" w:rsidR="008659AA">
        <w:rPr>
          <w:sz w:val="22"/>
          <w:szCs w:val="22"/>
        </w:rPr>
        <w:t>s.  However,</w:t>
      </w:r>
      <w:r w:rsidRPr="003B0717" w:rsidR="00B05A18">
        <w:rPr>
          <w:sz w:val="22"/>
          <w:szCs w:val="22"/>
        </w:rPr>
        <w:t xml:space="preserve"> we believe those cases are distinguishable</w:t>
      </w:r>
      <w:r w:rsidRPr="003B0717" w:rsidR="000D6099">
        <w:rPr>
          <w:sz w:val="22"/>
          <w:szCs w:val="22"/>
        </w:rPr>
        <w:t>.</w:t>
      </w:r>
      <w:r>
        <w:rPr>
          <w:rStyle w:val="FootnoteReference"/>
          <w:sz w:val="22"/>
          <w:szCs w:val="22"/>
        </w:rPr>
        <w:footnoteReference w:id="33"/>
      </w:r>
      <w:r w:rsidRPr="003B0717" w:rsidR="000D6099">
        <w:rPr>
          <w:sz w:val="22"/>
          <w:szCs w:val="22"/>
        </w:rPr>
        <w:t xml:space="preserve">  </w:t>
      </w:r>
      <w:r w:rsidRPr="003B0717" w:rsidR="00454521">
        <w:rPr>
          <w:sz w:val="22"/>
          <w:szCs w:val="22"/>
        </w:rPr>
        <w:t>The</w:t>
      </w:r>
      <w:r w:rsidRPr="003B0717" w:rsidR="00FE0DE0">
        <w:rPr>
          <w:sz w:val="22"/>
          <w:szCs w:val="22"/>
        </w:rPr>
        <w:t xml:space="preserve"> </w:t>
      </w:r>
      <w:r w:rsidRPr="003B0717" w:rsidR="00FE0DE0">
        <w:rPr>
          <w:i/>
          <w:iCs/>
          <w:sz w:val="22"/>
          <w:szCs w:val="22"/>
        </w:rPr>
        <w:t>NCE FM Order</w:t>
      </w:r>
      <w:r w:rsidRPr="003B0717" w:rsidR="000D6099">
        <w:rPr>
          <w:sz w:val="22"/>
          <w:szCs w:val="22"/>
        </w:rPr>
        <w:t xml:space="preserve"> involved dismissal of </w:t>
      </w:r>
      <w:r w:rsidR="005D2276">
        <w:rPr>
          <w:sz w:val="22"/>
          <w:szCs w:val="22"/>
        </w:rPr>
        <w:t>an</w:t>
      </w:r>
      <w:r w:rsidRPr="003B0717" w:rsidR="00454521">
        <w:rPr>
          <w:sz w:val="22"/>
          <w:szCs w:val="22"/>
        </w:rPr>
        <w:t xml:space="preserve"> application as originally filed, then dismissal of </w:t>
      </w:r>
      <w:r w:rsidRPr="003B0717" w:rsidR="00563B64">
        <w:rPr>
          <w:sz w:val="22"/>
          <w:szCs w:val="22"/>
        </w:rPr>
        <w:t>a</w:t>
      </w:r>
      <w:r w:rsidRPr="003B0717" w:rsidR="00454521">
        <w:rPr>
          <w:sz w:val="22"/>
          <w:szCs w:val="22"/>
        </w:rPr>
        <w:t xml:space="preserve"> petition for reconsideration and</w:t>
      </w:r>
      <w:r w:rsidRPr="003B0717" w:rsidR="000D6099">
        <w:rPr>
          <w:sz w:val="22"/>
          <w:szCs w:val="22"/>
        </w:rPr>
        <w:t xml:space="preserve"> curative amendment, </w:t>
      </w:r>
      <w:r w:rsidRPr="003B0717" w:rsidR="00454521">
        <w:rPr>
          <w:sz w:val="22"/>
          <w:szCs w:val="22"/>
        </w:rPr>
        <w:t xml:space="preserve">and the filing of </w:t>
      </w:r>
      <w:r w:rsidRPr="003B0717" w:rsidR="000D6099">
        <w:rPr>
          <w:sz w:val="22"/>
          <w:szCs w:val="22"/>
        </w:rPr>
        <w:t xml:space="preserve">a second </w:t>
      </w:r>
      <w:r w:rsidRPr="003B0717" w:rsidR="00454521">
        <w:rPr>
          <w:sz w:val="22"/>
          <w:szCs w:val="22"/>
        </w:rPr>
        <w:t xml:space="preserve">petition for reconsideration </w:t>
      </w:r>
      <w:r w:rsidRPr="003B0717" w:rsidR="000D6099">
        <w:rPr>
          <w:sz w:val="22"/>
          <w:szCs w:val="22"/>
        </w:rPr>
        <w:t>and a second curative amendment.</w:t>
      </w:r>
      <w:r>
        <w:rPr>
          <w:rStyle w:val="FootnoteReference"/>
          <w:sz w:val="22"/>
          <w:szCs w:val="22"/>
        </w:rPr>
        <w:footnoteReference w:id="34"/>
      </w:r>
      <w:r w:rsidRPr="003B0717" w:rsidR="000D6099">
        <w:rPr>
          <w:sz w:val="22"/>
          <w:szCs w:val="22"/>
        </w:rPr>
        <w:t xml:space="preserve">  </w:t>
      </w:r>
      <w:r w:rsidRPr="003B0717" w:rsidR="00454521">
        <w:rPr>
          <w:sz w:val="22"/>
          <w:szCs w:val="22"/>
        </w:rPr>
        <w:t xml:space="preserve">The Commission </w:t>
      </w:r>
      <w:r w:rsidRPr="003B0717" w:rsidR="003120D9">
        <w:rPr>
          <w:sz w:val="22"/>
          <w:szCs w:val="22"/>
        </w:rPr>
        <w:t xml:space="preserve">rejected the applicant’s attempt to file a second petition for reconsideration and second curative amendment based on </w:t>
      </w:r>
      <w:r w:rsidRPr="003B0717" w:rsidR="00C43273">
        <w:rPr>
          <w:sz w:val="22"/>
          <w:szCs w:val="22"/>
        </w:rPr>
        <w:t>the Commission’s statement in the</w:t>
      </w:r>
      <w:r w:rsidRPr="003B0717" w:rsidR="003120D9">
        <w:rPr>
          <w:sz w:val="22"/>
          <w:szCs w:val="22"/>
        </w:rPr>
        <w:t xml:space="preserve"> </w:t>
      </w:r>
      <w:r w:rsidRPr="003B0717" w:rsidR="003120D9">
        <w:rPr>
          <w:i/>
          <w:iCs/>
          <w:sz w:val="22"/>
          <w:szCs w:val="22"/>
        </w:rPr>
        <w:t xml:space="preserve">Nunc Pro </w:t>
      </w:r>
      <w:r w:rsidRPr="003B0717" w:rsidR="003120D9">
        <w:rPr>
          <w:i/>
          <w:iCs/>
          <w:sz w:val="22"/>
          <w:szCs w:val="22"/>
        </w:rPr>
        <w:t>Tunc</w:t>
      </w:r>
      <w:r w:rsidRPr="003B0717" w:rsidR="003120D9">
        <w:rPr>
          <w:i/>
          <w:iCs/>
          <w:sz w:val="22"/>
          <w:szCs w:val="22"/>
        </w:rPr>
        <w:t xml:space="preserve"> Policy</w:t>
      </w:r>
      <w:r w:rsidRPr="003B0717" w:rsidR="003120D9">
        <w:rPr>
          <w:sz w:val="22"/>
          <w:szCs w:val="22"/>
        </w:rPr>
        <w:t xml:space="preserve"> </w:t>
      </w:r>
      <w:r w:rsidRPr="003B0717" w:rsidR="00C43273">
        <w:rPr>
          <w:sz w:val="22"/>
          <w:szCs w:val="22"/>
        </w:rPr>
        <w:t xml:space="preserve">that:  “If the same application is returned or dismissed a second time, it will not be afforded </w:t>
      </w:r>
      <w:r w:rsidRPr="003B0717" w:rsidR="00C43273">
        <w:rPr>
          <w:i/>
          <w:iCs/>
          <w:sz w:val="22"/>
          <w:szCs w:val="22"/>
        </w:rPr>
        <w:t>nunc</w:t>
      </w:r>
      <w:r w:rsidRPr="003B0717" w:rsidR="00C43273">
        <w:rPr>
          <w:i/>
          <w:iCs/>
          <w:sz w:val="22"/>
          <w:szCs w:val="22"/>
        </w:rPr>
        <w:t xml:space="preserve"> pro </w:t>
      </w:r>
      <w:r w:rsidRPr="003B0717" w:rsidR="00C43273">
        <w:rPr>
          <w:i/>
          <w:iCs/>
          <w:sz w:val="22"/>
          <w:szCs w:val="22"/>
        </w:rPr>
        <w:t>tunc</w:t>
      </w:r>
      <w:r w:rsidRPr="003B0717" w:rsidR="00C43273">
        <w:rPr>
          <w:sz w:val="22"/>
          <w:szCs w:val="22"/>
        </w:rPr>
        <w:t xml:space="preserve"> reconsideration rights.”</w:t>
      </w:r>
      <w:r>
        <w:rPr>
          <w:rStyle w:val="FootnoteReference"/>
          <w:sz w:val="22"/>
          <w:szCs w:val="22"/>
        </w:rPr>
        <w:footnoteReference w:id="35"/>
      </w:r>
      <w:r w:rsidRPr="003B0717" w:rsidR="00C43273">
        <w:rPr>
          <w:sz w:val="22"/>
          <w:szCs w:val="22"/>
        </w:rPr>
        <w:t xml:space="preserve">  </w:t>
      </w:r>
      <w:r w:rsidRPr="003B0717" w:rsidR="006F7B47">
        <w:rPr>
          <w:sz w:val="22"/>
          <w:szCs w:val="22"/>
        </w:rPr>
        <w:t>Here, a</w:t>
      </w:r>
      <w:r w:rsidRPr="003B0717" w:rsidR="00563B64">
        <w:rPr>
          <w:sz w:val="22"/>
          <w:szCs w:val="22"/>
        </w:rPr>
        <w:t>s Clear points out, there has been o</w:t>
      </w:r>
      <w:r w:rsidRPr="003B0717" w:rsidR="00D16C46">
        <w:rPr>
          <w:sz w:val="22"/>
          <w:szCs w:val="22"/>
        </w:rPr>
        <w:t>nly o</w:t>
      </w:r>
      <w:r w:rsidRPr="003B0717" w:rsidR="00563B64">
        <w:rPr>
          <w:sz w:val="22"/>
          <w:szCs w:val="22"/>
        </w:rPr>
        <w:t>ne dismissal of the Application.</w:t>
      </w:r>
      <w:r>
        <w:rPr>
          <w:rStyle w:val="FootnoteReference"/>
          <w:sz w:val="22"/>
          <w:szCs w:val="22"/>
        </w:rPr>
        <w:footnoteReference w:id="36"/>
      </w:r>
      <w:r w:rsidRPr="003B0717" w:rsidR="00563B64">
        <w:rPr>
          <w:sz w:val="22"/>
          <w:szCs w:val="22"/>
        </w:rPr>
        <w:t xml:space="preserve">  </w:t>
      </w:r>
      <w:r w:rsidRPr="003B0717" w:rsidR="00394FAE">
        <w:rPr>
          <w:i/>
          <w:iCs/>
          <w:sz w:val="22"/>
          <w:szCs w:val="22"/>
        </w:rPr>
        <w:t>Saddleback</w:t>
      </w:r>
      <w:r w:rsidRPr="003B0717" w:rsidR="00394FAE">
        <w:rPr>
          <w:sz w:val="22"/>
          <w:szCs w:val="22"/>
        </w:rPr>
        <w:t xml:space="preserve"> </w:t>
      </w:r>
      <w:r w:rsidRPr="003B0717" w:rsidR="001E0159">
        <w:rPr>
          <w:sz w:val="22"/>
          <w:szCs w:val="22"/>
        </w:rPr>
        <w:t xml:space="preserve">also is distinguishable because it </w:t>
      </w:r>
      <w:r w:rsidRPr="003B0717" w:rsidR="00394FAE">
        <w:rPr>
          <w:sz w:val="22"/>
          <w:szCs w:val="22"/>
        </w:rPr>
        <w:t xml:space="preserve">involved a curative amendment that failed to cure the defect that resulted in </w:t>
      </w:r>
      <w:r w:rsidR="00893C55">
        <w:rPr>
          <w:sz w:val="22"/>
          <w:szCs w:val="22"/>
        </w:rPr>
        <w:t xml:space="preserve">an application’s </w:t>
      </w:r>
      <w:r w:rsidRPr="003B0717" w:rsidR="00394FAE">
        <w:rPr>
          <w:sz w:val="22"/>
          <w:szCs w:val="22"/>
        </w:rPr>
        <w:t>initial dismissal</w:t>
      </w:r>
      <w:r w:rsidRPr="003B0717" w:rsidR="0091440C">
        <w:rPr>
          <w:sz w:val="22"/>
          <w:szCs w:val="22"/>
        </w:rPr>
        <w:t>.</w:t>
      </w:r>
      <w:r>
        <w:rPr>
          <w:rStyle w:val="FootnoteReference"/>
          <w:sz w:val="22"/>
          <w:szCs w:val="22"/>
        </w:rPr>
        <w:footnoteReference w:id="37"/>
      </w:r>
      <w:r w:rsidRPr="003B0717" w:rsidR="0091440C">
        <w:rPr>
          <w:sz w:val="22"/>
          <w:szCs w:val="22"/>
        </w:rPr>
        <w:t xml:space="preserve">  </w:t>
      </w:r>
      <w:r w:rsidRPr="003B0717" w:rsidR="006F7B47">
        <w:rPr>
          <w:sz w:val="22"/>
          <w:szCs w:val="22"/>
        </w:rPr>
        <w:t xml:space="preserve">In contrast, in this case, </w:t>
      </w:r>
      <w:r w:rsidRPr="003B0717" w:rsidR="000D6099">
        <w:rPr>
          <w:sz w:val="22"/>
          <w:szCs w:val="22"/>
        </w:rPr>
        <w:t xml:space="preserve">Press submitted new information after the </w:t>
      </w:r>
      <w:r w:rsidRPr="003B0717" w:rsidR="006F7B47">
        <w:rPr>
          <w:sz w:val="22"/>
          <w:szCs w:val="22"/>
        </w:rPr>
        <w:t xml:space="preserve">30-day </w:t>
      </w:r>
      <w:r w:rsidRPr="003B0717" w:rsidR="0091440C">
        <w:rPr>
          <w:sz w:val="22"/>
          <w:szCs w:val="22"/>
        </w:rPr>
        <w:t>deadline</w:t>
      </w:r>
      <w:r w:rsidRPr="003B0717" w:rsidR="006F7B47">
        <w:rPr>
          <w:sz w:val="22"/>
          <w:szCs w:val="22"/>
        </w:rPr>
        <w:t xml:space="preserve"> had passed,</w:t>
      </w:r>
      <w:r w:rsidRPr="003B0717" w:rsidR="00B46CAE">
        <w:rPr>
          <w:sz w:val="22"/>
          <w:szCs w:val="22"/>
        </w:rPr>
        <w:t xml:space="preserve"> which </w:t>
      </w:r>
      <w:r w:rsidRPr="003B0717" w:rsidR="000D6099">
        <w:rPr>
          <w:sz w:val="22"/>
          <w:szCs w:val="22"/>
        </w:rPr>
        <w:t xml:space="preserve">rendered the curative amendment defective.  </w:t>
      </w:r>
      <w:r w:rsidRPr="003B0717" w:rsidR="001E0159">
        <w:rPr>
          <w:sz w:val="22"/>
          <w:szCs w:val="22"/>
        </w:rPr>
        <w:t>Finally, it is worth noting</w:t>
      </w:r>
      <w:r w:rsidRPr="003B0717" w:rsidR="00FF5BA4">
        <w:rPr>
          <w:sz w:val="22"/>
          <w:szCs w:val="22"/>
        </w:rPr>
        <w:t xml:space="preserve"> </w:t>
      </w:r>
      <w:r w:rsidRPr="003B0717" w:rsidR="00BB391E">
        <w:rPr>
          <w:sz w:val="22"/>
          <w:szCs w:val="22"/>
        </w:rPr>
        <w:t>that</w:t>
      </w:r>
      <w:r w:rsidRPr="003B0717" w:rsidR="00A31AFA">
        <w:rPr>
          <w:sz w:val="22"/>
          <w:szCs w:val="22"/>
        </w:rPr>
        <w:t>, unlike this case,</w:t>
      </w:r>
      <w:r w:rsidRPr="003B0717" w:rsidR="00BB391E">
        <w:rPr>
          <w:sz w:val="22"/>
          <w:szCs w:val="22"/>
        </w:rPr>
        <w:t xml:space="preserve"> both the </w:t>
      </w:r>
      <w:r w:rsidRPr="003B0717" w:rsidR="00BB391E">
        <w:rPr>
          <w:i/>
          <w:iCs/>
          <w:sz w:val="22"/>
          <w:szCs w:val="22"/>
        </w:rPr>
        <w:t>NCE FM Order</w:t>
      </w:r>
      <w:r w:rsidRPr="003B0717" w:rsidR="00BB391E">
        <w:rPr>
          <w:sz w:val="22"/>
          <w:szCs w:val="22"/>
        </w:rPr>
        <w:t xml:space="preserve"> and </w:t>
      </w:r>
      <w:r w:rsidRPr="003B0717" w:rsidR="00BB391E">
        <w:rPr>
          <w:i/>
          <w:iCs/>
          <w:sz w:val="22"/>
          <w:szCs w:val="22"/>
        </w:rPr>
        <w:t>Saddleback</w:t>
      </w:r>
      <w:r w:rsidRPr="003B0717" w:rsidR="00BB391E">
        <w:rPr>
          <w:sz w:val="22"/>
          <w:szCs w:val="22"/>
        </w:rPr>
        <w:t xml:space="preserve"> involved </w:t>
      </w:r>
      <w:r w:rsidRPr="003B0717" w:rsidR="00CF1BE9">
        <w:rPr>
          <w:sz w:val="22"/>
          <w:szCs w:val="22"/>
        </w:rPr>
        <w:t xml:space="preserve">applications that were mutually exclusive with applications filed by other parties and thus </w:t>
      </w:r>
      <w:r w:rsidRPr="003B0717" w:rsidR="001737B5">
        <w:rPr>
          <w:sz w:val="22"/>
          <w:szCs w:val="22"/>
        </w:rPr>
        <w:t xml:space="preserve">implicated the Commission’s concern—enunciated in the </w:t>
      </w:r>
      <w:r w:rsidRPr="003B0717" w:rsidR="001737B5">
        <w:rPr>
          <w:i/>
          <w:iCs/>
          <w:sz w:val="22"/>
          <w:szCs w:val="22"/>
        </w:rPr>
        <w:t xml:space="preserve">Nunc Pro </w:t>
      </w:r>
      <w:r w:rsidRPr="003B0717" w:rsidR="001737B5">
        <w:rPr>
          <w:i/>
          <w:iCs/>
          <w:sz w:val="22"/>
          <w:szCs w:val="22"/>
        </w:rPr>
        <w:t>Tunc</w:t>
      </w:r>
      <w:r w:rsidRPr="003B0717" w:rsidR="006F7B47">
        <w:rPr>
          <w:i/>
          <w:iCs/>
          <w:sz w:val="22"/>
          <w:szCs w:val="22"/>
        </w:rPr>
        <w:t xml:space="preserve"> </w:t>
      </w:r>
      <w:r w:rsidRPr="00A40DAD" w:rsidR="00A40DAD">
        <w:rPr>
          <w:i/>
          <w:iCs/>
          <w:sz w:val="22"/>
          <w:szCs w:val="22"/>
        </w:rPr>
        <w:t>Policy</w:t>
      </w:r>
      <w:r w:rsidRPr="003B0717" w:rsidR="001737B5">
        <w:rPr>
          <w:sz w:val="22"/>
          <w:szCs w:val="22"/>
        </w:rPr>
        <w:t>—regarding fairness to other applicants</w:t>
      </w:r>
      <w:r w:rsidRPr="003B0717" w:rsidR="001737B5">
        <w:rPr>
          <w:sz w:val="22"/>
          <w:szCs w:val="22"/>
          <w:shd w:val="clear" w:color="auto" w:fill="FFFFFF"/>
        </w:rPr>
        <w:t xml:space="preserve"> who had “prepared properly executed application[s]</w:t>
      </w:r>
      <w:r w:rsidRPr="003B0717" w:rsidR="00BE33ED">
        <w:rPr>
          <w:sz w:val="22"/>
          <w:szCs w:val="22"/>
          <w:shd w:val="clear" w:color="auto" w:fill="FFFFFF"/>
        </w:rPr>
        <w:t>”</w:t>
      </w:r>
      <w:r w:rsidRPr="003B0717" w:rsidR="0016336E">
        <w:rPr>
          <w:sz w:val="22"/>
          <w:szCs w:val="22"/>
          <w:shd w:val="clear" w:color="auto" w:fill="FFFFFF"/>
        </w:rPr>
        <w:t xml:space="preserve"> and undue delays to the processing of other applications.</w:t>
      </w:r>
      <w:r>
        <w:rPr>
          <w:rStyle w:val="FootnoteReference"/>
          <w:sz w:val="22"/>
          <w:szCs w:val="22"/>
          <w:shd w:val="clear" w:color="auto" w:fill="FFFFFF"/>
        </w:rPr>
        <w:footnoteReference w:id="38"/>
      </w:r>
      <w:r w:rsidRPr="003B0717" w:rsidR="001737B5">
        <w:rPr>
          <w:sz w:val="22"/>
          <w:szCs w:val="22"/>
          <w:shd w:val="clear" w:color="auto" w:fill="FFFFFF"/>
        </w:rPr>
        <w:t xml:space="preserve">  </w:t>
      </w:r>
      <w:r w:rsidRPr="003B0717" w:rsidR="001E0159">
        <w:rPr>
          <w:sz w:val="22"/>
          <w:szCs w:val="22"/>
        </w:rPr>
        <w:t xml:space="preserve"> </w:t>
      </w:r>
    </w:p>
    <w:p w:rsidR="00C03789" w:rsidRPr="003B0717" w:rsidP="000D6099" w14:paraId="10AA1F65" w14:textId="2A3C7C77">
      <w:pPr>
        <w:rPr>
          <w:sz w:val="22"/>
          <w:szCs w:val="22"/>
        </w:rPr>
      </w:pPr>
    </w:p>
    <w:p w:rsidR="00E63645" w:rsidRPr="003B0717" w:rsidP="000D6099" w14:paraId="6D7FA257" w14:textId="5DD08FCC">
      <w:pPr>
        <w:rPr>
          <w:sz w:val="22"/>
          <w:szCs w:val="22"/>
        </w:rPr>
      </w:pPr>
      <w:r w:rsidRPr="003B0717">
        <w:rPr>
          <w:sz w:val="22"/>
          <w:szCs w:val="22"/>
        </w:rPr>
        <w:t xml:space="preserve">Having </w:t>
      </w:r>
      <w:r w:rsidRPr="003B0717" w:rsidR="0001402F">
        <w:rPr>
          <w:sz w:val="22"/>
          <w:szCs w:val="22"/>
        </w:rPr>
        <w:t xml:space="preserve">determined that </w:t>
      </w:r>
      <w:r w:rsidRPr="003B0717" w:rsidR="00A31AFA">
        <w:rPr>
          <w:sz w:val="22"/>
          <w:szCs w:val="22"/>
        </w:rPr>
        <w:t xml:space="preserve">we can and should accept </w:t>
      </w:r>
      <w:r w:rsidRPr="003B0717" w:rsidR="0001402F">
        <w:rPr>
          <w:sz w:val="22"/>
          <w:szCs w:val="22"/>
        </w:rPr>
        <w:t xml:space="preserve">the amendment to the curative amendment, we </w:t>
      </w:r>
      <w:r w:rsidRPr="003B0717" w:rsidR="00C808B5">
        <w:rPr>
          <w:sz w:val="22"/>
          <w:szCs w:val="22"/>
        </w:rPr>
        <w:t xml:space="preserve">have reviewed the facilities proposed therein and determined that </w:t>
      </w:r>
      <w:r w:rsidRPr="003B0717" w:rsidR="00374737">
        <w:rPr>
          <w:sz w:val="22"/>
          <w:szCs w:val="22"/>
        </w:rPr>
        <w:t xml:space="preserve">the </w:t>
      </w:r>
      <w:r w:rsidR="00B021E0">
        <w:rPr>
          <w:sz w:val="22"/>
          <w:szCs w:val="22"/>
        </w:rPr>
        <w:t xml:space="preserve">amended </w:t>
      </w:r>
      <w:r w:rsidRPr="003B0717" w:rsidR="00374737">
        <w:rPr>
          <w:sz w:val="22"/>
          <w:szCs w:val="22"/>
        </w:rPr>
        <w:t xml:space="preserve">Application </w:t>
      </w:r>
      <w:r w:rsidR="00B021E0">
        <w:rPr>
          <w:sz w:val="22"/>
          <w:szCs w:val="22"/>
        </w:rPr>
        <w:t>that accompanied the Supplement</w:t>
      </w:r>
      <w:r w:rsidRPr="003B0717" w:rsidR="00374737">
        <w:rPr>
          <w:sz w:val="22"/>
          <w:szCs w:val="22"/>
        </w:rPr>
        <w:t xml:space="preserve"> is </w:t>
      </w:r>
      <w:r w:rsidRPr="003B0717" w:rsidR="00DB33D2">
        <w:rPr>
          <w:sz w:val="22"/>
          <w:szCs w:val="22"/>
        </w:rPr>
        <w:t>acceptable for filing</w:t>
      </w:r>
      <w:r w:rsidRPr="003B0717" w:rsidR="00922F1D">
        <w:rPr>
          <w:sz w:val="22"/>
          <w:szCs w:val="22"/>
        </w:rPr>
        <w:t>,</w:t>
      </w:r>
      <w:r w:rsidRPr="003B0717" w:rsidR="00DB33D2">
        <w:rPr>
          <w:sz w:val="22"/>
          <w:szCs w:val="22"/>
        </w:rPr>
        <w:t xml:space="preserve"> and that grant of the amended Application would serve the public </w:t>
      </w:r>
      <w:r w:rsidRPr="003B0717" w:rsidR="00D80677">
        <w:rPr>
          <w:sz w:val="22"/>
          <w:szCs w:val="22"/>
        </w:rPr>
        <w:t xml:space="preserve">interest, </w:t>
      </w:r>
      <w:r w:rsidRPr="003B0717" w:rsidR="00DB33D2">
        <w:rPr>
          <w:sz w:val="22"/>
          <w:szCs w:val="22"/>
        </w:rPr>
        <w:t xml:space="preserve">convenience, </w:t>
      </w:r>
      <w:r w:rsidRPr="003B0717" w:rsidR="00D80677">
        <w:rPr>
          <w:sz w:val="22"/>
          <w:szCs w:val="22"/>
        </w:rPr>
        <w:t xml:space="preserve">and </w:t>
      </w:r>
      <w:r w:rsidRPr="003B0717" w:rsidR="00DB33D2">
        <w:rPr>
          <w:sz w:val="22"/>
          <w:szCs w:val="22"/>
        </w:rPr>
        <w:t>necessity</w:t>
      </w:r>
      <w:r w:rsidRPr="003B0717" w:rsidR="00374737">
        <w:rPr>
          <w:sz w:val="22"/>
          <w:szCs w:val="22"/>
        </w:rPr>
        <w:t xml:space="preserve">.  Accordingly, we </w:t>
      </w:r>
      <w:r w:rsidRPr="003B0717" w:rsidR="00F260A8">
        <w:rPr>
          <w:sz w:val="22"/>
          <w:szCs w:val="22"/>
        </w:rPr>
        <w:t>will grant the amended Application</w:t>
      </w:r>
      <w:r w:rsidRPr="003B0717" w:rsidR="00374737">
        <w:rPr>
          <w:sz w:val="22"/>
          <w:szCs w:val="22"/>
        </w:rPr>
        <w:t>.</w:t>
      </w:r>
    </w:p>
    <w:p w:rsidR="00FF0FF7" w:rsidRPr="003B0717" w:rsidP="000D6099" w14:paraId="744050DC" w14:textId="77777777">
      <w:pPr>
        <w:rPr>
          <w:sz w:val="22"/>
          <w:szCs w:val="22"/>
        </w:rPr>
      </w:pPr>
    </w:p>
    <w:p w:rsidR="00B86A9F" w:rsidRPr="003B0717" w:rsidP="000D6099" w14:paraId="7DBD041D" w14:textId="7BAED541">
      <w:pPr>
        <w:rPr>
          <w:sz w:val="22"/>
          <w:szCs w:val="22"/>
        </w:rPr>
      </w:pPr>
      <w:r w:rsidRPr="00B3066F">
        <w:rPr>
          <w:sz w:val="22"/>
          <w:szCs w:val="22"/>
        </w:rPr>
        <w:t xml:space="preserve">In response to Clear’s assertion that it was waiting </w:t>
      </w:r>
      <w:r w:rsidR="002F19A3">
        <w:rPr>
          <w:sz w:val="22"/>
          <w:szCs w:val="22"/>
        </w:rPr>
        <w:t>to receive</w:t>
      </w:r>
      <w:r w:rsidRPr="00B3066F">
        <w:rPr>
          <w:sz w:val="22"/>
          <w:szCs w:val="22"/>
        </w:rPr>
        <w:t xml:space="preserve"> </w:t>
      </w:r>
      <w:r w:rsidR="002F19A3">
        <w:rPr>
          <w:sz w:val="22"/>
          <w:szCs w:val="22"/>
        </w:rPr>
        <w:t>a letter notifying it of</w:t>
      </w:r>
      <w:r w:rsidRPr="00B3066F">
        <w:rPr>
          <w:sz w:val="22"/>
          <w:szCs w:val="22"/>
        </w:rPr>
        <w:t xml:space="preserve"> </w:t>
      </w:r>
      <w:r w:rsidR="002F19A3">
        <w:rPr>
          <w:sz w:val="22"/>
          <w:szCs w:val="22"/>
        </w:rPr>
        <w:t>Press’ interference</w:t>
      </w:r>
      <w:r w:rsidRPr="00B3066F">
        <w:rPr>
          <w:sz w:val="22"/>
          <w:szCs w:val="22"/>
        </w:rPr>
        <w:t xml:space="preserve"> claim and </w:t>
      </w:r>
      <w:r w:rsidR="002F19A3">
        <w:rPr>
          <w:sz w:val="22"/>
          <w:szCs w:val="22"/>
        </w:rPr>
        <w:t>setting a deadline Clear to respond</w:t>
      </w:r>
      <w:r>
        <w:rPr>
          <w:sz w:val="22"/>
          <w:szCs w:val="22"/>
        </w:rPr>
        <w:t>,</w:t>
      </w:r>
      <w:r>
        <w:rPr>
          <w:rStyle w:val="FootnoteReference"/>
          <w:sz w:val="22"/>
          <w:szCs w:val="22"/>
        </w:rPr>
        <w:footnoteReference w:id="39"/>
      </w:r>
      <w:r>
        <w:rPr>
          <w:sz w:val="22"/>
          <w:szCs w:val="22"/>
        </w:rPr>
        <w:t xml:space="preserve"> </w:t>
      </w:r>
      <w:r w:rsidRPr="003B0717" w:rsidR="00FF0FF7">
        <w:rPr>
          <w:sz w:val="22"/>
          <w:szCs w:val="22"/>
        </w:rPr>
        <w:t xml:space="preserve">we </w:t>
      </w:r>
      <w:r w:rsidRPr="003B0717" w:rsidR="00FE6C49">
        <w:rPr>
          <w:sz w:val="22"/>
          <w:szCs w:val="22"/>
        </w:rPr>
        <w:t>take this opportunity</w:t>
      </w:r>
      <w:r w:rsidRPr="003B0717" w:rsidR="00F153A1">
        <w:rPr>
          <w:sz w:val="22"/>
          <w:szCs w:val="22"/>
        </w:rPr>
        <w:t xml:space="preserve"> to </w:t>
      </w:r>
      <w:r w:rsidRPr="003B0717" w:rsidR="00D072EE">
        <w:rPr>
          <w:sz w:val="22"/>
          <w:szCs w:val="22"/>
        </w:rPr>
        <w:t>clarify</w:t>
      </w:r>
      <w:r w:rsidRPr="003B0717" w:rsidR="00FF3DE3">
        <w:rPr>
          <w:sz w:val="22"/>
          <w:szCs w:val="22"/>
        </w:rPr>
        <w:t xml:space="preserve"> that the 90-day clock</w:t>
      </w:r>
      <w:r w:rsidR="00F3593E">
        <w:rPr>
          <w:sz w:val="22"/>
          <w:szCs w:val="22"/>
        </w:rPr>
        <w:t xml:space="preserve"> and</w:t>
      </w:r>
      <w:r w:rsidRPr="003B0717" w:rsidR="006C122D">
        <w:rPr>
          <w:sz w:val="22"/>
          <w:szCs w:val="22"/>
        </w:rPr>
        <w:t xml:space="preserve"> </w:t>
      </w:r>
      <w:r w:rsidRPr="003B0717" w:rsidR="00FF3DE3">
        <w:rPr>
          <w:sz w:val="22"/>
          <w:szCs w:val="22"/>
        </w:rPr>
        <w:t>notice letters</w:t>
      </w:r>
      <w:r w:rsidRPr="003B0717" w:rsidR="006C122D">
        <w:rPr>
          <w:sz w:val="22"/>
          <w:szCs w:val="22"/>
        </w:rPr>
        <w:t xml:space="preserve"> </w:t>
      </w:r>
      <w:r w:rsidRPr="003B0717" w:rsidR="00D072EE">
        <w:rPr>
          <w:sz w:val="22"/>
          <w:szCs w:val="22"/>
        </w:rPr>
        <w:t xml:space="preserve">referenced in the </w:t>
      </w:r>
      <w:r w:rsidRPr="003B0717" w:rsidR="00D072EE">
        <w:rPr>
          <w:i/>
          <w:iCs/>
          <w:sz w:val="22"/>
          <w:szCs w:val="22"/>
        </w:rPr>
        <w:t>FM Translator Interference Order</w:t>
      </w:r>
      <w:r w:rsidRPr="003B0717" w:rsidR="00D072EE">
        <w:rPr>
          <w:sz w:val="22"/>
          <w:szCs w:val="22"/>
        </w:rPr>
        <w:t xml:space="preserve"> </w:t>
      </w:r>
      <w:r w:rsidRPr="003B0717" w:rsidR="00763702">
        <w:rPr>
          <w:sz w:val="22"/>
          <w:szCs w:val="22"/>
        </w:rPr>
        <w:t>apply only with respect to</w:t>
      </w:r>
      <w:r w:rsidRPr="003B0717" w:rsidR="00D072EE">
        <w:rPr>
          <w:sz w:val="22"/>
          <w:szCs w:val="22"/>
        </w:rPr>
        <w:t xml:space="preserve"> </w:t>
      </w:r>
      <w:r w:rsidRPr="003B0717" w:rsidR="00FF3DE3">
        <w:rPr>
          <w:sz w:val="22"/>
          <w:szCs w:val="22"/>
        </w:rPr>
        <w:t xml:space="preserve">actual </w:t>
      </w:r>
      <w:r w:rsidRPr="003B0717" w:rsidR="0021790E">
        <w:rPr>
          <w:sz w:val="22"/>
          <w:szCs w:val="22"/>
        </w:rPr>
        <w:t>interference</w:t>
      </w:r>
      <w:r w:rsidRPr="003B0717" w:rsidR="00A82224">
        <w:rPr>
          <w:sz w:val="22"/>
          <w:szCs w:val="22"/>
        </w:rPr>
        <w:t xml:space="preserve"> </w:t>
      </w:r>
      <w:r w:rsidRPr="003B0717" w:rsidR="00CA0EB3">
        <w:rPr>
          <w:sz w:val="22"/>
          <w:szCs w:val="22"/>
        </w:rPr>
        <w:t xml:space="preserve">claims </w:t>
      </w:r>
      <w:r w:rsidRPr="003B0717" w:rsidR="00A82224">
        <w:rPr>
          <w:sz w:val="22"/>
          <w:szCs w:val="22"/>
        </w:rPr>
        <w:t>made pursuant to section 74.1203(b)</w:t>
      </w:r>
      <w:r w:rsidRPr="003B0717" w:rsidR="00FF3DE3">
        <w:rPr>
          <w:sz w:val="22"/>
          <w:szCs w:val="22"/>
        </w:rPr>
        <w:t xml:space="preserve">.  </w:t>
      </w:r>
      <w:r w:rsidR="005340BA">
        <w:rPr>
          <w:sz w:val="22"/>
          <w:szCs w:val="22"/>
        </w:rPr>
        <w:t>Our finding i</w:t>
      </w:r>
      <w:r w:rsidR="009B0C51">
        <w:rPr>
          <w:sz w:val="22"/>
          <w:szCs w:val="22"/>
        </w:rPr>
        <w:t>s based on the fact that (1)</w:t>
      </w:r>
      <w:r w:rsidRPr="003B0717" w:rsidR="00C5065A">
        <w:rPr>
          <w:sz w:val="22"/>
          <w:szCs w:val="22"/>
        </w:rPr>
        <w:t xml:space="preserve"> where</w:t>
      </w:r>
      <w:r w:rsidRPr="003B0717" w:rsidR="00CA0EB3">
        <w:rPr>
          <w:sz w:val="22"/>
          <w:szCs w:val="22"/>
        </w:rPr>
        <w:t xml:space="preserve"> a particular requirement adopted in the </w:t>
      </w:r>
      <w:r w:rsidRPr="003B0717" w:rsidR="00CA0EB3">
        <w:rPr>
          <w:i/>
          <w:iCs/>
          <w:sz w:val="22"/>
          <w:szCs w:val="22"/>
        </w:rPr>
        <w:t>FM Translator Interference Order</w:t>
      </w:r>
      <w:r w:rsidRPr="003B0717" w:rsidR="00CA0EB3">
        <w:rPr>
          <w:sz w:val="22"/>
          <w:szCs w:val="22"/>
        </w:rPr>
        <w:t xml:space="preserve"> applies both to actual and predicted interference claims, the Commission indicated </w:t>
      </w:r>
      <w:r w:rsidR="005340BA">
        <w:rPr>
          <w:sz w:val="22"/>
          <w:szCs w:val="22"/>
        </w:rPr>
        <w:t>that this is the case</w:t>
      </w:r>
      <w:r w:rsidR="009B0C51">
        <w:rPr>
          <w:sz w:val="22"/>
          <w:szCs w:val="22"/>
        </w:rPr>
        <w:t>,</w:t>
      </w:r>
      <w:r>
        <w:rPr>
          <w:rStyle w:val="FootnoteReference"/>
          <w:sz w:val="22"/>
          <w:szCs w:val="22"/>
        </w:rPr>
        <w:footnoteReference w:id="40"/>
      </w:r>
      <w:r w:rsidRPr="003B0717" w:rsidR="00CA0EB3">
        <w:rPr>
          <w:sz w:val="22"/>
          <w:szCs w:val="22"/>
        </w:rPr>
        <w:t xml:space="preserve"> </w:t>
      </w:r>
      <w:r w:rsidR="009B0C51">
        <w:rPr>
          <w:sz w:val="22"/>
          <w:szCs w:val="22"/>
        </w:rPr>
        <w:t>and (2) in</w:t>
      </w:r>
      <w:r w:rsidRPr="003B0717" w:rsidR="007212D7">
        <w:rPr>
          <w:sz w:val="22"/>
          <w:szCs w:val="22"/>
        </w:rPr>
        <w:t xml:space="preserve"> </w:t>
      </w:r>
      <w:r w:rsidRPr="003B0717" w:rsidR="00FF3DE3">
        <w:rPr>
          <w:sz w:val="22"/>
          <w:szCs w:val="22"/>
        </w:rPr>
        <w:t xml:space="preserve">discussing the 90-day clock and notice letters, the </w:t>
      </w:r>
      <w:r w:rsidRPr="005340BA" w:rsidR="005340BA">
        <w:rPr>
          <w:sz w:val="22"/>
          <w:szCs w:val="22"/>
        </w:rPr>
        <w:t>Commission</w:t>
      </w:r>
      <w:r w:rsidRPr="003B0717" w:rsidR="00FF3DE3">
        <w:rPr>
          <w:sz w:val="22"/>
          <w:szCs w:val="22"/>
        </w:rPr>
        <w:t xml:space="preserve"> </w:t>
      </w:r>
      <w:r w:rsidRPr="003B0717" w:rsidR="00E61EF2">
        <w:rPr>
          <w:sz w:val="22"/>
          <w:szCs w:val="22"/>
        </w:rPr>
        <w:t>mentions only section 74.1203(b)</w:t>
      </w:r>
      <w:r w:rsidRPr="003B0717" w:rsidR="008B411E">
        <w:rPr>
          <w:sz w:val="22"/>
          <w:szCs w:val="22"/>
        </w:rPr>
        <w:t>, not section 74.1204(f).</w:t>
      </w:r>
      <w:r>
        <w:rPr>
          <w:rStyle w:val="FootnoteReference"/>
          <w:sz w:val="22"/>
          <w:szCs w:val="22"/>
        </w:rPr>
        <w:footnoteReference w:id="41"/>
      </w:r>
      <w:r w:rsidRPr="003B0717" w:rsidR="00B320B5">
        <w:rPr>
          <w:sz w:val="22"/>
          <w:szCs w:val="22"/>
        </w:rPr>
        <w:t xml:space="preserve">  </w:t>
      </w:r>
      <w:r w:rsidR="00F3593E">
        <w:rPr>
          <w:sz w:val="22"/>
          <w:szCs w:val="22"/>
        </w:rPr>
        <w:t>We note that it</w:t>
      </w:r>
      <w:r w:rsidRPr="003B0717" w:rsidR="00FF3DE3">
        <w:rPr>
          <w:sz w:val="22"/>
          <w:szCs w:val="22"/>
        </w:rPr>
        <w:t xml:space="preserve"> makes sense that </w:t>
      </w:r>
      <w:r w:rsidRPr="003B0717" w:rsidR="002258BC">
        <w:rPr>
          <w:sz w:val="22"/>
          <w:szCs w:val="22"/>
        </w:rPr>
        <w:t>the 90-day clock and notice letters</w:t>
      </w:r>
      <w:r w:rsidRPr="003B0717" w:rsidR="00FF3DE3">
        <w:rPr>
          <w:sz w:val="22"/>
          <w:szCs w:val="22"/>
        </w:rPr>
        <w:t xml:space="preserve"> </w:t>
      </w:r>
      <w:r w:rsidRPr="003B0717" w:rsidR="00B320B5">
        <w:rPr>
          <w:sz w:val="22"/>
          <w:szCs w:val="22"/>
        </w:rPr>
        <w:t>would</w:t>
      </w:r>
      <w:r w:rsidRPr="003B0717" w:rsidR="002258BC">
        <w:rPr>
          <w:sz w:val="22"/>
          <w:szCs w:val="22"/>
        </w:rPr>
        <w:t xml:space="preserve"> not apply </w:t>
      </w:r>
      <w:r w:rsidRPr="003B0717" w:rsidR="00B320B5">
        <w:rPr>
          <w:sz w:val="22"/>
          <w:szCs w:val="22"/>
        </w:rPr>
        <w:t>to</w:t>
      </w:r>
      <w:r w:rsidRPr="003B0717" w:rsidR="00FD16A2">
        <w:rPr>
          <w:sz w:val="22"/>
          <w:szCs w:val="22"/>
        </w:rPr>
        <w:t xml:space="preserve"> predicted </w:t>
      </w:r>
      <w:r w:rsidRPr="003B0717" w:rsidR="00B320B5">
        <w:rPr>
          <w:sz w:val="22"/>
          <w:szCs w:val="22"/>
        </w:rPr>
        <w:t>interference claims</w:t>
      </w:r>
      <w:r w:rsidRPr="003B0717" w:rsidR="00313A27">
        <w:rPr>
          <w:sz w:val="22"/>
          <w:szCs w:val="22"/>
        </w:rPr>
        <w:t xml:space="preserve">.  </w:t>
      </w:r>
      <w:r w:rsidRPr="003B0717" w:rsidR="00352593">
        <w:rPr>
          <w:sz w:val="22"/>
          <w:szCs w:val="22"/>
        </w:rPr>
        <w:t>Under section 74.1204(f), i</w:t>
      </w:r>
      <w:r w:rsidRPr="003B0717" w:rsidR="00313A27">
        <w:rPr>
          <w:sz w:val="22"/>
          <w:szCs w:val="22"/>
        </w:rPr>
        <w:t xml:space="preserve">f predicted interference is demonstrated, </w:t>
      </w:r>
      <w:r w:rsidRPr="003B0717" w:rsidR="00352593">
        <w:rPr>
          <w:sz w:val="22"/>
          <w:szCs w:val="22"/>
        </w:rPr>
        <w:t>an application is unacceptable for filing and must be dismissed</w:t>
      </w:r>
      <w:r w:rsidRPr="003B0717" w:rsidR="00045B34">
        <w:rPr>
          <w:sz w:val="22"/>
          <w:szCs w:val="22"/>
        </w:rPr>
        <w:t xml:space="preserve">.  Remediation </w:t>
      </w:r>
      <w:r w:rsidRPr="003B0717" w:rsidR="00352593">
        <w:rPr>
          <w:sz w:val="22"/>
          <w:szCs w:val="22"/>
        </w:rPr>
        <w:t>does not come into play</w:t>
      </w:r>
      <w:r w:rsidRPr="003B0717" w:rsidR="00FF3DE3">
        <w:rPr>
          <w:sz w:val="22"/>
          <w:szCs w:val="22"/>
        </w:rPr>
        <w:t xml:space="preserve">.  </w:t>
      </w:r>
    </w:p>
    <w:p w:rsidR="00872116" w:rsidRPr="003B0717" w:rsidP="000D6099" w14:paraId="0976298B" w14:textId="15246149">
      <w:pPr>
        <w:rPr>
          <w:sz w:val="22"/>
          <w:szCs w:val="22"/>
        </w:rPr>
      </w:pPr>
    </w:p>
    <w:p w:rsidR="00872116" w:rsidRPr="003B0717" w:rsidP="000D6099" w14:paraId="2FB4F24E" w14:textId="74FBBC63">
      <w:pPr>
        <w:rPr>
          <w:sz w:val="22"/>
          <w:szCs w:val="22"/>
        </w:rPr>
      </w:pPr>
      <w:r w:rsidRPr="003B0717">
        <w:rPr>
          <w:b/>
          <w:bCs/>
          <w:sz w:val="22"/>
          <w:szCs w:val="22"/>
        </w:rPr>
        <w:t xml:space="preserve">Ordering Clauses.  </w:t>
      </w:r>
      <w:r w:rsidRPr="003B0717">
        <w:rPr>
          <w:sz w:val="22"/>
          <w:szCs w:val="22"/>
        </w:rPr>
        <w:t xml:space="preserve">For the reasons </w:t>
      </w:r>
      <w:r w:rsidRPr="003B0717" w:rsidR="00233C1B">
        <w:rPr>
          <w:sz w:val="22"/>
          <w:szCs w:val="22"/>
        </w:rPr>
        <w:t>set forth above, IT IS ORDERED that</w:t>
      </w:r>
      <w:r w:rsidRPr="003B0717" w:rsidR="00257F11">
        <w:rPr>
          <w:sz w:val="22"/>
          <w:szCs w:val="22"/>
        </w:rPr>
        <w:t>, pursuant to section 1.106(f) of the Commission’s rules,</w:t>
      </w:r>
      <w:r>
        <w:rPr>
          <w:rStyle w:val="FootnoteReference"/>
          <w:sz w:val="22"/>
          <w:szCs w:val="22"/>
        </w:rPr>
        <w:footnoteReference w:id="42"/>
      </w:r>
      <w:r w:rsidRPr="003B0717" w:rsidR="00257F11">
        <w:rPr>
          <w:sz w:val="22"/>
          <w:szCs w:val="22"/>
        </w:rPr>
        <w:t xml:space="preserve"> </w:t>
      </w:r>
      <w:r w:rsidRPr="003B0717" w:rsidR="00233C1B">
        <w:rPr>
          <w:sz w:val="22"/>
          <w:szCs w:val="22"/>
        </w:rPr>
        <w:t xml:space="preserve">the Motion </w:t>
      </w:r>
      <w:r w:rsidRPr="003B0717" w:rsidR="007444D4">
        <w:rPr>
          <w:sz w:val="22"/>
          <w:szCs w:val="22"/>
        </w:rPr>
        <w:t xml:space="preserve">for Leave to File Supplement and Amendment to Petition for Reconsideration and Reinstatement </w:t>
      </w:r>
      <w:r w:rsidRPr="0057311D" w:rsidR="007444D4">
        <w:rPr>
          <w:i/>
          <w:iCs/>
          <w:sz w:val="22"/>
          <w:szCs w:val="22"/>
        </w:rPr>
        <w:t xml:space="preserve">Nunc Pro </w:t>
      </w:r>
      <w:r w:rsidRPr="0057311D" w:rsidR="007444D4">
        <w:rPr>
          <w:i/>
          <w:iCs/>
          <w:sz w:val="22"/>
          <w:szCs w:val="22"/>
        </w:rPr>
        <w:t>Tunc</w:t>
      </w:r>
      <w:r w:rsidRPr="003B0717" w:rsidR="007444D4">
        <w:rPr>
          <w:sz w:val="22"/>
          <w:szCs w:val="22"/>
        </w:rPr>
        <w:t xml:space="preserve"> fi</w:t>
      </w:r>
      <w:r w:rsidRPr="003B0717" w:rsidR="00B54D78">
        <w:rPr>
          <w:sz w:val="22"/>
          <w:szCs w:val="22"/>
        </w:rPr>
        <w:t>le</w:t>
      </w:r>
      <w:r w:rsidRPr="003B0717" w:rsidR="007444D4">
        <w:rPr>
          <w:sz w:val="22"/>
          <w:szCs w:val="22"/>
        </w:rPr>
        <w:t>d by Clear Communications, Inc. on December 31, 2020, IS GRANTED.</w:t>
      </w:r>
    </w:p>
    <w:p w:rsidR="00D47457" w:rsidRPr="003B0717" w:rsidP="000D6099" w14:paraId="7E5123A2" w14:textId="09D0ECAD">
      <w:pPr>
        <w:rPr>
          <w:sz w:val="22"/>
          <w:szCs w:val="22"/>
        </w:rPr>
      </w:pPr>
    </w:p>
    <w:p w:rsidR="00D47457" w:rsidRPr="003B0717" w:rsidP="000D6099" w14:paraId="2F144ED6" w14:textId="0ADFDA8B">
      <w:pPr>
        <w:rPr>
          <w:sz w:val="22"/>
          <w:szCs w:val="22"/>
        </w:rPr>
      </w:pPr>
      <w:r w:rsidRPr="003B0717">
        <w:rPr>
          <w:sz w:val="22"/>
          <w:szCs w:val="22"/>
        </w:rPr>
        <w:t>IT IS FURTHER ORDERED that</w:t>
      </w:r>
      <w:r w:rsidRPr="003B0717" w:rsidR="00981196">
        <w:rPr>
          <w:sz w:val="22"/>
          <w:szCs w:val="22"/>
        </w:rPr>
        <w:t>, pursuant to section 405</w:t>
      </w:r>
      <w:r w:rsidRPr="003B0717" w:rsidR="0041605D">
        <w:rPr>
          <w:sz w:val="22"/>
          <w:szCs w:val="22"/>
        </w:rPr>
        <w:t>(a) of the Communications Act of 1934, as amended, and section 1.106</w:t>
      </w:r>
      <w:r w:rsidRPr="003B0717" w:rsidR="000A0113">
        <w:rPr>
          <w:sz w:val="22"/>
          <w:szCs w:val="22"/>
        </w:rPr>
        <w:t>(j)</w:t>
      </w:r>
      <w:r w:rsidRPr="003B0717" w:rsidR="0041605D">
        <w:rPr>
          <w:sz w:val="22"/>
          <w:szCs w:val="22"/>
        </w:rPr>
        <w:t xml:space="preserve"> of the Commission’s rules,</w:t>
      </w:r>
      <w:r>
        <w:rPr>
          <w:rStyle w:val="FootnoteReference"/>
          <w:sz w:val="22"/>
          <w:szCs w:val="22"/>
        </w:rPr>
        <w:footnoteReference w:id="43"/>
      </w:r>
      <w:r w:rsidRPr="003B0717">
        <w:rPr>
          <w:sz w:val="22"/>
          <w:szCs w:val="22"/>
        </w:rPr>
        <w:t xml:space="preserve"> the Petition for </w:t>
      </w:r>
      <w:r w:rsidRPr="003B0717" w:rsidR="006D6655">
        <w:rPr>
          <w:sz w:val="22"/>
          <w:szCs w:val="22"/>
        </w:rPr>
        <w:t>Reconsideration</w:t>
      </w:r>
      <w:r w:rsidRPr="003B0717">
        <w:rPr>
          <w:sz w:val="22"/>
          <w:szCs w:val="22"/>
        </w:rPr>
        <w:t xml:space="preserve"> and Re</w:t>
      </w:r>
      <w:r w:rsidRPr="003B0717" w:rsidR="00B54D78">
        <w:rPr>
          <w:sz w:val="22"/>
          <w:szCs w:val="22"/>
        </w:rPr>
        <w:t xml:space="preserve">instatement </w:t>
      </w:r>
      <w:r w:rsidRPr="0057311D" w:rsidR="00B54D78">
        <w:rPr>
          <w:i/>
          <w:iCs/>
          <w:sz w:val="22"/>
          <w:szCs w:val="22"/>
        </w:rPr>
        <w:t xml:space="preserve">Nunc Pro </w:t>
      </w:r>
      <w:r w:rsidRPr="0057311D" w:rsidR="00B54D78">
        <w:rPr>
          <w:i/>
          <w:iCs/>
          <w:sz w:val="22"/>
          <w:szCs w:val="22"/>
        </w:rPr>
        <w:t>Tunc</w:t>
      </w:r>
      <w:r w:rsidRPr="003B0717" w:rsidR="00B54D78">
        <w:rPr>
          <w:sz w:val="22"/>
          <w:szCs w:val="22"/>
        </w:rPr>
        <w:t xml:space="preserve"> filed by Clear Communications, Inc. on October 14, 2020, and supplemented </w:t>
      </w:r>
      <w:r w:rsidRPr="003B0717" w:rsidR="000305D7">
        <w:rPr>
          <w:sz w:val="22"/>
          <w:szCs w:val="22"/>
        </w:rPr>
        <w:t>by Clear Communications, Inc. on December 31, 2020, IS GRANTED.</w:t>
      </w:r>
    </w:p>
    <w:p w:rsidR="000305D7" w:rsidRPr="003B0717" w:rsidP="000D6099" w14:paraId="55F8FF09" w14:textId="4C5CDB81">
      <w:pPr>
        <w:rPr>
          <w:sz w:val="22"/>
          <w:szCs w:val="22"/>
        </w:rPr>
      </w:pPr>
    </w:p>
    <w:p w:rsidR="000305D7" w:rsidRPr="003B0717" w:rsidP="000D6099" w14:paraId="215DB889" w14:textId="078065FE">
      <w:pPr>
        <w:rPr>
          <w:sz w:val="22"/>
          <w:szCs w:val="22"/>
        </w:rPr>
      </w:pPr>
      <w:r>
        <w:rPr>
          <w:sz w:val="22"/>
          <w:szCs w:val="22"/>
        </w:rPr>
        <w:br w:type="page"/>
      </w:r>
      <w:r w:rsidRPr="003B0717">
        <w:rPr>
          <w:sz w:val="22"/>
          <w:szCs w:val="22"/>
        </w:rPr>
        <w:t>Finally, IT IS FURTHER ORDERED that</w:t>
      </w:r>
      <w:r w:rsidRPr="003B0717" w:rsidR="003F4553">
        <w:rPr>
          <w:sz w:val="22"/>
          <w:szCs w:val="22"/>
        </w:rPr>
        <w:t>, pursuant to section 309(a) of the Communications Act of 1934, as amended,</w:t>
      </w:r>
      <w:r>
        <w:rPr>
          <w:rStyle w:val="FootnoteReference"/>
          <w:sz w:val="22"/>
          <w:szCs w:val="22"/>
        </w:rPr>
        <w:footnoteReference w:id="44"/>
      </w:r>
      <w:r w:rsidRPr="003B0717">
        <w:rPr>
          <w:sz w:val="22"/>
          <w:szCs w:val="22"/>
        </w:rPr>
        <w:t xml:space="preserve"> </w:t>
      </w:r>
      <w:r w:rsidRPr="003B0717" w:rsidR="00B279A1">
        <w:rPr>
          <w:sz w:val="22"/>
          <w:szCs w:val="22"/>
        </w:rPr>
        <w:t xml:space="preserve">the </w:t>
      </w:r>
      <w:r w:rsidR="00ED571F">
        <w:rPr>
          <w:sz w:val="22"/>
          <w:szCs w:val="22"/>
        </w:rPr>
        <w:t xml:space="preserve">amended </w:t>
      </w:r>
      <w:r w:rsidRPr="003B0717" w:rsidR="00B279A1">
        <w:rPr>
          <w:sz w:val="22"/>
          <w:szCs w:val="22"/>
        </w:rPr>
        <w:t>application</w:t>
      </w:r>
      <w:r w:rsidR="007D68B5">
        <w:rPr>
          <w:sz w:val="22"/>
          <w:szCs w:val="22"/>
        </w:rPr>
        <w:t xml:space="preserve"> </w:t>
      </w:r>
      <w:r w:rsidRPr="003B0717" w:rsidR="007D68B5">
        <w:rPr>
          <w:sz w:val="22"/>
          <w:szCs w:val="22"/>
        </w:rPr>
        <w:t>(File No. BNPFT-20180502ABQ)</w:t>
      </w:r>
      <w:r w:rsidRPr="003B0717" w:rsidR="00B279A1">
        <w:rPr>
          <w:sz w:val="22"/>
          <w:szCs w:val="22"/>
        </w:rPr>
        <w:t xml:space="preserve"> for a new FM translator station at Vineland, New Jersey</w:t>
      </w:r>
      <w:r w:rsidRPr="003B0717" w:rsidR="00E949DA">
        <w:rPr>
          <w:sz w:val="22"/>
          <w:szCs w:val="22"/>
        </w:rPr>
        <w:t xml:space="preserve">, </w:t>
      </w:r>
      <w:r w:rsidR="00ED571F">
        <w:rPr>
          <w:sz w:val="22"/>
          <w:szCs w:val="22"/>
        </w:rPr>
        <w:t xml:space="preserve">that accompanied </w:t>
      </w:r>
      <w:r w:rsidR="00ED45D9">
        <w:rPr>
          <w:sz w:val="22"/>
          <w:szCs w:val="22"/>
        </w:rPr>
        <w:t xml:space="preserve">the </w:t>
      </w:r>
      <w:r w:rsidRPr="007D68B5" w:rsidR="007D68B5">
        <w:rPr>
          <w:sz w:val="22"/>
          <w:szCs w:val="22"/>
        </w:rPr>
        <w:t xml:space="preserve">Supplement and Amendment to Petition for Reconsideration and Reinstatement </w:t>
      </w:r>
      <w:r w:rsidRPr="007D68B5" w:rsidR="007D68B5">
        <w:rPr>
          <w:i/>
          <w:iCs/>
          <w:sz w:val="22"/>
          <w:szCs w:val="22"/>
        </w:rPr>
        <w:t xml:space="preserve">Nunc Pro </w:t>
      </w:r>
      <w:r w:rsidRPr="007D68B5" w:rsidR="007D68B5">
        <w:rPr>
          <w:i/>
          <w:iCs/>
          <w:sz w:val="22"/>
          <w:szCs w:val="22"/>
        </w:rPr>
        <w:t>Tunc</w:t>
      </w:r>
      <w:r w:rsidRPr="007D68B5" w:rsidR="007D68B5">
        <w:rPr>
          <w:sz w:val="22"/>
          <w:szCs w:val="22"/>
        </w:rPr>
        <w:t xml:space="preserve"> (Supplement) </w:t>
      </w:r>
      <w:r w:rsidR="007D68B5">
        <w:rPr>
          <w:sz w:val="22"/>
          <w:szCs w:val="22"/>
        </w:rPr>
        <w:t xml:space="preserve">filed by Clear Communications, Inc. </w:t>
      </w:r>
      <w:r w:rsidRPr="007D68B5" w:rsidR="007D68B5">
        <w:rPr>
          <w:sz w:val="22"/>
          <w:szCs w:val="22"/>
        </w:rPr>
        <w:t>on December 31, 2020</w:t>
      </w:r>
      <w:r w:rsidRPr="007D68B5" w:rsidR="00E949DA">
        <w:rPr>
          <w:sz w:val="22"/>
          <w:szCs w:val="22"/>
        </w:rPr>
        <w:t>, I</w:t>
      </w:r>
      <w:r w:rsidRPr="003B0717" w:rsidR="00E949DA">
        <w:rPr>
          <w:sz w:val="22"/>
          <w:szCs w:val="22"/>
        </w:rPr>
        <w:t xml:space="preserve">S ACCEPTED FOR FILING AND </w:t>
      </w:r>
      <w:r w:rsidRPr="003B0717" w:rsidR="004F6A86">
        <w:rPr>
          <w:sz w:val="22"/>
          <w:szCs w:val="22"/>
        </w:rPr>
        <w:t>GRANTED.</w:t>
      </w:r>
    </w:p>
    <w:p w:rsidR="00F50BF6" w:rsidRPr="003B0717" w:rsidP="00F50BF6" w14:paraId="36CF9D2C" w14:textId="77777777">
      <w:pPr>
        <w:rPr>
          <w:sz w:val="22"/>
          <w:szCs w:val="22"/>
        </w:rPr>
      </w:pPr>
    </w:p>
    <w:p w:rsidR="00F50BF6" w:rsidRPr="003B0717" w:rsidP="00F50BF6" w14:paraId="77DEF379" w14:textId="7233D622">
      <w:pPr>
        <w:ind w:firstLine="4320"/>
        <w:rPr>
          <w:sz w:val="22"/>
          <w:szCs w:val="22"/>
        </w:rPr>
      </w:pPr>
      <w:r w:rsidRPr="003B0717">
        <w:rPr>
          <w:sz w:val="22"/>
          <w:szCs w:val="22"/>
        </w:rPr>
        <w:t>Sincerely,</w:t>
      </w:r>
    </w:p>
    <w:p w:rsidR="00F50BF6" w:rsidRPr="003B0717" w:rsidP="00F50BF6" w14:paraId="3F2F69FC" w14:textId="77777777">
      <w:pPr>
        <w:rPr>
          <w:sz w:val="22"/>
          <w:szCs w:val="22"/>
        </w:rPr>
      </w:pPr>
    </w:p>
    <w:p w:rsidR="00F50BF6" w:rsidRPr="003B0717" w:rsidP="00F50BF6" w14:paraId="1901BA4C" w14:textId="77777777">
      <w:pPr>
        <w:rPr>
          <w:sz w:val="22"/>
          <w:szCs w:val="22"/>
        </w:rPr>
      </w:pPr>
    </w:p>
    <w:p w:rsidR="00F50BF6" w:rsidRPr="003B0717" w:rsidP="00F50BF6" w14:paraId="7254AF9A" w14:textId="77777777">
      <w:pPr>
        <w:rPr>
          <w:sz w:val="22"/>
          <w:szCs w:val="22"/>
        </w:rPr>
      </w:pPr>
    </w:p>
    <w:p w:rsidR="00F50BF6" w:rsidRPr="003B0717" w:rsidP="00F50BF6" w14:paraId="35E1976A" w14:textId="77777777">
      <w:pPr>
        <w:rPr>
          <w:sz w:val="22"/>
          <w:szCs w:val="22"/>
        </w:rPr>
      </w:pPr>
    </w:p>
    <w:p w:rsidR="00F50BF6" w:rsidRPr="003B0717" w:rsidP="00F50BF6" w14:paraId="2A7A89B6" w14:textId="6884647B">
      <w:pPr>
        <w:rPr>
          <w:sz w:val="22"/>
          <w:szCs w:val="22"/>
        </w:rPr>
      </w:pPr>
      <w:r w:rsidRPr="003B0717">
        <w:rPr>
          <w:sz w:val="22"/>
          <w:szCs w:val="22"/>
        </w:rPr>
        <w:tab/>
      </w:r>
      <w:r w:rsidRPr="003B0717">
        <w:rPr>
          <w:sz w:val="22"/>
          <w:szCs w:val="22"/>
        </w:rPr>
        <w:tab/>
      </w:r>
      <w:r w:rsidRPr="003B0717">
        <w:rPr>
          <w:sz w:val="22"/>
          <w:szCs w:val="22"/>
        </w:rPr>
        <w:tab/>
      </w:r>
      <w:r w:rsidRPr="003B0717">
        <w:rPr>
          <w:sz w:val="22"/>
          <w:szCs w:val="22"/>
        </w:rPr>
        <w:tab/>
      </w:r>
      <w:r w:rsidRPr="003B0717">
        <w:rPr>
          <w:sz w:val="22"/>
          <w:szCs w:val="22"/>
        </w:rPr>
        <w:tab/>
      </w:r>
      <w:r w:rsidRPr="003B0717">
        <w:rPr>
          <w:sz w:val="22"/>
          <w:szCs w:val="22"/>
        </w:rPr>
        <w:tab/>
        <w:t>Albert Shuldiner</w:t>
      </w:r>
    </w:p>
    <w:p w:rsidR="00F50BF6" w:rsidRPr="003B0717" w:rsidP="00F50BF6" w14:paraId="3A01DA8B" w14:textId="2112F0DE">
      <w:pPr>
        <w:rPr>
          <w:sz w:val="22"/>
          <w:szCs w:val="22"/>
        </w:rPr>
      </w:pPr>
      <w:r w:rsidRPr="003B0717">
        <w:rPr>
          <w:sz w:val="22"/>
          <w:szCs w:val="22"/>
        </w:rPr>
        <w:tab/>
      </w:r>
      <w:r w:rsidRPr="003B0717">
        <w:rPr>
          <w:sz w:val="22"/>
          <w:szCs w:val="22"/>
        </w:rPr>
        <w:tab/>
      </w:r>
      <w:r w:rsidRPr="003B0717">
        <w:rPr>
          <w:sz w:val="22"/>
          <w:szCs w:val="22"/>
        </w:rPr>
        <w:tab/>
      </w:r>
      <w:r w:rsidRPr="003B0717">
        <w:rPr>
          <w:sz w:val="22"/>
          <w:szCs w:val="22"/>
        </w:rPr>
        <w:tab/>
      </w:r>
      <w:r w:rsidRPr="003B0717">
        <w:rPr>
          <w:sz w:val="22"/>
          <w:szCs w:val="22"/>
        </w:rPr>
        <w:tab/>
      </w:r>
      <w:r w:rsidRPr="003B0717">
        <w:rPr>
          <w:sz w:val="22"/>
          <w:szCs w:val="22"/>
        </w:rPr>
        <w:tab/>
      </w:r>
      <w:r w:rsidRPr="003B0717" w:rsidR="000C4DB5">
        <w:rPr>
          <w:sz w:val="22"/>
          <w:szCs w:val="22"/>
        </w:rPr>
        <w:t xml:space="preserve">Chief, </w:t>
      </w:r>
      <w:r w:rsidRPr="003B0717">
        <w:rPr>
          <w:sz w:val="22"/>
          <w:szCs w:val="22"/>
        </w:rPr>
        <w:t>Audio Division</w:t>
      </w:r>
    </w:p>
    <w:p w:rsidR="000C4DB5" w:rsidRPr="003B0717" w:rsidP="00F50BF6" w14:paraId="6EAF4558" w14:textId="6688F00E">
      <w:pPr>
        <w:rPr>
          <w:sz w:val="22"/>
          <w:szCs w:val="22"/>
        </w:rPr>
      </w:pPr>
      <w:r w:rsidRPr="003B0717">
        <w:rPr>
          <w:sz w:val="22"/>
          <w:szCs w:val="22"/>
        </w:rPr>
        <w:tab/>
      </w:r>
      <w:r w:rsidRPr="003B0717">
        <w:rPr>
          <w:sz w:val="22"/>
          <w:szCs w:val="22"/>
        </w:rPr>
        <w:tab/>
      </w:r>
      <w:r w:rsidRPr="003B0717">
        <w:rPr>
          <w:sz w:val="22"/>
          <w:szCs w:val="22"/>
        </w:rPr>
        <w:tab/>
      </w:r>
      <w:r w:rsidRPr="003B0717">
        <w:rPr>
          <w:sz w:val="22"/>
          <w:szCs w:val="22"/>
        </w:rPr>
        <w:tab/>
      </w:r>
      <w:r w:rsidRPr="003B0717">
        <w:rPr>
          <w:sz w:val="22"/>
          <w:szCs w:val="22"/>
        </w:rPr>
        <w:tab/>
      </w:r>
      <w:r w:rsidRPr="003B0717">
        <w:rPr>
          <w:sz w:val="22"/>
          <w:szCs w:val="22"/>
        </w:rPr>
        <w:tab/>
        <w:t>Media Bureau</w:t>
      </w:r>
    </w:p>
    <w:p w:rsidR="004F6A86" w:rsidRPr="003B0717" w:rsidP="000D6099" w14:paraId="4C3F0610" w14:textId="77777777">
      <w:pPr>
        <w:rPr>
          <w:sz w:val="22"/>
          <w:szCs w:val="22"/>
        </w:rPr>
      </w:pPr>
    </w:p>
    <w:sectPr>
      <w:footerReference w:type="default" r:id="rId7"/>
      <w:headerReference w:type="first" r:id="rId8"/>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7426" w14:paraId="36CBD38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75596F" w:rsidP="0089081E" w14:paraId="2059EC1F"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92CD0" w14:paraId="7398E112" w14:textId="77777777">
      <w:r>
        <w:separator/>
      </w:r>
    </w:p>
  </w:footnote>
  <w:footnote w:type="continuationSeparator" w:id="1">
    <w:p w:rsidR="00C92CD0" w14:paraId="4156B15D" w14:textId="77777777">
      <w:r>
        <w:continuationSeparator/>
      </w:r>
    </w:p>
  </w:footnote>
  <w:footnote w:id="2">
    <w:p w:rsidR="0060098A" w:rsidRPr="00DB5B27" w:rsidP="003B0717" w14:paraId="1DF804B6" w14:textId="754C8794">
      <w:pPr>
        <w:pStyle w:val="FootnoteText"/>
        <w:spacing w:after="120"/>
      </w:pPr>
      <w:r w:rsidRPr="003B0717">
        <w:rPr>
          <w:rStyle w:val="FootnoteReference"/>
        </w:rPr>
        <w:footnoteRef/>
      </w:r>
      <w:r w:rsidRPr="003B0717">
        <w:t xml:space="preserve"> </w:t>
      </w:r>
      <w:r w:rsidRPr="003B0717" w:rsidR="009B185B">
        <w:t xml:space="preserve">Press </w:t>
      </w:r>
      <w:r w:rsidRPr="00DB5B27" w:rsidR="009B185B">
        <w:t>Communications, LLC (Press</w:t>
      </w:r>
      <w:r w:rsidRPr="00DB5B27">
        <w:t xml:space="preserve">) filed an Opposition to Petition for Reconsideration </w:t>
      </w:r>
      <w:r w:rsidRPr="00DB5B27" w:rsidR="00BB45B6">
        <w:t xml:space="preserve">and Reinstatement </w:t>
      </w:r>
      <w:r w:rsidRPr="00DB5B27" w:rsidR="00BB45B6">
        <w:rPr>
          <w:i/>
          <w:iCs/>
        </w:rPr>
        <w:t xml:space="preserve">Nunc Pro </w:t>
      </w:r>
      <w:r w:rsidRPr="00DB5B27" w:rsidR="00BB45B6">
        <w:rPr>
          <w:i/>
          <w:iCs/>
        </w:rPr>
        <w:t>Tunc</w:t>
      </w:r>
      <w:r w:rsidRPr="00DB5B27" w:rsidR="00BB45B6">
        <w:rPr>
          <w:i/>
          <w:iCs/>
        </w:rPr>
        <w:t xml:space="preserve"> </w:t>
      </w:r>
      <w:r w:rsidRPr="00DB5B27">
        <w:t xml:space="preserve">(Opposition) on </w:t>
      </w:r>
      <w:r w:rsidRPr="00DB5B27" w:rsidR="00BB45B6">
        <w:t>October 26, 2020</w:t>
      </w:r>
      <w:r w:rsidRPr="00DB5B27">
        <w:t xml:space="preserve">.  </w:t>
      </w:r>
      <w:r w:rsidRPr="00DB5B27" w:rsidR="00BB45B6">
        <w:t>Clear</w:t>
      </w:r>
      <w:r w:rsidRPr="00DB5B27" w:rsidR="00E5591C">
        <w:t xml:space="preserve"> Communications, Inc. (Clear)</w:t>
      </w:r>
      <w:r w:rsidRPr="00DB5B27" w:rsidR="00BB45B6">
        <w:t xml:space="preserve"> then filed a Reply to Opposition to Petition for Reconsideration and Reinstatement </w:t>
      </w:r>
      <w:r w:rsidRPr="00DB5B27" w:rsidR="00BB45B6">
        <w:rPr>
          <w:i/>
          <w:iCs/>
        </w:rPr>
        <w:t xml:space="preserve">Nunc Pro </w:t>
      </w:r>
      <w:r w:rsidRPr="00DB5B27" w:rsidR="00BB45B6">
        <w:rPr>
          <w:i/>
          <w:iCs/>
        </w:rPr>
        <w:t>Tunc</w:t>
      </w:r>
      <w:r w:rsidRPr="00DB5B27" w:rsidR="00BB45B6">
        <w:t xml:space="preserve"> (Reply) on November 10, 2020</w:t>
      </w:r>
      <w:r w:rsidRPr="00DB5B27">
        <w:t xml:space="preserve">.  </w:t>
      </w:r>
      <w:r w:rsidRPr="00DB5B27" w:rsidR="001217FF">
        <w:t>Press later filed a Second Supplement and Interference Package in Response to Amendment (</w:t>
      </w:r>
      <w:r w:rsidRPr="00DB5B27" w:rsidR="00962C92">
        <w:t xml:space="preserve">Second Interference </w:t>
      </w:r>
      <w:r w:rsidRPr="00DB5B27" w:rsidR="006A749B">
        <w:t>Package</w:t>
      </w:r>
      <w:r w:rsidRPr="00DB5B27" w:rsidR="00962C92">
        <w:t xml:space="preserve">) on December 21, 2020, and Clear responded </w:t>
      </w:r>
      <w:r w:rsidRPr="00DB5B27" w:rsidR="00996C79">
        <w:t xml:space="preserve">by filing a Supplement and Amendment to Petition for Reconsideration and Reinstatement </w:t>
      </w:r>
      <w:r w:rsidRPr="00DB5B27" w:rsidR="00996C79">
        <w:rPr>
          <w:i/>
          <w:iCs/>
        </w:rPr>
        <w:t xml:space="preserve">Nunc Pro </w:t>
      </w:r>
      <w:r w:rsidRPr="00DB5B27" w:rsidR="00996C79">
        <w:rPr>
          <w:i/>
          <w:iCs/>
        </w:rPr>
        <w:t>Tunc</w:t>
      </w:r>
      <w:r w:rsidRPr="00DB5B27" w:rsidR="00996C79">
        <w:t xml:space="preserve"> </w:t>
      </w:r>
      <w:r w:rsidRPr="00DB5B27" w:rsidR="00D01B8E">
        <w:t xml:space="preserve">(Supplement) </w:t>
      </w:r>
      <w:r w:rsidRPr="00DB5B27" w:rsidR="00996C79">
        <w:t>on December 31, 2020</w:t>
      </w:r>
      <w:r w:rsidRPr="00DB5B27" w:rsidR="003B5AE0">
        <w:t xml:space="preserve">, which was accompanied by a Motion for Leave to File (Motion).   </w:t>
      </w:r>
    </w:p>
  </w:footnote>
  <w:footnote w:id="3">
    <w:p w:rsidR="0060098A" w:rsidRPr="003B0717" w:rsidP="003B0717" w14:paraId="4ED97862" w14:textId="7A219546">
      <w:pPr>
        <w:pStyle w:val="FootnoteText"/>
        <w:spacing w:after="120"/>
      </w:pPr>
      <w:r w:rsidRPr="00DB5B27">
        <w:rPr>
          <w:rStyle w:val="FootnoteReference"/>
        </w:rPr>
        <w:footnoteRef/>
      </w:r>
      <w:r w:rsidRPr="00DB5B27">
        <w:t xml:space="preserve"> </w:t>
      </w:r>
      <w:r w:rsidRPr="00DB5B27" w:rsidR="00D01B8E">
        <w:rPr>
          <w:i/>
          <w:iCs/>
        </w:rPr>
        <w:t xml:space="preserve">Clear </w:t>
      </w:r>
      <w:r w:rsidRPr="00DB5B27" w:rsidR="0068138F">
        <w:rPr>
          <w:i/>
          <w:iCs/>
        </w:rPr>
        <w:t>Commc'ns</w:t>
      </w:r>
      <w:r w:rsidRPr="00DB5B27" w:rsidR="00D01B8E">
        <w:rPr>
          <w:i/>
          <w:iCs/>
        </w:rPr>
        <w:t>, Inc.</w:t>
      </w:r>
      <w:r w:rsidRPr="00DB5B27">
        <w:t>, File</w:t>
      </w:r>
      <w:r w:rsidRPr="003B0717">
        <w:t xml:space="preserve"> No. BNPFT-</w:t>
      </w:r>
      <w:r w:rsidRPr="003B0717" w:rsidR="00D01B8E">
        <w:t>20180502ABQ</w:t>
      </w:r>
      <w:r w:rsidRPr="003B0717">
        <w:t xml:space="preserve">, Letter Order (MB </w:t>
      </w:r>
      <w:r w:rsidRPr="003B0717" w:rsidR="00D01B8E">
        <w:t>Sept. 14, 2020</w:t>
      </w:r>
      <w:r w:rsidRPr="003B0717">
        <w:t>) (</w:t>
      </w:r>
      <w:r w:rsidRPr="003B0717">
        <w:rPr>
          <w:i/>
          <w:iCs/>
        </w:rPr>
        <w:t>Letter Order</w:t>
      </w:r>
      <w:r w:rsidRPr="003B0717">
        <w:t>).</w:t>
      </w:r>
    </w:p>
  </w:footnote>
  <w:footnote w:id="4">
    <w:p w:rsidR="0060098A" w:rsidRPr="003B0717" w:rsidP="003B0717" w14:paraId="07EC1F45" w14:textId="6DB7DED2">
      <w:pPr>
        <w:pStyle w:val="FootnoteText"/>
        <w:spacing w:after="120"/>
      </w:pPr>
      <w:r w:rsidRPr="003B0717">
        <w:rPr>
          <w:rStyle w:val="FootnoteReference"/>
        </w:rPr>
        <w:footnoteRef/>
      </w:r>
      <w:r w:rsidRPr="003B0717">
        <w:t xml:space="preserve"> </w:t>
      </w:r>
      <w:r w:rsidRPr="003B0717" w:rsidR="00E67D45">
        <w:t>Clear</w:t>
      </w:r>
      <w:r w:rsidRPr="003B0717">
        <w:t xml:space="preserve"> </w:t>
      </w:r>
      <w:r w:rsidRPr="003B0717" w:rsidR="00E67D45">
        <w:t>proposes</w:t>
      </w:r>
      <w:r w:rsidRPr="003B0717">
        <w:t xml:space="preserve"> to use the Translator to rebroadcast the signal of its AM station,</w:t>
      </w:r>
      <w:r w:rsidRPr="003B0717" w:rsidR="00E67D45">
        <w:t xml:space="preserve"> WMIZ(AM), Vineland, New Jersey</w:t>
      </w:r>
      <w:r w:rsidRPr="003B0717">
        <w:t>.</w:t>
      </w:r>
    </w:p>
  </w:footnote>
  <w:footnote w:id="5">
    <w:p w:rsidR="00AD0953" w:rsidRPr="003B0717" w:rsidP="003B0717" w14:paraId="26279D59" w14:textId="44A4597D">
      <w:pPr>
        <w:spacing w:after="120"/>
      </w:pPr>
      <w:r w:rsidRPr="003B0717">
        <w:rPr>
          <w:rStyle w:val="FootnoteReference"/>
        </w:rPr>
        <w:footnoteRef/>
      </w:r>
      <w:r w:rsidRPr="003B0717">
        <w:t xml:space="preserve"> </w:t>
      </w:r>
      <w:r w:rsidRPr="003B0717" w:rsidR="007F17D4">
        <w:rPr>
          <w:i/>
          <w:iCs/>
        </w:rPr>
        <w:t>See</w:t>
      </w:r>
      <w:r w:rsidRPr="003B0717">
        <w:t xml:space="preserve"> 47 CFR § 74.1204(f) (2018).  </w:t>
      </w:r>
    </w:p>
  </w:footnote>
  <w:footnote w:id="6">
    <w:p w:rsidR="00F13E62" w:rsidRPr="003B0717" w:rsidP="003B0717" w14:paraId="10F9DA4F" w14:textId="41BAD74D">
      <w:pPr>
        <w:pStyle w:val="FootnoteText"/>
        <w:spacing w:after="120"/>
      </w:pPr>
      <w:r w:rsidRPr="003B0717">
        <w:rPr>
          <w:rStyle w:val="FootnoteReference"/>
        </w:rPr>
        <w:footnoteRef/>
      </w:r>
      <w:r w:rsidRPr="003B0717">
        <w:t xml:space="preserve"> </w:t>
      </w:r>
      <w:r w:rsidRPr="003B0717" w:rsidR="003766FF">
        <w:t xml:space="preserve">Opposition to Petition to Deny of Clear </w:t>
      </w:r>
      <w:r w:rsidRPr="003B0717" w:rsidR="007F17D4">
        <w:t>Comm</w:t>
      </w:r>
      <w:r w:rsidRPr="003B0717" w:rsidR="00475C5E">
        <w:t>c’ns</w:t>
      </w:r>
      <w:r w:rsidRPr="003B0717" w:rsidR="003766FF">
        <w:t xml:space="preserve">, Inc., File No. BNPFT-20180502ABQ (filed June 13, 2018).  </w:t>
      </w:r>
    </w:p>
  </w:footnote>
  <w:footnote w:id="7">
    <w:p w:rsidR="003766FF" w:rsidRPr="003B0717" w:rsidP="003B0717" w14:paraId="46423A81" w14:textId="3FECA252">
      <w:pPr>
        <w:pStyle w:val="FootnoteText"/>
        <w:spacing w:after="120"/>
      </w:pPr>
      <w:r w:rsidRPr="003B0717">
        <w:rPr>
          <w:rStyle w:val="FootnoteReference"/>
        </w:rPr>
        <w:footnoteRef/>
      </w:r>
      <w:r w:rsidRPr="003B0717">
        <w:t xml:space="preserve"> </w:t>
      </w:r>
      <w:r w:rsidRPr="003B0717" w:rsidR="00537527">
        <w:t xml:space="preserve">Reply to Opposition to Petition to Deny of </w:t>
      </w:r>
      <w:r w:rsidRPr="003B0717" w:rsidR="009F6580">
        <w:t xml:space="preserve">Press </w:t>
      </w:r>
      <w:r w:rsidRPr="003B0717" w:rsidR="00475C5E">
        <w:t>Commc’ns</w:t>
      </w:r>
      <w:r w:rsidRPr="003B0717" w:rsidR="009F6580">
        <w:t>, LLC</w:t>
      </w:r>
      <w:r w:rsidRPr="003B0717" w:rsidR="00537527">
        <w:t>, File No. BNPFT-20180502ABQ (filed June 20, 2018).</w:t>
      </w:r>
    </w:p>
  </w:footnote>
  <w:footnote w:id="8">
    <w:p w:rsidR="00E02A28" w:rsidRPr="003B0717" w:rsidP="003B0717" w14:paraId="0ECE3B1F" w14:textId="4D446AA5">
      <w:pPr>
        <w:pStyle w:val="FootnoteText"/>
        <w:spacing w:after="120"/>
      </w:pPr>
      <w:r w:rsidRPr="003B0717">
        <w:rPr>
          <w:rStyle w:val="FootnoteReference"/>
        </w:rPr>
        <w:footnoteRef/>
      </w:r>
      <w:r w:rsidRPr="003B0717">
        <w:t xml:space="preserve"> </w:t>
      </w:r>
      <w:r w:rsidRPr="003B0717" w:rsidR="00DB03B3">
        <w:rPr>
          <w:i/>
          <w:iCs/>
        </w:rPr>
        <w:t>See Amendment of Part 74 of the Commission’s Rules Regarding Translator Interference</w:t>
      </w:r>
      <w:r w:rsidRPr="003B0717" w:rsidR="00DB03B3">
        <w:t>, Report and Order, 34 FCC Rcd 3457 (2019) (</w:t>
      </w:r>
      <w:r w:rsidRPr="003B0717" w:rsidR="00DB0AD4">
        <w:rPr>
          <w:i/>
          <w:iCs/>
        </w:rPr>
        <w:t>FM</w:t>
      </w:r>
      <w:r w:rsidRPr="003B0717" w:rsidR="00DB0AD4">
        <w:t xml:space="preserve"> </w:t>
      </w:r>
      <w:r w:rsidRPr="003B0717" w:rsidR="00DB03B3">
        <w:rPr>
          <w:i/>
          <w:iCs/>
        </w:rPr>
        <w:t>Translator Interference Order</w:t>
      </w:r>
      <w:r w:rsidRPr="003B0717" w:rsidR="00DB03B3">
        <w:t>)</w:t>
      </w:r>
      <w:r w:rsidRPr="003B0717" w:rsidR="00B55FF3">
        <w:t xml:space="preserve">, </w:t>
      </w:r>
      <w:r w:rsidRPr="003B0717" w:rsidR="00B55FF3">
        <w:rPr>
          <w:i/>
          <w:iCs/>
        </w:rPr>
        <w:t>recon. denied</w:t>
      </w:r>
      <w:r w:rsidR="00EC0410">
        <w:rPr>
          <w:i/>
          <w:iCs/>
        </w:rPr>
        <w:t>,</w:t>
      </w:r>
      <w:r w:rsidRPr="003B0717" w:rsidR="00B55FF3">
        <w:t xml:space="preserve"> </w:t>
      </w:r>
      <w:r w:rsidRPr="003B0717" w:rsidR="0051425B">
        <w:t>35 FCC Rcd 11561 (</w:t>
      </w:r>
      <w:r w:rsidRPr="003B0717" w:rsidR="000C5682">
        <w:t>2020)</w:t>
      </w:r>
      <w:r w:rsidRPr="003B0717" w:rsidR="00787309">
        <w:t xml:space="preserve">.  </w:t>
      </w:r>
      <w:r w:rsidRPr="003B0717" w:rsidR="00787309">
        <w:rPr>
          <w:i/>
          <w:iCs/>
        </w:rPr>
        <w:t>See also</w:t>
      </w:r>
      <w:r w:rsidRPr="003B0717" w:rsidR="00787309">
        <w:t xml:space="preserve"> </w:t>
      </w:r>
      <w:r w:rsidRPr="003B0717" w:rsidR="00DB03B3">
        <w:rPr>
          <w:i/>
          <w:iCs/>
        </w:rPr>
        <w:t>Media Bureau Announces August 13, 2019, Effective Date of Amended Rules for FM Translator Interference</w:t>
      </w:r>
      <w:r w:rsidRPr="003B0717" w:rsidR="00DB03B3">
        <w:t xml:space="preserve">, Public Notice, 34 FCC Rcd 7004 (MB 2019).  </w:t>
      </w:r>
    </w:p>
  </w:footnote>
  <w:footnote w:id="9">
    <w:p w:rsidR="009025D7" w:rsidRPr="003B0717" w:rsidP="003B0717" w14:paraId="7C902DEC" w14:textId="0D46072A">
      <w:pPr>
        <w:pStyle w:val="FootnoteText"/>
        <w:spacing w:after="120"/>
      </w:pPr>
      <w:r w:rsidRPr="003B0717">
        <w:rPr>
          <w:rStyle w:val="FootnoteReference"/>
        </w:rPr>
        <w:footnoteRef/>
      </w:r>
      <w:r w:rsidRPr="003B0717">
        <w:t xml:space="preserve"> Letter from James D. Bradshaw,</w:t>
      </w:r>
      <w:r w:rsidRPr="003B0717" w:rsidR="00C83885">
        <w:t xml:space="preserve"> Senior</w:t>
      </w:r>
      <w:r w:rsidRPr="003B0717">
        <w:t xml:space="preserve"> Deputy </w:t>
      </w:r>
      <w:r w:rsidRPr="003B0717" w:rsidR="00C83885">
        <w:t xml:space="preserve">Chief, Audio Division, Media Bureau, FCC, to John F. Garziglia, Esq., Counsel for Press </w:t>
      </w:r>
      <w:r w:rsidR="004E0C99">
        <w:t>Commc’ns</w:t>
      </w:r>
      <w:r w:rsidRPr="003B0717" w:rsidR="00C83885">
        <w:t>, LLC, File No. BNPFT-20180502ABQ (dated Sept. 9, 2019).</w:t>
      </w:r>
    </w:p>
  </w:footnote>
  <w:footnote w:id="10">
    <w:p w:rsidR="00B33616" w:rsidRPr="003B0717" w:rsidP="003B0717" w14:paraId="27908586" w14:textId="3CF56466">
      <w:pPr>
        <w:pStyle w:val="FootnoteText"/>
        <w:spacing w:after="120"/>
      </w:pPr>
      <w:r w:rsidRPr="003B0717">
        <w:rPr>
          <w:rStyle w:val="FootnoteReference"/>
        </w:rPr>
        <w:footnoteRef/>
      </w:r>
      <w:r w:rsidRPr="003B0717">
        <w:t xml:space="preserve"> Supplement to Petition to Deny of Press </w:t>
      </w:r>
      <w:r w:rsidRPr="003B0717" w:rsidR="005B4E94">
        <w:t>Comm</w:t>
      </w:r>
      <w:r w:rsidRPr="003B0717" w:rsidR="00787309">
        <w:t>c’ns</w:t>
      </w:r>
      <w:r w:rsidRPr="003B0717">
        <w:t>, LLC, File No. BNPFT-20180502ABQ (filed Oct. 9, 2019).</w:t>
      </w:r>
    </w:p>
  </w:footnote>
  <w:footnote w:id="11">
    <w:p w:rsidR="008D05FC" w:rsidRPr="003B0717" w:rsidP="003B0717" w14:paraId="24621B8B" w14:textId="3D8FB5F6">
      <w:pPr>
        <w:pStyle w:val="FootnoteText"/>
        <w:spacing w:after="120"/>
      </w:pPr>
      <w:r w:rsidRPr="003B0717">
        <w:rPr>
          <w:rStyle w:val="FootnoteReference"/>
        </w:rPr>
        <w:footnoteRef/>
      </w:r>
      <w:r w:rsidRPr="003B0717">
        <w:t xml:space="preserve"> Petition at 3</w:t>
      </w:r>
      <w:r w:rsidR="009A151E">
        <w:t xml:space="preserve">, </w:t>
      </w:r>
      <w:r w:rsidRPr="009A151E" w:rsidR="009A151E">
        <w:rPr>
          <w:i/>
          <w:iCs/>
        </w:rPr>
        <w:t>citing</w:t>
      </w:r>
      <w:r w:rsidR="009A151E">
        <w:t xml:space="preserve"> </w:t>
      </w:r>
      <w:r w:rsidR="005B08C7">
        <w:t>S</w:t>
      </w:r>
      <w:r w:rsidRPr="005B08C7" w:rsidR="005B08C7">
        <w:t>tatement of Future Policy on Incomplete and Patently Defective AM and FM Construction Permit Applications</w:t>
      </w:r>
      <w:r w:rsidR="005B08C7">
        <w:t>, 49 Fed</w:t>
      </w:r>
      <w:r w:rsidR="00EC0410">
        <w:t>.</w:t>
      </w:r>
      <w:r w:rsidR="005B08C7">
        <w:t xml:space="preserve"> Reg</w:t>
      </w:r>
      <w:r w:rsidR="00EC0410">
        <w:t>.</w:t>
      </w:r>
      <w:r w:rsidR="005B08C7">
        <w:t xml:space="preserve"> 47331 (Dec. 3, 1984) (</w:t>
      </w:r>
      <w:r w:rsidRPr="005B08C7" w:rsidR="005B08C7">
        <w:rPr>
          <w:i/>
          <w:iCs/>
        </w:rPr>
        <w:t xml:space="preserve">Nunc Pro </w:t>
      </w:r>
      <w:r w:rsidRPr="005B08C7" w:rsidR="005B08C7">
        <w:rPr>
          <w:i/>
          <w:iCs/>
        </w:rPr>
        <w:t>Tunc</w:t>
      </w:r>
      <w:r w:rsidRPr="005B08C7" w:rsidR="005B08C7">
        <w:rPr>
          <w:i/>
          <w:iCs/>
        </w:rPr>
        <w:t xml:space="preserve"> Policy</w:t>
      </w:r>
      <w:r w:rsidR="005B08C7">
        <w:t>)</w:t>
      </w:r>
      <w:r w:rsidRPr="003B0717">
        <w:t xml:space="preserve">.  </w:t>
      </w:r>
    </w:p>
  </w:footnote>
  <w:footnote w:id="12">
    <w:p w:rsidR="008D05FC" w:rsidRPr="003B0717" w:rsidP="003B0717" w14:paraId="1D5557D0" w14:textId="354B5E56">
      <w:pPr>
        <w:pStyle w:val="FootnoteText"/>
        <w:spacing w:after="120"/>
      </w:pPr>
      <w:r w:rsidRPr="003B0717">
        <w:rPr>
          <w:rStyle w:val="FootnoteReference"/>
        </w:rPr>
        <w:footnoteRef/>
      </w:r>
      <w:r w:rsidRPr="003B0717">
        <w:t xml:space="preserve"> Petition at 4-5</w:t>
      </w:r>
      <w:r w:rsidRPr="003B0717" w:rsidR="00DB0AD4">
        <w:t xml:space="preserve">, </w:t>
      </w:r>
      <w:r w:rsidRPr="003B0717" w:rsidR="00DB0AD4">
        <w:rPr>
          <w:i/>
          <w:iCs/>
        </w:rPr>
        <w:t>citing</w:t>
      </w:r>
      <w:r w:rsidRPr="003B0717">
        <w:rPr>
          <w:i/>
          <w:iCs/>
        </w:rPr>
        <w:t xml:space="preserve"> </w:t>
      </w:r>
      <w:r w:rsidRPr="003B0717" w:rsidR="00DB0AD4">
        <w:rPr>
          <w:i/>
          <w:iCs/>
        </w:rPr>
        <w:t>FM Translator Interference Order</w:t>
      </w:r>
      <w:r w:rsidRPr="003B0717" w:rsidR="00DB0AD4">
        <w:t xml:space="preserve">, 34 FCC Rcd at </w:t>
      </w:r>
      <w:r w:rsidRPr="003B0717" w:rsidR="00397F0E">
        <w:t>3468,</w:t>
      </w:r>
      <w:r w:rsidRPr="003B0717" w:rsidR="00DB0AD4">
        <w:t xml:space="preserve"> para. </w:t>
      </w:r>
      <w:r w:rsidRPr="003B0717" w:rsidR="00474D98">
        <w:t>21</w:t>
      </w:r>
      <w:r w:rsidRPr="003B0717" w:rsidR="00397F0E">
        <w:t xml:space="preserve">, and </w:t>
      </w:r>
      <w:r w:rsidRPr="003B0717" w:rsidR="0023656C">
        <w:t>3475, para. 35</w:t>
      </w:r>
      <w:r w:rsidRPr="003B0717" w:rsidR="00474D98">
        <w:t>.</w:t>
      </w:r>
      <w:r w:rsidRPr="003B0717" w:rsidR="0023656C">
        <w:t xml:space="preserve">  Clear states that it was waiting for a letter from the Commission notifying it that Press’ interference package satisfied the Commission’s </w:t>
      </w:r>
      <w:r w:rsidRPr="003B0717" w:rsidR="0023656C">
        <w:t>requirements, and</w:t>
      </w:r>
      <w:r w:rsidRPr="003B0717" w:rsidR="0023656C">
        <w:t xml:space="preserve"> setting a deadline for Clear to resolve the complaints.  </w:t>
      </w:r>
      <w:r w:rsidRPr="003B0717" w:rsidR="00C06C6C">
        <w:rPr>
          <w:i/>
          <w:iCs/>
        </w:rPr>
        <w:t>Id</w:t>
      </w:r>
      <w:r w:rsidRPr="003B0717" w:rsidR="00C06C6C">
        <w:t>.</w:t>
      </w:r>
      <w:r w:rsidRPr="003B0717" w:rsidR="0023656C">
        <w:t xml:space="preserve"> at 4.  Clear </w:t>
      </w:r>
      <w:r w:rsidRPr="003B0717" w:rsidR="00C06C6C">
        <w:t>also indicates</w:t>
      </w:r>
      <w:r w:rsidRPr="003B0717" w:rsidR="0023656C">
        <w:t xml:space="preserve"> that it </w:t>
      </w:r>
      <w:r w:rsidRPr="003B0717" w:rsidR="00C65562">
        <w:t>“</w:t>
      </w:r>
      <w:r w:rsidRPr="003B0717" w:rsidR="0023656C">
        <w:t>confirmed</w:t>
      </w:r>
      <w:r w:rsidRPr="003B0717" w:rsidR="00C65562">
        <w:t>”</w:t>
      </w:r>
      <w:r w:rsidRPr="003B0717" w:rsidR="0023656C">
        <w:t xml:space="preserve"> its understanding of the </w:t>
      </w:r>
      <w:r w:rsidRPr="003B0717" w:rsidR="0023656C">
        <w:rPr>
          <w:i/>
          <w:iCs/>
        </w:rPr>
        <w:t>FM Translator Interference Order</w:t>
      </w:r>
      <w:r w:rsidRPr="003B0717" w:rsidR="0023656C">
        <w:t xml:space="preserve"> with Bureau staff.  </w:t>
      </w:r>
      <w:r w:rsidRPr="003B0717" w:rsidR="00C06C6C">
        <w:rPr>
          <w:i/>
          <w:iCs/>
        </w:rPr>
        <w:t>Id</w:t>
      </w:r>
      <w:r w:rsidRPr="003B0717" w:rsidR="00C06C6C">
        <w:t>.</w:t>
      </w:r>
      <w:r w:rsidRPr="003B0717" w:rsidR="0023656C">
        <w:t xml:space="preserve"> at </w:t>
      </w:r>
      <w:r w:rsidRPr="003B0717" w:rsidR="0023656C">
        <w:t>4, and</w:t>
      </w:r>
      <w:r w:rsidRPr="003B0717" w:rsidR="0023656C">
        <w:t xml:space="preserve"> Attach. 4.  </w:t>
      </w:r>
    </w:p>
  </w:footnote>
  <w:footnote w:id="13">
    <w:p w:rsidR="00704E69" w:rsidRPr="003B0717" w:rsidP="003B0717" w14:paraId="017AFBB6" w14:textId="770D7F31">
      <w:pPr>
        <w:pStyle w:val="FootnoteText"/>
        <w:spacing w:after="120"/>
      </w:pPr>
      <w:r w:rsidRPr="003B0717">
        <w:rPr>
          <w:rStyle w:val="FootnoteReference"/>
        </w:rPr>
        <w:footnoteRef/>
      </w:r>
      <w:r w:rsidRPr="003B0717">
        <w:t xml:space="preserve"> Opposition at 1-2.</w:t>
      </w:r>
    </w:p>
  </w:footnote>
  <w:footnote w:id="14">
    <w:p w:rsidR="00704E69" w:rsidRPr="003B0717" w:rsidP="003B0717" w14:paraId="04BA720A" w14:textId="3AE71CB3">
      <w:pPr>
        <w:pStyle w:val="FootnoteText"/>
        <w:spacing w:after="120"/>
      </w:pPr>
      <w:r w:rsidRPr="003B0717">
        <w:rPr>
          <w:rStyle w:val="FootnoteReference"/>
        </w:rPr>
        <w:footnoteRef/>
      </w:r>
      <w:r w:rsidRPr="003B0717">
        <w:t xml:space="preserve"> </w:t>
      </w:r>
      <w:r w:rsidRPr="003B0717">
        <w:rPr>
          <w:i/>
          <w:iCs/>
        </w:rPr>
        <w:t>Id</w:t>
      </w:r>
      <w:r w:rsidRPr="003B0717">
        <w:t xml:space="preserve">. at 4-5.  Press argues that Clear has confused the procedures related to complaints that an FM translator is causing actual interference with those related to complaints that an FM translator is predicted to cause interference.  </w:t>
      </w:r>
      <w:r w:rsidRPr="003B0717">
        <w:rPr>
          <w:i/>
          <w:iCs/>
        </w:rPr>
        <w:t>Id</w:t>
      </w:r>
      <w:r w:rsidRPr="003B0717">
        <w:t>. at 4</w:t>
      </w:r>
    </w:p>
  </w:footnote>
  <w:footnote w:id="15">
    <w:p w:rsidR="00704E69" w:rsidRPr="003B0717" w:rsidP="003B0717" w14:paraId="7F6087AA" w14:textId="1B0C9765">
      <w:pPr>
        <w:pStyle w:val="FootnoteText"/>
        <w:spacing w:after="120"/>
      </w:pPr>
      <w:r w:rsidRPr="003B0717">
        <w:rPr>
          <w:rStyle w:val="FootnoteReference"/>
        </w:rPr>
        <w:footnoteRef/>
      </w:r>
      <w:r w:rsidRPr="003B0717">
        <w:t xml:space="preserve"> </w:t>
      </w:r>
      <w:r w:rsidRPr="003B0717">
        <w:rPr>
          <w:i/>
          <w:iCs/>
        </w:rPr>
        <w:t>Id</w:t>
      </w:r>
      <w:r w:rsidRPr="003B0717">
        <w:t>. at 7.</w:t>
      </w:r>
    </w:p>
  </w:footnote>
  <w:footnote w:id="16">
    <w:p w:rsidR="00704E69" w:rsidRPr="003B0717" w:rsidP="003B0717" w14:paraId="07F63A09" w14:textId="24F58791">
      <w:pPr>
        <w:pStyle w:val="FootnoteText"/>
        <w:spacing w:after="120"/>
      </w:pPr>
      <w:r w:rsidRPr="003B0717">
        <w:rPr>
          <w:rStyle w:val="FootnoteReference"/>
        </w:rPr>
        <w:footnoteRef/>
      </w:r>
      <w:r w:rsidRPr="003B0717">
        <w:t xml:space="preserve"> Reply at 1-2.  </w:t>
      </w:r>
    </w:p>
  </w:footnote>
  <w:footnote w:id="17">
    <w:p w:rsidR="006A12B4" w:rsidRPr="003B0717" w:rsidP="003B0717" w14:paraId="2A2A428E" w14:textId="3F87C7D2">
      <w:pPr>
        <w:pStyle w:val="FootnoteText"/>
        <w:spacing w:after="120"/>
      </w:pPr>
      <w:r w:rsidRPr="003B0717">
        <w:rPr>
          <w:rStyle w:val="FootnoteReference"/>
        </w:rPr>
        <w:footnoteRef/>
      </w:r>
      <w:r w:rsidRPr="003B0717">
        <w:t xml:space="preserve"> Second Interference Package at </w:t>
      </w:r>
      <w:r w:rsidRPr="003B0717">
        <w:t>2-4</w:t>
      </w:r>
      <w:r w:rsidRPr="003B0717" w:rsidR="00AA36A1">
        <w:t xml:space="preserve">, </w:t>
      </w:r>
      <w:r w:rsidRPr="003B0717" w:rsidR="00AE65C4">
        <w:t>and</w:t>
      </w:r>
      <w:r w:rsidRPr="003B0717" w:rsidR="00AE65C4">
        <w:t xml:space="preserve"> </w:t>
      </w:r>
      <w:r w:rsidRPr="003B0717" w:rsidR="00AA36A1">
        <w:t>Attach</w:t>
      </w:r>
      <w:r w:rsidRPr="003B0717" w:rsidR="00675669">
        <w:t>. A.</w:t>
      </w:r>
      <w:r w:rsidRPr="003B0717" w:rsidR="006F622A">
        <w:t xml:space="preserve">  Press also submits a showing that WTHJ(FM) has a “sizable community of [ ] radio listeners outside of its 45 dBµ contour in the direction of the FM translator Application transmitter site” and requests a “preemptive waiver” of the 45 dBµ contour limit.  </w:t>
      </w:r>
      <w:r w:rsidRPr="003B0717" w:rsidR="006F622A">
        <w:rPr>
          <w:i/>
          <w:iCs/>
        </w:rPr>
        <w:t>Id</w:t>
      </w:r>
      <w:r w:rsidRPr="003B0717" w:rsidR="006F622A">
        <w:t xml:space="preserve">. at 7-12, and </w:t>
      </w:r>
      <w:r w:rsidRPr="003B0717" w:rsidR="006F622A">
        <w:t>Attachs</w:t>
      </w:r>
      <w:r w:rsidRPr="003B0717" w:rsidR="006F622A">
        <w:t xml:space="preserve">. A and B.  </w:t>
      </w:r>
      <w:r w:rsidR="00D97A6E">
        <w:t>Press makes these claims in relation to the curative amendment that accompanied the Petition</w:t>
      </w:r>
      <w:r w:rsidR="00635834">
        <w:t xml:space="preserve">, which </w:t>
      </w:r>
      <w:r w:rsidR="00B816CF">
        <w:t>revised the Translator’s directional antenna contour but continued to propose operations on Channel 293</w:t>
      </w:r>
      <w:r w:rsidR="00D97A6E">
        <w:t xml:space="preserve">.  </w:t>
      </w:r>
      <w:r w:rsidRPr="003B0717" w:rsidR="006F622A">
        <w:t xml:space="preserve">Given </w:t>
      </w:r>
      <w:r w:rsidRPr="003B0717" w:rsidR="00ED51AE">
        <w:t>our decision herein to accept</w:t>
      </w:r>
      <w:r w:rsidR="000F62EF">
        <w:t xml:space="preserve"> the amendment to the curative amendment</w:t>
      </w:r>
      <w:r w:rsidRPr="003B0717" w:rsidR="00ED51AE">
        <w:t xml:space="preserve"> for filing and grant </w:t>
      </w:r>
      <w:r w:rsidRPr="003B0717" w:rsidR="000038EE">
        <w:t>a construction permit for</w:t>
      </w:r>
      <w:r w:rsidRPr="003B0717" w:rsidR="003572EC">
        <w:t xml:space="preserve"> operation of the Translator on Channel 225</w:t>
      </w:r>
      <w:r w:rsidRPr="003B0717" w:rsidR="000038EE">
        <w:t>, we</w:t>
      </w:r>
      <w:r w:rsidRPr="003B0717" w:rsidR="006F622A">
        <w:t xml:space="preserve"> do not address </w:t>
      </w:r>
      <w:r w:rsidR="000F62EF">
        <w:t>Press’</w:t>
      </w:r>
      <w:r w:rsidRPr="003B0717" w:rsidR="006F622A">
        <w:t xml:space="preserve"> request herein.</w:t>
      </w:r>
    </w:p>
  </w:footnote>
  <w:footnote w:id="18">
    <w:p w:rsidR="00F029A2" w:rsidRPr="003B0717" w:rsidP="003B0717" w14:paraId="3EA2EF69" w14:textId="4AB3C1E9">
      <w:pPr>
        <w:pStyle w:val="FootnoteText"/>
        <w:spacing w:after="120"/>
      </w:pPr>
      <w:r w:rsidRPr="003B0717">
        <w:rPr>
          <w:rStyle w:val="FootnoteReference"/>
        </w:rPr>
        <w:footnoteRef/>
      </w:r>
      <w:r w:rsidRPr="003B0717">
        <w:t xml:space="preserve"> </w:t>
      </w:r>
      <w:r w:rsidRPr="003B0717">
        <w:rPr>
          <w:i/>
          <w:iCs/>
        </w:rPr>
        <w:t>Id</w:t>
      </w:r>
      <w:r w:rsidRPr="003B0717">
        <w:t xml:space="preserve">. at 6-7.  </w:t>
      </w:r>
    </w:p>
  </w:footnote>
  <w:footnote w:id="19">
    <w:p w:rsidR="00F029A2" w:rsidRPr="003B0717" w:rsidP="003B0717" w14:paraId="5E9330BC" w14:textId="4CB20EA3">
      <w:pPr>
        <w:pStyle w:val="FootnoteText"/>
        <w:spacing w:after="120"/>
      </w:pPr>
      <w:r w:rsidRPr="003B0717">
        <w:rPr>
          <w:rStyle w:val="FootnoteReference"/>
        </w:rPr>
        <w:footnoteRef/>
      </w:r>
      <w:r w:rsidRPr="003B0717">
        <w:t xml:space="preserve"> </w:t>
      </w:r>
      <w:r w:rsidRPr="003B0717">
        <w:rPr>
          <w:i/>
          <w:iCs/>
        </w:rPr>
        <w:t>Id</w:t>
      </w:r>
      <w:r w:rsidRPr="003B0717">
        <w:t xml:space="preserve">. at 13.  </w:t>
      </w:r>
    </w:p>
  </w:footnote>
  <w:footnote w:id="20">
    <w:p w:rsidR="005A2E94" w:rsidRPr="003B0717" w:rsidP="003B0717" w14:paraId="6D717285" w14:textId="764DA9CB">
      <w:pPr>
        <w:pStyle w:val="FootnoteText"/>
        <w:spacing w:after="120"/>
      </w:pPr>
      <w:r w:rsidRPr="003B0717">
        <w:rPr>
          <w:rStyle w:val="FootnoteReference"/>
        </w:rPr>
        <w:footnoteRef/>
      </w:r>
      <w:r w:rsidRPr="003B0717">
        <w:t xml:space="preserve"> Motion at 2.  </w:t>
      </w:r>
    </w:p>
  </w:footnote>
  <w:footnote w:id="21">
    <w:p w:rsidR="005A2E94" w:rsidRPr="003B0717" w:rsidP="003B0717" w14:paraId="1FC4B0EA" w14:textId="37561781">
      <w:pPr>
        <w:pStyle w:val="FootnoteText"/>
        <w:spacing w:after="120"/>
      </w:pPr>
      <w:r w:rsidRPr="003B0717">
        <w:rPr>
          <w:rStyle w:val="FootnoteReference"/>
        </w:rPr>
        <w:footnoteRef/>
      </w:r>
      <w:r w:rsidRPr="003B0717">
        <w:t xml:space="preserve"> Supplement at 3.  </w:t>
      </w:r>
    </w:p>
  </w:footnote>
  <w:footnote w:id="22">
    <w:p w:rsidR="005A2E94" w:rsidRPr="003B0717" w:rsidP="003B0717" w14:paraId="5D4DFDDB" w14:textId="6406E337">
      <w:pPr>
        <w:pStyle w:val="FootnoteText"/>
        <w:spacing w:after="120"/>
      </w:pPr>
      <w:r w:rsidRPr="003B0717">
        <w:rPr>
          <w:rStyle w:val="FootnoteReference"/>
        </w:rPr>
        <w:footnoteRef/>
      </w:r>
      <w:r w:rsidRPr="003B0717">
        <w:t xml:space="preserve"> </w:t>
      </w:r>
      <w:r w:rsidRPr="003B0717">
        <w:rPr>
          <w:i/>
          <w:iCs/>
        </w:rPr>
        <w:t>Id</w:t>
      </w:r>
      <w:r w:rsidRPr="003B0717">
        <w:t xml:space="preserve">. at 3-4.  </w:t>
      </w:r>
    </w:p>
  </w:footnote>
  <w:footnote w:id="23">
    <w:p w:rsidR="002F302E" w:rsidRPr="003B0717" w:rsidP="003B0717" w14:paraId="3B323CC6" w14:textId="36C4785F">
      <w:pPr>
        <w:pStyle w:val="FootnoteText"/>
        <w:spacing w:after="120"/>
      </w:pPr>
      <w:r w:rsidRPr="003B0717">
        <w:rPr>
          <w:rStyle w:val="FootnoteReference"/>
        </w:rPr>
        <w:footnoteRef/>
      </w:r>
      <w:r w:rsidRPr="003B0717">
        <w:t xml:space="preserve"> </w:t>
      </w:r>
      <w:r w:rsidRPr="003B0717">
        <w:rPr>
          <w:i/>
          <w:iCs/>
        </w:rPr>
        <w:t>Id</w:t>
      </w:r>
      <w:r w:rsidRPr="003B0717">
        <w:t xml:space="preserve">. at 5.  </w:t>
      </w:r>
    </w:p>
  </w:footnote>
  <w:footnote w:id="24">
    <w:p w:rsidR="002A0E04" w:rsidRPr="003B0717" w:rsidP="003B0717" w14:paraId="218DB418" w14:textId="450014A4">
      <w:pPr>
        <w:pStyle w:val="FootnoteText"/>
        <w:spacing w:after="120"/>
      </w:pPr>
      <w:r w:rsidRPr="003B0717">
        <w:rPr>
          <w:rStyle w:val="FootnoteReference"/>
        </w:rPr>
        <w:footnoteRef/>
      </w:r>
      <w:r w:rsidRPr="003B0717">
        <w:t xml:space="preserve"> 47 CFR § 1.106(f).</w:t>
      </w:r>
    </w:p>
  </w:footnote>
  <w:footnote w:id="25">
    <w:p w:rsidR="003F3003" w:rsidRPr="003B0717" w:rsidP="003B0717" w14:paraId="3C418C9E" w14:textId="10C72132">
      <w:pPr>
        <w:pStyle w:val="FootnoteText"/>
        <w:spacing w:after="120"/>
      </w:pPr>
      <w:r w:rsidRPr="003B0717">
        <w:rPr>
          <w:rStyle w:val="FootnoteReference"/>
        </w:rPr>
        <w:footnoteRef/>
      </w:r>
      <w:r w:rsidRPr="003B0717">
        <w:t xml:space="preserve"> </w:t>
      </w:r>
      <w:r w:rsidRPr="003B0717">
        <w:rPr>
          <w:i/>
          <w:iCs/>
        </w:rPr>
        <w:t>Id</w:t>
      </w:r>
      <w:r w:rsidRPr="003B0717">
        <w:t>. (“No supplement or addition to a petition for reconsideration which has not been acted upon by the Commission or by the designated authority, filed after expiration of the 30 day period, will be considered except upon leave granted upon a separate pleading for leave to file, which shall state the grounds therefor.”)</w:t>
      </w:r>
      <w:r w:rsidR="00807193">
        <w:t>.</w:t>
      </w:r>
    </w:p>
  </w:footnote>
  <w:footnote w:id="26">
    <w:p w:rsidR="00F173F2" w:rsidRPr="003B0717" w:rsidP="003B0717" w14:paraId="35302671" w14:textId="52D97816">
      <w:pPr>
        <w:pStyle w:val="FootnoteText"/>
        <w:spacing w:after="120"/>
      </w:pPr>
      <w:r w:rsidRPr="003B0717">
        <w:rPr>
          <w:rStyle w:val="FootnoteReference"/>
        </w:rPr>
        <w:footnoteRef/>
      </w:r>
      <w:r w:rsidRPr="003B0717">
        <w:t xml:space="preserve"> </w:t>
      </w:r>
      <w:r w:rsidRPr="003B0717" w:rsidR="008313F2">
        <w:t xml:space="preserve">Motion at </w:t>
      </w:r>
      <w:r w:rsidRPr="003B0717" w:rsidR="008261FB">
        <w:t>2-3.</w:t>
      </w:r>
    </w:p>
  </w:footnote>
  <w:footnote w:id="27">
    <w:p w:rsidR="00312C4E" w:rsidRPr="003B0717" w:rsidP="003B0717" w14:paraId="5920772D" w14:textId="652CE0B5">
      <w:pPr>
        <w:pStyle w:val="FootnoteText"/>
        <w:spacing w:after="120"/>
      </w:pPr>
      <w:r w:rsidRPr="003B0717">
        <w:rPr>
          <w:rStyle w:val="FootnoteReference"/>
        </w:rPr>
        <w:footnoteRef/>
      </w:r>
      <w:r w:rsidRPr="003B0717">
        <w:t xml:space="preserve"> </w:t>
      </w:r>
      <w:r w:rsidRPr="003B0717" w:rsidR="00C73EE1">
        <w:rPr>
          <w:i/>
          <w:iCs/>
        </w:rPr>
        <w:t xml:space="preserve">See, e.g., </w:t>
      </w:r>
      <w:r w:rsidRPr="003B0717" w:rsidR="00064BBE">
        <w:rPr>
          <w:i/>
          <w:iCs/>
        </w:rPr>
        <w:t>Maritime Comm</w:t>
      </w:r>
      <w:r w:rsidR="00C07106">
        <w:rPr>
          <w:i/>
          <w:iCs/>
        </w:rPr>
        <w:t>c</w:t>
      </w:r>
      <w:r w:rsidRPr="003B0717" w:rsidR="00064BBE">
        <w:rPr>
          <w:i/>
          <w:iCs/>
        </w:rPr>
        <w:t>’ns/Land Mobile</w:t>
      </w:r>
      <w:r w:rsidRPr="003B0717" w:rsidR="00CD4145">
        <w:rPr>
          <w:i/>
          <w:iCs/>
        </w:rPr>
        <w:t>, LLC, Debtor-in-</w:t>
      </w:r>
      <w:r w:rsidRPr="003B0717" w:rsidR="00C07106">
        <w:rPr>
          <w:i/>
          <w:iCs/>
        </w:rPr>
        <w:t>Possession</w:t>
      </w:r>
      <w:r w:rsidRPr="003B0717" w:rsidR="00CD4145">
        <w:t xml:space="preserve">, </w:t>
      </w:r>
      <w:r w:rsidRPr="003B0717" w:rsidR="00D668BF">
        <w:t xml:space="preserve">WT Docket No. 13-85, </w:t>
      </w:r>
      <w:r w:rsidRPr="003B0717" w:rsidR="00CD4145">
        <w:t>Order on Reconsideration and Memorandum Opinion and Order,</w:t>
      </w:r>
      <w:r w:rsidRPr="003B0717" w:rsidR="00064BBE">
        <w:t xml:space="preserve"> </w:t>
      </w:r>
      <w:r w:rsidRPr="003B0717" w:rsidR="00C73EE1">
        <w:t>31 FCC Rcd 13729</w:t>
      </w:r>
      <w:r w:rsidRPr="003B0717" w:rsidR="00B85548">
        <w:t>, 13734, n.37</w:t>
      </w:r>
      <w:r w:rsidRPr="003B0717" w:rsidR="00C73EE1">
        <w:t xml:space="preserve"> </w:t>
      </w:r>
      <w:r w:rsidRPr="003B0717" w:rsidR="00687DC5">
        <w:t xml:space="preserve">(2016) </w:t>
      </w:r>
      <w:r w:rsidRPr="003B0717" w:rsidR="00C73EE1">
        <w:t xml:space="preserve">(stating that the supplemental filings </w:t>
      </w:r>
      <w:r w:rsidRPr="003B0717" w:rsidR="00C60A3B">
        <w:t>contained “</w:t>
      </w:r>
      <w:r w:rsidRPr="003B0717" w:rsidR="00C73EE1">
        <w:t xml:space="preserve">important new information that could not have been provided before the deadline for filing petitions for </w:t>
      </w:r>
      <w:r w:rsidRPr="003B0717" w:rsidR="00C60A3B">
        <w:t>reconsideration</w:t>
      </w:r>
      <w:r w:rsidRPr="003B0717" w:rsidR="00C73EE1">
        <w:t>,</w:t>
      </w:r>
      <w:r w:rsidRPr="003B0717" w:rsidR="00C60A3B">
        <w:t>”</w:t>
      </w:r>
      <w:r w:rsidRPr="003B0717" w:rsidR="00C73EE1">
        <w:t xml:space="preserve"> </w:t>
      </w:r>
      <w:r w:rsidRPr="003B0717" w:rsidR="00C60A3B">
        <w:t>noting the information</w:t>
      </w:r>
      <w:r w:rsidRPr="003B0717" w:rsidR="00C73EE1">
        <w:t xml:space="preserve"> </w:t>
      </w:r>
      <w:r w:rsidRPr="003B0717" w:rsidR="00C60A3B">
        <w:t>was related to</w:t>
      </w:r>
      <w:r w:rsidRPr="003B0717" w:rsidR="00C73EE1">
        <w:t xml:space="preserve"> </w:t>
      </w:r>
      <w:r w:rsidRPr="003B0717" w:rsidR="00C60A3B">
        <w:t>“</w:t>
      </w:r>
      <w:r w:rsidRPr="003B0717" w:rsidR="00C73EE1">
        <w:t>a critical question</w:t>
      </w:r>
      <w:r w:rsidRPr="003B0717" w:rsidR="00C60A3B">
        <w:t>,” and therefore finding “</w:t>
      </w:r>
      <w:r w:rsidRPr="003B0717" w:rsidR="00C73EE1">
        <w:t>good cause to accept the supplemental filings in the interest of having as complete a record as possible</w:t>
      </w:r>
      <w:r w:rsidRPr="003B0717" w:rsidR="00C60A3B">
        <w:t>”).</w:t>
      </w:r>
    </w:p>
  </w:footnote>
  <w:footnote w:id="28">
    <w:p w:rsidR="00B217E1" w:rsidRPr="003B0717" w:rsidP="003B0717" w14:paraId="3159B87C" w14:textId="05B5679C">
      <w:pPr>
        <w:pStyle w:val="FootnoteText"/>
        <w:spacing w:after="120"/>
      </w:pPr>
      <w:r w:rsidRPr="003B0717">
        <w:rPr>
          <w:rStyle w:val="FootnoteReference"/>
        </w:rPr>
        <w:footnoteRef/>
      </w:r>
      <w:r w:rsidRPr="003B0717">
        <w:t xml:space="preserve"> </w:t>
      </w:r>
      <w:r w:rsidRPr="003B0717" w:rsidR="00320FF8">
        <w:t>In making this finding, we</w:t>
      </w:r>
      <w:r w:rsidRPr="003B0717">
        <w:t xml:space="preserve"> reject Press’ argument that </w:t>
      </w:r>
      <w:r w:rsidRPr="003B0717" w:rsidR="00444B06">
        <w:t xml:space="preserve">the </w:t>
      </w:r>
      <w:r w:rsidRPr="003B0717" w:rsidR="00444B06">
        <w:rPr>
          <w:i/>
          <w:iCs/>
        </w:rPr>
        <w:t>FM Translator Interference Order</w:t>
      </w:r>
      <w:r w:rsidRPr="003B0717" w:rsidR="00444B06">
        <w:t xml:space="preserve"> </w:t>
      </w:r>
      <w:r w:rsidRPr="003B0717" w:rsidR="00B41132">
        <w:t xml:space="preserve">somehow rendered the </w:t>
      </w:r>
      <w:r w:rsidRPr="003B0717" w:rsidR="00444B06">
        <w:rPr>
          <w:i/>
          <w:iCs/>
        </w:rPr>
        <w:t xml:space="preserve">Nunc Pro </w:t>
      </w:r>
      <w:r w:rsidRPr="003B0717" w:rsidR="00444B06">
        <w:rPr>
          <w:i/>
          <w:iCs/>
        </w:rPr>
        <w:t>Tunc</w:t>
      </w:r>
      <w:r w:rsidRPr="003B0717" w:rsidR="00444B06">
        <w:t xml:space="preserve"> </w:t>
      </w:r>
      <w:r w:rsidRPr="00A84230" w:rsidR="005C2DDA">
        <w:rPr>
          <w:i/>
          <w:iCs/>
        </w:rPr>
        <w:t>P</w:t>
      </w:r>
      <w:r w:rsidRPr="00A84230" w:rsidR="00444B06">
        <w:rPr>
          <w:i/>
          <w:iCs/>
        </w:rPr>
        <w:t>olicy</w:t>
      </w:r>
      <w:r w:rsidRPr="003B0717" w:rsidR="00444B06">
        <w:t xml:space="preserve"> </w:t>
      </w:r>
      <w:r w:rsidRPr="003B0717" w:rsidR="00B41132">
        <w:t>inapplicable to</w:t>
      </w:r>
      <w:r w:rsidRPr="003B0717" w:rsidR="00444B06">
        <w:t xml:space="preserve"> section 74.1204(f) cases.</w:t>
      </w:r>
      <w:r w:rsidRPr="003B0717" w:rsidR="00B41132">
        <w:t xml:space="preserve">  </w:t>
      </w:r>
      <w:r w:rsidRPr="003B0717" w:rsidR="00F71995">
        <w:t xml:space="preserve">Opposition at 1-2.  </w:t>
      </w:r>
      <w:r w:rsidRPr="003B0717" w:rsidR="00024415">
        <w:t xml:space="preserve">That order </w:t>
      </w:r>
      <w:r w:rsidRPr="003B0717" w:rsidR="00F71995">
        <w:t xml:space="preserve">expressed no such intent on the part of the Commission.  </w:t>
      </w:r>
    </w:p>
  </w:footnote>
  <w:footnote w:id="29">
    <w:p w:rsidR="008261FB" w:rsidRPr="003B0717" w:rsidP="003B0717" w14:paraId="772A4E32" w14:textId="2FB5F59B">
      <w:pPr>
        <w:pStyle w:val="FootnoteText"/>
        <w:spacing w:after="120"/>
      </w:pPr>
      <w:r w:rsidRPr="003B0717">
        <w:rPr>
          <w:rStyle w:val="FootnoteReference"/>
        </w:rPr>
        <w:footnoteRef/>
      </w:r>
      <w:r w:rsidRPr="003B0717">
        <w:t xml:space="preserve"> </w:t>
      </w:r>
      <w:r w:rsidRPr="003B0717">
        <w:rPr>
          <w:i/>
          <w:iCs/>
        </w:rPr>
        <w:t xml:space="preserve">Nunc Pro </w:t>
      </w:r>
      <w:r w:rsidRPr="003B0717">
        <w:rPr>
          <w:i/>
          <w:iCs/>
        </w:rPr>
        <w:t>Tunc</w:t>
      </w:r>
      <w:r w:rsidRPr="003B0717">
        <w:rPr>
          <w:i/>
          <w:iCs/>
        </w:rPr>
        <w:t xml:space="preserve"> Policy</w:t>
      </w:r>
      <w:r w:rsidRPr="003B0717">
        <w:t>, 49 Fed. Reg.</w:t>
      </w:r>
      <w:r w:rsidR="005C2DDA">
        <w:t xml:space="preserve"> </w:t>
      </w:r>
      <w:r w:rsidRPr="003B0717">
        <w:t>at 47331.</w:t>
      </w:r>
    </w:p>
  </w:footnote>
  <w:footnote w:id="30">
    <w:p w:rsidR="00454521" w:rsidRPr="003B0717" w:rsidP="003B0717" w14:paraId="3350B9BB" w14:textId="77777777">
      <w:pPr>
        <w:pStyle w:val="FootnoteText"/>
        <w:spacing w:after="120"/>
      </w:pPr>
      <w:r w:rsidRPr="003B0717">
        <w:rPr>
          <w:rStyle w:val="FootnoteReference"/>
        </w:rPr>
        <w:footnoteRef/>
      </w:r>
      <w:r w:rsidRPr="003B0717">
        <w:t xml:space="preserve"> </w:t>
      </w:r>
      <w:r w:rsidRPr="003B0717">
        <w:rPr>
          <w:i/>
          <w:iCs/>
        </w:rPr>
        <w:t>Id</w:t>
      </w:r>
      <w:r w:rsidRPr="003B0717">
        <w:t>.</w:t>
      </w:r>
    </w:p>
  </w:footnote>
  <w:footnote w:id="31">
    <w:p w:rsidR="00454521" w:rsidRPr="003B0717" w:rsidP="003B0717" w14:paraId="3AF20184" w14:textId="49D739B7">
      <w:pPr>
        <w:pStyle w:val="FootnoteText"/>
        <w:spacing w:after="120"/>
      </w:pPr>
      <w:r w:rsidRPr="003B0717">
        <w:rPr>
          <w:rStyle w:val="FootnoteReference"/>
        </w:rPr>
        <w:footnoteRef/>
      </w:r>
      <w:r w:rsidRPr="003B0717">
        <w:t xml:space="preserve"> We note that we do not expect these unique circumstances to present themselves outside of the section 74.1204(f) predicted interference context</w:t>
      </w:r>
      <w:r w:rsidR="005C2DDA">
        <w:t>,</w:t>
      </w:r>
      <w:r w:rsidRPr="003B0717">
        <w:t xml:space="preserve"> because most application defects arise at the moment the application is filed</w:t>
      </w:r>
      <w:r w:rsidR="005C2DDA">
        <w:t>,</w:t>
      </w:r>
      <w:r w:rsidRPr="003B0717">
        <w:t xml:space="preserve"> not when evidence is submitted by another party.</w:t>
      </w:r>
    </w:p>
  </w:footnote>
  <w:footnote w:id="32">
    <w:p w:rsidR="002017EB" w:rsidRPr="003B0717" w:rsidP="003B0717" w14:paraId="2EB7183A" w14:textId="1EAA7322">
      <w:pPr>
        <w:pStyle w:val="FootnoteText"/>
        <w:spacing w:after="120"/>
      </w:pPr>
      <w:r w:rsidRPr="003B0717">
        <w:rPr>
          <w:rStyle w:val="FootnoteReference"/>
        </w:rPr>
        <w:footnoteRef/>
      </w:r>
      <w:r w:rsidRPr="003B0717" w:rsidR="00FB6767">
        <w:rPr>
          <w:i/>
          <w:iCs/>
        </w:rPr>
        <w:t xml:space="preserve"> </w:t>
      </w:r>
      <w:r w:rsidRPr="003B0717" w:rsidR="00FB6767">
        <w:t>Supplement</w:t>
      </w:r>
      <w:r w:rsidRPr="003B0717">
        <w:t xml:space="preserve"> at 5. </w:t>
      </w:r>
      <w:r w:rsidRPr="003B0717" w:rsidR="00FB6767">
        <w:t xml:space="preserve"> </w:t>
      </w:r>
      <w:r w:rsidRPr="003B0717" w:rsidR="00FB6767">
        <w:rPr>
          <w:i/>
          <w:iCs/>
        </w:rPr>
        <w:t xml:space="preserve">See also Nunc Pro </w:t>
      </w:r>
      <w:r w:rsidRPr="003B0717" w:rsidR="00FB6767">
        <w:rPr>
          <w:i/>
          <w:iCs/>
        </w:rPr>
        <w:t>Tunc</w:t>
      </w:r>
      <w:r w:rsidRPr="003B0717" w:rsidR="00FB6767">
        <w:rPr>
          <w:i/>
          <w:iCs/>
        </w:rPr>
        <w:t xml:space="preserve"> Policy</w:t>
      </w:r>
      <w:r w:rsidRPr="003B0717" w:rsidR="00FB6767">
        <w:t>, 49 Fed</w:t>
      </w:r>
      <w:r w:rsidRPr="003B0717" w:rsidR="00CC18B8">
        <w:t xml:space="preserve">. Reg. at 47331 (recognizing that dismissing a construction permit application “can result in severe consequences to the applicant” such as </w:t>
      </w:r>
      <w:r w:rsidRPr="003B0717" w:rsidR="00C906B1">
        <w:t>preclusion from refiling the application, and explaining that the Commission has chosen not to</w:t>
      </w:r>
      <w:r w:rsidRPr="003B0717" w:rsidR="00CC18B8">
        <w:t xml:space="preserve"> </w:t>
      </w:r>
      <w:r w:rsidRPr="003B0717" w:rsidR="00C906B1">
        <w:t>“</w:t>
      </w:r>
      <w:r w:rsidRPr="003B0717" w:rsidR="00CC18B8">
        <w:t>institute</w:t>
      </w:r>
      <w:r w:rsidRPr="003B0717" w:rsidR="00C906B1">
        <w:t>[ ]</w:t>
      </w:r>
      <w:r w:rsidRPr="003B0717" w:rsidR="00CC18B8">
        <w:t xml:space="preserve"> draconian procedures with respect to incomplete or defective applications</w:t>
      </w:r>
      <w:r w:rsidRPr="003B0717" w:rsidR="00C906B1">
        <w:t>”)</w:t>
      </w:r>
      <w:r w:rsidRPr="003B0717" w:rsidR="00CC18B8">
        <w:t xml:space="preserve">. </w:t>
      </w:r>
      <w:r w:rsidRPr="003B0717">
        <w:t xml:space="preserve"> </w:t>
      </w:r>
    </w:p>
  </w:footnote>
  <w:footnote w:id="33">
    <w:p w:rsidR="00082595" w:rsidRPr="003B0717" w:rsidP="003B0717" w14:paraId="0F01044B" w14:textId="1B5475B6">
      <w:pPr>
        <w:pStyle w:val="FootnoteText"/>
        <w:spacing w:after="120"/>
      </w:pPr>
      <w:r w:rsidRPr="003B0717">
        <w:rPr>
          <w:rStyle w:val="FootnoteReference"/>
        </w:rPr>
        <w:footnoteRef/>
      </w:r>
      <w:r w:rsidRPr="003B0717">
        <w:t xml:space="preserve"> </w:t>
      </w:r>
      <w:r w:rsidRPr="003B0717">
        <w:rPr>
          <w:i/>
          <w:iCs/>
        </w:rPr>
        <w:t xml:space="preserve">Comparative Consideration of 32 Groups of Mutually Exclusive Applications for Permits to Construct New or Modified Noncommercial </w:t>
      </w:r>
      <w:r w:rsidR="006D55AF">
        <w:rPr>
          <w:i/>
          <w:iCs/>
        </w:rPr>
        <w:t>Educ.</w:t>
      </w:r>
      <w:r w:rsidRPr="003B0717">
        <w:rPr>
          <w:i/>
          <w:iCs/>
        </w:rPr>
        <w:t xml:space="preserve"> FM Stations filed in the October 2007 Filing Window</w:t>
      </w:r>
      <w:r w:rsidRPr="003B0717">
        <w:t xml:space="preserve">, Memorandum Opinion and Order, 25 FCC Rcd 5013, 5022, para. 24 (2010) </w:t>
      </w:r>
      <w:r w:rsidRPr="003B0717" w:rsidR="003307D7">
        <w:t>(</w:t>
      </w:r>
      <w:r w:rsidRPr="003B0717" w:rsidR="003307D7">
        <w:rPr>
          <w:i/>
          <w:iCs/>
        </w:rPr>
        <w:t>NCE FM Order</w:t>
      </w:r>
      <w:r w:rsidRPr="003B0717" w:rsidR="003307D7">
        <w:t>)</w:t>
      </w:r>
      <w:r w:rsidRPr="003B0717" w:rsidR="00901285">
        <w:t xml:space="preserve"> (</w:t>
      </w:r>
      <w:r w:rsidRPr="003B0717" w:rsidR="00A069F3">
        <w:t>explaining that</w:t>
      </w:r>
      <w:r w:rsidRPr="003B0717" w:rsidR="00901285">
        <w:t xml:space="preserve"> “Public Notice of the dismissal of an application triggers a 30-day period in which the applicant has one opportunity to perfect its application, including any errors not specifically identified by the staff.”</w:t>
      </w:r>
      <w:r w:rsidRPr="003B0717" w:rsidR="00A069F3">
        <w:t>)</w:t>
      </w:r>
      <w:r w:rsidRPr="003B0717">
        <w:t xml:space="preserve">; </w:t>
      </w:r>
      <w:r w:rsidRPr="003B0717">
        <w:rPr>
          <w:i/>
          <w:iCs/>
        </w:rPr>
        <w:t xml:space="preserve">Saddleback </w:t>
      </w:r>
      <w:r w:rsidRPr="003B0717" w:rsidR="00024A4D">
        <w:rPr>
          <w:i/>
          <w:iCs/>
        </w:rPr>
        <w:t>Cmty</w:t>
      </w:r>
      <w:r w:rsidRPr="003B0717" w:rsidR="00024A4D">
        <w:rPr>
          <w:i/>
          <w:iCs/>
        </w:rPr>
        <w:t>.</w:t>
      </w:r>
      <w:r w:rsidRPr="003B0717">
        <w:rPr>
          <w:i/>
          <w:iCs/>
        </w:rPr>
        <w:t xml:space="preserve"> </w:t>
      </w:r>
      <w:r w:rsidRPr="003B0717" w:rsidR="00B12A04">
        <w:rPr>
          <w:i/>
          <w:iCs/>
        </w:rPr>
        <w:t>Coll.</w:t>
      </w:r>
      <w:r w:rsidRPr="003B0717">
        <w:t>, Memorandum Opinion and Order, 11 FCC Rcd 11938, 11941, para. 9 (1996) (</w:t>
      </w:r>
      <w:r w:rsidRPr="003B0717">
        <w:rPr>
          <w:i/>
          <w:iCs/>
        </w:rPr>
        <w:t>Saddleback</w:t>
      </w:r>
      <w:r w:rsidRPr="003B0717">
        <w:t>)</w:t>
      </w:r>
      <w:r w:rsidRPr="003B0717" w:rsidR="003307D7">
        <w:t xml:space="preserve"> (stating that the </w:t>
      </w:r>
      <w:r w:rsidRPr="003B0717" w:rsidR="003307D7">
        <w:rPr>
          <w:i/>
          <w:iCs/>
        </w:rPr>
        <w:t xml:space="preserve">Nunc Pro </w:t>
      </w:r>
      <w:r w:rsidRPr="003B0717" w:rsidR="003307D7">
        <w:rPr>
          <w:i/>
          <w:iCs/>
        </w:rPr>
        <w:t>Tunc</w:t>
      </w:r>
      <w:r w:rsidRPr="003B0717" w:rsidR="003307D7">
        <w:t xml:space="preserve"> </w:t>
      </w:r>
      <w:r w:rsidRPr="00A84230" w:rsidR="005C2DDA">
        <w:rPr>
          <w:i/>
          <w:iCs/>
        </w:rPr>
        <w:t>P</w:t>
      </w:r>
      <w:r w:rsidRPr="00A84230" w:rsidR="003307D7">
        <w:rPr>
          <w:i/>
          <w:iCs/>
        </w:rPr>
        <w:t>olicy</w:t>
      </w:r>
      <w:r w:rsidRPr="003B0717" w:rsidR="003307D7">
        <w:t xml:space="preserve"> “allows for a one-time only amendment” and that “[b]y submitting data crucial to evaluation of the waiver request in a reply pleading, [applicant] was inappropriately attempting to amend the application a second time”)</w:t>
      </w:r>
      <w:r w:rsidRPr="003B0717" w:rsidR="003A5BC0">
        <w:t>.</w:t>
      </w:r>
      <w:r w:rsidRPr="003B0717" w:rsidR="003307D7">
        <w:t xml:space="preserve">  </w:t>
      </w:r>
    </w:p>
  </w:footnote>
  <w:footnote w:id="34">
    <w:p w:rsidR="00563B64" w:rsidRPr="003B0717" w:rsidP="003B0717" w14:paraId="3A411693" w14:textId="4A9D9A37">
      <w:pPr>
        <w:pStyle w:val="FootnoteText"/>
        <w:spacing w:after="120"/>
      </w:pPr>
      <w:r w:rsidRPr="003B0717">
        <w:rPr>
          <w:rStyle w:val="FootnoteReference"/>
        </w:rPr>
        <w:footnoteRef/>
      </w:r>
      <w:r w:rsidRPr="003B0717" w:rsidR="00D96C99">
        <w:rPr>
          <w:i/>
          <w:iCs/>
        </w:rPr>
        <w:t xml:space="preserve"> </w:t>
      </w:r>
      <w:r w:rsidRPr="00B857C3" w:rsidR="00D96C99">
        <w:rPr>
          <w:i/>
          <w:iCs/>
        </w:rPr>
        <w:t>NCE FM Order</w:t>
      </w:r>
      <w:r w:rsidRPr="00B857C3" w:rsidR="00D96C99">
        <w:t>, 25 FCC Rcd at 5022, para. 24.</w:t>
      </w:r>
      <w:r w:rsidRPr="003B0717" w:rsidR="00D96C99">
        <w:t xml:space="preserve">  </w:t>
      </w:r>
    </w:p>
  </w:footnote>
  <w:footnote w:id="35">
    <w:p w:rsidR="00C43273" w:rsidRPr="003B0717" w:rsidP="003B0717" w14:paraId="31950AB1" w14:textId="6A446766">
      <w:pPr>
        <w:pStyle w:val="FootnoteText"/>
        <w:spacing w:after="120"/>
      </w:pPr>
      <w:r w:rsidRPr="003B0717">
        <w:rPr>
          <w:rStyle w:val="FootnoteReference"/>
        </w:rPr>
        <w:footnoteRef/>
      </w:r>
      <w:r w:rsidRPr="003B0717">
        <w:t xml:space="preserve"> </w:t>
      </w:r>
      <w:r w:rsidR="000C6B5C">
        <w:rPr>
          <w:i/>
          <w:iCs/>
        </w:rPr>
        <w:t>Id.  See also</w:t>
      </w:r>
      <w:r w:rsidRPr="003B0717" w:rsidR="00723421">
        <w:rPr>
          <w:i/>
          <w:iCs/>
        </w:rPr>
        <w:t xml:space="preserve"> Nunc Pro </w:t>
      </w:r>
      <w:r w:rsidRPr="003B0717" w:rsidR="00723421">
        <w:rPr>
          <w:i/>
          <w:iCs/>
        </w:rPr>
        <w:t>Tunc</w:t>
      </w:r>
      <w:r w:rsidRPr="003B0717" w:rsidR="00723421">
        <w:rPr>
          <w:i/>
          <w:iCs/>
        </w:rPr>
        <w:t xml:space="preserve"> Policy</w:t>
      </w:r>
      <w:r w:rsidRPr="003B0717" w:rsidR="00723421">
        <w:t>, 49 Fed. Reg.</w:t>
      </w:r>
      <w:r w:rsidR="00961C0E">
        <w:t xml:space="preserve"> </w:t>
      </w:r>
      <w:r w:rsidRPr="003B0717" w:rsidR="00723421">
        <w:t xml:space="preserve">at 47331.  </w:t>
      </w:r>
    </w:p>
  </w:footnote>
  <w:footnote w:id="36">
    <w:p w:rsidR="005A2EB7" w:rsidRPr="003B0717" w:rsidP="003B0717" w14:paraId="5714A7ED" w14:textId="01BD517E">
      <w:pPr>
        <w:spacing w:after="120"/>
      </w:pPr>
      <w:r w:rsidRPr="003B0717">
        <w:rPr>
          <w:rStyle w:val="FootnoteReference"/>
        </w:rPr>
        <w:footnoteRef/>
      </w:r>
      <w:r w:rsidRPr="003B0717">
        <w:t xml:space="preserve"> We had not acted on </w:t>
      </w:r>
      <w:r w:rsidRPr="003B0717" w:rsidR="00163040">
        <w:t>the Petition or the curative amendment</w:t>
      </w:r>
      <w:r w:rsidRPr="003B0717">
        <w:t xml:space="preserve"> at the time Press filed the </w:t>
      </w:r>
      <w:r w:rsidR="00BE23D2">
        <w:t>Second Interference Package</w:t>
      </w:r>
      <w:r w:rsidRPr="003B0717">
        <w:t xml:space="preserve">, or at the time Clear filed its Supplement and </w:t>
      </w:r>
      <w:r w:rsidR="00BE23D2">
        <w:t xml:space="preserve">the </w:t>
      </w:r>
      <w:r w:rsidRPr="003B0717">
        <w:t xml:space="preserve">amendment to the </w:t>
      </w:r>
      <w:r w:rsidRPr="003B0717" w:rsidR="00163040">
        <w:t xml:space="preserve">curative </w:t>
      </w:r>
      <w:r w:rsidRPr="003B0717">
        <w:t xml:space="preserve">amendment.  If we had denied reconsideration based on the Second </w:t>
      </w:r>
      <w:r w:rsidR="00BE23D2">
        <w:t>Interference Package</w:t>
      </w:r>
      <w:r w:rsidRPr="003B0717">
        <w:t xml:space="preserve"> filed by Press</w:t>
      </w:r>
      <w:r w:rsidRPr="003B0717" w:rsidR="00163040">
        <w:t xml:space="preserve">, and </w:t>
      </w:r>
      <w:r w:rsidRPr="003B0717">
        <w:t xml:space="preserve">Clear </w:t>
      </w:r>
      <w:r w:rsidRPr="003B0717" w:rsidR="00163040">
        <w:t xml:space="preserve">then had </w:t>
      </w:r>
      <w:r w:rsidRPr="003B0717">
        <w:t xml:space="preserve">filed the amendment to the </w:t>
      </w:r>
      <w:r w:rsidRPr="003B0717" w:rsidR="00163040">
        <w:t>curative a</w:t>
      </w:r>
      <w:r w:rsidRPr="003B0717">
        <w:t xml:space="preserve">mendment, the </w:t>
      </w:r>
      <w:r w:rsidRPr="003B0717" w:rsidR="00163040">
        <w:t xml:space="preserve">outcome </w:t>
      </w:r>
      <w:r w:rsidRPr="003B0717" w:rsidR="00B60929">
        <w:t>here</w:t>
      </w:r>
      <w:r w:rsidRPr="003B0717">
        <w:t xml:space="preserve"> would be different.  </w:t>
      </w:r>
      <w:r w:rsidRPr="003B0717">
        <w:rPr>
          <w:i/>
          <w:iCs/>
        </w:rPr>
        <w:t xml:space="preserve">See Nunc Pro </w:t>
      </w:r>
      <w:r w:rsidRPr="003B0717">
        <w:rPr>
          <w:i/>
          <w:iCs/>
        </w:rPr>
        <w:t>Tunc</w:t>
      </w:r>
      <w:r w:rsidRPr="003B0717">
        <w:rPr>
          <w:i/>
          <w:iCs/>
        </w:rPr>
        <w:t xml:space="preserve"> Policy</w:t>
      </w:r>
      <w:r w:rsidRPr="003B0717">
        <w:t>, 49 Fed. Reg.at 47331</w:t>
      </w:r>
      <w:r w:rsidRPr="003B0717" w:rsidR="00B60929">
        <w:t xml:space="preserve"> (“If the same application is returned or dismissed a second time, it will not be afforded </w:t>
      </w:r>
      <w:r w:rsidRPr="003B0717" w:rsidR="00B60929">
        <w:rPr>
          <w:i/>
          <w:iCs/>
        </w:rPr>
        <w:t>nunc</w:t>
      </w:r>
      <w:r w:rsidRPr="003B0717" w:rsidR="00B60929">
        <w:rPr>
          <w:i/>
          <w:iCs/>
        </w:rPr>
        <w:t xml:space="preserve"> pro </w:t>
      </w:r>
      <w:r w:rsidRPr="003B0717" w:rsidR="00B60929">
        <w:rPr>
          <w:i/>
          <w:iCs/>
        </w:rPr>
        <w:t>tunc</w:t>
      </w:r>
      <w:r w:rsidRPr="003B0717" w:rsidR="00B60929">
        <w:t xml:space="preserve"> reconsideration rights.”).</w:t>
      </w:r>
      <w:r w:rsidRPr="003B0717">
        <w:t xml:space="preserve">  </w:t>
      </w:r>
      <w:r w:rsidRPr="003B0717">
        <w:rPr>
          <w:i/>
          <w:iCs/>
        </w:rPr>
        <w:t>See also Levine/Schwab Partnership</w:t>
      </w:r>
      <w:r w:rsidRPr="003B0717">
        <w:t xml:space="preserve">, Letter Order, 35 FCC Rcd 13036 (MB 2020) (finding </w:t>
      </w:r>
      <w:r w:rsidRPr="003B0717">
        <w:rPr>
          <w:i/>
          <w:iCs/>
        </w:rPr>
        <w:t xml:space="preserve">Nunc Pro </w:t>
      </w:r>
      <w:r w:rsidRPr="003B0717">
        <w:rPr>
          <w:i/>
          <w:iCs/>
        </w:rPr>
        <w:t>Tunc</w:t>
      </w:r>
      <w:r w:rsidRPr="003B0717">
        <w:t xml:space="preserve"> </w:t>
      </w:r>
      <w:r w:rsidRPr="00A84230" w:rsidR="00961C0E">
        <w:rPr>
          <w:i/>
          <w:iCs/>
        </w:rPr>
        <w:t>P</w:t>
      </w:r>
      <w:r w:rsidRPr="00A84230">
        <w:rPr>
          <w:i/>
          <w:iCs/>
        </w:rPr>
        <w:t>olicy</w:t>
      </w:r>
      <w:r w:rsidRPr="003B0717">
        <w:t xml:space="preserve"> did not permit filing of second petition for reconsideration and request for reinstatement, and second curative amendment).  </w:t>
      </w:r>
    </w:p>
  </w:footnote>
  <w:footnote w:id="37">
    <w:p w:rsidR="00B12A04" w:rsidRPr="003B0717" w:rsidP="003B0717" w14:paraId="63251600" w14:textId="4454771D">
      <w:pPr>
        <w:pStyle w:val="FootnoteText"/>
        <w:spacing w:after="120"/>
      </w:pPr>
      <w:r w:rsidRPr="003B0717">
        <w:rPr>
          <w:rStyle w:val="FootnoteReference"/>
        </w:rPr>
        <w:footnoteRef/>
      </w:r>
      <w:r w:rsidRPr="003B0717">
        <w:t xml:space="preserve"> </w:t>
      </w:r>
      <w:r w:rsidRPr="00067FC5">
        <w:rPr>
          <w:i/>
          <w:iCs/>
        </w:rPr>
        <w:t>Saddleback</w:t>
      </w:r>
      <w:r w:rsidRPr="00067FC5">
        <w:t xml:space="preserve">, </w:t>
      </w:r>
      <w:r w:rsidRPr="00067FC5" w:rsidR="00345ECA">
        <w:t>11 FCC Rcd at 11941, para. 9.</w:t>
      </w:r>
    </w:p>
  </w:footnote>
  <w:footnote w:id="38">
    <w:p w:rsidR="0016336E" w:rsidRPr="003B0717" w:rsidP="003B0717" w14:paraId="3C3E2276" w14:textId="60CE03EF">
      <w:pPr>
        <w:pStyle w:val="FootnoteText"/>
        <w:spacing w:after="120"/>
      </w:pPr>
      <w:r w:rsidRPr="003B0717">
        <w:rPr>
          <w:rStyle w:val="FootnoteReference"/>
        </w:rPr>
        <w:footnoteRef/>
      </w:r>
      <w:r w:rsidRPr="003B0717">
        <w:t xml:space="preserve"> </w:t>
      </w:r>
      <w:r w:rsidRPr="003B0717" w:rsidR="00374A4B">
        <w:rPr>
          <w:i/>
          <w:iCs/>
        </w:rPr>
        <w:t xml:space="preserve">See Nunc Pro </w:t>
      </w:r>
      <w:r w:rsidRPr="003B0717" w:rsidR="00374A4B">
        <w:rPr>
          <w:i/>
          <w:iCs/>
        </w:rPr>
        <w:t>Tunc</w:t>
      </w:r>
      <w:r w:rsidRPr="003B0717" w:rsidR="00374A4B">
        <w:rPr>
          <w:i/>
          <w:iCs/>
        </w:rPr>
        <w:t xml:space="preserve"> Policy</w:t>
      </w:r>
      <w:r w:rsidRPr="003B0717" w:rsidR="00374A4B">
        <w:t>, 49 Fed. Reg.</w:t>
      </w:r>
      <w:r w:rsidR="005C2DDA">
        <w:t xml:space="preserve"> </w:t>
      </w:r>
      <w:r w:rsidRPr="003B0717" w:rsidR="00374A4B">
        <w:t xml:space="preserve">at 47331.  </w:t>
      </w:r>
    </w:p>
  </w:footnote>
  <w:footnote w:id="39">
    <w:p w:rsidR="00F50EBE" w14:paraId="51AA9FB8" w14:textId="49A80CA6">
      <w:pPr>
        <w:pStyle w:val="FootnoteText"/>
      </w:pPr>
      <w:r>
        <w:rPr>
          <w:rStyle w:val="FootnoteReference"/>
        </w:rPr>
        <w:footnoteRef/>
      </w:r>
      <w:r>
        <w:t xml:space="preserve"> Petition at 4.</w:t>
      </w:r>
    </w:p>
  </w:footnote>
  <w:footnote w:id="40">
    <w:p w:rsidR="00CA0EB3" w:rsidRPr="003B0717" w:rsidP="003B0717" w14:paraId="154879D3" w14:textId="56EBEDCB">
      <w:pPr>
        <w:autoSpaceDE w:val="0"/>
        <w:autoSpaceDN w:val="0"/>
        <w:adjustRightInd w:val="0"/>
        <w:spacing w:after="120"/>
      </w:pPr>
      <w:r w:rsidRPr="003B0717">
        <w:rPr>
          <w:rStyle w:val="FootnoteReference"/>
        </w:rPr>
        <w:footnoteRef/>
      </w:r>
      <w:r w:rsidRPr="003B0717">
        <w:t xml:space="preserve"> </w:t>
      </w:r>
      <w:r w:rsidRPr="00067FC5">
        <w:rPr>
          <w:i/>
          <w:iCs/>
        </w:rPr>
        <w:t>FM Translator Interference Order</w:t>
      </w:r>
      <w:r w:rsidRPr="003B0717">
        <w:t xml:space="preserve">, 34 FCC Rcd </w:t>
      </w:r>
      <w:r w:rsidR="00312548">
        <w:t>at 3465,</w:t>
      </w:r>
      <w:r w:rsidRPr="003B0717">
        <w:t xml:space="preserve"> n.56 (explaining that “[t]he requirement that complaining stations submit a minimum number of listener complaints applies to both claims of actual interference from existing stations under section 74.1203(a)(3) and predicted interference claims for pending applications under section 74.1204(f)”), </w:t>
      </w:r>
      <w:r w:rsidR="00384252">
        <w:t>3469,</w:t>
      </w:r>
      <w:r w:rsidRPr="003B0717">
        <w:t xml:space="preserve"> para. 23 (setting forth additional interference claim requirements applicable to interference claims made pursuant to either section 74.1203(a)(3) or 74.1204(f)), </w:t>
      </w:r>
      <w:r w:rsidR="00384252">
        <w:t>3477-78,</w:t>
      </w:r>
      <w:r w:rsidRPr="003B0717">
        <w:t xml:space="preserve"> para. 40</w:t>
      </w:r>
      <w:r w:rsidR="00384252">
        <w:t>,</w:t>
      </w:r>
      <w:r w:rsidRPr="003B0717">
        <w:t xml:space="preserve"> and</w:t>
      </w:r>
      <w:r w:rsidR="00A230E5">
        <w:t xml:space="preserve"> 3481-82, para.</w:t>
      </w:r>
      <w:r w:rsidRPr="003B0717">
        <w:t xml:space="preserve"> 48 (adopting the 45 dBµ contour as “the outer limit beyond which a listener complaint will not be considered actionable,” and stating that “Sections 74.1203(a)(3) and 74.1204(f)” would be amended to reflect this).</w:t>
      </w:r>
    </w:p>
  </w:footnote>
  <w:footnote w:id="41">
    <w:p w:rsidR="00B320B5" w:rsidRPr="003B0717" w:rsidP="003B0717" w14:paraId="768B3137" w14:textId="7FCFD30D">
      <w:pPr>
        <w:pStyle w:val="FootnoteText"/>
        <w:spacing w:after="120"/>
      </w:pPr>
      <w:r w:rsidRPr="003B0717">
        <w:rPr>
          <w:rStyle w:val="FootnoteReference"/>
        </w:rPr>
        <w:footnoteRef/>
      </w:r>
      <w:r w:rsidRPr="003B0717">
        <w:t xml:space="preserve"> </w:t>
      </w:r>
      <w:r w:rsidRPr="003B0717" w:rsidR="008B411E">
        <w:t xml:space="preserve">The </w:t>
      </w:r>
      <w:r w:rsidRPr="00A230E5" w:rsidR="008B411E">
        <w:rPr>
          <w:i/>
          <w:iCs/>
        </w:rPr>
        <w:t>FM Translator Interference Order</w:t>
      </w:r>
      <w:r w:rsidRPr="003B0717" w:rsidR="008B411E">
        <w:t xml:space="preserve"> states that</w:t>
      </w:r>
      <w:r w:rsidRPr="003B0717" w:rsidR="00B83B83">
        <w:t>, “[</w:t>
      </w:r>
      <w:r w:rsidRPr="003B0717" w:rsidR="00B83B83">
        <w:t>i</w:t>
      </w:r>
      <w:r w:rsidRPr="003B0717" w:rsidR="00B83B83">
        <w:t>]f</w:t>
      </w:r>
      <w:r w:rsidRPr="003B0717" w:rsidR="008B411E">
        <w:t xml:space="preserve"> all interference complaints have not been resolved by the remediation deadline, the Commission may order the immediate suspension of translator operations or reduction of power pursuant to section 74.1203(b).”</w:t>
      </w:r>
      <w:r w:rsidRPr="003B0717" w:rsidR="00B83B83">
        <w:t xml:space="preserve">  </w:t>
      </w:r>
      <w:r w:rsidRPr="00224D22" w:rsidR="00224D22">
        <w:rPr>
          <w:i/>
          <w:iCs/>
        </w:rPr>
        <w:t>Id</w:t>
      </w:r>
      <w:r w:rsidR="00224D22">
        <w:t>.</w:t>
      </w:r>
      <w:r w:rsidRPr="003B0717" w:rsidR="00B83B83">
        <w:t xml:space="preserve"> </w:t>
      </w:r>
      <w:r w:rsidR="00224D22">
        <w:t xml:space="preserve">at </w:t>
      </w:r>
      <w:r w:rsidR="007568AB">
        <w:t xml:space="preserve">3475, para. 35. </w:t>
      </w:r>
      <w:r w:rsidRPr="003B0717" w:rsidR="00B83B83">
        <w:t xml:space="preserve"> </w:t>
      </w:r>
      <w:r w:rsidRPr="003B0717">
        <w:t xml:space="preserve">Likewise, </w:t>
      </w:r>
      <w:r w:rsidRPr="003B0717" w:rsidR="00B83B83">
        <w:t xml:space="preserve">in </w:t>
      </w:r>
      <w:r w:rsidRPr="003B0717">
        <w:t>the introduction to the section on “Remediation Procedures” (which includes the discussion of remediation deadlines)</w:t>
      </w:r>
      <w:r w:rsidRPr="003B0717" w:rsidR="00B83B83">
        <w:t>, it</w:t>
      </w:r>
      <w:r w:rsidRPr="003B0717">
        <w:t xml:space="preserve"> states “[w]</w:t>
      </w:r>
      <w:r w:rsidRPr="003B0717">
        <w:t>hatever</w:t>
      </w:r>
      <w:r w:rsidRPr="003B0717">
        <w:t xml:space="preserve"> approach(es) [</w:t>
      </w:r>
      <w:r w:rsidRPr="003B0717" w:rsidR="00F22B56">
        <w:t xml:space="preserve">to remediating interference </w:t>
      </w:r>
      <w:r w:rsidRPr="003B0717">
        <w:t xml:space="preserve">a translator operator] chooses, the translator operator must submit data demonstrating that the interference has been resolved by the relevant deadline or be subject to suspension of operations or reduction of power pursuant to section 74.1203(b).”  </w:t>
      </w:r>
      <w:r w:rsidRPr="007568AB" w:rsidR="007568AB">
        <w:rPr>
          <w:i/>
          <w:iCs/>
        </w:rPr>
        <w:t>Id</w:t>
      </w:r>
      <w:r w:rsidR="007568AB">
        <w:t>. at 3471, para. 27.</w:t>
      </w:r>
    </w:p>
  </w:footnote>
  <w:footnote w:id="42">
    <w:p w:rsidR="00257F11" w:rsidRPr="003B0717" w:rsidP="003B0717" w14:paraId="1A10E174" w14:textId="6CDB0FDC">
      <w:pPr>
        <w:pStyle w:val="FootnoteText"/>
        <w:spacing w:after="120"/>
      </w:pPr>
      <w:r w:rsidRPr="003B0717">
        <w:rPr>
          <w:rStyle w:val="FootnoteReference"/>
        </w:rPr>
        <w:footnoteRef/>
      </w:r>
      <w:r w:rsidRPr="003B0717">
        <w:t xml:space="preserve"> </w:t>
      </w:r>
      <w:r w:rsidRPr="003B0717" w:rsidR="00981196">
        <w:t>47 CFR § 1.106(f).</w:t>
      </w:r>
    </w:p>
  </w:footnote>
  <w:footnote w:id="43">
    <w:p w:rsidR="0041605D" w:rsidRPr="003B0717" w:rsidP="003B0717" w14:paraId="6397BE0E" w14:textId="1CAC368D">
      <w:pPr>
        <w:pStyle w:val="FootnoteText"/>
        <w:spacing w:after="120"/>
      </w:pPr>
      <w:r w:rsidRPr="003B0717">
        <w:rPr>
          <w:rStyle w:val="FootnoteReference"/>
        </w:rPr>
        <w:footnoteRef/>
      </w:r>
      <w:r w:rsidRPr="003B0717">
        <w:t xml:space="preserve"> 47 U.S.C. § 405(a); 47 CFR § 1.106</w:t>
      </w:r>
      <w:r w:rsidRPr="003B0717" w:rsidR="000A0113">
        <w:t>(j).</w:t>
      </w:r>
    </w:p>
  </w:footnote>
  <w:footnote w:id="44">
    <w:p w:rsidR="003F4553" w:rsidRPr="003B0717" w:rsidP="003B0717" w14:paraId="21E00BDA" w14:textId="1480138B">
      <w:pPr>
        <w:pStyle w:val="FootnoteText"/>
        <w:spacing w:after="120"/>
      </w:pPr>
      <w:r w:rsidRPr="003B0717">
        <w:rPr>
          <w:rStyle w:val="FootnoteReference"/>
        </w:rPr>
        <w:footnoteRef/>
      </w:r>
      <w:r w:rsidRPr="003B0717">
        <w:t xml:space="preserve"> 47 U.S.C. § 309(a).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2EE786FA" w14:textId="77777777">
    <w:pPr>
      <w:pStyle w:val="Header"/>
      <w:tabs>
        <w:tab w:val="clear" w:pos="4320"/>
        <w:tab w:val="clear" w:pos="8640"/>
      </w:tabs>
      <w:spacing w:before="360" w:line="228"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59.25pt;height:59.25pt;margin-top:0;margin-left:-31.8pt;position:absolute;z-index:-251658240" wrapcoords="7656 0 5742 547 1367 3828 273 6562 -273 8203 -273 13397 1641 17499 1641 18046 6835 21327 7656 21327 13671 21327 14491 21327 19686 18046 19686 17499 21600 13397 21600 8203 20233 3828 15858 820 13671 0 7656 0">
          <v:imagedata r:id="rId1" o:title="fcc-seal-rgb-2020"/>
          <w10:wrap type="tight"/>
        </v:shape>
      </w:pict>
    </w:r>
    <w:r>
      <w:rPr>
        <w:rFonts w:ascii="CG Times (W1)" w:hAnsi="CG Times (W1)"/>
        <w:sz w:val="28"/>
      </w:rPr>
      <w:t>Federal Communications Commission</w:t>
    </w:r>
  </w:p>
  <w:p w:rsidR="002B54DB" w:rsidP="001333F1" w14:paraId="0331EF74"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14:paraId="2DBBE552" w14:textId="77777777">
    <w:pPr>
      <w:pStyle w:val="Header"/>
      <w:tabs>
        <w:tab w:val="clear" w:pos="4320"/>
      </w:tabs>
      <w:jc w:val="center"/>
      <w:rPr>
        <w:sz w:val="22"/>
      </w:rPr>
    </w:pPr>
  </w:p>
  <w:p w:rsidR="002B54DB" w14:paraId="1C594CC4" w14:textId="77777777">
    <w:pPr>
      <w:pStyle w:val="Header"/>
      <w:tabs>
        <w:tab w:val="clear" w:pos="4320"/>
      </w:tabs>
      <w:jc w:val="center"/>
      <w:rPr>
        <w:sz w:val="22"/>
      </w:rPr>
    </w:pPr>
  </w:p>
  <w:p w:rsidR="002B54DB" w14:paraId="28E2BABE" w14:textId="1BAD86B3">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FE7157">
      <w:rPr>
        <w:noProof/>
        <w:sz w:val="24"/>
      </w:rPr>
      <w:t>August 11, 2021</w:t>
    </w:r>
    <w:r>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C4"/>
    <w:rsid w:val="000038EE"/>
    <w:rsid w:val="0000484B"/>
    <w:rsid w:val="00006132"/>
    <w:rsid w:val="00013A58"/>
    <w:rsid w:val="0001402F"/>
    <w:rsid w:val="00016055"/>
    <w:rsid w:val="00020A75"/>
    <w:rsid w:val="000238B5"/>
    <w:rsid w:val="00024415"/>
    <w:rsid w:val="00024A4D"/>
    <w:rsid w:val="00024CCB"/>
    <w:rsid w:val="000304BB"/>
    <w:rsid w:val="000305D7"/>
    <w:rsid w:val="00034E07"/>
    <w:rsid w:val="00035EA3"/>
    <w:rsid w:val="00043E73"/>
    <w:rsid w:val="00045B34"/>
    <w:rsid w:val="000539CA"/>
    <w:rsid w:val="00063BD9"/>
    <w:rsid w:val="00064BBE"/>
    <w:rsid w:val="000676E4"/>
    <w:rsid w:val="00067FC5"/>
    <w:rsid w:val="00070F21"/>
    <w:rsid w:val="0007677A"/>
    <w:rsid w:val="000775B0"/>
    <w:rsid w:val="00082595"/>
    <w:rsid w:val="00087C72"/>
    <w:rsid w:val="00092603"/>
    <w:rsid w:val="0009741D"/>
    <w:rsid w:val="000A0113"/>
    <w:rsid w:val="000A2225"/>
    <w:rsid w:val="000B5A32"/>
    <w:rsid w:val="000C0992"/>
    <w:rsid w:val="000C4DB5"/>
    <w:rsid w:val="000C5682"/>
    <w:rsid w:val="000C6B5C"/>
    <w:rsid w:val="000D01CD"/>
    <w:rsid w:val="000D6099"/>
    <w:rsid w:val="000E023F"/>
    <w:rsid w:val="000E6376"/>
    <w:rsid w:val="000F62EF"/>
    <w:rsid w:val="000F6C1A"/>
    <w:rsid w:val="00103082"/>
    <w:rsid w:val="0011438C"/>
    <w:rsid w:val="001214F5"/>
    <w:rsid w:val="001217FF"/>
    <w:rsid w:val="001330BB"/>
    <w:rsid w:val="001333F1"/>
    <w:rsid w:val="00140A9E"/>
    <w:rsid w:val="0015009A"/>
    <w:rsid w:val="0015269C"/>
    <w:rsid w:val="001564E4"/>
    <w:rsid w:val="001615E4"/>
    <w:rsid w:val="00163040"/>
    <w:rsid w:val="0016336E"/>
    <w:rsid w:val="0016749A"/>
    <w:rsid w:val="00171E4D"/>
    <w:rsid w:val="001737B5"/>
    <w:rsid w:val="00173D2F"/>
    <w:rsid w:val="00181715"/>
    <w:rsid w:val="00182243"/>
    <w:rsid w:val="001A442D"/>
    <w:rsid w:val="001B5F75"/>
    <w:rsid w:val="001D3E9B"/>
    <w:rsid w:val="001D61F8"/>
    <w:rsid w:val="001E0159"/>
    <w:rsid w:val="001E2DBA"/>
    <w:rsid w:val="002017EB"/>
    <w:rsid w:val="00203439"/>
    <w:rsid w:val="00204CE3"/>
    <w:rsid w:val="00210EEC"/>
    <w:rsid w:val="002150A0"/>
    <w:rsid w:val="00216EBA"/>
    <w:rsid w:val="0021790E"/>
    <w:rsid w:val="00224D22"/>
    <w:rsid w:val="002258BC"/>
    <w:rsid w:val="00230F1B"/>
    <w:rsid w:val="0023171C"/>
    <w:rsid w:val="00233C1B"/>
    <w:rsid w:val="0023656C"/>
    <w:rsid w:val="00252346"/>
    <w:rsid w:val="00257F11"/>
    <w:rsid w:val="002601F5"/>
    <w:rsid w:val="002622CC"/>
    <w:rsid w:val="00264E02"/>
    <w:rsid w:val="00265380"/>
    <w:rsid w:val="00274A83"/>
    <w:rsid w:val="002845C1"/>
    <w:rsid w:val="002A0E04"/>
    <w:rsid w:val="002B2CB5"/>
    <w:rsid w:val="002B3377"/>
    <w:rsid w:val="002B54DB"/>
    <w:rsid w:val="002C38E9"/>
    <w:rsid w:val="002C7E1B"/>
    <w:rsid w:val="002D0560"/>
    <w:rsid w:val="002D28D0"/>
    <w:rsid w:val="002D561C"/>
    <w:rsid w:val="002E1863"/>
    <w:rsid w:val="002E4C89"/>
    <w:rsid w:val="002F19A3"/>
    <w:rsid w:val="002F302E"/>
    <w:rsid w:val="002F639E"/>
    <w:rsid w:val="003044F5"/>
    <w:rsid w:val="003120D9"/>
    <w:rsid w:val="00312548"/>
    <w:rsid w:val="00312C4E"/>
    <w:rsid w:val="00313A27"/>
    <w:rsid w:val="00317013"/>
    <w:rsid w:val="00317CAD"/>
    <w:rsid w:val="00320FF8"/>
    <w:rsid w:val="003216CD"/>
    <w:rsid w:val="00322782"/>
    <w:rsid w:val="0032387E"/>
    <w:rsid w:val="003307D7"/>
    <w:rsid w:val="00332828"/>
    <w:rsid w:val="00332A96"/>
    <w:rsid w:val="00341F39"/>
    <w:rsid w:val="0034315E"/>
    <w:rsid w:val="00345ECA"/>
    <w:rsid w:val="00352593"/>
    <w:rsid w:val="003566EF"/>
    <w:rsid w:val="003572EC"/>
    <w:rsid w:val="00373B17"/>
    <w:rsid w:val="00374737"/>
    <w:rsid w:val="00374A4B"/>
    <w:rsid w:val="0037589D"/>
    <w:rsid w:val="003766FF"/>
    <w:rsid w:val="00384252"/>
    <w:rsid w:val="003854B4"/>
    <w:rsid w:val="00393E24"/>
    <w:rsid w:val="00394FAE"/>
    <w:rsid w:val="00397F0E"/>
    <w:rsid w:val="003A3409"/>
    <w:rsid w:val="003A3D05"/>
    <w:rsid w:val="003A5BC0"/>
    <w:rsid w:val="003B0717"/>
    <w:rsid w:val="003B0A0F"/>
    <w:rsid w:val="003B4091"/>
    <w:rsid w:val="003B5AE0"/>
    <w:rsid w:val="003C2EDB"/>
    <w:rsid w:val="003C67D4"/>
    <w:rsid w:val="003F1DB7"/>
    <w:rsid w:val="003F2415"/>
    <w:rsid w:val="003F3003"/>
    <w:rsid w:val="003F4553"/>
    <w:rsid w:val="00401BDF"/>
    <w:rsid w:val="00402F2A"/>
    <w:rsid w:val="00404D36"/>
    <w:rsid w:val="00412936"/>
    <w:rsid w:val="0041605D"/>
    <w:rsid w:val="0041722A"/>
    <w:rsid w:val="004248DE"/>
    <w:rsid w:val="004248EF"/>
    <w:rsid w:val="00435AD8"/>
    <w:rsid w:val="004371CE"/>
    <w:rsid w:val="00442BEE"/>
    <w:rsid w:val="00444B06"/>
    <w:rsid w:val="004457EB"/>
    <w:rsid w:val="004464EC"/>
    <w:rsid w:val="00454521"/>
    <w:rsid w:val="004547F3"/>
    <w:rsid w:val="00471109"/>
    <w:rsid w:val="004718D9"/>
    <w:rsid w:val="00474D98"/>
    <w:rsid w:val="00475C5E"/>
    <w:rsid w:val="00477FA4"/>
    <w:rsid w:val="00484FDF"/>
    <w:rsid w:val="004858B7"/>
    <w:rsid w:val="0049234F"/>
    <w:rsid w:val="004A53B7"/>
    <w:rsid w:val="004A66A4"/>
    <w:rsid w:val="004B6CDB"/>
    <w:rsid w:val="004C422F"/>
    <w:rsid w:val="004C4837"/>
    <w:rsid w:val="004C7417"/>
    <w:rsid w:val="004D259D"/>
    <w:rsid w:val="004D3B53"/>
    <w:rsid w:val="004E0C99"/>
    <w:rsid w:val="004E6E53"/>
    <w:rsid w:val="004F6A86"/>
    <w:rsid w:val="005004AC"/>
    <w:rsid w:val="005033D0"/>
    <w:rsid w:val="005035C4"/>
    <w:rsid w:val="0050503F"/>
    <w:rsid w:val="00506234"/>
    <w:rsid w:val="00511E89"/>
    <w:rsid w:val="0051425B"/>
    <w:rsid w:val="0051799E"/>
    <w:rsid w:val="005333D0"/>
    <w:rsid w:val="005340BA"/>
    <w:rsid w:val="00537527"/>
    <w:rsid w:val="0055202F"/>
    <w:rsid w:val="005551BC"/>
    <w:rsid w:val="00556D02"/>
    <w:rsid w:val="00563B64"/>
    <w:rsid w:val="00564E1D"/>
    <w:rsid w:val="00565020"/>
    <w:rsid w:val="00566731"/>
    <w:rsid w:val="0057180C"/>
    <w:rsid w:val="00571E04"/>
    <w:rsid w:val="00572984"/>
    <w:rsid w:val="0057311D"/>
    <w:rsid w:val="00573730"/>
    <w:rsid w:val="0057446A"/>
    <w:rsid w:val="00577678"/>
    <w:rsid w:val="0058247C"/>
    <w:rsid w:val="00585A3E"/>
    <w:rsid w:val="00587E81"/>
    <w:rsid w:val="00592022"/>
    <w:rsid w:val="005936A7"/>
    <w:rsid w:val="005A0922"/>
    <w:rsid w:val="005A13C4"/>
    <w:rsid w:val="005A2E94"/>
    <w:rsid w:val="005A2EB7"/>
    <w:rsid w:val="005A7426"/>
    <w:rsid w:val="005B08C7"/>
    <w:rsid w:val="005B492E"/>
    <w:rsid w:val="005B4E94"/>
    <w:rsid w:val="005C2DDA"/>
    <w:rsid w:val="005C3C41"/>
    <w:rsid w:val="005C6659"/>
    <w:rsid w:val="005D2276"/>
    <w:rsid w:val="005E78B5"/>
    <w:rsid w:val="005F7BCC"/>
    <w:rsid w:val="0060098A"/>
    <w:rsid w:val="00600B90"/>
    <w:rsid w:val="00602BEE"/>
    <w:rsid w:val="00620E97"/>
    <w:rsid w:val="006233EE"/>
    <w:rsid w:val="0062671C"/>
    <w:rsid w:val="00626D5F"/>
    <w:rsid w:val="0062798B"/>
    <w:rsid w:val="00632B9D"/>
    <w:rsid w:val="00634B97"/>
    <w:rsid w:val="00635834"/>
    <w:rsid w:val="00640004"/>
    <w:rsid w:val="00640CC0"/>
    <w:rsid w:val="00643656"/>
    <w:rsid w:val="00644AA1"/>
    <w:rsid w:val="00661EFC"/>
    <w:rsid w:val="00667A24"/>
    <w:rsid w:val="00672A26"/>
    <w:rsid w:val="00675669"/>
    <w:rsid w:val="006768F7"/>
    <w:rsid w:val="00680AF7"/>
    <w:rsid w:val="0068138F"/>
    <w:rsid w:val="0068187C"/>
    <w:rsid w:val="00687DC5"/>
    <w:rsid w:val="00697F79"/>
    <w:rsid w:val="006A12B4"/>
    <w:rsid w:val="006A749B"/>
    <w:rsid w:val="006B6A32"/>
    <w:rsid w:val="006C122D"/>
    <w:rsid w:val="006C16AA"/>
    <w:rsid w:val="006C53DB"/>
    <w:rsid w:val="006D50CD"/>
    <w:rsid w:val="006D55AF"/>
    <w:rsid w:val="006D5972"/>
    <w:rsid w:val="006D6655"/>
    <w:rsid w:val="006D6DB5"/>
    <w:rsid w:val="006E0F19"/>
    <w:rsid w:val="006F0C54"/>
    <w:rsid w:val="006F622A"/>
    <w:rsid w:val="006F7B47"/>
    <w:rsid w:val="00702873"/>
    <w:rsid w:val="00704E69"/>
    <w:rsid w:val="00707609"/>
    <w:rsid w:val="007156B9"/>
    <w:rsid w:val="00716440"/>
    <w:rsid w:val="007212D7"/>
    <w:rsid w:val="00723421"/>
    <w:rsid w:val="0073346E"/>
    <w:rsid w:val="00734D04"/>
    <w:rsid w:val="00742026"/>
    <w:rsid w:val="007444D4"/>
    <w:rsid w:val="0075596F"/>
    <w:rsid w:val="007568AB"/>
    <w:rsid w:val="00763702"/>
    <w:rsid w:val="00764CFB"/>
    <w:rsid w:val="007747B4"/>
    <w:rsid w:val="0078100E"/>
    <w:rsid w:val="00787309"/>
    <w:rsid w:val="00795CED"/>
    <w:rsid w:val="007A0E9D"/>
    <w:rsid w:val="007A2579"/>
    <w:rsid w:val="007B2F30"/>
    <w:rsid w:val="007B3819"/>
    <w:rsid w:val="007B6213"/>
    <w:rsid w:val="007B6DA7"/>
    <w:rsid w:val="007C0B6A"/>
    <w:rsid w:val="007C7A8C"/>
    <w:rsid w:val="007D68B5"/>
    <w:rsid w:val="007E2C10"/>
    <w:rsid w:val="007F17D4"/>
    <w:rsid w:val="00805977"/>
    <w:rsid w:val="00807193"/>
    <w:rsid w:val="00820580"/>
    <w:rsid w:val="008261FB"/>
    <w:rsid w:val="008313F2"/>
    <w:rsid w:val="00832415"/>
    <w:rsid w:val="00834582"/>
    <w:rsid w:val="008437D2"/>
    <w:rsid w:val="008569A8"/>
    <w:rsid w:val="00857A6E"/>
    <w:rsid w:val="00863466"/>
    <w:rsid w:val="008659AA"/>
    <w:rsid w:val="00872116"/>
    <w:rsid w:val="0087756D"/>
    <w:rsid w:val="0089081E"/>
    <w:rsid w:val="00893C55"/>
    <w:rsid w:val="008A15D8"/>
    <w:rsid w:val="008A502B"/>
    <w:rsid w:val="008B411E"/>
    <w:rsid w:val="008B4364"/>
    <w:rsid w:val="008B6DC8"/>
    <w:rsid w:val="008D05FC"/>
    <w:rsid w:val="008D1526"/>
    <w:rsid w:val="008D5588"/>
    <w:rsid w:val="008E08BE"/>
    <w:rsid w:val="008E1726"/>
    <w:rsid w:val="008E691B"/>
    <w:rsid w:val="008F71AB"/>
    <w:rsid w:val="008F71E4"/>
    <w:rsid w:val="00900B26"/>
    <w:rsid w:val="00901285"/>
    <w:rsid w:val="009025D7"/>
    <w:rsid w:val="00905077"/>
    <w:rsid w:val="00907FA4"/>
    <w:rsid w:val="00910E75"/>
    <w:rsid w:val="009110EF"/>
    <w:rsid w:val="0091440C"/>
    <w:rsid w:val="00915C54"/>
    <w:rsid w:val="00920C16"/>
    <w:rsid w:val="00922F1D"/>
    <w:rsid w:val="00925E75"/>
    <w:rsid w:val="00927B49"/>
    <w:rsid w:val="00932C65"/>
    <w:rsid w:val="00935656"/>
    <w:rsid w:val="00936729"/>
    <w:rsid w:val="00940F89"/>
    <w:rsid w:val="009455A1"/>
    <w:rsid w:val="00951DB6"/>
    <w:rsid w:val="009611C6"/>
    <w:rsid w:val="00961C0E"/>
    <w:rsid w:val="00962C92"/>
    <w:rsid w:val="0097151C"/>
    <w:rsid w:val="00981196"/>
    <w:rsid w:val="00983EFA"/>
    <w:rsid w:val="00985702"/>
    <w:rsid w:val="00993CC0"/>
    <w:rsid w:val="0099639F"/>
    <w:rsid w:val="00996C79"/>
    <w:rsid w:val="009A151E"/>
    <w:rsid w:val="009A4D20"/>
    <w:rsid w:val="009B0C51"/>
    <w:rsid w:val="009B185B"/>
    <w:rsid w:val="009B32CE"/>
    <w:rsid w:val="009B38A8"/>
    <w:rsid w:val="009D3014"/>
    <w:rsid w:val="009E4D4D"/>
    <w:rsid w:val="009E6161"/>
    <w:rsid w:val="009E770A"/>
    <w:rsid w:val="009F19B6"/>
    <w:rsid w:val="009F5C46"/>
    <w:rsid w:val="009F6580"/>
    <w:rsid w:val="009F6807"/>
    <w:rsid w:val="00A00F14"/>
    <w:rsid w:val="00A0254F"/>
    <w:rsid w:val="00A067D0"/>
    <w:rsid w:val="00A069F3"/>
    <w:rsid w:val="00A11A15"/>
    <w:rsid w:val="00A11F82"/>
    <w:rsid w:val="00A2191B"/>
    <w:rsid w:val="00A230E5"/>
    <w:rsid w:val="00A31AFA"/>
    <w:rsid w:val="00A40DAD"/>
    <w:rsid w:val="00A444BD"/>
    <w:rsid w:val="00A51883"/>
    <w:rsid w:val="00A5533F"/>
    <w:rsid w:val="00A662DA"/>
    <w:rsid w:val="00A8022D"/>
    <w:rsid w:val="00A82224"/>
    <w:rsid w:val="00A84230"/>
    <w:rsid w:val="00A85C3A"/>
    <w:rsid w:val="00AA2DD8"/>
    <w:rsid w:val="00AA36A1"/>
    <w:rsid w:val="00AA4B53"/>
    <w:rsid w:val="00AA5636"/>
    <w:rsid w:val="00AB348F"/>
    <w:rsid w:val="00AC11C2"/>
    <w:rsid w:val="00AD0953"/>
    <w:rsid w:val="00AD23C2"/>
    <w:rsid w:val="00AE0D92"/>
    <w:rsid w:val="00AE48A3"/>
    <w:rsid w:val="00AE65C4"/>
    <w:rsid w:val="00AE7501"/>
    <w:rsid w:val="00AE7FAC"/>
    <w:rsid w:val="00AF0886"/>
    <w:rsid w:val="00AF1BFE"/>
    <w:rsid w:val="00AF59AE"/>
    <w:rsid w:val="00AF6055"/>
    <w:rsid w:val="00B021E0"/>
    <w:rsid w:val="00B037CB"/>
    <w:rsid w:val="00B05A18"/>
    <w:rsid w:val="00B10687"/>
    <w:rsid w:val="00B12A04"/>
    <w:rsid w:val="00B1339D"/>
    <w:rsid w:val="00B13A98"/>
    <w:rsid w:val="00B13EE0"/>
    <w:rsid w:val="00B217E1"/>
    <w:rsid w:val="00B22ADE"/>
    <w:rsid w:val="00B25B52"/>
    <w:rsid w:val="00B25C9D"/>
    <w:rsid w:val="00B279A1"/>
    <w:rsid w:val="00B3066F"/>
    <w:rsid w:val="00B31B84"/>
    <w:rsid w:val="00B320B5"/>
    <w:rsid w:val="00B33616"/>
    <w:rsid w:val="00B362B1"/>
    <w:rsid w:val="00B41132"/>
    <w:rsid w:val="00B46CAE"/>
    <w:rsid w:val="00B541D5"/>
    <w:rsid w:val="00B54D78"/>
    <w:rsid w:val="00B55FF3"/>
    <w:rsid w:val="00B60929"/>
    <w:rsid w:val="00B76C9C"/>
    <w:rsid w:val="00B80467"/>
    <w:rsid w:val="00B816CF"/>
    <w:rsid w:val="00B83B83"/>
    <w:rsid w:val="00B84A6B"/>
    <w:rsid w:val="00B85548"/>
    <w:rsid w:val="00B857C3"/>
    <w:rsid w:val="00B86A9F"/>
    <w:rsid w:val="00B87BC8"/>
    <w:rsid w:val="00BA369E"/>
    <w:rsid w:val="00BA42F5"/>
    <w:rsid w:val="00BB0061"/>
    <w:rsid w:val="00BB391E"/>
    <w:rsid w:val="00BB411B"/>
    <w:rsid w:val="00BB45B6"/>
    <w:rsid w:val="00BB6097"/>
    <w:rsid w:val="00BC28FD"/>
    <w:rsid w:val="00BC5D41"/>
    <w:rsid w:val="00BC71A7"/>
    <w:rsid w:val="00BE16E0"/>
    <w:rsid w:val="00BE23D2"/>
    <w:rsid w:val="00BE33ED"/>
    <w:rsid w:val="00BF0602"/>
    <w:rsid w:val="00BF2F2F"/>
    <w:rsid w:val="00BF3ED9"/>
    <w:rsid w:val="00BF4453"/>
    <w:rsid w:val="00BF67E6"/>
    <w:rsid w:val="00C03789"/>
    <w:rsid w:val="00C06C6C"/>
    <w:rsid w:val="00C07106"/>
    <w:rsid w:val="00C10D41"/>
    <w:rsid w:val="00C13819"/>
    <w:rsid w:val="00C2249F"/>
    <w:rsid w:val="00C22F57"/>
    <w:rsid w:val="00C43273"/>
    <w:rsid w:val="00C5065A"/>
    <w:rsid w:val="00C567D4"/>
    <w:rsid w:val="00C60A3B"/>
    <w:rsid w:val="00C62AAE"/>
    <w:rsid w:val="00C63359"/>
    <w:rsid w:val="00C65562"/>
    <w:rsid w:val="00C656F5"/>
    <w:rsid w:val="00C73EE1"/>
    <w:rsid w:val="00C808B5"/>
    <w:rsid w:val="00C83885"/>
    <w:rsid w:val="00C851AB"/>
    <w:rsid w:val="00C906B1"/>
    <w:rsid w:val="00C92CD0"/>
    <w:rsid w:val="00C96CD5"/>
    <w:rsid w:val="00CA0E12"/>
    <w:rsid w:val="00CA0EB3"/>
    <w:rsid w:val="00CA636A"/>
    <w:rsid w:val="00CB44A6"/>
    <w:rsid w:val="00CB5833"/>
    <w:rsid w:val="00CB74BB"/>
    <w:rsid w:val="00CC18B8"/>
    <w:rsid w:val="00CC4E64"/>
    <w:rsid w:val="00CD4145"/>
    <w:rsid w:val="00CD52CD"/>
    <w:rsid w:val="00CD5F9D"/>
    <w:rsid w:val="00CD6C07"/>
    <w:rsid w:val="00CE5FE1"/>
    <w:rsid w:val="00CF1BE9"/>
    <w:rsid w:val="00CF1E81"/>
    <w:rsid w:val="00CF2986"/>
    <w:rsid w:val="00CF2D67"/>
    <w:rsid w:val="00CF4ADF"/>
    <w:rsid w:val="00D01B54"/>
    <w:rsid w:val="00D01B8E"/>
    <w:rsid w:val="00D043FF"/>
    <w:rsid w:val="00D072EE"/>
    <w:rsid w:val="00D116B7"/>
    <w:rsid w:val="00D16C46"/>
    <w:rsid w:val="00D31AE2"/>
    <w:rsid w:val="00D41F76"/>
    <w:rsid w:val="00D440D4"/>
    <w:rsid w:val="00D47457"/>
    <w:rsid w:val="00D53B02"/>
    <w:rsid w:val="00D54B39"/>
    <w:rsid w:val="00D57B9E"/>
    <w:rsid w:val="00D6136B"/>
    <w:rsid w:val="00D633BD"/>
    <w:rsid w:val="00D6487C"/>
    <w:rsid w:val="00D668BF"/>
    <w:rsid w:val="00D75B43"/>
    <w:rsid w:val="00D76D2A"/>
    <w:rsid w:val="00D80677"/>
    <w:rsid w:val="00D9159D"/>
    <w:rsid w:val="00D96C99"/>
    <w:rsid w:val="00D97A6E"/>
    <w:rsid w:val="00DA0A11"/>
    <w:rsid w:val="00DA3912"/>
    <w:rsid w:val="00DA6B7B"/>
    <w:rsid w:val="00DB03B3"/>
    <w:rsid w:val="00DB0AD4"/>
    <w:rsid w:val="00DB0F38"/>
    <w:rsid w:val="00DB33D2"/>
    <w:rsid w:val="00DB5B27"/>
    <w:rsid w:val="00DC0E0B"/>
    <w:rsid w:val="00DC33E9"/>
    <w:rsid w:val="00DC3606"/>
    <w:rsid w:val="00DC4044"/>
    <w:rsid w:val="00DC5EA2"/>
    <w:rsid w:val="00DC5EA9"/>
    <w:rsid w:val="00DC6B7D"/>
    <w:rsid w:val="00DD4E55"/>
    <w:rsid w:val="00DF0439"/>
    <w:rsid w:val="00DF364A"/>
    <w:rsid w:val="00E02A28"/>
    <w:rsid w:val="00E055E0"/>
    <w:rsid w:val="00E1267A"/>
    <w:rsid w:val="00E2260F"/>
    <w:rsid w:val="00E30E88"/>
    <w:rsid w:val="00E377A6"/>
    <w:rsid w:val="00E420FE"/>
    <w:rsid w:val="00E45935"/>
    <w:rsid w:val="00E5310C"/>
    <w:rsid w:val="00E5539C"/>
    <w:rsid w:val="00E5591C"/>
    <w:rsid w:val="00E61EF2"/>
    <w:rsid w:val="00E63645"/>
    <w:rsid w:val="00E64691"/>
    <w:rsid w:val="00E67D45"/>
    <w:rsid w:val="00E83491"/>
    <w:rsid w:val="00E8731F"/>
    <w:rsid w:val="00E949DA"/>
    <w:rsid w:val="00EA4222"/>
    <w:rsid w:val="00EC0410"/>
    <w:rsid w:val="00EC3D3F"/>
    <w:rsid w:val="00ED42C5"/>
    <w:rsid w:val="00ED45D9"/>
    <w:rsid w:val="00ED51AE"/>
    <w:rsid w:val="00ED543B"/>
    <w:rsid w:val="00ED571F"/>
    <w:rsid w:val="00ED69BE"/>
    <w:rsid w:val="00EE567E"/>
    <w:rsid w:val="00EF31B5"/>
    <w:rsid w:val="00EF4A3F"/>
    <w:rsid w:val="00F029A2"/>
    <w:rsid w:val="00F045CF"/>
    <w:rsid w:val="00F04993"/>
    <w:rsid w:val="00F055A6"/>
    <w:rsid w:val="00F067A3"/>
    <w:rsid w:val="00F07849"/>
    <w:rsid w:val="00F10257"/>
    <w:rsid w:val="00F13E62"/>
    <w:rsid w:val="00F14ED7"/>
    <w:rsid w:val="00F153A1"/>
    <w:rsid w:val="00F173F2"/>
    <w:rsid w:val="00F22B56"/>
    <w:rsid w:val="00F242B3"/>
    <w:rsid w:val="00F25DE3"/>
    <w:rsid w:val="00F260A8"/>
    <w:rsid w:val="00F3593E"/>
    <w:rsid w:val="00F40F16"/>
    <w:rsid w:val="00F4208C"/>
    <w:rsid w:val="00F436E0"/>
    <w:rsid w:val="00F50BF6"/>
    <w:rsid w:val="00F50EBE"/>
    <w:rsid w:val="00F54505"/>
    <w:rsid w:val="00F5452E"/>
    <w:rsid w:val="00F62156"/>
    <w:rsid w:val="00F71995"/>
    <w:rsid w:val="00F76585"/>
    <w:rsid w:val="00F836CD"/>
    <w:rsid w:val="00F91BA4"/>
    <w:rsid w:val="00F93324"/>
    <w:rsid w:val="00F963F6"/>
    <w:rsid w:val="00F97D35"/>
    <w:rsid w:val="00FA09BE"/>
    <w:rsid w:val="00FA15F5"/>
    <w:rsid w:val="00FB6767"/>
    <w:rsid w:val="00FC137E"/>
    <w:rsid w:val="00FC5042"/>
    <w:rsid w:val="00FC6B23"/>
    <w:rsid w:val="00FC6C53"/>
    <w:rsid w:val="00FD11AE"/>
    <w:rsid w:val="00FD16A2"/>
    <w:rsid w:val="00FD44B6"/>
    <w:rsid w:val="00FD5405"/>
    <w:rsid w:val="00FD7AB7"/>
    <w:rsid w:val="00FE0618"/>
    <w:rsid w:val="00FE0800"/>
    <w:rsid w:val="00FE0DE0"/>
    <w:rsid w:val="00FE25D3"/>
    <w:rsid w:val="00FE6C49"/>
    <w:rsid w:val="00FE7157"/>
    <w:rsid w:val="00FF0FF7"/>
    <w:rsid w:val="00FF3DE3"/>
    <w:rsid w:val="00FF5B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24BF44D"/>
  <w15:chartTrackingRefBased/>
  <w15:docId w15:val="{F4AD0CA5-F93E-49A3-A92E-3E89D204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76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unhideWhenUsed/>
    <w:rsid w:val="00B76C9C"/>
    <w:rPr>
      <w:color w:val="0563C1"/>
      <w:u w:val="single"/>
    </w:rPr>
  </w:style>
  <w:style w:type="character" w:customStyle="1" w:styleId="UnresolvedMention">
    <w:name w:val="Unresolved Mention"/>
    <w:uiPriority w:val="99"/>
    <w:semiHidden/>
    <w:unhideWhenUsed/>
    <w:rsid w:val="00B76C9C"/>
    <w:rPr>
      <w:color w:val="605E5C"/>
      <w:shd w:val="clear" w:color="auto" w:fill="E1DFDD"/>
    </w:r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f,fn,fn Char,rrfootnote"/>
    <w:basedOn w:val="Normal"/>
    <w:link w:val="FootnoteTextChar2"/>
    <w:qFormat/>
    <w:rsid w:val="0060098A"/>
  </w:style>
  <w:style w:type="character" w:customStyle="1" w:styleId="FootnoteTextChar">
    <w:name w:val="Footnote Text Char"/>
    <w:basedOn w:val="DefaultParagraphFont"/>
    <w:uiPriority w:val="99"/>
    <w:semiHidden/>
    <w:rsid w:val="0060098A"/>
  </w:style>
  <w:style w:type="character" w:styleId="FootnoteReference">
    <w:name w:val="footnote reference"/>
    <w:aliases w:val="(NECG) Footnote Reference,Appel note de bas de p,FR,Footnote Reference/,Footnote Reference1,Style 12,Style 124,Style 13,Style 17,Style 3,Style 4,Style 6,fr,o"/>
    <w:rsid w:val="0060098A"/>
    <w:rPr>
      <w:vertAlign w:val="superscript"/>
    </w:rPr>
  </w:style>
  <w:style w:type="character" w:customStyle="1" w:styleId="FootnoteTextChar2">
    <w:name w:val="Footnote Text Char2"/>
    <w:aliases w:val="Footnote Text Char Char Char4 Char Char,Footnote Text Char1 Char,Footnote Text Char4 Char1 Char Char,Footnote Text Char4 Char1 Char Char Char Char Char,Footnote Text Char7 Char Char,Footnote Text Char7 Char Char Char Char Char,f Char"/>
    <w:link w:val="FootnoteText"/>
    <w:locked/>
    <w:rsid w:val="0060098A"/>
  </w:style>
  <w:style w:type="character" w:customStyle="1" w:styleId="ssit">
    <w:name w:val="ss_it"/>
    <w:rsid w:val="0060098A"/>
  </w:style>
  <w:style w:type="character" w:customStyle="1" w:styleId="sssh">
    <w:name w:val="ss_sh"/>
    <w:rsid w:val="0060098A"/>
  </w:style>
  <w:style w:type="character" w:customStyle="1" w:styleId="ssleftalign">
    <w:name w:val="ss_leftalign"/>
    <w:rsid w:val="00AD0953"/>
  </w:style>
  <w:style w:type="character" w:styleId="CommentReference">
    <w:name w:val="annotation reference"/>
    <w:uiPriority w:val="99"/>
    <w:semiHidden/>
    <w:unhideWhenUsed/>
    <w:rsid w:val="00D633BD"/>
    <w:rPr>
      <w:sz w:val="16"/>
      <w:szCs w:val="16"/>
    </w:rPr>
  </w:style>
  <w:style w:type="paragraph" w:styleId="CommentText">
    <w:name w:val="annotation text"/>
    <w:basedOn w:val="Normal"/>
    <w:link w:val="CommentTextChar"/>
    <w:uiPriority w:val="99"/>
    <w:semiHidden/>
    <w:unhideWhenUsed/>
    <w:rsid w:val="00D633BD"/>
  </w:style>
  <w:style w:type="character" w:customStyle="1" w:styleId="CommentTextChar">
    <w:name w:val="Comment Text Char"/>
    <w:basedOn w:val="DefaultParagraphFont"/>
    <w:link w:val="CommentText"/>
    <w:uiPriority w:val="99"/>
    <w:semiHidden/>
    <w:rsid w:val="00D633BD"/>
  </w:style>
  <w:style w:type="paragraph" w:styleId="CommentSubject">
    <w:name w:val="annotation subject"/>
    <w:basedOn w:val="CommentText"/>
    <w:next w:val="CommentText"/>
    <w:link w:val="CommentSubjectChar"/>
    <w:uiPriority w:val="99"/>
    <w:semiHidden/>
    <w:unhideWhenUsed/>
    <w:rsid w:val="00D633BD"/>
    <w:rPr>
      <w:b/>
      <w:bCs/>
    </w:rPr>
  </w:style>
  <w:style w:type="character" w:customStyle="1" w:styleId="CommentSubjectChar">
    <w:name w:val="Comment Subject Char"/>
    <w:link w:val="CommentSubject"/>
    <w:uiPriority w:val="99"/>
    <w:semiHidden/>
    <w:rsid w:val="00D633BD"/>
    <w:rPr>
      <w:b/>
      <w:bCs/>
    </w:rPr>
  </w:style>
  <w:style w:type="paragraph" w:styleId="BalloonText">
    <w:name w:val="Balloon Text"/>
    <w:basedOn w:val="Normal"/>
    <w:link w:val="BalloonTextChar"/>
    <w:uiPriority w:val="99"/>
    <w:semiHidden/>
    <w:unhideWhenUsed/>
    <w:rsid w:val="00D633BD"/>
    <w:rPr>
      <w:rFonts w:ascii="Segoe UI" w:hAnsi="Segoe UI" w:cs="Segoe UI"/>
      <w:sz w:val="18"/>
      <w:szCs w:val="18"/>
    </w:rPr>
  </w:style>
  <w:style w:type="character" w:customStyle="1" w:styleId="BalloonTextChar">
    <w:name w:val="Balloon Text Char"/>
    <w:link w:val="BalloonText"/>
    <w:uiPriority w:val="99"/>
    <w:semiHidden/>
    <w:rsid w:val="00D633BD"/>
    <w:rPr>
      <w:rFonts w:ascii="Segoe UI" w:hAnsi="Segoe UI" w:cs="Segoe UI"/>
      <w:sz w:val="18"/>
      <w:szCs w:val="18"/>
    </w:rPr>
  </w:style>
  <w:style w:type="character" w:customStyle="1" w:styleId="FooterChar">
    <w:name w:val="Footer Char"/>
    <w:link w:val="Footer"/>
    <w:uiPriority w:val="99"/>
    <w:rsid w:val="00755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elodie.Virtue@foster.com" TargetMode="External" /><Relationship Id="rId6" Type="http://schemas.openxmlformats.org/officeDocument/2006/relationships/hyperlink" Target="mailto:Reid.Avett@wbd-us.com" TargetMode="Externa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