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DA72F3" w:rsidP="00C82B6B" w14:paraId="2DAA5F7F" w14:textId="0D88AA10">
      <w:pPr>
        <w:jc w:val="right"/>
        <w:rPr>
          <w:szCs w:val="22"/>
        </w:rPr>
      </w:pPr>
      <w:r>
        <w:rPr>
          <w:szCs w:val="22"/>
        </w:rPr>
        <w:t xml:space="preserve"> </w:t>
      </w:r>
    </w:p>
    <w:p w:rsidR="00013A8B" w:rsidRPr="00DA72F3" w:rsidP="00013A8B" w14:paraId="32F554F0" w14:textId="4764A2DD">
      <w:pPr>
        <w:jc w:val="right"/>
        <w:rPr>
          <w:b/>
          <w:szCs w:val="22"/>
        </w:rPr>
      </w:pPr>
      <w:r w:rsidRPr="00DA72F3">
        <w:rPr>
          <w:b/>
          <w:szCs w:val="22"/>
        </w:rPr>
        <w:t>DA 2</w:t>
      </w:r>
      <w:r w:rsidR="003035B9">
        <w:rPr>
          <w:b/>
          <w:szCs w:val="22"/>
        </w:rPr>
        <w:t>1</w:t>
      </w:r>
      <w:r w:rsidRPr="00DA72F3">
        <w:rPr>
          <w:b/>
          <w:szCs w:val="22"/>
        </w:rPr>
        <w:t>-</w:t>
      </w:r>
      <w:r w:rsidR="00902359">
        <w:rPr>
          <w:b/>
          <w:szCs w:val="22"/>
        </w:rPr>
        <w:t>99</w:t>
      </w:r>
    </w:p>
    <w:p w:rsidR="00013A8B" w:rsidRPr="00DA72F3" w:rsidP="00013A8B" w14:paraId="08C839E8" w14:textId="1359CF76">
      <w:pPr>
        <w:spacing w:before="60"/>
        <w:jc w:val="right"/>
        <w:rPr>
          <w:b/>
          <w:szCs w:val="22"/>
        </w:rPr>
      </w:pPr>
      <w:r w:rsidRPr="00DA72F3">
        <w:rPr>
          <w:b/>
          <w:szCs w:val="22"/>
        </w:rPr>
        <w:t xml:space="preserve">Released:  </w:t>
      </w:r>
      <w:r w:rsidR="00902359">
        <w:rPr>
          <w:b/>
          <w:szCs w:val="22"/>
        </w:rPr>
        <w:t>February 1, 2021</w:t>
      </w:r>
    </w:p>
    <w:p w:rsidR="00013A8B" w:rsidRPr="00DA72F3" w:rsidP="00013A8B" w14:paraId="04622E09" w14:textId="77777777">
      <w:pPr>
        <w:jc w:val="right"/>
        <w:rPr>
          <w:szCs w:val="22"/>
        </w:rPr>
      </w:pPr>
    </w:p>
    <w:p w:rsidR="00F610CE" w:rsidP="00013A8B" w14:paraId="0967C418" w14:textId="0B8BAC50">
      <w:pPr>
        <w:jc w:val="center"/>
        <w:rPr>
          <w:b/>
          <w:szCs w:val="22"/>
        </w:rPr>
      </w:pPr>
      <w:r w:rsidRPr="00387C3A">
        <w:rPr>
          <w:b/>
          <w:szCs w:val="22"/>
        </w:rPr>
        <w:t xml:space="preserve">PUBLIC SAFETY AND HOMELAND SECURITY BUREAU SEEKS COMMENT ON ILLINOIS AMERICAN WATER COMPANY </w:t>
      </w:r>
      <w:r w:rsidR="003D01B6">
        <w:rPr>
          <w:b/>
          <w:szCs w:val="22"/>
        </w:rPr>
        <w:t xml:space="preserve">REQUEST TO SHARE </w:t>
      </w:r>
      <w:r w:rsidR="004E25DA">
        <w:rPr>
          <w:b/>
          <w:szCs w:val="22"/>
        </w:rPr>
        <w:t>8</w:t>
      </w:r>
      <w:r w:rsidR="003D01B6">
        <w:rPr>
          <w:b/>
          <w:szCs w:val="22"/>
        </w:rPr>
        <w:t>00</w:t>
      </w:r>
      <w:r>
        <w:rPr>
          <w:b/>
          <w:szCs w:val="22"/>
        </w:rPr>
        <w:t xml:space="preserve"> AND </w:t>
      </w:r>
      <w:r w:rsidR="004E25DA">
        <w:rPr>
          <w:b/>
          <w:szCs w:val="22"/>
        </w:rPr>
        <w:t>7</w:t>
      </w:r>
      <w:r w:rsidR="003D01B6">
        <w:rPr>
          <w:b/>
          <w:szCs w:val="22"/>
        </w:rPr>
        <w:t>00 MHZ</w:t>
      </w:r>
      <w:r w:rsidRPr="00387C3A">
        <w:rPr>
          <w:b/>
          <w:szCs w:val="22"/>
        </w:rPr>
        <w:t xml:space="preserve"> </w:t>
      </w:r>
    </w:p>
    <w:p w:rsidR="00387C3A" w:rsidP="00013A8B" w14:paraId="1EF0FBBE" w14:textId="1270B8A1">
      <w:pPr>
        <w:jc w:val="center"/>
        <w:rPr>
          <w:b/>
          <w:szCs w:val="22"/>
        </w:rPr>
      </w:pPr>
      <w:r w:rsidRPr="00387C3A">
        <w:rPr>
          <w:b/>
          <w:szCs w:val="22"/>
        </w:rPr>
        <w:t xml:space="preserve">PUBLIC SAFETY </w:t>
      </w:r>
      <w:r w:rsidR="002178E6">
        <w:rPr>
          <w:b/>
          <w:szCs w:val="22"/>
        </w:rPr>
        <w:t>FREQUENCIES</w:t>
      </w:r>
    </w:p>
    <w:p w:rsidR="00387C3A" w:rsidP="00013A8B" w14:paraId="5AD0B5D0" w14:textId="77777777">
      <w:pPr>
        <w:jc w:val="center"/>
        <w:rPr>
          <w:b/>
          <w:szCs w:val="22"/>
        </w:rPr>
      </w:pPr>
    </w:p>
    <w:p w:rsidR="00013A8B" w:rsidRPr="00DA72F3" w:rsidP="00013A8B" w14:paraId="5306FED6" w14:textId="49DEC6DA">
      <w:pPr>
        <w:jc w:val="center"/>
        <w:rPr>
          <w:b/>
          <w:szCs w:val="22"/>
        </w:rPr>
      </w:pPr>
      <w:r w:rsidRPr="00DA72F3">
        <w:rPr>
          <w:b/>
          <w:szCs w:val="22"/>
        </w:rPr>
        <w:t xml:space="preserve">PS Docket </w:t>
      </w:r>
      <w:r w:rsidR="00902359">
        <w:rPr>
          <w:b/>
          <w:szCs w:val="22"/>
        </w:rPr>
        <w:t xml:space="preserve">No. </w:t>
      </w:r>
      <w:r w:rsidRPr="00DA72F3">
        <w:rPr>
          <w:b/>
          <w:szCs w:val="22"/>
        </w:rPr>
        <w:t>2</w:t>
      </w:r>
      <w:r w:rsidR="003529A8">
        <w:rPr>
          <w:b/>
          <w:szCs w:val="22"/>
        </w:rPr>
        <w:t>1</w:t>
      </w:r>
      <w:r w:rsidRPr="00DA72F3">
        <w:rPr>
          <w:b/>
          <w:szCs w:val="22"/>
        </w:rPr>
        <w:t>-</w:t>
      </w:r>
      <w:r w:rsidR="00902359">
        <w:rPr>
          <w:b/>
          <w:szCs w:val="22"/>
        </w:rPr>
        <w:t>32</w:t>
      </w:r>
    </w:p>
    <w:p w:rsidR="00F96F63" w:rsidRPr="00DA72F3" w:rsidP="00F96F63" w14:paraId="4E6B345A" w14:textId="77777777">
      <w:pPr>
        <w:rPr>
          <w:szCs w:val="22"/>
        </w:rPr>
      </w:pPr>
      <w:bookmarkStart w:id="0" w:name="TOChere"/>
    </w:p>
    <w:bookmarkEnd w:id="0"/>
    <w:p w:rsidR="00F96F63" w:rsidRPr="00200C31" w:rsidP="00F96F63" w14:paraId="01C44E05" w14:textId="2B8256A9">
      <w:pPr>
        <w:rPr>
          <w:b/>
          <w:bCs/>
          <w:szCs w:val="22"/>
        </w:rPr>
      </w:pPr>
      <w:r w:rsidRPr="00200C31">
        <w:rPr>
          <w:b/>
          <w:bCs/>
          <w:szCs w:val="22"/>
        </w:rPr>
        <w:t>Comment</w:t>
      </w:r>
      <w:r w:rsidRPr="00200C31" w:rsidR="00594712">
        <w:rPr>
          <w:b/>
          <w:bCs/>
          <w:szCs w:val="22"/>
        </w:rPr>
        <w:t>s Due</w:t>
      </w:r>
      <w:r w:rsidRPr="00200C31" w:rsidR="008F0859">
        <w:rPr>
          <w:b/>
          <w:bCs/>
          <w:szCs w:val="22"/>
        </w:rPr>
        <w:t>:</w:t>
      </w:r>
      <w:r w:rsidRPr="00200C31">
        <w:rPr>
          <w:b/>
          <w:bCs/>
          <w:szCs w:val="22"/>
        </w:rPr>
        <w:t xml:space="preserve"> </w:t>
      </w:r>
      <w:r w:rsidR="00902359">
        <w:rPr>
          <w:b/>
          <w:bCs/>
          <w:szCs w:val="22"/>
        </w:rPr>
        <w:t>March 3, 2021</w:t>
      </w:r>
    </w:p>
    <w:p w:rsidR="00DA72F3" w:rsidRPr="00200C31" w:rsidP="00F96F63" w14:paraId="19F75165" w14:textId="08441B5B">
      <w:pPr>
        <w:rPr>
          <w:b/>
          <w:bCs/>
          <w:szCs w:val="22"/>
        </w:rPr>
      </w:pPr>
      <w:r w:rsidRPr="00200C31">
        <w:rPr>
          <w:b/>
          <w:bCs/>
          <w:szCs w:val="22"/>
        </w:rPr>
        <w:t>Reply Comment</w:t>
      </w:r>
      <w:r w:rsidRPr="00200C31" w:rsidR="00594712">
        <w:rPr>
          <w:b/>
          <w:bCs/>
          <w:szCs w:val="22"/>
        </w:rPr>
        <w:t>s</w:t>
      </w:r>
      <w:r w:rsidRPr="00200C31">
        <w:rPr>
          <w:b/>
          <w:bCs/>
          <w:szCs w:val="22"/>
        </w:rPr>
        <w:t xml:space="preserve"> D</w:t>
      </w:r>
      <w:r w:rsidRPr="00200C31" w:rsidR="00594712">
        <w:rPr>
          <w:b/>
          <w:bCs/>
          <w:szCs w:val="22"/>
        </w:rPr>
        <w:t>ue</w:t>
      </w:r>
      <w:r w:rsidRPr="00200C31" w:rsidR="008F0859">
        <w:rPr>
          <w:b/>
          <w:bCs/>
          <w:szCs w:val="22"/>
        </w:rPr>
        <w:t>:</w:t>
      </w:r>
      <w:r w:rsidRPr="00200C31">
        <w:rPr>
          <w:b/>
          <w:bCs/>
          <w:szCs w:val="22"/>
        </w:rPr>
        <w:t xml:space="preserve"> </w:t>
      </w:r>
      <w:r w:rsidR="00902359">
        <w:rPr>
          <w:b/>
          <w:bCs/>
          <w:szCs w:val="22"/>
        </w:rPr>
        <w:t>March 18, 2021</w:t>
      </w:r>
      <w:bookmarkStart w:id="1" w:name="_GoBack"/>
      <w:bookmarkEnd w:id="1"/>
    </w:p>
    <w:p w:rsidR="00DA72F3" w:rsidRPr="00200C31" w:rsidP="00F96F63" w14:paraId="456BCBB2" w14:textId="77777777">
      <w:pPr>
        <w:rPr>
          <w:szCs w:val="22"/>
        </w:rPr>
      </w:pPr>
    </w:p>
    <w:p w:rsidR="00DA72F3" w:rsidRPr="00200C31" w:rsidP="00DA72F3" w14:paraId="62F1C9D1" w14:textId="4EF0EA46">
      <w:pPr>
        <w:spacing w:after="120"/>
        <w:ind w:firstLine="720"/>
        <w:rPr>
          <w:szCs w:val="22"/>
        </w:rPr>
      </w:pPr>
      <w:r w:rsidRPr="00200C31">
        <w:rPr>
          <w:szCs w:val="22"/>
        </w:rPr>
        <w:t xml:space="preserve">The Public Safety and Homeland Security Bureau (Bureau) seeks comment from interested parties on the </w:t>
      </w:r>
      <w:r w:rsidRPr="00200C31" w:rsidR="00DC6E42">
        <w:rPr>
          <w:szCs w:val="22"/>
        </w:rPr>
        <w:t>Request</w:t>
      </w:r>
      <w:r w:rsidRPr="00200C31">
        <w:rPr>
          <w:szCs w:val="22"/>
        </w:rPr>
        <w:t xml:space="preserve"> for Waiver filed </w:t>
      </w:r>
      <w:r w:rsidRPr="00200C31" w:rsidR="00DF5338">
        <w:rPr>
          <w:szCs w:val="22"/>
        </w:rPr>
        <w:t>November 16, 2020</w:t>
      </w:r>
      <w:r w:rsidRPr="00200C31" w:rsidR="00DC6E42">
        <w:rPr>
          <w:szCs w:val="22"/>
        </w:rPr>
        <w:t>,</w:t>
      </w:r>
      <w:r w:rsidRPr="00200C31" w:rsidR="00AD3C9D">
        <w:rPr>
          <w:szCs w:val="22"/>
        </w:rPr>
        <w:t xml:space="preserve"> and amended December 18, 2020</w:t>
      </w:r>
      <w:r w:rsidRPr="00200C31" w:rsidR="00110C84">
        <w:rPr>
          <w:szCs w:val="22"/>
        </w:rPr>
        <w:t>,</w:t>
      </w:r>
      <w:r w:rsidRPr="00200C31" w:rsidR="00DF5338">
        <w:rPr>
          <w:szCs w:val="22"/>
        </w:rPr>
        <w:t xml:space="preserve"> </w:t>
      </w:r>
      <w:r w:rsidRPr="00200C31">
        <w:rPr>
          <w:szCs w:val="22"/>
        </w:rPr>
        <w:t xml:space="preserve">by </w:t>
      </w:r>
      <w:r w:rsidRPr="00200C31" w:rsidR="00DF5338">
        <w:rPr>
          <w:szCs w:val="22"/>
        </w:rPr>
        <w:t xml:space="preserve">the </w:t>
      </w:r>
      <w:r w:rsidRPr="00200C31">
        <w:rPr>
          <w:szCs w:val="22"/>
        </w:rPr>
        <w:t>Illinois American Water Company (ILAW)</w:t>
      </w:r>
      <w:r w:rsidR="006D6B64">
        <w:rPr>
          <w:szCs w:val="22"/>
        </w:rPr>
        <w:t>,</w:t>
      </w:r>
      <w:r w:rsidRPr="00200C31" w:rsidR="004A7C5F">
        <w:rPr>
          <w:szCs w:val="22"/>
        </w:rPr>
        <w:t xml:space="preserve"> which provides critical infrastructure in the provision of water and wastewater services</w:t>
      </w:r>
      <w:r w:rsidRPr="00200C31">
        <w:rPr>
          <w:szCs w:val="22"/>
        </w:rPr>
        <w:t>.</w:t>
      </w:r>
      <w:r>
        <w:rPr>
          <w:rStyle w:val="FootnoteReference"/>
          <w:szCs w:val="22"/>
        </w:rPr>
        <w:footnoteReference w:id="3"/>
      </w:r>
      <w:r w:rsidRPr="00200C31">
        <w:rPr>
          <w:szCs w:val="22"/>
        </w:rPr>
        <w:t xml:space="preserve">  ILAW</w:t>
      </w:r>
      <w:r w:rsidRPr="00200C31" w:rsidR="004A7C5F">
        <w:rPr>
          <w:szCs w:val="22"/>
        </w:rPr>
        <w:t xml:space="preserve"> </w:t>
      </w:r>
      <w:r w:rsidRPr="00200C31" w:rsidR="007179FC">
        <w:rPr>
          <w:szCs w:val="22"/>
        </w:rPr>
        <w:t>requests</w:t>
      </w:r>
      <w:r w:rsidRPr="00200C31">
        <w:rPr>
          <w:szCs w:val="22"/>
        </w:rPr>
        <w:t xml:space="preserve"> a waiver of </w:t>
      </w:r>
      <w:r w:rsidRPr="00200C31" w:rsidR="00387C3A">
        <w:rPr>
          <w:szCs w:val="22"/>
        </w:rPr>
        <w:t>section 90.179(a) of the Commission’s rules</w:t>
      </w:r>
      <w:r w:rsidRPr="00200C31" w:rsidR="004B6DBE">
        <w:rPr>
          <w:szCs w:val="22"/>
        </w:rPr>
        <w:t xml:space="preserve"> </w:t>
      </w:r>
      <w:r w:rsidRPr="00200C31" w:rsidR="00387C3A">
        <w:rPr>
          <w:szCs w:val="22"/>
        </w:rPr>
        <w:t>which allows a licensee to share a Private Land Mobile Radio frequency with another licensee</w:t>
      </w:r>
      <w:r w:rsidRPr="00200C31" w:rsidR="00DF5338">
        <w:rPr>
          <w:szCs w:val="22"/>
        </w:rPr>
        <w:t>, but</w:t>
      </w:r>
      <w:r w:rsidRPr="00200C31" w:rsidR="00387C3A">
        <w:rPr>
          <w:szCs w:val="22"/>
        </w:rPr>
        <w:t xml:space="preserve"> only if the licensee proposing shared use would be eligible for a separate authorization for the proposed frequency</w:t>
      </w:r>
      <w:r w:rsidRPr="00200C31">
        <w:rPr>
          <w:szCs w:val="22"/>
        </w:rPr>
        <w:t>.</w:t>
      </w:r>
      <w:r>
        <w:rPr>
          <w:szCs w:val="22"/>
          <w:vertAlign w:val="superscript"/>
        </w:rPr>
        <w:footnoteReference w:id="4"/>
      </w:r>
      <w:r w:rsidRPr="00200C31">
        <w:rPr>
          <w:szCs w:val="22"/>
        </w:rPr>
        <w:t xml:space="preserve">  </w:t>
      </w:r>
      <w:r w:rsidRPr="00200C31" w:rsidR="00530260">
        <w:rPr>
          <w:szCs w:val="22"/>
        </w:rPr>
        <w:t xml:space="preserve">Specifically, </w:t>
      </w:r>
      <w:r w:rsidRPr="00200C31">
        <w:rPr>
          <w:szCs w:val="22"/>
        </w:rPr>
        <w:t>ILAW</w:t>
      </w:r>
      <w:r w:rsidR="00FA72B3">
        <w:rPr>
          <w:szCs w:val="22"/>
        </w:rPr>
        <w:t>, which itself is not a public safety entity eligible to use frequencies reserved for public safety entities in section 90.20 of the Commission’s rules</w:t>
      </w:r>
      <w:r>
        <w:rPr>
          <w:rStyle w:val="FootnoteReference"/>
          <w:szCs w:val="22"/>
        </w:rPr>
        <w:footnoteReference w:id="5"/>
      </w:r>
      <w:r w:rsidR="00455699">
        <w:rPr>
          <w:szCs w:val="22"/>
        </w:rPr>
        <w:t xml:space="preserve"> </w:t>
      </w:r>
      <w:r w:rsidRPr="00200C31" w:rsidR="00047DF0">
        <w:rPr>
          <w:szCs w:val="22"/>
        </w:rPr>
        <w:t>seeks a waiver of the rules to</w:t>
      </w:r>
      <w:r w:rsidRPr="00200C31" w:rsidR="007179FC">
        <w:rPr>
          <w:szCs w:val="22"/>
        </w:rPr>
        <w:t xml:space="preserve"> s</w:t>
      </w:r>
      <w:r w:rsidRPr="00200C31" w:rsidR="004A7C5F">
        <w:rPr>
          <w:szCs w:val="22"/>
        </w:rPr>
        <w:t>hare</w:t>
      </w:r>
      <w:r w:rsidRPr="00200C31">
        <w:rPr>
          <w:szCs w:val="22"/>
        </w:rPr>
        <w:t xml:space="preserve"> use </w:t>
      </w:r>
      <w:r w:rsidRPr="00200C31" w:rsidR="004A7C5F">
        <w:rPr>
          <w:szCs w:val="22"/>
        </w:rPr>
        <w:t xml:space="preserve">of </w:t>
      </w:r>
      <w:r w:rsidRPr="00200C31">
        <w:rPr>
          <w:szCs w:val="22"/>
        </w:rPr>
        <w:t xml:space="preserve">800 MHz </w:t>
      </w:r>
      <w:r w:rsidRPr="00200C31" w:rsidR="00E62779">
        <w:rPr>
          <w:szCs w:val="22"/>
        </w:rPr>
        <w:t xml:space="preserve">public safety </w:t>
      </w:r>
      <w:r w:rsidRPr="00200C31">
        <w:rPr>
          <w:szCs w:val="22"/>
        </w:rPr>
        <w:t>frequencies</w:t>
      </w:r>
      <w:r w:rsidRPr="00200C31" w:rsidR="00530260">
        <w:rPr>
          <w:szCs w:val="22"/>
        </w:rPr>
        <w:t xml:space="preserve"> on the STARCOM21 network</w:t>
      </w:r>
      <w:r w:rsidRPr="00200C31" w:rsidR="00E62779">
        <w:rPr>
          <w:szCs w:val="22"/>
        </w:rPr>
        <w:t>.</w:t>
      </w:r>
      <w:r>
        <w:rPr>
          <w:rStyle w:val="FootnoteReference"/>
          <w:szCs w:val="22"/>
        </w:rPr>
        <w:footnoteReference w:id="6"/>
      </w:r>
      <w:r w:rsidRPr="00200C31">
        <w:rPr>
          <w:szCs w:val="22"/>
        </w:rPr>
        <w:t xml:space="preserve">  ILAW also requests </w:t>
      </w:r>
      <w:r w:rsidRPr="00200C31" w:rsidR="00E62779">
        <w:rPr>
          <w:szCs w:val="22"/>
        </w:rPr>
        <w:t xml:space="preserve">that it be </w:t>
      </w:r>
      <w:r w:rsidRPr="00200C31" w:rsidR="00370D28">
        <w:rPr>
          <w:szCs w:val="22"/>
        </w:rPr>
        <w:t xml:space="preserve">deemed </w:t>
      </w:r>
      <w:r w:rsidRPr="00200C31" w:rsidR="00AD3C9D">
        <w:rPr>
          <w:szCs w:val="22"/>
        </w:rPr>
        <w:t xml:space="preserve">situationally </w:t>
      </w:r>
      <w:r w:rsidRPr="00200C31" w:rsidR="00370D28">
        <w:rPr>
          <w:szCs w:val="22"/>
        </w:rPr>
        <w:t>eligible t</w:t>
      </w:r>
      <w:r w:rsidRPr="00200C31" w:rsidR="00E62779">
        <w:rPr>
          <w:szCs w:val="22"/>
        </w:rPr>
        <w:t xml:space="preserve">o use </w:t>
      </w:r>
      <w:r w:rsidRPr="00200C31">
        <w:rPr>
          <w:szCs w:val="22"/>
        </w:rPr>
        <w:t>700 MHz</w:t>
      </w:r>
      <w:r w:rsidRPr="00200C31" w:rsidR="00626DE4">
        <w:rPr>
          <w:szCs w:val="22"/>
        </w:rPr>
        <w:t xml:space="preserve"> public safety </w:t>
      </w:r>
      <w:r w:rsidRPr="00200C31">
        <w:rPr>
          <w:szCs w:val="22"/>
        </w:rPr>
        <w:t>frequencies on th</w:t>
      </w:r>
      <w:r w:rsidRPr="00200C31" w:rsidR="00370D28">
        <w:rPr>
          <w:szCs w:val="22"/>
        </w:rPr>
        <w:t>e STARCOM21</w:t>
      </w:r>
      <w:r w:rsidRPr="00200C31" w:rsidR="00E62779">
        <w:rPr>
          <w:szCs w:val="22"/>
        </w:rPr>
        <w:t xml:space="preserve"> network but </w:t>
      </w:r>
      <w:r w:rsidRPr="00200C31" w:rsidR="005A79A6">
        <w:rPr>
          <w:szCs w:val="22"/>
        </w:rPr>
        <w:t xml:space="preserve">on a secondary and preemptible basis, </w:t>
      </w:r>
      <w:r w:rsidRPr="00200C31" w:rsidR="00E62779">
        <w:rPr>
          <w:szCs w:val="22"/>
        </w:rPr>
        <w:t>limited strictly to emergency events involving preservation and safe delivery of water resources or removal of wastewater.</w:t>
      </w:r>
      <w:r>
        <w:rPr>
          <w:szCs w:val="22"/>
          <w:vertAlign w:val="superscript"/>
        </w:rPr>
        <w:footnoteReference w:id="7"/>
      </w:r>
      <w:r w:rsidRPr="00200C31" w:rsidR="00E62779">
        <w:rPr>
          <w:szCs w:val="22"/>
        </w:rPr>
        <w:t xml:space="preserve"> </w:t>
      </w:r>
    </w:p>
    <w:p w:rsidR="00DA72F3" w:rsidP="00DA72F3" w14:paraId="70D83303" w14:textId="1024B06B">
      <w:pPr>
        <w:widowControl/>
        <w:autoSpaceDE w:val="0"/>
        <w:autoSpaceDN w:val="0"/>
        <w:adjustRightInd w:val="0"/>
        <w:ind w:firstLine="720"/>
        <w:rPr>
          <w:rFonts w:cs="TimesNewRomanPSMT"/>
          <w:snapToGrid/>
          <w:kern w:val="0"/>
          <w:szCs w:val="22"/>
        </w:rPr>
      </w:pPr>
      <w:r w:rsidRPr="00DA72F3">
        <w:rPr>
          <w:rFonts w:ascii="TimesNewRomanPSMT" w:hAnsi="TimesNewRomanPSMT" w:cs="TimesNewRomanPSMT"/>
          <w:snapToGrid/>
          <w:color w:val="000000"/>
          <w:kern w:val="0"/>
          <w:szCs w:val="22"/>
        </w:rPr>
        <w:t>Pursuant to sections 1.415 and 1.419 of the Commission’s rules,</w:t>
      </w:r>
      <w:r>
        <w:rPr>
          <w:rStyle w:val="FootnoteReference"/>
          <w:rFonts w:cs="TimesNewRomanPSMT"/>
          <w:snapToGrid/>
          <w:kern w:val="0"/>
          <w:szCs w:val="22"/>
        </w:rPr>
        <w:footnoteReference w:id="8"/>
      </w:r>
      <w:r w:rsidRPr="00DA72F3">
        <w:rPr>
          <w:rFonts w:ascii="TimesNewRomanPSMT" w:hAnsi="TimesNewRomanPSMT" w:cs="TimesNewRomanPSMT"/>
          <w:snapToGrid/>
          <w:color w:val="000000"/>
          <w:kern w:val="0"/>
          <w:szCs w:val="22"/>
        </w:rPr>
        <w:t xml:space="preserve"> interested parties may file comments and reply comments on or before the dates indicated above. Comments may be filed using the Commission’s Electronic Comment Filing System (ECFS). </w:t>
      </w:r>
      <w:r w:rsidR="00047DF0">
        <w:rPr>
          <w:rFonts w:ascii="TimesNewRomanPSMT" w:hAnsi="TimesNewRomanPSMT" w:cs="TimesNewRomanPSMT"/>
          <w:snapToGrid/>
          <w:color w:val="000000"/>
          <w:kern w:val="0"/>
          <w:szCs w:val="22"/>
        </w:rPr>
        <w:t xml:space="preserve"> </w:t>
      </w:r>
      <w:r w:rsidRPr="00DA72F3">
        <w:rPr>
          <w:rFonts w:ascii="TimesNewRomanPSMT" w:hAnsi="TimesNewRomanPSMT" w:cs="TimesNewRomanPSMT"/>
          <w:snapToGrid/>
          <w:color w:val="000000"/>
          <w:kern w:val="0"/>
          <w:szCs w:val="22"/>
        </w:rPr>
        <w:t xml:space="preserve">All comments must reference </w:t>
      </w:r>
      <w:r>
        <w:rPr>
          <w:rFonts w:ascii="TimesNewRomanPSMT" w:hAnsi="TimesNewRomanPSMT" w:cs="TimesNewRomanPSMT"/>
          <w:b/>
          <w:bCs/>
          <w:snapToGrid/>
          <w:color w:val="000000"/>
          <w:kern w:val="0"/>
          <w:szCs w:val="22"/>
        </w:rPr>
        <w:t xml:space="preserve">PS </w:t>
      </w:r>
      <w:r w:rsidRPr="00DA72F3">
        <w:rPr>
          <w:rFonts w:ascii="TimesNewRomanPSMT" w:hAnsi="TimesNewRomanPSMT" w:cs="TimesNewRomanPSMT"/>
          <w:b/>
          <w:bCs/>
          <w:snapToGrid/>
          <w:color w:val="000000"/>
          <w:kern w:val="0"/>
          <w:szCs w:val="22"/>
        </w:rPr>
        <w:t>D</w:t>
      </w:r>
      <w:r>
        <w:rPr>
          <w:rFonts w:ascii="TimesNewRomanPSMT" w:hAnsi="TimesNewRomanPSMT" w:cs="TimesNewRomanPSMT"/>
          <w:b/>
          <w:bCs/>
          <w:snapToGrid/>
          <w:color w:val="000000"/>
          <w:kern w:val="0"/>
          <w:szCs w:val="22"/>
        </w:rPr>
        <w:t>ocket</w:t>
      </w:r>
      <w:r w:rsidRPr="00DA72F3">
        <w:rPr>
          <w:rFonts w:ascii="TimesNewRomanPSMT" w:hAnsi="TimesNewRomanPSMT" w:cs="TimesNewRomanPSMT"/>
          <w:b/>
          <w:bCs/>
          <w:snapToGrid/>
          <w:color w:val="000000"/>
          <w:kern w:val="0"/>
          <w:szCs w:val="22"/>
        </w:rPr>
        <w:t xml:space="preserve"> No. 2</w:t>
      </w:r>
      <w:r w:rsidR="003529A8">
        <w:rPr>
          <w:rFonts w:ascii="TimesNewRomanPSMT" w:hAnsi="TimesNewRomanPSMT" w:cs="TimesNewRomanPSMT"/>
          <w:b/>
          <w:bCs/>
          <w:snapToGrid/>
          <w:color w:val="000000"/>
          <w:kern w:val="0"/>
          <w:szCs w:val="22"/>
        </w:rPr>
        <w:t>1</w:t>
      </w:r>
      <w:r w:rsidRPr="00DA72F3">
        <w:rPr>
          <w:rFonts w:ascii="TimesNewRomanPSMT" w:hAnsi="TimesNewRomanPSMT" w:cs="TimesNewRomanPSMT"/>
          <w:b/>
          <w:bCs/>
          <w:snapToGrid/>
          <w:color w:val="000000"/>
          <w:kern w:val="0"/>
          <w:szCs w:val="22"/>
        </w:rPr>
        <w:t>-</w:t>
      </w:r>
      <w:r w:rsidR="00902359">
        <w:rPr>
          <w:rFonts w:ascii="TimesNewRomanPSMT" w:hAnsi="TimesNewRomanPSMT" w:cs="TimesNewRomanPSMT"/>
          <w:b/>
          <w:bCs/>
          <w:snapToGrid/>
          <w:color w:val="000000"/>
          <w:kern w:val="0"/>
          <w:szCs w:val="22"/>
        </w:rPr>
        <w:t>32</w:t>
      </w:r>
      <w:r>
        <w:rPr>
          <w:rFonts w:ascii="TimesNewRomanPSMT" w:hAnsi="TimesNewRomanPSMT" w:cs="TimesNewRomanPSMT"/>
          <w:b/>
          <w:bCs/>
          <w:snapToGrid/>
          <w:color w:val="000000"/>
          <w:kern w:val="0"/>
          <w:szCs w:val="22"/>
        </w:rPr>
        <w:t>.</w:t>
      </w:r>
      <w:r>
        <w:rPr>
          <w:rStyle w:val="FootnoteReference"/>
          <w:rFonts w:cs="TimesNewRomanPSMT"/>
          <w:snapToGrid/>
          <w:kern w:val="0"/>
          <w:szCs w:val="22"/>
        </w:rPr>
        <w:t>.</w:t>
      </w:r>
      <w:r>
        <w:rPr>
          <w:rStyle w:val="FootnoteReference"/>
          <w:rFonts w:cs="TimesNewRomanPSMT"/>
          <w:snapToGrid/>
          <w:kern w:val="0"/>
          <w:szCs w:val="22"/>
        </w:rPr>
        <w:footnoteReference w:id="9"/>
      </w:r>
    </w:p>
    <w:p w:rsidR="00835CD8" w:rsidP="00DA72F3" w14:paraId="5523A5E4" w14:textId="1CE66A7F">
      <w:pPr>
        <w:widowControl/>
        <w:autoSpaceDE w:val="0"/>
        <w:autoSpaceDN w:val="0"/>
        <w:adjustRightInd w:val="0"/>
        <w:ind w:firstLine="720"/>
        <w:rPr>
          <w:rFonts w:ascii="TimesNewRomanPSMT" w:hAnsi="TimesNewRomanPSMT" w:cs="TimesNewRomanPSMT"/>
          <w:snapToGrid/>
          <w:color w:val="000000"/>
          <w:kern w:val="0"/>
          <w:szCs w:val="22"/>
        </w:rPr>
      </w:pPr>
    </w:p>
    <w:p w:rsidR="00835CD8" w:rsidRPr="00D15D43" w:rsidP="00835CD8" w14:paraId="24EB2E61" w14:textId="6E432DDE">
      <w:pPr>
        <w:pStyle w:val="ListParagraph"/>
        <w:numPr>
          <w:ilvl w:val="0"/>
          <w:numId w:val="8"/>
        </w:numPr>
        <w:rPr>
          <w:szCs w:val="22"/>
        </w:rPr>
      </w:pPr>
      <w:r w:rsidRPr="00D15D43">
        <w:rPr>
          <w:szCs w:val="22"/>
        </w:rPr>
        <w:t xml:space="preserve">Electronic Filers:  Comments may be filed electronically using the Internet by accessing the ECFS:  </w:t>
      </w:r>
      <w:hyperlink r:id="rId5" w:history="1">
        <w:r w:rsidRPr="00ED4937">
          <w:rPr>
            <w:rStyle w:val="Hyperlink"/>
            <w:szCs w:val="22"/>
          </w:rPr>
          <w:t>http://apps.fcc.gov/ecfs/</w:t>
        </w:r>
      </w:hyperlink>
      <w:r w:rsidRPr="00D15D43">
        <w:rPr>
          <w:szCs w:val="22"/>
        </w:rPr>
        <w:t>.</w:t>
      </w:r>
      <w:r>
        <w:rPr>
          <w:szCs w:val="22"/>
        </w:rPr>
        <w:t xml:space="preserve"> </w:t>
      </w:r>
      <w:r w:rsidRPr="00D15D43">
        <w:rPr>
          <w:szCs w:val="22"/>
        </w:rPr>
        <w:t xml:space="preserve">  </w:t>
      </w:r>
    </w:p>
    <w:p w:rsidR="00835CD8" w:rsidRPr="00DA72F3" w:rsidP="00DA72F3" w14:paraId="4E904601" w14:textId="77777777">
      <w:pPr>
        <w:widowControl/>
        <w:autoSpaceDE w:val="0"/>
        <w:autoSpaceDN w:val="0"/>
        <w:adjustRightInd w:val="0"/>
        <w:ind w:firstLine="720"/>
        <w:rPr>
          <w:rFonts w:ascii="TimesNewRomanPSMT" w:hAnsi="TimesNewRomanPSMT" w:cs="TimesNewRomanPSMT"/>
          <w:snapToGrid/>
          <w:color w:val="000000"/>
          <w:kern w:val="0"/>
          <w:szCs w:val="22"/>
        </w:rPr>
      </w:pPr>
    </w:p>
    <w:p w:rsidR="00835CD8" w:rsidRPr="00835CD8" w:rsidP="00835CD8" w14:paraId="3A91C540" w14:textId="77777777">
      <w:pPr>
        <w:numPr>
          <w:ilvl w:val="0"/>
          <w:numId w:val="8"/>
        </w:numPr>
        <w:contextualSpacing/>
        <w:rPr>
          <w:szCs w:val="22"/>
        </w:rPr>
      </w:pPr>
      <w:r w:rsidRPr="00835CD8">
        <w:rPr>
          <w:szCs w:val="22"/>
        </w:rPr>
        <w:t>Paper Filers:  Parties who choose to file by paper must file an original and one copy of each filing.</w:t>
      </w:r>
    </w:p>
    <w:p w:rsidR="00835CD8" w:rsidRPr="00835CD8" w:rsidP="00835CD8" w14:paraId="05490AC9" w14:textId="77777777">
      <w:pPr>
        <w:ind w:left="1080"/>
        <w:contextualSpacing/>
        <w:rPr>
          <w:szCs w:val="22"/>
        </w:rPr>
      </w:pPr>
    </w:p>
    <w:p w:rsidR="00835CD8" w:rsidRPr="00835CD8" w:rsidP="00835CD8" w14:paraId="5E2F6F06" w14:textId="77777777">
      <w:pPr>
        <w:numPr>
          <w:ilvl w:val="0"/>
          <w:numId w:val="8"/>
        </w:numPr>
        <w:contextualSpacing/>
        <w:rPr>
          <w:szCs w:val="22"/>
        </w:rPr>
      </w:pPr>
      <w:r w:rsidRPr="00835CD8">
        <w:rPr>
          <w:szCs w:val="22"/>
        </w:rPr>
        <w:t>Filings can be sent by commercial overnight courier, or by first-class or overnight U.S. Postal Service mail.  All filings must be addressed to the Commission’s Secretary, Office of the Secretary, Federal Communications Commission.</w:t>
      </w:r>
    </w:p>
    <w:p w:rsidR="00835CD8" w:rsidRPr="00835CD8" w:rsidP="00835CD8" w14:paraId="5CC3273F" w14:textId="77777777">
      <w:pPr>
        <w:ind w:left="1080"/>
        <w:contextualSpacing/>
        <w:rPr>
          <w:szCs w:val="22"/>
        </w:rPr>
      </w:pPr>
    </w:p>
    <w:p w:rsidR="00835CD8" w:rsidRPr="00835CD8" w:rsidP="00835CD8" w14:paraId="45C59592" w14:textId="77777777">
      <w:pPr>
        <w:numPr>
          <w:ilvl w:val="0"/>
          <w:numId w:val="8"/>
        </w:numPr>
        <w:contextualSpacing/>
        <w:rPr>
          <w:szCs w:val="22"/>
        </w:rPr>
      </w:pPr>
      <w:r w:rsidRPr="00835CD8">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r>
        <w:rPr>
          <w:szCs w:val="22"/>
          <w:vertAlign w:val="superscript"/>
        </w:rPr>
        <w:footnoteReference w:id="10"/>
      </w:r>
    </w:p>
    <w:p w:rsidR="00835CD8" w:rsidRPr="00835CD8" w:rsidP="00835CD8" w14:paraId="4807DB47" w14:textId="77777777">
      <w:pPr>
        <w:ind w:left="1080"/>
        <w:contextualSpacing/>
        <w:rPr>
          <w:szCs w:val="22"/>
        </w:rPr>
      </w:pPr>
    </w:p>
    <w:p w:rsidR="00835CD8" w:rsidRPr="00835CD8" w:rsidP="00835CD8" w14:paraId="70741971" w14:textId="77777777">
      <w:pPr>
        <w:numPr>
          <w:ilvl w:val="0"/>
          <w:numId w:val="8"/>
        </w:numPr>
        <w:contextualSpacing/>
        <w:rPr>
          <w:szCs w:val="22"/>
        </w:rPr>
      </w:pPr>
      <w:r w:rsidRPr="00835CD8">
        <w:rPr>
          <w:szCs w:val="22"/>
        </w:rPr>
        <w:t xml:space="preserve">Effective March 19, 2020, and until further notice, the Commission no longer accepts any hand or messenger delivered filings at its headquarters. This is a temporary measure taken to help protect the health and safety of individuals, and to mitigate the transmission of COVID-19.  </w:t>
      </w:r>
      <w:r w:rsidRPr="00835CD8">
        <w:rPr>
          <w:i/>
          <w:iCs/>
          <w:szCs w:val="22"/>
        </w:rPr>
        <w:t>See</w:t>
      </w:r>
      <w:r w:rsidRPr="00835CD8">
        <w:rPr>
          <w:szCs w:val="22"/>
        </w:rPr>
        <w:t xml:space="preserve"> </w:t>
      </w:r>
      <w:r w:rsidRPr="00835CD8">
        <w:rPr>
          <w:i/>
          <w:iCs/>
          <w:szCs w:val="22"/>
        </w:rPr>
        <w:t>FCC Announces Closure of FCC Headquarters Open Window and Change in Hand-Delivery Policy</w:t>
      </w:r>
      <w:r w:rsidRPr="00835CD8">
        <w:rPr>
          <w:szCs w:val="22"/>
        </w:rPr>
        <w:t xml:space="preserve">, Public Notice, </w:t>
      </w:r>
      <w:r w:rsidRPr="00835CD8">
        <w:rPr>
          <w:color w:val="1D2B3E"/>
          <w:szCs w:val="22"/>
        </w:rPr>
        <w:t>35 FCC Rcd 2788</w:t>
      </w:r>
      <w:r w:rsidRPr="00835CD8">
        <w:rPr>
          <w:szCs w:val="22"/>
        </w:rPr>
        <w:t xml:space="preserve"> (OMD 2020), </w:t>
      </w:r>
      <w:hyperlink r:id="rId6" w:history="1">
        <w:r w:rsidRPr="00835CD8">
          <w:rPr>
            <w:color w:val="0000FF"/>
            <w:u w:val="single"/>
          </w:rPr>
          <w:t>https://www.fcc.gov/document/fcc-closes-headquarters-open-window-and-changes-hand-delivery-policy</w:t>
        </w:r>
      </w:hyperlink>
      <w:r w:rsidRPr="00835CD8">
        <w:rPr>
          <w:szCs w:val="22"/>
        </w:rPr>
        <w:t xml:space="preserve">. </w:t>
      </w:r>
    </w:p>
    <w:p w:rsidR="00835CD8" w:rsidRPr="00835CD8" w:rsidP="00835CD8" w14:paraId="3100FE69" w14:textId="77777777">
      <w:pPr>
        <w:ind w:left="720"/>
        <w:contextualSpacing/>
        <w:rPr>
          <w:szCs w:val="22"/>
        </w:rPr>
      </w:pPr>
    </w:p>
    <w:p w:rsidR="00835CD8" w:rsidRPr="00835CD8" w:rsidP="00835CD8" w14:paraId="0E2CCD73" w14:textId="77777777">
      <w:pPr>
        <w:numPr>
          <w:ilvl w:val="0"/>
          <w:numId w:val="8"/>
        </w:numPr>
        <w:contextualSpacing/>
        <w:rPr>
          <w:szCs w:val="22"/>
        </w:rPr>
      </w:pPr>
      <w:r w:rsidRPr="00835CD8">
        <w:t>All hand-carried documents should be delivered to the Secretary’s Office at 9050 Junction Drive, Annapolis Junction, MD 20701.</w:t>
      </w:r>
      <w:r>
        <w:rPr>
          <w:vertAlign w:val="superscript"/>
        </w:rPr>
        <w:footnoteReference w:id="11"/>
      </w:r>
    </w:p>
    <w:p w:rsidR="00835CD8" w:rsidRPr="00835CD8" w:rsidP="00835CD8" w14:paraId="67D27D4E" w14:textId="77777777">
      <w:pPr>
        <w:rPr>
          <w:szCs w:val="22"/>
        </w:rPr>
      </w:pPr>
    </w:p>
    <w:p w:rsidR="00835CD8" w:rsidRPr="00835CD8" w:rsidP="00835CD8" w14:paraId="111E12F3" w14:textId="77777777">
      <w:pPr>
        <w:rPr>
          <w:szCs w:val="22"/>
        </w:rPr>
      </w:pPr>
      <w:r w:rsidRPr="00835CD8">
        <w:rPr>
          <w:szCs w:val="22"/>
        </w:rPr>
        <w:tab/>
        <w:t xml:space="preserve">People with Disabilities:  To request materials in accessible formats for people with disabilities (braille, large print, electronic files, audio format), send an e-mail to </w:t>
      </w:r>
      <w:hyperlink r:id="rId7" w:history="1">
        <w:r w:rsidRPr="00835CD8">
          <w:rPr>
            <w:color w:val="0000FF"/>
            <w:szCs w:val="22"/>
            <w:u w:val="single"/>
          </w:rPr>
          <w:t>fcc504@fcc.gov</w:t>
        </w:r>
      </w:hyperlink>
      <w:r w:rsidRPr="00835CD8">
        <w:rPr>
          <w:szCs w:val="22"/>
        </w:rPr>
        <w:t xml:space="preserve"> or call the Consumer &amp; Governmental Affairs Bureau at 202-418-0530 (voice).</w:t>
      </w:r>
    </w:p>
    <w:p w:rsidR="00DA72F3" w:rsidRPr="00DA72F3" w:rsidP="00DA72F3" w14:paraId="30E892DE" w14:textId="77777777">
      <w:pPr>
        <w:widowControl/>
        <w:autoSpaceDE w:val="0"/>
        <w:autoSpaceDN w:val="0"/>
        <w:adjustRightInd w:val="0"/>
        <w:rPr>
          <w:rFonts w:ascii="TimesNewRomanPS-ItalicMT" w:hAnsi="TimesNewRomanPS-ItalicMT" w:cs="TimesNewRomanPS-ItalicMT"/>
          <w:i/>
          <w:iCs/>
          <w:snapToGrid/>
          <w:color w:val="000000"/>
          <w:kern w:val="0"/>
          <w:szCs w:val="22"/>
        </w:rPr>
      </w:pPr>
    </w:p>
    <w:p w:rsidR="00DA72F3" w:rsidRPr="00DA72F3" w:rsidP="00DA72F3" w14:paraId="65572411" w14:textId="77777777">
      <w:pPr>
        <w:widowControl/>
        <w:autoSpaceDE w:val="0"/>
        <w:autoSpaceDN w:val="0"/>
        <w:adjustRightInd w:val="0"/>
        <w:ind w:firstLine="720"/>
        <w:rPr>
          <w:rFonts w:ascii="TimesNewRomanPSMT" w:hAnsi="TimesNewRomanPSMT" w:cs="TimesNewRomanPSMT"/>
          <w:snapToGrid/>
          <w:color w:val="000000"/>
          <w:kern w:val="0"/>
          <w:szCs w:val="22"/>
        </w:rPr>
      </w:pPr>
      <w:r w:rsidRPr="00DA72F3">
        <w:rPr>
          <w:rFonts w:ascii="TimesNewRomanPS-ItalicMT" w:hAnsi="TimesNewRomanPS-ItalicMT" w:cs="TimesNewRomanPS-ItalicMT"/>
          <w:i/>
          <w:iCs/>
          <w:snapToGrid/>
          <w:color w:val="000000"/>
          <w:kern w:val="0"/>
          <w:szCs w:val="22"/>
        </w:rPr>
        <w:t>Ex Parte Rules</w:t>
      </w:r>
      <w:r w:rsidRPr="00DA72F3">
        <w:rPr>
          <w:rFonts w:ascii="TimesNewRomanPSMT" w:hAnsi="TimesNewRomanPSMT" w:cs="TimesNewRomanPSMT"/>
          <w:snapToGrid/>
          <w:color w:val="000000"/>
          <w:kern w:val="0"/>
          <w:szCs w:val="22"/>
        </w:rPr>
        <w:t>. The proceeding this petition initiates shall be treated as a “permit-but-disclose”</w:t>
      </w:r>
    </w:p>
    <w:p w:rsidR="00DA72F3" w:rsidRPr="00DA72F3" w:rsidP="00DA72F3" w14:paraId="5B0F7CB6"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proceeding in accordance with the Commission’s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rules.</w:t>
      </w:r>
      <w:r>
        <w:rPr>
          <w:rStyle w:val="FootnoteReference"/>
          <w:rFonts w:cs="TimesNewRomanPSMT"/>
          <w:snapToGrid/>
          <w:kern w:val="0"/>
          <w:szCs w:val="22"/>
        </w:rPr>
        <w:footnoteReference w:id="12"/>
      </w:r>
      <w:r w:rsidRPr="00DA72F3">
        <w:rPr>
          <w:rFonts w:ascii="TimesNewRomanPSMT" w:hAnsi="TimesNewRomanPSMT" w:cs="TimesNewRomanPSMT"/>
          <w:snapToGrid/>
          <w:color w:val="000000"/>
          <w:kern w:val="0"/>
          <w:szCs w:val="22"/>
        </w:rPr>
        <w:t xml:space="preserve"> Persons making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presentations</w:t>
      </w:r>
    </w:p>
    <w:p w:rsidR="00DA72F3" w:rsidRPr="00DA72F3" w:rsidP="00DA72F3" w14:paraId="7C303877"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must file a copy of any written presentation or a memorandum summarizing any oral presentation within</w:t>
      </w:r>
    </w:p>
    <w:p w:rsidR="00DA72F3" w:rsidRPr="00DA72F3" w:rsidP="00DA72F3" w14:paraId="60F33214"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two business days after the presentation (unless a different deadline applicable to the Sunshine period</w:t>
      </w:r>
    </w:p>
    <w:p w:rsidR="00DA72F3" w:rsidRPr="00DA72F3" w:rsidP="00DA72F3" w14:paraId="6CD5050D"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applies). Persons making oral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presentations are reminded that memoranda summarizing the</w:t>
      </w:r>
    </w:p>
    <w:p w:rsidR="00DA72F3" w:rsidRPr="00DA72F3" w:rsidP="00DA72F3" w14:paraId="432FB11E" w14:textId="77777777">
      <w:pPr>
        <w:widowControl/>
        <w:autoSpaceDE w:val="0"/>
        <w:autoSpaceDN w:val="0"/>
        <w:adjustRightInd w:val="0"/>
        <w:rPr>
          <w:rFonts w:ascii="TimesNewRomanPS-ItalicMT" w:hAnsi="TimesNewRomanPS-ItalicMT" w:cs="TimesNewRomanPS-ItalicMT"/>
          <w:i/>
          <w:iCs/>
          <w:snapToGrid/>
          <w:color w:val="000000"/>
          <w:kern w:val="0"/>
          <w:szCs w:val="22"/>
        </w:rPr>
      </w:pPr>
      <w:r w:rsidRPr="00DA72F3">
        <w:rPr>
          <w:rFonts w:ascii="TimesNewRomanPSMT" w:hAnsi="TimesNewRomanPSMT" w:cs="TimesNewRomanPSMT"/>
          <w:snapToGrid/>
          <w:color w:val="000000"/>
          <w:kern w:val="0"/>
          <w:szCs w:val="22"/>
        </w:rPr>
        <w:t xml:space="preserve">presentation must (1) list all persons attending or otherwise participating in the meeting at which the </w:t>
      </w:r>
      <w:r w:rsidRPr="00DA72F3">
        <w:rPr>
          <w:rFonts w:ascii="TimesNewRomanPS-ItalicMT" w:hAnsi="TimesNewRomanPS-ItalicMT" w:cs="TimesNewRomanPS-ItalicMT"/>
          <w:i/>
          <w:iCs/>
          <w:snapToGrid/>
          <w:color w:val="000000"/>
          <w:kern w:val="0"/>
          <w:szCs w:val="22"/>
        </w:rPr>
        <w:t>ex</w:t>
      </w:r>
    </w:p>
    <w:p w:rsidR="00DA72F3" w:rsidRPr="00DA72F3" w:rsidP="00DA72F3" w14:paraId="17AAAD3C"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ItalicMT" w:hAnsi="TimesNewRomanPS-ItalicMT" w:cs="TimesNewRomanPS-ItalicMT"/>
          <w:i/>
          <w:iCs/>
          <w:snapToGrid/>
          <w:color w:val="000000"/>
          <w:kern w:val="0"/>
          <w:szCs w:val="22"/>
        </w:rPr>
        <w:t xml:space="preserve">parte </w:t>
      </w:r>
      <w:r w:rsidRPr="00DA72F3">
        <w:rPr>
          <w:rFonts w:ascii="TimesNewRomanPSMT" w:hAnsi="TimesNewRomanPSMT" w:cs="TimesNewRomanPSMT"/>
          <w:snapToGrid/>
          <w:color w:val="000000"/>
          <w:kern w:val="0"/>
          <w:szCs w:val="22"/>
        </w:rPr>
        <w:t>presentation was made, and (2) summarize all data presented and arguments made during the</w:t>
      </w:r>
    </w:p>
    <w:p w:rsidR="00DA72F3" w:rsidRPr="00DA72F3" w:rsidP="00DA72F3" w14:paraId="09C48867"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presentation. If the presentation consisted in whole or in part of the presentation of data or arguments</w:t>
      </w:r>
    </w:p>
    <w:p w:rsidR="00DA72F3" w:rsidRPr="00DA72F3" w:rsidP="00DA72F3" w14:paraId="53B19455"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already reflected in the presenter’s written comments, memoranda or other filings in the proceeding, the</w:t>
      </w:r>
    </w:p>
    <w:p w:rsidR="00DA72F3" w:rsidRPr="00DA72F3" w:rsidP="00DA72F3" w14:paraId="5E947491"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presenter may provide citations to such data or arguments in his or her prior comments, memoranda, or</w:t>
      </w:r>
    </w:p>
    <w:p w:rsidR="00DA72F3" w:rsidRPr="00DA72F3" w:rsidP="00DA72F3" w14:paraId="0048C9E7"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other filings (specifying the relevant page and/or paragraph numbers where such data or arguments can be found) in lieu of summarizing them in the memorandum. Documents shown or given to Commission staff during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 xml:space="preserve">meetings are deemed to be written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presentations and must be filed</w:t>
      </w:r>
    </w:p>
    <w:p w:rsidR="00DA72F3" w:rsidRPr="00DA72F3" w:rsidP="00DA72F3" w14:paraId="037653A0"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consistent with rule 1.1206(b). In proceedings governed by rule 1.49(f) or for which the Commission has</w:t>
      </w:r>
    </w:p>
    <w:p w:rsidR="00DA72F3" w:rsidRPr="00DA72F3" w:rsidP="00DA72F3" w14:paraId="6D72D726"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made available a method of electronic filing, written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presentations and memoranda summarizing</w:t>
      </w:r>
    </w:p>
    <w:p w:rsidR="00DA72F3" w:rsidRPr="00DA72F3" w:rsidP="00DA72F3" w14:paraId="69B4B397" w14:textId="77777777">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oral </w:t>
      </w:r>
      <w:r w:rsidRPr="00DA72F3">
        <w:rPr>
          <w:rFonts w:ascii="TimesNewRomanPS-ItalicMT" w:hAnsi="TimesNewRomanPS-ItalicMT" w:cs="TimesNewRomanPS-ItalicMT"/>
          <w:i/>
          <w:iCs/>
          <w:snapToGrid/>
          <w:color w:val="000000"/>
          <w:kern w:val="0"/>
          <w:szCs w:val="22"/>
        </w:rPr>
        <w:t xml:space="preserve">ex parte </w:t>
      </w:r>
      <w:r w:rsidRPr="00DA72F3">
        <w:rPr>
          <w:rFonts w:ascii="TimesNewRomanPSMT" w:hAnsi="TimesNewRomanPSMT" w:cs="TimesNewRomanPSMT"/>
          <w:snapToGrid/>
          <w:color w:val="000000"/>
          <w:kern w:val="0"/>
          <w:szCs w:val="22"/>
        </w:rPr>
        <w:t>presentations, and all attachments thereto, must be filed through the electronic comment</w:t>
      </w:r>
    </w:p>
    <w:p w:rsidR="00DA72F3" w:rsidRPr="00DA72F3" w:rsidP="00DA72F3" w14:paraId="545A995F" w14:textId="7973C4D8">
      <w:pPr>
        <w:widowControl/>
        <w:autoSpaceDE w:val="0"/>
        <w:autoSpaceDN w:val="0"/>
        <w:adjustRightInd w:val="0"/>
        <w:rPr>
          <w:rFonts w:ascii="TimesNewRomanPSMT" w:hAnsi="TimesNewRomanPSMT" w:cs="TimesNewRomanPSMT"/>
          <w:snapToGrid/>
          <w:color w:val="000000"/>
          <w:kern w:val="0"/>
          <w:szCs w:val="22"/>
        </w:rPr>
      </w:pPr>
      <w:r w:rsidRPr="00DA72F3">
        <w:rPr>
          <w:rFonts w:ascii="TimesNewRomanPSMT" w:hAnsi="TimesNewRomanPSMT" w:cs="TimesNewRomanPSMT"/>
          <w:snapToGrid/>
          <w:color w:val="000000"/>
          <w:kern w:val="0"/>
          <w:szCs w:val="22"/>
        </w:rPr>
        <w:t xml:space="preserve">filing system available for that </w:t>
      </w:r>
      <w:r w:rsidRPr="00DA72F3" w:rsidR="00DF5338">
        <w:rPr>
          <w:rFonts w:ascii="TimesNewRomanPSMT" w:hAnsi="TimesNewRomanPSMT" w:cs="TimesNewRomanPSMT"/>
          <w:snapToGrid/>
          <w:color w:val="000000"/>
          <w:kern w:val="0"/>
          <w:szCs w:val="22"/>
        </w:rPr>
        <w:t>proceeding and</w:t>
      </w:r>
      <w:r w:rsidRPr="00DA72F3">
        <w:rPr>
          <w:rFonts w:ascii="TimesNewRomanPSMT" w:hAnsi="TimesNewRomanPSMT" w:cs="TimesNewRomanPSMT"/>
          <w:snapToGrid/>
          <w:color w:val="000000"/>
          <w:kern w:val="0"/>
          <w:szCs w:val="22"/>
        </w:rPr>
        <w:t xml:space="preserve"> must be filed in their native format (</w:t>
      </w:r>
      <w:r w:rsidRPr="00DA72F3">
        <w:rPr>
          <w:rFonts w:ascii="TimesNewRomanPS-ItalicMT" w:hAnsi="TimesNewRomanPS-ItalicMT" w:cs="TimesNewRomanPS-ItalicMT"/>
          <w:i/>
          <w:iCs/>
          <w:snapToGrid/>
          <w:color w:val="000000"/>
          <w:kern w:val="0"/>
          <w:szCs w:val="22"/>
        </w:rPr>
        <w:t>e.g.</w:t>
      </w:r>
      <w:r w:rsidRPr="00DA72F3">
        <w:rPr>
          <w:rFonts w:ascii="TimesNewRomanPSMT" w:hAnsi="TimesNewRomanPSMT" w:cs="TimesNewRomanPSMT"/>
          <w:snapToGrid/>
          <w:color w:val="000000"/>
          <w:kern w:val="0"/>
          <w:szCs w:val="22"/>
        </w:rPr>
        <w:t>, .doc, .xml, .ppt,</w:t>
      </w:r>
    </w:p>
    <w:p w:rsidR="00DA72F3" w:rsidRPr="00DA72F3" w:rsidP="00DA72F3" w14:paraId="32BAB278" w14:textId="77777777">
      <w:pPr>
        <w:widowControl/>
        <w:autoSpaceDE w:val="0"/>
        <w:autoSpaceDN w:val="0"/>
        <w:adjustRightInd w:val="0"/>
        <w:rPr>
          <w:rFonts w:ascii="TimesNewRomanPS-ItalicMT" w:hAnsi="TimesNewRomanPS-ItalicMT" w:cs="TimesNewRomanPS-ItalicMT"/>
          <w:i/>
          <w:iCs/>
          <w:snapToGrid/>
          <w:color w:val="000000"/>
          <w:kern w:val="0"/>
          <w:szCs w:val="22"/>
        </w:rPr>
      </w:pPr>
      <w:r w:rsidRPr="00DA72F3">
        <w:rPr>
          <w:rFonts w:ascii="TimesNewRomanPSMT" w:hAnsi="TimesNewRomanPSMT" w:cs="TimesNewRomanPSMT"/>
          <w:snapToGrid/>
          <w:color w:val="000000"/>
          <w:kern w:val="0"/>
          <w:szCs w:val="22"/>
        </w:rPr>
        <w:t xml:space="preserve">searchable .pdf). Participants in this proceeding should familiarize themselves with the Commission’s </w:t>
      </w:r>
      <w:r w:rsidRPr="00DA72F3">
        <w:rPr>
          <w:rFonts w:ascii="TimesNewRomanPS-ItalicMT" w:hAnsi="TimesNewRomanPS-ItalicMT" w:cs="TimesNewRomanPS-ItalicMT"/>
          <w:i/>
          <w:iCs/>
          <w:snapToGrid/>
          <w:color w:val="000000"/>
          <w:kern w:val="0"/>
          <w:szCs w:val="22"/>
        </w:rPr>
        <w:t>ex</w:t>
      </w:r>
    </w:p>
    <w:p w:rsidR="00DA72F3" w:rsidRPr="00DA72F3" w:rsidP="00DA72F3" w14:paraId="3F5D8115" w14:textId="77777777">
      <w:pPr>
        <w:widowControl/>
        <w:autoSpaceDE w:val="0"/>
        <w:autoSpaceDN w:val="0"/>
        <w:adjustRightInd w:val="0"/>
        <w:spacing w:after="120"/>
        <w:rPr>
          <w:rFonts w:ascii="TimesNewRomanPSMT" w:hAnsi="TimesNewRomanPSMT" w:cs="TimesNewRomanPSMT"/>
          <w:snapToGrid/>
          <w:color w:val="000000"/>
          <w:kern w:val="0"/>
          <w:szCs w:val="22"/>
        </w:rPr>
      </w:pPr>
      <w:r w:rsidRPr="00DA72F3">
        <w:rPr>
          <w:rFonts w:ascii="TimesNewRomanPS-ItalicMT" w:hAnsi="TimesNewRomanPS-ItalicMT" w:cs="TimesNewRomanPS-ItalicMT"/>
          <w:i/>
          <w:iCs/>
          <w:snapToGrid/>
          <w:color w:val="000000"/>
          <w:kern w:val="0"/>
          <w:szCs w:val="22"/>
        </w:rPr>
        <w:t xml:space="preserve">parte </w:t>
      </w:r>
      <w:r w:rsidRPr="00DA72F3">
        <w:rPr>
          <w:rFonts w:ascii="TimesNewRomanPSMT" w:hAnsi="TimesNewRomanPSMT" w:cs="TimesNewRomanPSMT"/>
          <w:snapToGrid/>
          <w:color w:val="000000"/>
          <w:kern w:val="0"/>
          <w:szCs w:val="22"/>
        </w:rPr>
        <w:t>rules.</w:t>
      </w:r>
    </w:p>
    <w:p w:rsidR="00DA72F3" w:rsidRPr="00DA72F3" w:rsidP="00DA72F3" w14:paraId="5630A79F" w14:textId="194B9E3B">
      <w:pPr>
        <w:widowControl/>
        <w:autoSpaceDE w:val="0"/>
        <w:autoSpaceDN w:val="0"/>
        <w:adjustRightInd w:val="0"/>
        <w:ind w:firstLine="720"/>
        <w:rPr>
          <w:rFonts w:ascii="TimesNewRomanPSMT" w:hAnsi="TimesNewRomanPSMT" w:cs="TimesNewRomanPSMT"/>
          <w:snapToGrid/>
          <w:color w:val="000000"/>
          <w:kern w:val="0"/>
          <w:szCs w:val="22"/>
        </w:rPr>
      </w:pPr>
      <w:r w:rsidRPr="00DA72F3">
        <w:rPr>
          <w:rFonts w:ascii="TimesNewRomanPS-ItalicMT" w:hAnsi="TimesNewRomanPS-ItalicMT" w:cs="TimesNewRomanPS-ItalicMT"/>
          <w:i/>
          <w:iCs/>
          <w:snapToGrid/>
          <w:color w:val="000000"/>
          <w:kern w:val="0"/>
          <w:szCs w:val="22"/>
        </w:rPr>
        <w:t>Additional Information</w:t>
      </w:r>
      <w:r w:rsidRPr="00DA72F3">
        <w:rPr>
          <w:rFonts w:ascii="TimesNewRomanPSMT" w:hAnsi="TimesNewRomanPSMT" w:cs="TimesNewRomanPSMT"/>
          <w:snapToGrid/>
          <w:color w:val="000000"/>
          <w:kern w:val="0"/>
          <w:szCs w:val="22"/>
        </w:rPr>
        <w:t xml:space="preserve">. </w:t>
      </w:r>
      <w:r w:rsidR="00F64382">
        <w:rPr>
          <w:rFonts w:ascii="TimesNewRomanPSMT" w:hAnsi="TimesNewRomanPSMT" w:cs="TimesNewRomanPSMT"/>
          <w:snapToGrid/>
          <w:color w:val="000000"/>
          <w:kern w:val="0"/>
          <w:szCs w:val="22"/>
        </w:rPr>
        <w:t xml:space="preserve"> </w:t>
      </w:r>
      <w:r w:rsidRPr="00DA72F3">
        <w:rPr>
          <w:rFonts w:ascii="TimesNewRomanPSMT" w:hAnsi="TimesNewRomanPSMT" w:cs="TimesNewRomanPSMT"/>
          <w:snapToGrid/>
          <w:color w:val="000000"/>
          <w:kern w:val="0"/>
          <w:szCs w:val="22"/>
        </w:rPr>
        <w:t xml:space="preserve">For further information regarding this </w:t>
      </w:r>
      <w:r>
        <w:rPr>
          <w:rFonts w:ascii="TimesNewRomanPSMT" w:hAnsi="TimesNewRomanPSMT" w:cs="TimesNewRomanPSMT"/>
          <w:snapToGrid/>
          <w:color w:val="000000"/>
          <w:kern w:val="0"/>
          <w:szCs w:val="22"/>
        </w:rPr>
        <w:t xml:space="preserve">Public </w:t>
      </w:r>
      <w:r w:rsidRPr="00DA72F3">
        <w:rPr>
          <w:rFonts w:ascii="TimesNewRomanPSMT" w:hAnsi="TimesNewRomanPSMT" w:cs="TimesNewRomanPSMT"/>
          <w:snapToGrid/>
          <w:color w:val="000000"/>
          <w:kern w:val="0"/>
          <w:szCs w:val="22"/>
        </w:rPr>
        <w:t xml:space="preserve">Notice, please contact </w:t>
      </w:r>
      <w:r>
        <w:rPr>
          <w:rFonts w:ascii="TimesNewRomanPSMT" w:hAnsi="TimesNewRomanPSMT" w:cs="TimesNewRomanPSMT"/>
          <w:snapToGrid/>
          <w:color w:val="000000"/>
          <w:kern w:val="0"/>
          <w:szCs w:val="22"/>
        </w:rPr>
        <w:t>Rachel Wehr</w:t>
      </w:r>
      <w:r w:rsidRPr="00DA72F3">
        <w:rPr>
          <w:rFonts w:ascii="TimesNewRomanPSMT" w:hAnsi="TimesNewRomanPSMT" w:cs="TimesNewRomanPSMT"/>
          <w:snapToGrid/>
          <w:color w:val="000000"/>
          <w:kern w:val="0"/>
          <w:szCs w:val="22"/>
        </w:rPr>
        <w:t>, Policy and Licensing Division, Public Safety and Homeland Security Bureau,</w:t>
      </w:r>
    </w:p>
    <w:p w:rsidR="00DA72F3" w:rsidRPr="00DA72F3" w:rsidP="00DA72F3" w14:paraId="239B553B" w14:textId="4B1AAD6E">
      <w:pPr>
        <w:widowControl/>
        <w:autoSpaceDE w:val="0"/>
        <w:autoSpaceDN w:val="0"/>
        <w:adjustRightInd w:val="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202-418-1138</w:t>
      </w:r>
      <w:r w:rsidRPr="00DA72F3">
        <w:rPr>
          <w:rFonts w:ascii="TimesNewRomanPSMT" w:hAnsi="TimesNewRomanPSMT" w:cs="TimesNewRomanPSMT"/>
          <w:snapToGrid/>
          <w:color w:val="000000"/>
          <w:kern w:val="0"/>
          <w:szCs w:val="22"/>
        </w:rPr>
        <w:t xml:space="preserve"> or by email to </w:t>
      </w:r>
      <w:hyperlink r:id="rId8" w:history="1">
        <w:r w:rsidRPr="00ED4937">
          <w:rPr>
            <w:rStyle w:val="Hyperlink"/>
            <w:rFonts w:ascii="TimesNewRomanPSMT" w:hAnsi="TimesNewRomanPSMT" w:cs="TimesNewRomanPSMT"/>
            <w:snapToGrid/>
            <w:kern w:val="0"/>
            <w:szCs w:val="22"/>
          </w:rPr>
          <w:t>Rachel.Wehr@fcc.gov</w:t>
        </w:r>
      </w:hyperlink>
      <w:r w:rsidRPr="00DA72F3">
        <w:rPr>
          <w:rFonts w:ascii="TimesNewRomanPSMT" w:hAnsi="TimesNewRomanPSMT" w:cs="TimesNewRomanPSMT"/>
          <w:snapToGrid/>
          <w:color w:val="000000"/>
          <w:kern w:val="0"/>
          <w:szCs w:val="22"/>
        </w:rPr>
        <w:t>.</w:t>
      </w:r>
    </w:p>
    <w:p w:rsidR="00DA72F3" w:rsidRPr="00DA72F3" w:rsidP="00DA72F3" w14:paraId="19218EE7" w14:textId="77777777">
      <w:pPr>
        <w:spacing w:before="120" w:after="240"/>
        <w:rPr>
          <w:szCs w:val="22"/>
        </w:rPr>
      </w:pPr>
    </w:p>
    <w:p w:rsidR="00DA72F3" w:rsidRPr="00DA72F3" w:rsidP="00DA72F3" w14:paraId="3773FEEC" w14:textId="77777777">
      <w:pPr>
        <w:spacing w:before="120" w:after="240"/>
        <w:jc w:val="center"/>
        <w:rPr>
          <w:szCs w:val="22"/>
        </w:rPr>
      </w:pPr>
      <w:r w:rsidRPr="00DA72F3">
        <w:rPr>
          <w:szCs w:val="22"/>
        </w:rPr>
        <w:t xml:space="preserve">- </w:t>
      </w:r>
      <w:r w:rsidRPr="00DA72F3">
        <w:rPr>
          <w:b/>
          <w:szCs w:val="22"/>
        </w:rPr>
        <w:t>FCC</w:t>
      </w:r>
      <w:r w:rsidRPr="00DA72F3">
        <w:rPr>
          <w:szCs w:val="22"/>
        </w:rPr>
        <w:t xml:space="preserve"> -</w:t>
      </w:r>
    </w:p>
    <w:p w:rsidR="00930ECF" w:rsidRPr="00DA72F3" w:rsidP="00F96F63" w14:paraId="780776C0" w14:textId="77777777">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70C7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9872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C5AC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8E590C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0592" w14:paraId="51D4AAB9" w14:textId="77777777">
      <w:r>
        <w:separator/>
      </w:r>
    </w:p>
  </w:footnote>
  <w:footnote w:type="continuationSeparator" w:id="1">
    <w:p w:rsidR="00620592" w14:paraId="15FFA033" w14:textId="77777777">
      <w:pPr>
        <w:rPr>
          <w:sz w:val="20"/>
        </w:rPr>
      </w:pPr>
      <w:r>
        <w:rPr>
          <w:sz w:val="20"/>
        </w:rPr>
        <w:t xml:space="preserve">(Continued from previous page)  </w:t>
      </w:r>
      <w:r>
        <w:rPr>
          <w:sz w:val="20"/>
        </w:rPr>
        <w:separator/>
      </w:r>
    </w:p>
  </w:footnote>
  <w:footnote w:type="continuationNotice" w:id="2">
    <w:p w:rsidR="00620592" w:rsidP="00910F12" w14:paraId="55137302" w14:textId="77777777">
      <w:pPr>
        <w:jc w:val="right"/>
        <w:rPr>
          <w:sz w:val="20"/>
        </w:rPr>
      </w:pPr>
      <w:r>
        <w:rPr>
          <w:sz w:val="20"/>
        </w:rPr>
        <w:t>(continued….)</w:t>
      </w:r>
    </w:p>
  </w:footnote>
  <w:footnote w:id="3">
    <w:p w:rsidR="00DA72F3" w:rsidRPr="0033791E" w:rsidP="00DA72F3" w14:paraId="1026F88C" w14:textId="5ED30151">
      <w:pPr>
        <w:pStyle w:val="FootnoteText"/>
      </w:pPr>
      <w:r w:rsidRPr="00F673EC">
        <w:rPr>
          <w:rStyle w:val="FootnoteReference"/>
          <w:sz w:val="20"/>
        </w:rPr>
        <w:footnoteRef/>
      </w:r>
      <w:r w:rsidRPr="0033791E">
        <w:t xml:space="preserve"> ILAW Request for Waiver of Section 90.179 of the FCC’s Rules and Determination of Eligibility to use 700 MHz Public Safety Frequency Channels</w:t>
      </w:r>
      <w:r w:rsidRPr="00D57FDF">
        <w:t xml:space="preserve"> </w:t>
      </w:r>
      <w:r w:rsidRPr="0033791E">
        <w:rPr>
          <w:color w:val="1D2B3E"/>
          <w:shd w:val="clear" w:color="auto" w:fill="FFFFFF"/>
        </w:rPr>
        <w:t xml:space="preserve">(filed Nov. 16, 2020), </w:t>
      </w:r>
      <w:hyperlink r:id="rId1" w:history="1">
        <w:r w:rsidRPr="0033791E">
          <w:rPr>
            <w:rStyle w:val="Hyperlink"/>
            <w:shd w:val="clear" w:color="auto" w:fill="FFFFFF"/>
          </w:rPr>
          <w:t>https://ecfsapi.fcc.gov/file/1116152980900/ILAW%20-%20Request%20for%20Waiver%20-%20Determination.pdf</w:t>
        </w:r>
      </w:hyperlink>
      <w:r w:rsidRPr="0033791E">
        <w:rPr>
          <w:color w:val="1D2B3E"/>
          <w:shd w:val="clear" w:color="auto" w:fill="FFFFFF"/>
        </w:rPr>
        <w:t xml:space="preserve"> (ILAW </w:t>
      </w:r>
      <w:r w:rsidR="002169A5">
        <w:rPr>
          <w:color w:val="1D2B3E"/>
          <w:shd w:val="clear" w:color="auto" w:fill="FFFFFF"/>
        </w:rPr>
        <w:t>Request</w:t>
      </w:r>
      <w:r w:rsidRPr="0033791E">
        <w:rPr>
          <w:color w:val="1D2B3E"/>
          <w:shd w:val="clear" w:color="auto" w:fill="FFFFFF"/>
        </w:rPr>
        <w:t>)</w:t>
      </w:r>
      <w:r w:rsidR="002A3F55">
        <w:rPr>
          <w:color w:val="1D2B3E"/>
          <w:shd w:val="clear" w:color="auto" w:fill="FFFFFF"/>
        </w:rPr>
        <w:t>;</w:t>
      </w:r>
      <w:r w:rsidR="0086206E">
        <w:rPr>
          <w:color w:val="1D2B3E"/>
          <w:shd w:val="clear" w:color="auto" w:fill="FFFFFF"/>
        </w:rPr>
        <w:t xml:space="preserve"> </w:t>
      </w:r>
      <w:r w:rsidRPr="0033791E" w:rsidR="002A3F55">
        <w:t xml:space="preserve">ILAW Request for Waiver of Section 90.179 of the FCC’s Rules and Determination of Eligibility to use 700 MHz Public Safety Frequency Channels </w:t>
      </w:r>
      <w:r w:rsidR="002A3F55">
        <w:t>(</w:t>
      </w:r>
      <w:r w:rsidRPr="0033791E" w:rsidR="0086206E">
        <w:rPr>
          <w:color w:val="1D2B3E"/>
          <w:shd w:val="clear" w:color="auto" w:fill="FFFFFF"/>
        </w:rPr>
        <w:t xml:space="preserve">filed </w:t>
      </w:r>
      <w:r w:rsidR="0086206E">
        <w:rPr>
          <w:color w:val="1D2B3E"/>
          <w:shd w:val="clear" w:color="auto" w:fill="FFFFFF"/>
        </w:rPr>
        <w:t>Dec</w:t>
      </w:r>
      <w:r w:rsidRPr="0033791E" w:rsidR="0086206E">
        <w:rPr>
          <w:color w:val="1D2B3E"/>
          <w:shd w:val="clear" w:color="auto" w:fill="FFFFFF"/>
        </w:rPr>
        <w:t>. 1</w:t>
      </w:r>
      <w:r w:rsidR="0086206E">
        <w:rPr>
          <w:color w:val="1D2B3E"/>
          <w:shd w:val="clear" w:color="auto" w:fill="FFFFFF"/>
        </w:rPr>
        <w:t>8</w:t>
      </w:r>
      <w:r w:rsidRPr="0033791E" w:rsidR="0086206E">
        <w:rPr>
          <w:color w:val="1D2B3E"/>
          <w:shd w:val="clear" w:color="auto" w:fill="FFFFFF"/>
        </w:rPr>
        <w:t xml:space="preserve">, 2020), </w:t>
      </w:r>
      <w:hyperlink r:id="rId2" w:history="1">
        <w:r w:rsidRPr="00060E96" w:rsidR="0086206E">
          <w:rPr>
            <w:rStyle w:val="Hyperlink"/>
            <w:shd w:val="clear" w:color="auto" w:fill="FFFFFF"/>
          </w:rPr>
          <w:t>https://ecfsapi.fcc.gov/file/121888112638/ILAW%20Request%20for%20Waiver%20-%20Determination%20121820%20Amend.pdf</w:t>
        </w:r>
      </w:hyperlink>
      <w:r w:rsidRPr="0033791E">
        <w:rPr>
          <w:color w:val="1D2B3E"/>
          <w:shd w:val="clear" w:color="auto" w:fill="FFFFFF"/>
        </w:rPr>
        <w:t>.</w:t>
      </w:r>
      <w:r w:rsidR="00530260">
        <w:rPr>
          <w:color w:val="1D2B3E"/>
          <w:shd w:val="clear" w:color="auto" w:fill="FFFFFF"/>
        </w:rPr>
        <w:t xml:space="preserve">  </w:t>
      </w:r>
      <w:r w:rsidRPr="00200C31" w:rsidR="0077160A">
        <w:rPr>
          <w:szCs w:val="22"/>
        </w:rPr>
        <w:t>ILAW states that it holds one hundred eighty-five (185) FCC licenses “to operate business radio stations, microwave stations that support meter reading and other activities, and other stations, all in support of its critical water and wastewater services.”</w:t>
      </w:r>
      <w:r w:rsidR="0077160A">
        <w:rPr>
          <w:szCs w:val="22"/>
        </w:rPr>
        <w:t xml:space="preserve">  </w:t>
      </w:r>
      <w:r w:rsidRPr="00125379" w:rsidR="0077160A">
        <w:t xml:space="preserve">ILAW </w:t>
      </w:r>
      <w:r w:rsidR="00EF3540">
        <w:t>Request</w:t>
      </w:r>
      <w:r w:rsidRPr="00F11727" w:rsidR="0077160A">
        <w:t xml:space="preserve"> at 2.</w:t>
      </w:r>
    </w:p>
  </w:footnote>
  <w:footnote w:id="4">
    <w:p w:rsidR="004B6DBE" w:rsidRPr="00F11727" w:rsidP="004B6DBE" w14:paraId="3670A883" w14:textId="78443B38">
      <w:pPr>
        <w:pStyle w:val="FootnoteText"/>
      </w:pPr>
      <w:r w:rsidRPr="00F11727">
        <w:rPr>
          <w:rStyle w:val="FootnoteReference"/>
          <w:sz w:val="20"/>
        </w:rPr>
        <w:footnoteRef/>
      </w:r>
      <w:r w:rsidRPr="00F11727">
        <w:t xml:space="preserve"> ILAW </w:t>
      </w:r>
      <w:r w:rsidR="006543BB">
        <w:t>Request</w:t>
      </w:r>
      <w:r w:rsidRPr="00F11727">
        <w:t xml:space="preserve"> at 4 (</w:t>
      </w:r>
      <w:r w:rsidRPr="00455699">
        <w:rPr>
          <w:i/>
          <w:iCs/>
        </w:rPr>
        <w:t>citing</w:t>
      </w:r>
      <w:r w:rsidRPr="00F11727">
        <w:t xml:space="preserve"> 47 CFR § 90.179(a)). </w:t>
      </w:r>
    </w:p>
  </w:footnote>
  <w:footnote w:id="5">
    <w:p w:rsidR="00FA72B3" w14:paraId="751986EF" w14:textId="23C28197">
      <w:pPr>
        <w:pStyle w:val="FootnoteText"/>
      </w:pPr>
      <w:r>
        <w:rPr>
          <w:rStyle w:val="FootnoteReference"/>
        </w:rPr>
        <w:footnoteRef/>
      </w:r>
      <w:r>
        <w:t xml:space="preserve"> 47 CFR </w:t>
      </w:r>
      <w:r w:rsidRPr="00FD2745">
        <w:t>§</w:t>
      </w:r>
      <w:r>
        <w:t xml:space="preserve"> 90.20.</w:t>
      </w:r>
    </w:p>
  </w:footnote>
  <w:footnote w:id="6">
    <w:p w:rsidR="00370D28" w:rsidRPr="00F11727" w:rsidP="00125379" w14:paraId="24FD5C11" w14:textId="0B585DB1">
      <w:pPr>
        <w:widowControl/>
        <w:autoSpaceDE w:val="0"/>
        <w:autoSpaceDN w:val="0"/>
        <w:adjustRightInd w:val="0"/>
        <w:spacing w:after="120"/>
      </w:pPr>
      <w:r w:rsidRPr="00125379">
        <w:rPr>
          <w:rStyle w:val="FootnoteReference"/>
          <w:sz w:val="20"/>
        </w:rPr>
        <w:footnoteRef/>
      </w:r>
      <w:r w:rsidRPr="00125379">
        <w:rPr>
          <w:sz w:val="20"/>
        </w:rPr>
        <w:t xml:space="preserve"> </w:t>
      </w:r>
      <w:r w:rsidRPr="00125379" w:rsidR="00591296">
        <w:rPr>
          <w:sz w:val="20"/>
        </w:rPr>
        <w:t xml:space="preserve">ILAW </w:t>
      </w:r>
      <w:r w:rsidR="006543BB">
        <w:rPr>
          <w:sz w:val="20"/>
        </w:rPr>
        <w:t>Request</w:t>
      </w:r>
      <w:r w:rsidRPr="00125379" w:rsidR="00591296">
        <w:rPr>
          <w:sz w:val="20"/>
        </w:rPr>
        <w:t xml:space="preserve"> at 1.  ILAW states that t</w:t>
      </w:r>
      <w:r w:rsidRPr="00125379" w:rsidR="00591296">
        <w:rPr>
          <w:snapToGrid/>
          <w:kern w:val="0"/>
          <w:sz w:val="20"/>
        </w:rPr>
        <w:t>he Illinois Department of Innovation and Technology provides two-way radio communication services by the STARCOM21 network</w:t>
      </w:r>
      <w:r w:rsidR="00C42899">
        <w:rPr>
          <w:snapToGrid/>
          <w:kern w:val="0"/>
          <w:sz w:val="20"/>
        </w:rPr>
        <w:t xml:space="preserve">, </w:t>
      </w:r>
      <w:r w:rsidRPr="00125379" w:rsidR="00125379">
        <w:rPr>
          <w:snapToGrid/>
          <w:kern w:val="0"/>
          <w:sz w:val="20"/>
        </w:rPr>
        <w:t xml:space="preserve">a </w:t>
      </w:r>
      <w:r w:rsidRPr="00125379" w:rsidR="00C42899">
        <w:rPr>
          <w:snapToGrid/>
          <w:kern w:val="0"/>
          <w:sz w:val="20"/>
        </w:rPr>
        <w:t>public/private partnership with Motorola Solutions</w:t>
      </w:r>
      <w:r w:rsidRPr="00125379" w:rsidR="00591296">
        <w:rPr>
          <w:snapToGrid/>
          <w:kern w:val="0"/>
          <w:sz w:val="20"/>
        </w:rPr>
        <w:t xml:space="preserve">.  ILAW </w:t>
      </w:r>
      <w:r w:rsidR="006543BB">
        <w:rPr>
          <w:snapToGrid/>
          <w:kern w:val="0"/>
          <w:sz w:val="20"/>
        </w:rPr>
        <w:t>Request</w:t>
      </w:r>
      <w:r w:rsidRPr="00125379" w:rsidR="00591296">
        <w:rPr>
          <w:snapToGrid/>
          <w:kern w:val="0"/>
          <w:sz w:val="20"/>
        </w:rPr>
        <w:t xml:space="preserve"> at 1.  </w:t>
      </w:r>
      <w:r w:rsidRPr="00125379" w:rsidR="00530260">
        <w:rPr>
          <w:sz w:val="20"/>
        </w:rPr>
        <w:t xml:space="preserve">STARCOM21 is a statewide, 700/800 MHz, Project 25-compliant, digital, trunked voice radio network that is open to all public safety and public service agencies in the State of Illinois.  </w:t>
      </w:r>
      <w:r w:rsidRPr="00F11727" w:rsidR="00530260">
        <w:rPr>
          <w:snapToGrid/>
          <w:kern w:val="0"/>
          <w:sz w:val="20"/>
        </w:rPr>
        <w:t xml:space="preserve">ILAW Petition at </w:t>
      </w:r>
      <w:r w:rsidR="00F11727">
        <w:rPr>
          <w:snapToGrid/>
          <w:kern w:val="0"/>
          <w:sz w:val="20"/>
        </w:rPr>
        <w:t>1-</w:t>
      </w:r>
      <w:r w:rsidRPr="00F11727" w:rsidR="00530260">
        <w:rPr>
          <w:snapToGrid/>
          <w:kern w:val="0"/>
          <w:sz w:val="20"/>
        </w:rPr>
        <w:t>2.</w:t>
      </w:r>
      <w:r w:rsidRPr="00F11727" w:rsidR="00F11727">
        <w:rPr>
          <w:snapToGrid/>
          <w:kern w:val="0"/>
          <w:sz w:val="20"/>
        </w:rPr>
        <w:t xml:space="preserve">  </w:t>
      </w:r>
      <w:r w:rsidRPr="00125379" w:rsidR="00F11727">
        <w:rPr>
          <w:snapToGrid/>
          <w:kern w:val="0"/>
          <w:sz w:val="20"/>
        </w:rPr>
        <w:t xml:space="preserve">The channels operating as part of STARCOM21 are listed, by licensee, on Attachment 1 to ILAW’s </w:t>
      </w:r>
      <w:r w:rsidR="00EF3540">
        <w:rPr>
          <w:snapToGrid/>
          <w:kern w:val="0"/>
          <w:sz w:val="20"/>
        </w:rPr>
        <w:t>Request</w:t>
      </w:r>
      <w:r w:rsidRPr="00125379" w:rsidR="00F11727">
        <w:rPr>
          <w:snapToGrid/>
          <w:kern w:val="0"/>
          <w:sz w:val="20"/>
        </w:rPr>
        <w:t xml:space="preserve">.  </w:t>
      </w:r>
      <w:r w:rsidRPr="00125379" w:rsidR="00F11727">
        <w:rPr>
          <w:i/>
          <w:iCs/>
          <w:snapToGrid/>
          <w:kern w:val="0"/>
          <w:sz w:val="20"/>
        </w:rPr>
        <w:t>See</w:t>
      </w:r>
      <w:r w:rsidRPr="00125379" w:rsidR="00F11727">
        <w:rPr>
          <w:snapToGrid/>
          <w:kern w:val="0"/>
          <w:sz w:val="20"/>
        </w:rPr>
        <w:t xml:space="preserve"> ILAW </w:t>
      </w:r>
      <w:r w:rsidR="006543BB">
        <w:rPr>
          <w:snapToGrid/>
          <w:kern w:val="0"/>
          <w:sz w:val="20"/>
        </w:rPr>
        <w:t>Request</w:t>
      </w:r>
      <w:r w:rsidRPr="00125379" w:rsidR="00F11727">
        <w:rPr>
          <w:snapToGrid/>
          <w:kern w:val="0"/>
          <w:sz w:val="20"/>
        </w:rPr>
        <w:t xml:space="preserve"> at Attachment 1.</w:t>
      </w:r>
      <w:r w:rsidRPr="00F11727" w:rsidR="00530260">
        <w:rPr>
          <w:snapToGrid/>
          <w:kern w:val="0"/>
          <w:sz w:val="20"/>
        </w:rPr>
        <w:t xml:space="preserve">  </w:t>
      </w:r>
    </w:p>
  </w:footnote>
  <w:footnote w:id="7">
    <w:p w:rsidR="00E62779" w:rsidRPr="00F11727" w:rsidP="00591296" w14:paraId="52CF12D1" w14:textId="3C075F49">
      <w:pPr>
        <w:pStyle w:val="FootnoteText"/>
      </w:pPr>
      <w:r w:rsidRPr="00F11727">
        <w:rPr>
          <w:rStyle w:val="FootnoteReference"/>
          <w:sz w:val="20"/>
        </w:rPr>
        <w:footnoteRef/>
      </w:r>
      <w:r w:rsidRPr="00F11727">
        <w:t xml:space="preserve"> </w:t>
      </w:r>
      <w:r w:rsidRPr="00F11727" w:rsidR="007A4A72">
        <w:rPr>
          <w:i/>
          <w:iCs/>
        </w:rPr>
        <w:t>Id.</w:t>
      </w:r>
      <w:r w:rsidRPr="00F11727" w:rsidR="007A4A72">
        <w:t xml:space="preserve"> at 6</w:t>
      </w:r>
      <w:r w:rsidRPr="00F11727" w:rsidR="003D6998">
        <w:t>-7</w:t>
      </w:r>
      <w:r w:rsidRPr="00F11727" w:rsidR="007A4A72">
        <w:t>.</w:t>
      </w:r>
      <w:r w:rsidRPr="00F11727">
        <w:rPr>
          <w:i/>
          <w:iCs/>
        </w:rPr>
        <w:t xml:space="preserve"> </w:t>
      </w:r>
    </w:p>
  </w:footnote>
  <w:footnote w:id="8">
    <w:p w:rsidR="00E62779" w:rsidRPr="0033791E" w14:paraId="68297F7D" w14:textId="60F3E265">
      <w:pPr>
        <w:pStyle w:val="FootnoteText"/>
      </w:pPr>
      <w:r w:rsidRPr="00F673EC">
        <w:rPr>
          <w:rStyle w:val="FootnoteReference"/>
          <w:sz w:val="20"/>
        </w:rPr>
        <w:footnoteRef/>
      </w:r>
      <w:r w:rsidRPr="0033791E">
        <w:t xml:space="preserve"> 47 CFR §§ 1.415, 1.419</w:t>
      </w:r>
      <w:r w:rsidRPr="0033791E" w:rsidR="00DF5338">
        <w:t>.</w:t>
      </w:r>
    </w:p>
  </w:footnote>
  <w:footnote w:id="9">
    <w:p w:rsidR="00DA72F3" w:rsidRPr="0033791E" w:rsidP="00DA72F3" w14:paraId="286F3AFE" w14:textId="77777777">
      <w:pPr>
        <w:pStyle w:val="FootnoteText"/>
      </w:pPr>
      <w:r w:rsidRPr="00F673EC">
        <w:rPr>
          <w:rStyle w:val="FootnoteReference"/>
          <w:sz w:val="20"/>
        </w:rPr>
        <w:footnoteRef/>
      </w:r>
      <w:r w:rsidRPr="0033791E">
        <w:t xml:space="preserve"> </w:t>
      </w:r>
      <w:r w:rsidRPr="00F673EC">
        <w:rPr>
          <w:i/>
          <w:iCs/>
        </w:rPr>
        <w:t>See Electronic Filing of Documents in Rulemaking Proceedings</w:t>
      </w:r>
      <w:r w:rsidRPr="00F673EC">
        <w:t>, 63 FR 24121 (1998).</w:t>
      </w:r>
    </w:p>
  </w:footnote>
  <w:footnote w:id="10">
    <w:p w:rsidR="00835CD8" w:rsidRPr="00023934" w:rsidP="00835CD8" w14:paraId="49C9A02F" w14:textId="77777777">
      <w:pPr>
        <w:widowControl/>
        <w:spacing w:after="120"/>
        <w:rPr>
          <w:sz w:val="20"/>
        </w:rPr>
      </w:pPr>
      <w:r w:rsidRPr="00493524">
        <w:rPr>
          <w:rStyle w:val="FootnoteReference"/>
          <w:sz w:val="20"/>
        </w:rPr>
        <w:footnoteRef/>
      </w:r>
      <w:r w:rsidRPr="00493524">
        <w:rPr>
          <w:sz w:val="20"/>
        </w:rPr>
        <w:t xml:space="preserve"> </w:t>
      </w:r>
      <w:r w:rsidRPr="009A0B43">
        <w:rPr>
          <w:i/>
          <w:iCs/>
          <w:sz w:val="20"/>
        </w:rPr>
        <w:t>FCC Announces Change in Headquarters Location</w:t>
      </w:r>
      <w:r w:rsidRPr="00493524">
        <w:rPr>
          <w:sz w:val="20"/>
        </w:rPr>
        <w:t>, Public Notice, DA 20-1223 (OMD re</w:t>
      </w:r>
      <w:r>
        <w:rPr>
          <w:sz w:val="20"/>
        </w:rPr>
        <w:t>l</w:t>
      </w:r>
      <w:r w:rsidRPr="00493524">
        <w:rPr>
          <w:sz w:val="20"/>
        </w:rPr>
        <w:t>. Oct. 15, 2020);</w:t>
      </w:r>
      <w:r>
        <w:t xml:space="preserve"> </w:t>
      </w:r>
      <w:r w:rsidRPr="00BC6DEB">
        <w:rPr>
          <w:i/>
          <w:iCs/>
          <w:sz w:val="20"/>
        </w:rPr>
        <w:t>Amendment of the Commission’s Rules of Practice and Procedure</w:t>
      </w:r>
      <w:r w:rsidRPr="00BC6DEB">
        <w:rPr>
          <w:sz w:val="20"/>
        </w:rPr>
        <w:t xml:space="preserve">, Order, </w:t>
      </w:r>
      <w:r w:rsidRPr="00023934">
        <w:rPr>
          <w:color w:val="1D2B3E"/>
          <w:sz w:val="20"/>
        </w:rPr>
        <w:t>35 FCC Rcd 7867</w:t>
      </w:r>
      <w:r w:rsidRPr="00023934">
        <w:rPr>
          <w:sz w:val="20"/>
        </w:rPr>
        <w:t xml:space="preserve"> (OMD 2020), 85 Fed. Reg. 64404 (Oct</w:t>
      </w:r>
      <w:r>
        <w:rPr>
          <w:sz w:val="20"/>
        </w:rPr>
        <w:t>.</w:t>
      </w:r>
      <w:r w:rsidRPr="00023934">
        <w:rPr>
          <w:sz w:val="20"/>
        </w:rPr>
        <w:t xml:space="preserve"> 13, 2020).</w:t>
      </w:r>
    </w:p>
  </w:footnote>
  <w:footnote w:id="11">
    <w:p w:rsidR="00835CD8" w:rsidRPr="00023934" w:rsidP="00835CD8" w14:paraId="571315D9" w14:textId="77777777">
      <w:pPr>
        <w:pStyle w:val="FootnoteText"/>
      </w:pPr>
      <w:r w:rsidRPr="00023934">
        <w:rPr>
          <w:rStyle w:val="FootnoteReference"/>
          <w:sz w:val="20"/>
        </w:rPr>
        <w:footnoteRef/>
      </w:r>
      <w:r w:rsidRPr="00023934">
        <w:t xml:space="preserve"> </w:t>
      </w:r>
      <w:r w:rsidRPr="00023934">
        <w:rPr>
          <w:i/>
          <w:iCs/>
        </w:rPr>
        <w:t>See</w:t>
      </w:r>
      <w:r w:rsidRPr="00023934">
        <w:t xml:space="preserve"> </w:t>
      </w:r>
      <w:r w:rsidRPr="00023934">
        <w:rPr>
          <w:i/>
          <w:iCs/>
        </w:rPr>
        <w:t>Amendment of the Commission’s Rules of Practice and Procedure</w:t>
      </w:r>
      <w:r w:rsidRPr="00023934">
        <w:t xml:space="preserve">, Order, </w:t>
      </w:r>
      <w:r w:rsidRPr="00023934">
        <w:rPr>
          <w:color w:val="1D2B3E"/>
        </w:rPr>
        <w:t>35 FCC Rcd 5450</w:t>
      </w:r>
      <w:r w:rsidRPr="00023934">
        <w:t xml:space="preserve"> (</w:t>
      </w:r>
      <w:r>
        <w:t>OMD</w:t>
      </w:r>
      <w:r w:rsidRPr="00023934">
        <w:t xml:space="preserve"> 2020) (amending 47 CFR § 0.401(a)(1)(ii)).</w:t>
      </w:r>
    </w:p>
  </w:footnote>
  <w:footnote w:id="12">
    <w:p w:rsidR="00DA72F3" w:rsidP="00DA72F3" w14:paraId="70A6E411" w14:textId="77777777">
      <w:pPr>
        <w:pStyle w:val="FootnoteText"/>
      </w:pPr>
      <w:r>
        <w:rPr>
          <w:rStyle w:val="FootnoteReference"/>
        </w:rPr>
        <w:footnoteRef/>
      </w:r>
      <w:r>
        <w:t xml:space="preserve"> </w:t>
      </w:r>
      <w:r>
        <w:rPr>
          <w:rFonts w:ascii="TimesNewRomanPSMT" w:hAnsi="TimesNewRomanPSMT" w:cs="TimesNewRomanPSMT"/>
        </w:rPr>
        <w:t xml:space="preserve">47 CFR §§ 1.1200 </w:t>
      </w:r>
      <w:r>
        <w:rPr>
          <w:rFonts w:ascii="TimesNewRomanPS-ItalicMT" w:hAnsi="TimesNewRomanPS-ItalicMT" w:cs="TimesNewRomanPS-ItalicMT"/>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F673EC" w14:paraId="604E7145" w14:textId="326F682D">
    <w:pPr>
      <w:tabs>
        <w:tab w:val="center" w:pos="4680"/>
        <w:tab w:val="right" w:pos="9360"/>
      </w:tabs>
      <w:rPr>
        <w:spacing w:val="-2"/>
      </w:rPr>
    </w:pPr>
    <w:r w:rsidRPr="009838BC">
      <w:rPr>
        <w:b/>
      </w:rPr>
      <w:tab/>
    </w:r>
  </w:p>
  <w:p w:rsidR="009838BC" w:rsidRPr="009838BC" w:rsidP="009838BC" w14:paraId="3C5C504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9C5799" w14:textId="59D60A7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03633924">
                          <w:pPr>
                            <w:rPr>
                              <w:rFonts w:ascii="Arial" w:hAnsi="Arial"/>
                              <w:b/>
                            </w:rPr>
                          </w:pPr>
                          <w:r>
                            <w:rPr>
                              <w:rFonts w:ascii="Arial" w:hAnsi="Arial"/>
                              <w:b/>
                            </w:rPr>
                            <w:t xml:space="preserve">45 </w:t>
                          </w:r>
                          <w:r w:rsidR="00DA72F3">
                            <w:rPr>
                              <w:rFonts w:ascii="Arial" w:hAnsi="Arial"/>
                              <w:b/>
                            </w:rPr>
                            <w:t>L</w:t>
                          </w:r>
                          <w:r>
                            <w:rPr>
                              <w:rFonts w:ascii="Arial" w:hAnsi="Arial"/>
                              <w:b/>
                            </w:rPr>
                            <w:t xml:space="preserve"> St., </w:t>
                          </w:r>
                          <w:r w:rsidR="00DA72F3">
                            <w:rPr>
                              <w:rFonts w:ascii="Arial" w:hAnsi="Arial"/>
                              <w:b/>
                            </w:rPr>
                            <w:t>N</w:t>
                          </w:r>
                          <w:r>
                            <w:rPr>
                              <w:rFonts w:ascii="Arial" w:hAnsi="Arial"/>
                              <w:b/>
                            </w:rPr>
                            <w:t>.</w:t>
                          </w:r>
                          <w:r w:rsidR="00DA72F3">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13739D3" w14:textId="77777777">
                    <w:pPr>
                      <w:rPr>
                        <w:rFonts w:ascii="Arial" w:hAnsi="Arial"/>
                        <w:b/>
                      </w:rPr>
                    </w:pPr>
                    <w:r>
                      <w:rPr>
                        <w:rFonts w:ascii="Arial" w:hAnsi="Arial"/>
                        <w:b/>
                      </w:rPr>
                      <w:t>Federal Communications Commission</w:t>
                    </w:r>
                  </w:p>
                  <w:p w:rsidR="009838BC" w:rsidP="009838BC" w14:paraId="3EB1FA2A" w14:textId="03633924">
                    <w:pPr>
                      <w:rPr>
                        <w:rFonts w:ascii="Arial" w:hAnsi="Arial"/>
                        <w:b/>
                      </w:rPr>
                    </w:pPr>
                    <w:r>
                      <w:rPr>
                        <w:rFonts w:ascii="Arial" w:hAnsi="Arial"/>
                        <w:b/>
                      </w:rPr>
                      <w:t xml:space="preserve">45 </w:t>
                    </w:r>
                    <w:r w:rsidR="00DA72F3">
                      <w:rPr>
                        <w:rFonts w:ascii="Arial" w:hAnsi="Arial"/>
                        <w:b/>
                      </w:rPr>
                      <w:t>L</w:t>
                    </w:r>
                    <w:r>
                      <w:rPr>
                        <w:rFonts w:ascii="Arial" w:hAnsi="Arial"/>
                        <w:b/>
                      </w:rPr>
                      <w:t xml:space="preserve"> St., </w:t>
                    </w:r>
                    <w:r w:rsidR="00DA72F3">
                      <w:rPr>
                        <w:rFonts w:ascii="Arial" w:hAnsi="Arial"/>
                        <w:b/>
                      </w:rPr>
                      <w:t>N</w:t>
                    </w:r>
                    <w:r>
                      <w:rPr>
                        <w:rFonts w:ascii="Arial" w:hAnsi="Arial"/>
                        <w:b/>
                      </w:rPr>
                      <w:t>.</w:t>
                    </w:r>
                    <w:r w:rsidR="00DA72F3">
                      <w:rPr>
                        <w:rFonts w:ascii="Arial" w:hAnsi="Arial"/>
                        <w:b/>
                      </w:rPr>
                      <w:t>E</w:t>
                    </w:r>
                    <w:r>
                      <w:rPr>
                        <w:rFonts w:ascii="Arial" w:hAnsi="Arial"/>
                        <w:b/>
                      </w:rPr>
                      <w:t>.</w:t>
                    </w:r>
                  </w:p>
                  <w:p w:rsidR="009838BC" w:rsidP="009838BC" w14:paraId="4CD7050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8017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6D95FCD" w14:textId="5F84374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891C061" w14:textId="77777777">
                    <w:pPr>
                      <w:spacing w:before="40"/>
                      <w:jc w:val="right"/>
                      <w:rPr>
                        <w:rFonts w:ascii="Arial" w:hAnsi="Arial"/>
                        <w:b/>
                        <w:sz w:val="16"/>
                      </w:rPr>
                    </w:pPr>
                    <w:r>
                      <w:rPr>
                        <w:rFonts w:ascii="Arial" w:hAnsi="Arial"/>
                        <w:b/>
                        <w:sz w:val="16"/>
                      </w:rPr>
                      <w:t>News Media Information 202 / 418-0500</w:t>
                    </w:r>
                  </w:p>
                  <w:p w:rsidR="009838BC" w:rsidP="009838BC" w14:paraId="6A8E2612"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A5782C3" w14:textId="77777777">
                    <w:pPr>
                      <w:jc w:val="right"/>
                    </w:pPr>
                    <w:r>
                      <w:rPr>
                        <w:rFonts w:ascii="Arial" w:hAnsi="Arial"/>
                        <w:b/>
                        <w:sz w:val="16"/>
                      </w:rPr>
                      <w:t>TTY: 1-888-835-5322</w:t>
                    </w:r>
                  </w:p>
                </w:txbxContent>
              </v:textbox>
            </v:shape>
          </w:pict>
        </mc:Fallback>
      </mc:AlternateContent>
    </w:r>
  </w:p>
  <w:p w:rsidR="006F7393" w:rsidRPr="009838BC" w:rsidP="009838BC" w14:paraId="7C3CFF6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DF6BCA"/>
    <w:multiLevelType w:val="hybridMultilevel"/>
    <w:tmpl w:val="937C7F2C"/>
    <w:lvl w:ilvl="0">
      <w:start w:val="1"/>
      <w:numFmt w:val="bullet"/>
      <w:lvlText w:val=""/>
      <w:lvlJc w:val="left"/>
      <w:pPr>
        <w:ind w:left="1080" w:hanging="360"/>
      </w:pPr>
      <w:rPr>
        <w:rFonts w:ascii="Symbol" w:hAnsi="Symbol" w:hint="default"/>
      </w:rPr>
    </w:lvl>
    <w:lvl w:ilvl="1">
      <w:start w:val="0"/>
      <w:numFmt w:val="bullet"/>
      <w:lvlText w:val="•"/>
      <w:lvlJc w:val="left"/>
      <w:pPr>
        <w:ind w:left="2303" w:hanging="863"/>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ED350F"/>
    <w:multiLevelType w:val="hybridMultilevel"/>
    <w:tmpl w:val="91389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F3"/>
    <w:rsid w:val="00007230"/>
    <w:rsid w:val="000072CE"/>
    <w:rsid w:val="00013A8B"/>
    <w:rsid w:val="00021445"/>
    <w:rsid w:val="00022735"/>
    <w:rsid w:val="00023934"/>
    <w:rsid w:val="00036039"/>
    <w:rsid w:val="00037F90"/>
    <w:rsid w:val="00047DF0"/>
    <w:rsid w:val="00060E96"/>
    <w:rsid w:val="00066D40"/>
    <w:rsid w:val="00067807"/>
    <w:rsid w:val="000875BF"/>
    <w:rsid w:val="00096D8C"/>
    <w:rsid w:val="000A2041"/>
    <w:rsid w:val="000A6910"/>
    <w:rsid w:val="000C0B65"/>
    <w:rsid w:val="000E10F9"/>
    <w:rsid w:val="000E3D42"/>
    <w:rsid w:val="000E5884"/>
    <w:rsid w:val="000F0CC7"/>
    <w:rsid w:val="00110C84"/>
    <w:rsid w:val="00122BD5"/>
    <w:rsid w:val="00125379"/>
    <w:rsid w:val="00134EFF"/>
    <w:rsid w:val="001979D9"/>
    <w:rsid w:val="001B6E5D"/>
    <w:rsid w:val="001C272A"/>
    <w:rsid w:val="001D6BCF"/>
    <w:rsid w:val="001E01CA"/>
    <w:rsid w:val="00200C31"/>
    <w:rsid w:val="002060D9"/>
    <w:rsid w:val="002169A5"/>
    <w:rsid w:val="002178E6"/>
    <w:rsid w:val="00226822"/>
    <w:rsid w:val="0025067D"/>
    <w:rsid w:val="002544E2"/>
    <w:rsid w:val="00260594"/>
    <w:rsid w:val="002615F9"/>
    <w:rsid w:val="00285017"/>
    <w:rsid w:val="002857B0"/>
    <w:rsid w:val="002A2D2E"/>
    <w:rsid w:val="002A3F55"/>
    <w:rsid w:val="002B1904"/>
    <w:rsid w:val="003035B9"/>
    <w:rsid w:val="0033791E"/>
    <w:rsid w:val="00343749"/>
    <w:rsid w:val="003447EC"/>
    <w:rsid w:val="003474E6"/>
    <w:rsid w:val="003529A8"/>
    <w:rsid w:val="00357D50"/>
    <w:rsid w:val="00370D28"/>
    <w:rsid w:val="00387C3A"/>
    <w:rsid w:val="003925DC"/>
    <w:rsid w:val="003B0550"/>
    <w:rsid w:val="003B694F"/>
    <w:rsid w:val="003D01B6"/>
    <w:rsid w:val="003D4C33"/>
    <w:rsid w:val="003D6998"/>
    <w:rsid w:val="003E53B5"/>
    <w:rsid w:val="003F1123"/>
    <w:rsid w:val="003F171C"/>
    <w:rsid w:val="00407A8E"/>
    <w:rsid w:val="00412FC5"/>
    <w:rsid w:val="00422276"/>
    <w:rsid w:val="004242F1"/>
    <w:rsid w:val="004334FC"/>
    <w:rsid w:val="00445A00"/>
    <w:rsid w:val="00451B0F"/>
    <w:rsid w:val="00454EC9"/>
    <w:rsid w:val="00455699"/>
    <w:rsid w:val="0046125F"/>
    <w:rsid w:val="004671A0"/>
    <w:rsid w:val="00487524"/>
    <w:rsid w:val="00493524"/>
    <w:rsid w:val="00496106"/>
    <w:rsid w:val="004A7C5F"/>
    <w:rsid w:val="004B6DBE"/>
    <w:rsid w:val="004C12D0"/>
    <w:rsid w:val="004C2EE3"/>
    <w:rsid w:val="004E25DA"/>
    <w:rsid w:val="004E4A22"/>
    <w:rsid w:val="005048C7"/>
    <w:rsid w:val="00506417"/>
    <w:rsid w:val="00511968"/>
    <w:rsid w:val="00515DA8"/>
    <w:rsid w:val="0051651E"/>
    <w:rsid w:val="00530260"/>
    <w:rsid w:val="00555FE5"/>
    <w:rsid w:val="0055614C"/>
    <w:rsid w:val="00557841"/>
    <w:rsid w:val="00591296"/>
    <w:rsid w:val="00594712"/>
    <w:rsid w:val="005A7697"/>
    <w:rsid w:val="005A79A6"/>
    <w:rsid w:val="005B505E"/>
    <w:rsid w:val="005C540E"/>
    <w:rsid w:val="005F2A01"/>
    <w:rsid w:val="00607BA5"/>
    <w:rsid w:val="00620592"/>
    <w:rsid w:val="00626DE4"/>
    <w:rsid w:val="00626EB6"/>
    <w:rsid w:val="00632AA7"/>
    <w:rsid w:val="006353A3"/>
    <w:rsid w:val="006543BB"/>
    <w:rsid w:val="00655D03"/>
    <w:rsid w:val="00683F84"/>
    <w:rsid w:val="006A6A81"/>
    <w:rsid w:val="006C7174"/>
    <w:rsid w:val="006D6B64"/>
    <w:rsid w:val="006E12A1"/>
    <w:rsid w:val="006E26AF"/>
    <w:rsid w:val="006F7393"/>
    <w:rsid w:val="0070224F"/>
    <w:rsid w:val="007115F7"/>
    <w:rsid w:val="00714960"/>
    <w:rsid w:val="007179FC"/>
    <w:rsid w:val="007401C7"/>
    <w:rsid w:val="0074203B"/>
    <w:rsid w:val="007600A8"/>
    <w:rsid w:val="007646A1"/>
    <w:rsid w:val="007672E4"/>
    <w:rsid w:val="0077160A"/>
    <w:rsid w:val="00785689"/>
    <w:rsid w:val="0079754B"/>
    <w:rsid w:val="007A1E6D"/>
    <w:rsid w:val="007A4A72"/>
    <w:rsid w:val="007D60CB"/>
    <w:rsid w:val="00822CE0"/>
    <w:rsid w:val="00835CD8"/>
    <w:rsid w:val="00836830"/>
    <w:rsid w:val="00837C62"/>
    <w:rsid w:val="00841AB1"/>
    <w:rsid w:val="0086206E"/>
    <w:rsid w:val="00867354"/>
    <w:rsid w:val="008811FA"/>
    <w:rsid w:val="00881624"/>
    <w:rsid w:val="008C22FD"/>
    <w:rsid w:val="008C48C6"/>
    <w:rsid w:val="008D005C"/>
    <w:rsid w:val="008D6938"/>
    <w:rsid w:val="008D743D"/>
    <w:rsid w:val="008F0859"/>
    <w:rsid w:val="00902359"/>
    <w:rsid w:val="00902ADC"/>
    <w:rsid w:val="00910F12"/>
    <w:rsid w:val="00926503"/>
    <w:rsid w:val="00930ECF"/>
    <w:rsid w:val="00952A13"/>
    <w:rsid w:val="00971375"/>
    <w:rsid w:val="00975C5C"/>
    <w:rsid w:val="009838BC"/>
    <w:rsid w:val="009A0B43"/>
    <w:rsid w:val="00A45F4F"/>
    <w:rsid w:val="00A600A9"/>
    <w:rsid w:val="00A65231"/>
    <w:rsid w:val="00A866AC"/>
    <w:rsid w:val="00AA55B7"/>
    <w:rsid w:val="00AA5B9E"/>
    <w:rsid w:val="00AB2407"/>
    <w:rsid w:val="00AB281C"/>
    <w:rsid w:val="00AB53DF"/>
    <w:rsid w:val="00AD3C9D"/>
    <w:rsid w:val="00B051BE"/>
    <w:rsid w:val="00B07E5C"/>
    <w:rsid w:val="00B326E3"/>
    <w:rsid w:val="00B36FB6"/>
    <w:rsid w:val="00B567ED"/>
    <w:rsid w:val="00B811F7"/>
    <w:rsid w:val="00BA5DC6"/>
    <w:rsid w:val="00BA6196"/>
    <w:rsid w:val="00BC6D8C"/>
    <w:rsid w:val="00BC6DEB"/>
    <w:rsid w:val="00BE2CF6"/>
    <w:rsid w:val="00BF65A5"/>
    <w:rsid w:val="00C16AF2"/>
    <w:rsid w:val="00C34006"/>
    <w:rsid w:val="00C426B1"/>
    <w:rsid w:val="00C42899"/>
    <w:rsid w:val="00C80C86"/>
    <w:rsid w:val="00C82B6B"/>
    <w:rsid w:val="00C90D6A"/>
    <w:rsid w:val="00CA10D6"/>
    <w:rsid w:val="00CC0A6A"/>
    <w:rsid w:val="00CC72B6"/>
    <w:rsid w:val="00CF51A9"/>
    <w:rsid w:val="00D0218D"/>
    <w:rsid w:val="00D12B6A"/>
    <w:rsid w:val="00D15D43"/>
    <w:rsid w:val="00D15F93"/>
    <w:rsid w:val="00D216CD"/>
    <w:rsid w:val="00D51BA5"/>
    <w:rsid w:val="00D57FDF"/>
    <w:rsid w:val="00D66AE9"/>
    <w:rsid w:val="00D82F2E"/>
    <w:rsid w:val="00DA2529"/>
    <w:rsid w:val="00DA3296"/>
    <w:rsid w:val="00DA72F3"/>
    <w:rsid w:val="00DB130A"/>
    <w:rsid w:val="00DC10A1"/>
    <w:rsid w:val="00DC655F"/>
    <w:rsid w:val="00DC6E42"/>
    <w:rsid w:val="00DD7EBD"/>
    <w:rsid w:val="00DF5338"/>
    <w:rsid w:val="00DF62B6"/>
    <w:rsid w:val="00E07225"/>
    <w:rsid w:val="00E155B7"/>
    <w:rsid w:val="00E44E1E"/>
    <w:rsid w:val="00E451CB"/>
    <w:rsid w:val="00E5409F"/>
    <w:rsid w:val="00E62779"/>
    <w:rsid w:val="00EC0185"/>
    <w:rsid w:val="00ED4937"/>
    <w:rsid w:val="00EF3540"/>
    <w:rsid w:val="00F021FA"/>
    <w:rsid w:val="00F11727"/>
    <w:rsid w:val="00F57ACA"/>
    <w:rsid w:val="00F610CE"/>
    <w:rsid w:val="00F62E97"/>
    <w:rsid w:val="00F64209"/>
    <w:rsid w:val="00F64382"/>
    <w:rsid w:val="00F673EC"/>
    <w:rsid w:val="00F86420"/>
    <w:rsid w:val="00F93BF5"/>
    <w:rsid w:val="00F96F63"/>
    <w:rsid w:val="00FA72B3"/>
    <w:rsid w:val="00FD1DCD"/>
    <w:rsid w:val="00FD2745"/>
    <w:rsid w:val="00FE01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36E3696-1E7D-4EFD-A397-7545928B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DA72F3"/>
    <w:pPr>
      <w:ind w:left="720"/>
      <w:contextualSpacing/>
    </w:pPr>
  </w:style>
  <w:style w:type="character" w:styleId="CommentReference">
    <w:name w:val="annotation reference"/>
    <w:uiPriority w:val="99"/>
    <w:semiHidden/>
    <w:unhideWhenUsed/>
    <w:rsid w:val="00DA72F3"/>
    <w:rPr>
      <w:sz w:val="16"/>
      <w:szCs w:val="16"/>
    </w:rPr>
  </w:style>
  <w:style w:type="paragraph" w:styleId="CommentText">
    <w:name w:val="annotation text"/>
    <w:basedOn w:val="Normal"/>
    <w:link w:val="CommentTextChar"/>
    <w:uiPriority w:val="99"/>
    <w:semiHidden/>
    <w:unhideWhenUsed/>
    <w:rsid w:val="00DA72F3"/>
    <w:rPr>
      <w:sz w:val="20"/>
    </w:rPr>
  </w:style>
  <w:style w:type="character" w:customStyle="1" w:styleId="CommentTextChar">
    <w:name w:val="Comment Text Char"/>
    <w:link w:val="CommentText"/>
    <w:uiPriority w:val="99"/>
    <w:semiHidden/>
    <w:rsid w:val="00DA72F3"/>
    <w:rPr>
      <w:snapToGrid w:val="0"/>
      <w:kern w:val="28"/>
    </w:rPr>
  </w:style>
  <w:style w:type="paragraph" w:styleId="CommentSubject">
    <w:name w:val="annotation subject"/>
    <w:basedOn w:val="CommentText"/>
    <w:next w:val="CommentText"/>
    <w:link w:val="CommentSubjectChar"/>
    <w:uiPriority w:val="99"/>
    <w:semiHidden/>
    <w:unhideWhenUsed/>
    <w:rsid w:val="00DA72F3"/>
    <w:rPr>
      <w:b/>
      <w:bCs/>
    </w:rPr>
  </w:style>
  <w:style w:type="character" w:customStyle="1" w:styleId="CommentSubjectChar">
    <w:name w:val="Comment Subject Char"/>
    <w:link w:val="CommentSubject"/>
    <w:uiPriority w:val="99"/>
    <w:semiHidden/>
    <w:rsid w:val="00DA72F3"/>
    <w:rPr>
      <w:b/>
      <w:bCs/>
      <w:snapToGrid w:val="0"/>
      <w:kern w:val="28"/>
    </w:rPr>
  </w:style>
  <w:style w:type="paragraph" w:styleId="BalloonText">
    <w:name w:val="Balloon Text"/>
    <w:basedOn w:val="Normal"/>
    <w:link w:val="BalloonTextChar"/>
    <w:uiPriority w:val="99"/>
    <w:semiHidden/>
    <w:unhideWhenUsed/>
    <w:rsid w:val="00DA72F3"/>
    <w:rPr>
      <w:rFonts w:ascii="Segoe UI" w:hAnsi="Segoe UI" w:cs="Segoe UI"/>
      <w:sz w:val="18"/>
      <w:szCs w:val="18"/>
    </w:rPr>
  </w:style>
  <w:style w:type="character" w:customStyle="1" w:styleId="BalloonTextChar">
    <w:name w:val="Balloon Text Char"/>
    <w:link w:val="BalloonText"/>
    <w:uiPriority w:val="99"/>
    <w:semiHidden/>
    <w:rsid w:val="00DA72F3"/>
    <w:rPr>
      <w:rFonts w:ascii="Segoe UI" w:hAnsi="Segoe UI" w:cs="Segoe UI"/>
      <w:snapToGrid w:val="0"/>
      <w:kern w:val="28"/>
      <w:sz w:val="18"/>
      <w:szCs w:val="18"/>
    </w:rPr>
  </w:style>
  <w:style w:type="character" w:customStyle="1" w:styleId="UnresolvedMention">
    <w:name w:val="Unresolved Mention"/>
    <w:uiPriority w:val="99"/>
    <w:semiHidden/>
    <w:unhideWhenUsed/>
    <w:rsid w:val="00DA72F3"/>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835CD8"/>
  </w:style>
  <w:style w:type="character" w:styleId="FollowedHyperlink">
    <w:name w:val="FollowedHyperlink"/>
    <w:uiPriority w:val="99"/>
    <w:semiHidden/>
    <w:unhideWhenUsed/>
    <w:rsid w:val="00DF5338"/>
    <w:rPr>
      <w:color w:val="954F72"/>
      <w:u w:val="single"/>
    </w:rPr>
  </w:style>
  <w:style w:type="paragraph" w:styleId="Revision">
    <w:name w:val="Revision"/>
    <w:hidden/>
    <w:uiPriority w:val="99"/>
    <w:semiHidden/>
    <w:rsid w:val="007420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achel.Weh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16152980900/ILAW%20-%20Request%20for%20Waiver%20-%20Determination.pdf" TargetMode="External" /><Relationship Id="rId2" Type="http://schemas.openxmlformats.org/officeDocument/2006/relationships/hyperlink" Target="https://ecfsapi.fcc.gov/file/121888112638/ILAW%20Request%20for%20Waiver%20-%20Determination%20121820%20Amend.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