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C44CD" w:rsidP="00EC44CD" w14:paraId="3032B840" w14:textId="77777777">
      <w:pPr>
        <w:jc w:val="center"/>
        <w:rPr>
          <w:b/>
          <w:snapToGrid/>
        </w:rPr>
      </w:pPr>
      <w:r>
        <w:rPr>
          <w:rFonts w:ascii="Times New Roman Bold" w:hAnsi="Times New Roman Bold"/>
          <w:b/>
          <w:kern w:val="0"/>
          <w:szCs w:val="22"/>
        </w:rPr>
        <w:t>Before</w:t>
      </w:r>
      <w:r>
        <w:rPr>
          <w:b/>
        </w:rPr>
        <w:t xml:space="preserve"> the</w:t>
      </w:r>
    </w:p>
    <w:p w:rsidR="00EC44CD" w:rsidP="00EC44CD" w14:paraId="24D33503" w14:textId="77777777">
      <w:pPr>
        <w:pStyle w:val="StyleBoldCentered"/>
      </w:pPr>
      <w:r>
        <w:t>F</w:t>
      </w:r>
      <w:r>
        <w:rPr>
          <w:caps w:val="0"/>
        </w:rPr>
        <w:t>ederal Communications Commission</w:t>
      </w:r>
    </w:p>
    <w:p w:rsidR="00EC44CD" w:rsidP="00EC44CD" w14:paraId="55A56BB0" w14:textId="77777777">
      <w:pPr>
        <w:pStyle w:val="StyleBoldCentered"/>
      </w:pPr>
      <w:r>
        <w:rPr>
          <w:caps w:val="0"/>
        </w:rPr>
        <w:t>Washington, D.C. 20554</w:t>
      </w:r>
    </w:p>
    <w:p w:rsidR="00EC44CD" w:rsidP="00EC44CD" w14:paraId="4621103C" w14:textId="77777777"/>
    <w:p w:rsidR="00EC44CD" w:rsidP="00EC44CD" w14:paraId="7D78AAB4" w14:textId="77777777"/>
    <w:tbl>
      <w:tblPr>
        <w:tblW w:w="9570" w:type="dxa"/>
        <w:tblLayout w:type="fixed"/>
        <w:tblLook w:val="04A0"/>
      </w:tblPr>
      <w:tblGrid>
        <w:gridCol w:w="4695"/>
        <w:gridCol w:w="630"/>
        <w:gridCol w:w="4245"/>
      </w:tblGrid>
      <w:tr w14:paraId="77DB3255" w14:textId="77777777" w:rsidTr="00EC44CD">
        <w:tblPrEx>
          <w:tblW w:w="9570" w:type="dxa"/>
          <w:tblLayout w:type="fixed"/>
          <w:tblLook w:val="04A0"/>
        </w:tblPrEx>
        <w:tc>
          <w:tcPr>
            <w:tcW w:w="4698" w:type="dxa"/>
          </w:tcPr>
          <w:p w:rsidR="00EC44CD" w14:paraId="1939C496" w14:textId="77777777">
            <w:pPr>
              <w:tabs>
                <w:tab w:val="center" w:pos="4680"/>
              </w:tabs>
              <w:suppressAutoHyphens/>
              <w:rPr>
                <w:spacing w:val="-2"/>
              </w:rPr>
            </w:pPr>
            <w:r>
              <w:rPr>
                <w:spacing w:val="-2"/>
              </w:rPr>
              <w:t xml:space="preserve">In the Matter of Online Political Files of </w:t>
            </w:r>
          </w:p>
          <w:p w:rsidR="00EC44CD" w14:paraId="58377872" w14:textId="77777777">
            <w:pPr>
              <w:tabs>
                <w:tab w:val="left" w:pos="2865"/>
              </w:tabs>
              <w:rPr>
                <w:spacing w:val="-2"/>
              </w:rPr>
            </w:pPr>
          </w:p>
          <w:p w:rsidR="00EC44CD" w14:paraId="631491F7" w14:textId="77777777">
            <w:pPr>
              <w:tabs>
                <w:tab w:val="left" w:pos="2865"/>
              </w:tabs>
              <w:rPr>
                <w:spacing w:val="-2"/>
              </w:rPr>
            </w:pPr>
            <w:r>
              <w:rPr>
                <w:spacing w:val="-2"/>
              </w:rPr>
              <w:t>Enrico Brancadora</w:t>
            </w:r>
          </w:p>
          <w:p w:rsidR="00EC44CD" w14:paraId="2730A7CB" w14:textId="77777777">
            <w:pPr>
              <w:tabs>
                <w:tab w:val="left" w:pos="2865"/>
              </w:tabs>
              <w:rPr>
                <w:spacing w:val="-2"/>
              </w:rPr>
            </w:pPr>
            <w:r>
              <w:rPr>
                <w:spacing w:val="-2"/>
              </w:rPr>
              <w:t>WIBG Limited Liability Company</w:t>
            </w:r>
          </w:p>
          <w:p w:rsidR="00EC44CD" w14:paraId="10A1E247" w14:textId="77777777">
            <w:pPr>
              <w:tabs>
                <w:tab w:val="left" w:pos="2865"/>
              </w:tabs>
            </w:pPr>
          </w:p>
          <w:p w:rsidR="00EC44CD" w14:paraId="2D7274DE" w14:textId="77777777">
            <w:pPr>
              <w:tabs>
                <w:tab w:val="center" w:pos="4680"/>
              </w:tabs>
              <w:suppressAutoHyphens/>
              <w:rPr>
                <w:spacing w:val="-2"/>
              </w:rPr>
            </w:pPr>
            <w:r>
              <w:t>Licensees of Commercial Radio Station(s)</w:t>
            </w:r>
          </w:p>
        </w:tc>
        <w:tc>
          <w:tcPr>
            <w:tcW w:w="630" w:type="dxa"/>
          </w:tcPr>
          <w:p w:rsidR="00EC44CD" w14:paraId="1AFA2F88" w14:textId="77777777">
            <w:pPr>
              <w:tabs>
                <w:tab w:val="center" w:pos="4680"/>
              </w:tabs>
              <w:suppressAutoHyphens/>
              <w:rPr>
                <w:b/>
                <w:spacing w:val="-2"/>
              </w:rPr>
            </w:pPr>
            <w:r>
              <w:rPr>
                <w:b/>
                <w:spacing w:val="-2"/>
              </w:rPr>
              <w:t>)</w:t>
            </w:r>
          </w:p>
          <w:p w:rsidR="00EC44CD" w14:paraId="0AFE47CE" w14:textId="77777777">
            <w:pPr>
              <w:tabs>
                <w:tab w:val="center" w:pos="4680"/>
              </w:tabs>
              <w:suppressAutoHyphens/>
              <w:rPr>
                <w:b/>
                <w:spacing w:val="-2"/>
              </w:rPr>
            </w:pPr>
            <w:r>
              <w:rPr>
                <w:b/>
                <w:spacing w:val="-2"/>
              </w:rPr>
              <w:t>)</w:t>
            </w:r>
          </w:p>
          <w:p w:rsidR="00EC44CD" w14:paraId="581563AE" w14:textId="77777777">
            <w:pPr>
              <w:tabs>
                <w:tab w:val="center" w:pos="4680"/>
              </w:tabs>
              <w:suppressAutoHyphens/>
              <w:rPr>
                <w:b/>
                <w:spacing w:val="-2"/>
              </w:rPr>
            </w:pPr>
            <w:r>
              <w:rPr>
                <w:b/>
                <w:spacing w:val="-2"/>
              </w:rPr>
              <w:t>)</w:t>
            </w:r>
          </w:p>
          <w:p w:rsidR="00EC44CD" w14:paraId="479DECBE" w14:textId="77777777">
            <w:pPr>
              <w:tabs>
                <w:tab w:val="center" w:pos="4680"/>
              </w:tabs>
              <w:suppressAutoHyphens/>
              <w:rPr>
                <w:b/>
                <w:spacing w:val="-2"/>
              </w:rPr>
            </w:pPr>
            <w:r>
              <w:rPr>
                <w:b/>
                <w:spacing w:val="-2"/>
              </w:rPr>
              <w:t>)</w:t>
            </w:r>
          </w:p>
          <w:p w:rsidR="00EC44CD" w14:paraId="10900965" w14:textId="77777777">
            <w:pPr>
              <w:tabs>
                <w:tab w:val="center" w:pos="4680"/>
              </w:tabs>
              <w:suppressAutoHyphens/>
              <w:rPr>
                <w:b/>
                <w:spacing w:val="-2"/>
              </w:rPr>
            </w:pPr>
            <w:r>
              <w:rPr>
                <w:b/>
                <w:spacing w:val="-2"/>
              </w:rPr>
              <w:t>)</w:t>
            </w:r>
          </w:p>
          <w:p w:rsidR="00EC44CD" w14:paraId="00C52F67" w14:textId="77777777">
            <w:pPr>
              <w:tabs>
                <w:tab w:val="center" w:pos="4680"/>
              </w:tabs>
              <w:suppressAutoHyphens/>
              <w:rPr>
                <w:b/>
                <w:spacing w:val="-2"/>
              </w:rPr>
            </w:pPr>
          </w:p>
          <w:p w:rsidR="00EC44CD" w14:paraId="27B82F60" w14:textId="77777777">
            <w:pPr>
              <w:tabs>
                <w:tab w:val="center" w:pos="4680"/>
              </w:tabs>
              <w:suppressAutoHyphens/>
              <w:rPr>
                <w:spacing w:val="-2"/>
              </w:rPr>
            </w:pPr>
          </w:p>
        </w:tc>
        <w:tc>
          <w:tcPr>
            <w:tcW w:w="4248" w:type="dxa"/>
          </w:tcPr>
          <w:p w:rsidR="00EC44CD" w14:paraId="5FFE4F1D" w14:textId="77777777">
            <w:pPr>
              <w:tabs>
                <w:tab w:val="center" w:pos="4680"/>
              </w:tabs>
              <w:suppressAutoHyphens/>
              <w:rPr>
                <w:spacing w:val="-2"/>
                <w:szCs w:val="22"/>
                <w:highlight w:val="yellow"/>
                <w:u w:val="single"/>
              </w:rPr>
            </w:pPr>
            <w:r>
              <w:rPr>
                <w:spacing w:val="-2"/>
                <w:szCs w:val="22"/>
              </w:rPr>
              <w:t xml:space="preserve">File No.:  </w:t>
            </w:r>
            <w:r>
              <w:rPr>
                <w:szCs w:val="22"/>
              </w:rPr>
              <w:t>POL-061522-3763109</w:t>
            </w:r>
          </w:p>
          <w:p w:rsidR="00EC44CD" w14:paraId="3A2DFDB0" w14:textId="77777777">
            <w:pPr>
              <w:tabs>
                <w:tab w:val="center" w:pos="4680"/>
              </w:tabs>
              <w:suppressAutoHyphens/>
              <w:rPr>
                <w:spacing w:val="-2"/>
                <w:szCs w:val="22"/>
              </w:rPr>
            </w:pPr>
          </w:p>
          <w:p w:rsidR="00EC44CD" w14:paraId="116A2B8C" w14:textId="77777777">
            <w:pPr>
              <w:tabs>
                <w:tab w:val="center" w:pos="4680"/>
              </w:tabs>
              <w:suppressAutoHyphens/>
              <w:rPr>
                <w:spacing w:val="-2"/>
                <w:szCs w:val="22"/>
              </w:rPr>
            </w:pPr>
          </w:p>
          <w:p w:rsidR="00EC44CD" w14:paraId="31154ED6" w14:textId="77777777">
            <w:pPr>
              <w:tabs>
                <w:tab w:val="center" w:pos="4680"/>
              </w:tabs>
              <w:suppressAutoHyphens/>
              <w:rPr>
                <w:spacing w:val="-2"/>
                <w:szCs w:val="22"/>
              </w:rPr>
            </w:pPr>
            <w:r>
              <w:rPr>
                <w:spacing w:val="-2"/>
                <w:szCs w:val="22"/>
              </w:rPr>
              <w:t>FRN:  3763109</w:t>
            </w:r>
          </w:p>
          <w:p w:rsidR="00EC44CD" w14:paraId="197E2B55" w14:textId="77777777">
            <w:pPr>
              <w:tabs>
                <w:tab w:val="center" w:pos="4680"/>
              </w:tabs>
              <w:suppressAutoHyphens/>
              <w:rPr>
                <w:spacing w:val="-2"/>
                <w:szCs w:val="22"/>
              </w:rPr>
            </w:pPr>
            <w:r>
              <w:rPr>
                <w:spacing w:val="-2"/>
                <w:szCs w:val="22"/>
              </w:rPr>
              <w:t xml:space="preserve">           18754705</w:t>
            </w:r>
          </w:p>
          <w:p w:rsidR="00EC44CD" w14:paraId="18510937" w14:textId="77777777">
            <w:pPr>
              <w:tabs>
                <w:tab w:val="center" w:pos="4680"/>
              </w:tabs>
              <w:suppressAutoHyphens/>
              <w:rPr>
                <w:spacing w:val="-2"/>
              </w:rPr>
            </w:pPr>
          </w:p>
        </w:tc>
      </w:tr>
    </w:tbl>
    <w:p w:rsidR="00EC44CD" w:rsidP="00EC44CD" w14:paraId="2F26DF4A" w14:textId="77777777"/>
    <w:p w:rsidR="00EC44CD" w:rsidP="00EC44CD" w14:paraId="0150EFD4" w14:textId="77777777">
      <w:pPr>
        <w:pStyle w:val="StyleBoldCentered"/>
      </w:pPr>
      <w:r>
        <w:t>Order</w:t>
      </w:r>
    </w:p>
    <w:p w:rsidR="00EC44CD" w:rsidP="00EC44CD" w14:paraId="190D589B" w14:textId="77777777">
      <w:pPr>
        <w:tabs>
          <w:tab w:val="left" w:pos="-720"/>
        </w:tabs>
        <w:suppressAutoHyphens/>
        <w:spacing w:line="225" w:lineRule="auto"/>
        <w:rPr>
          <w:spacing w:val="-2"/>
        </w:rPr>
      </w:pPr>
    </w:p>
    <w:p w:rsidR="00EC44CD" w:rsidRPr="00AD67D7" w:rsidP="00EC44CD" w14:paraId="300CFBD1" w14:textId="0659AEF5">
      <w:pPr>
        <w:tabs>
          <w:tab w:val="left" w:pos="720"/>
          <w:tab w:val="right" w:pos="9360"/>
        </w:tabs>
        <w:suppressAutoHyphens/>
        <w:spacing w:line="225" w:lineRule="auto"/>
        <w:rPr>
          <w:b/>
          <w:spacing w:val="-2"/>
        </w:rPr>
      </w:pPr>
      <w:r>
        <w:rPr>
          <w:b/>
          <w:spacing w:val="-2"/>
        </w:rPr>
        <w:t xml:space="preserve">Adopted:  </w:t>
      </w:r>
      <w:r w:rsidR="00AD67D7">
        <w:rPr>
          <w:b/>
          <w:spacing w:val="-2"/>
        </w:rPr>
        <w:t>September 23, 2022</w:t>
      </w:r>
      <w:r>
        <w:rPr>
          <w:b/>
          <w:spacing w:val="-2"/>
        </w:rPr>
        <w:tab/>
        <w:t xml:space="preserve">Released:  </w:t>
      </w:r>
      <w:r w:rsidR="00AD67D7">
        <w:rPr>
          <w:b/>
          <w:spacing w:val="-2"/>
        </w:rPr>
        <w:t>September 23, 2022</w:t>
      </w:r>
    </w:p>
    <w:p w:rsidR="00EC44CD" w:rsidP="00EC44CD" w14:paraId="7D25472B" w14:textId="77777777"/>
    <w:p w:rsidR="00EC44CD" w:rsidP="00EC44CD" w14:paraId="1A2834B2" w14:textId="77777777"/>
    <w:p w:rsidR="00EC44CD" w:rsidP="00EC44CD" w14:paraId="137A5A79" w14:textId="77777777">
      <w:pPr>
        <w:rPr>
          <w:spacing w:val="-2"/>
        </w:rPr>
      </w:pPr>
      <w:r>
        <w:t xml:space="preserve">By the </w:t>
      </w:r>
      <w:r>
        <w:rPr>
          <w:spacing w:val="-2"/>
        </w:rPr>
        <w:t>Chief, Media Bureau:</w:t>
      </w:r>
    </w:p>
    <w:p w:rsidR="00EC44CD" w:rsidP="00EC44CD" w14:paraId="57ED8436" w14:textId="77777777">
      <w:pPr>
        <w:rPr>
          <w:spacing w:val="-2"/>
        </w:rPr>
      </w:pPr>
    </w:p>
    <w:p w:rsidR="00EC44CD" w:rsidP="00EC44CD" w14:paraId="4DF5E48E" w14:textId="77777777">
      <w:pPr>
        <w:pStyle w:val="ParaNum"/>
        <w:widowControl/>
        <w:numPr>
          <w:ilvl w:val="0"/>
          <w:numId w:val="38"/>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EC44CD" w:rsidP="00EC44CD" w14:paraId="6D4E0CBA" w14:textId="77777777">
      <w:pPr>
        <w:pStyle w:val="ParaNum"/>
        <w:widowControl/>
        <w:numPr>
          <w:ilvl w:val="0"/>
          <w:numId w:val="38"/>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EC44CD" w:rsidP="00EC44CD" w14:paraId="664B200C" w14:textId="77777777">
      <w:pPr>
        <w:pStyle w:val="ParaNum"/>
        <w:numPr>
          <w:ilvl w:val="0"/>
          <w:numId w:val="38"/>
        </w:numPr>
        <w:tabs>
          <w:tab w:val="left" w:pos="1440"/>
        </w:tabs>
        <w:snapToGrid w:val="0"/>
      </w:pPr>
      <w:r>
        <w:t>Enrico Brancadora and WIBG Limited Liability Company are the licensees of commercial radio stations for which they have filed license renewal applications.  The Audio Division of the FCC’s Media Bureau suspended processing of those applications because of Enrico Brancadora and WIBG Limited Liability Company’s failure to affirmatively certify compliance with their public file obligations in Section 73.3526 of the Commission’s rules.</w:t>
      </w:r>
      <w:r>
        <w:rPr>
          <w:rStyle w:val="FootnoteReference"/>
        </w:rPr>
        <w:footnoteReference w:id="13"/>
      </w:r>
      <w:r>
        <w:t xml:space="preserve">  The Audio Division staff determined that the public file deficiencies were attributable to a failure by Enrico Brancadora and WIBG Limited Liability Company to comply with political file requirements.   </w:t>
      </w:r>
    </w:p>
    <w:p w:rsidR="00EC44CD" w:rsidP="00EC44CD" w14:paraId="6B195C86" w14:textId="77777777">
      <w:pPr>
        <w:pStyle w:val="ParaNum"/>
        <w:numPr>
          <w:ilvl w:val="0"/>
          <w:numId w:val="38"/>
        </w:numPr>
        <w:tabs>
          <w:tab w:val="left" w:pos="1440"/>
        </w:tabs>
        <w:snapToGrid w:val="0"/>
        <w:rPr>
          <w:szCs w:val="22"/>
        </w:rPr>
      </w:pPr>
      <w:r>
        <w:t xml:space="preserve">The Media Bureau, Enrico Brancadora and WIBG Limited Liability Company have elected to resolve the matter of Enrico Brancadora and WIBG Limited Liability Company’s public file derelictions through the attached Consent Decree.  Pursuant to the Consent Decree, Enrico Brancadora and WIBG Limited Liability Company agree, among other things, to implement a comprehensive compliance plan to ensure future compliance with their political file obligations and to submit periodic compliance reports to the Media Bureau.  </w:t>
      </w:r>
    </w:p>
    <w:p w:rsidR="00EC44CD" w:rsidP="00EC44CD" w14:paraId="46FF7DA9" w14:textId="77777777">
      <w:pPr>
        <w:pStyle w:val="ParaNum"/>
        <w:numPr>
          <w:ilvl w:val="0"/>
          <w:numId w:val="38"/>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EC44CD" w:rsidP="00EC44CD" w14:paraId="52849555" w14:textId="77777777">
      <w:pPr>
        <w:pStyle w:val="ParaNum"/>
        <w:numPr>
          <w:ilvl w:val="0"/>
          <w:numId w:val="38"/>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EC44CD" w:rsidP="00EC44CD" w14:paraId="4361CF05" w14:textId="77777777">
      <w:pPr>
        <w:pStyle w:val="ParaNum"/>
        <w:numPr>
          <w:ilvl w:val="0"/>
          <w:numId w:val="38"/>
        </w:numPr>
        <w:tabs>
          <w:tab w:val="clear" w:pos="1080"/>
          <w:tab w:val="left" w:pos="1440"/>
        </w:tabs>
        <w:snapToGrid w:val="0"/>
        <w:rPr>
          <w:szCs w:val="22"/>
        </w:rPr>
      </w:pPr>
      <w:bookmarkStart w:id="1"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1"/>
    <w:p w:rsidR="00EC44CD" w:rsidP="00EC44CD" w14:paraId="1A4FD74C" w14:textId="77777777">
      <w:pPr>
        <w:pStyle w:val="ParaNum"/>
        <w:numPr>
          <w:ilvl w:val="0"/>
          <w:numId w:val="38"/>
        </w:numPr>
        <w:tabs>
          <w:tab w:val="clear" w:pos="1080"/>
          <w:tab w:val="left" w:pos="1440"/>
        </w:tabs>
        <w:snapToGrid w:val="0"/>
        <w:rPr>
          <w:b/>
        </w:rPr>
      </w:pPr>
      <w:r>
        <w:rPr>
          <w:b/>
        </w:rPr>
        <w:t>IT IS FURTHER ORDERED</w:t>
      </w:r>
      <w:r>
        <w:t xml:space="preserve"> that the above-captioned matter </w:t>
      </w:r>
      <w:r>
        <w:rPr>
          <w:b/>
        </w:rPr>
        <w:t>IS TERMINATED</w:t>
      </w:r>
      <w:r>
        <w:t>.</w:t>
      </w:r>
    </w:p>
    <w:p w:rsidR="00EC44CD" w:rsidP="00EC44CD" w14:paraId="04034858" w14:textId="77777777">
      <w:pPr>
        <w:pStyle w:val="ParaNum"/>
        <w:numPr>
          <w:ilvl w:val="0"/>
          <w:numId w:val="38"/>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counsel for </w:t>
      </w:r>
      <w:r>
        <w:t xml:space="preserve">Enrico Brancadora and WIBG Limited Liability Company at </w:t>
      </w:r>
      <w:hyperlink r:id="rId5" w:history="1">
        <w:r>
          <w:rPr>
            <w:rStyle w:val="Hyperlink"/>
          </w:rPr>
          <w:t>steve@s-plaw.com</w:t>
        </w:r>
      </w:hyperlink>
      <w:r>
        <w:t xml:space="preserve">. </w:t>
      </w:r>
    </w:p>
    <w:p w:rsidR="00EC44CD" w:rsidP="00EC44CD" w14:paraId="0CFB0142" w14:textId="77777777">
      <w:pPr>
        <w:pStyle w:val="ParaNum"/>
        <w:numPr>
          <w:ilvl w:val="0"/>
          <w:numId w:val="0"/>
        </w:numPr>
        <w:tabs>
          <w:tab w:val="left" w:pos="1440"/>
        </w:tabs>
        <w:spacing w:after="240"/>
        <w:ind w:left="720"/>
        <w:rPr>
          <w:b/>
        </w:rPr>
      </w:pPr>
    </w:p>
    <w:p w:rsidR="00EC44CD" w:rsidP="00EC44CD" w14:paraId="146BF7AD"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EC44CD" w:rsidP="00EC44CD" w14:paraId="0D097241" w14:textId="77777777">
      <w:pPr>
        <w:rPr>
          <w:szCs w:val="22"/>
          <w:lang w:val="fr-FR"/>
        </w:rPr>
      </w:pPr>
    </w:p>
    <w:p w:rsidR="00EC44CD" w:rsidP="00EC44CD" w14:paraId="3E70E940" w14:textId="77777777">
      <w:pPr>
        <w:rPr>
          <w:szCs w:val="22"/>
          <w:lang w:val="fr-FR"/>
        </w:rPr>
      </w:pPr>
    </w:p>
    <w:p w:rsidR="00EC44CD" w:rsidP="00EC44CD" w14:paraId="0CB11A97" w14:textId="77777777">
      <w:pPr>
        <w:rPr>
          <w:szCs w:val="22"/>
          <w:lang w:val="fr-FR"/>
        </w:rPr>
      </w:pPr>
    </w:p>
    <w:p w:rsidR="00EC44CD" w:rsidP="00EC44CD" w14:paraId="0155BA46" w14:textId="77777777">
      <w:pPr>
        <w:outlineLvl w:val="0"/>
        <w:rPr>
          <w:szCs w:val="22"/>
          <w:lang w:val="fr-FR"/>
        </w:rPr>
      </w:pPr>
    </w:p>
    <w:p w:rsidR="00EC44CD" w:rsidP="00EC44CD" w14:paraId="50D7B15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Holly Saurer</w:t>
      </w:r>
    </w:p>
    <w:p w:rsidR="00EC44CD" w:rsidP="00EC44CD" w14:paraId="7DBC6E3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EC44CD" w:rsidP="00EC44CD" w14:paraId="40DD1E14" w14:textId="77777777">
      <w:pPr>
        <w:pStyle w:val="ParaNum"/>
        <w:numPr>
          <w:ilvl w:val="0"/>
          <w:numId w:val="0"/>
        </w:numPr>
        <w:tabs>
          <w:tab w:val="left" w:pos="720"/>
        </w:tabs>
        <w:rPr>
          <w:spacing w:val="-2"/>
        </w:rPr>
      </w:pPr>
    </w:p>
    <w:p w:rsidR="00EC44CD" w14:paraId="6D8DD1BE" w14:textId="77777777">
      <w:pPr>
        <w:widowControl/>
        <w:rPr>
          <w:b/>
          <w:snapToGrid/>
          <w:kern w:val="0"/>
          <w:szCs w:val="22"/>
        </w:rPr>
      </w:pPr>
      <w:r>
        <w:rPr>
          <w:b/>
          <w:szCs w:val="22"/>
        </w:rPr>
        <w:br w:type="page"/>
      </w:r>
    </w:p>
    <w:p w:rsidR="009951A8" w:rsidRPr="00DA5FB5" w14:paraId="5837F5DD" w14:textId="23181296">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14:paraId="7D452B3A" w14:textId="4DE74BFA">
            <w:pPr>
              <w:tabs>
                <w:tab w:val="left" w:pos="2865"/>
              </w:tabs>
              <w:contextualSpacing/>
              <w:rPr>
                <w:spacing w:val="-2"/>
              </w:rPr>
            </w:pPr>
            <w:bookmarkStart w:id="2" w:name="_Hlk40884054"/>
            <w:r>
              <w:rPr>
                <w:spacing w:val="-2"/>
              </w:rPr>
              <w:t>Enrico Brancadora</w:t>
            </w:r>
          </w:p>
          <w:p w:rsidR="00C706D2" w:rsidRPr="003B3489" w14:paraId="3D5A8CBD" w14:textId="498265C4">
            <w:pPr>
              <w:tabs>
                <w:tab w:val="left" w:pos="2865"/>
              </w:tabs>
              <w:contextualSpacing/>
              <w:rPr>
                <w:spacing w:val="-2"/>
              </w:rPr>
            </w:pPr>
            <w:r>
              <w:rPr>
                <w:spacing w:val="-2"/>
              </w:rPr>
              <w:t xml:space="preserve">WIBG Limited Liability </w:t>
            </w:r>
            <w:r w:rsidR="00CC5C73">
              <w:rPr>
                <w:spacing w:val="-2"/>
              </w:rPr>
              <w:t>Compan</w:t>
            </w:r>
            <w:r w:rsidR="005049B6">
              <w:rPr>
                <w:spacing w:val="-2"/>
              </w:rPr>
              <w:t>y</w:t>
            </w:r>
          </w:p>
          <w:bookmarkEnd w:id="2"/>
          <w:p w:rsidR="009951A8" w14:paraId="0EEEEA9D" w14:textId="77777777">
            <w:pPr>
              <w:tabs>
                <w:tab w:val="left" w:pos="2865"/>
              </w:tabs>
              <w:contextualSpacing/>
            </w:pPr>
          </w:p>
          <w:p w:rsidR="009951A8" w14:paraId="7EAB54B6" w14:textId="173F5C15">
            <w:pPr>
              <w:tabs>
                <w:tab w:val="left" w:pos="2865"/>
              </w:tabs>
              <w:contextualSpacing/>
            </w:pPr>
            <w:r>
              <w:t>Licensee</w:t>
            </w:r>
            <w:r w:rsidR="00615EA1">
              <w:t>s</w:t>
            </w:r>
            <w:r>
              <w:t xml:space="preserv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6BDFF4A5">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D46E0F">
              <w:rPr>
                <w:szCs w:val="22"/>
              </w:rPr>
              <w:t>3763109</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14:paraId="44C86862" w14:textId="76E540B8">
            <w:pPr>
              <w:tabs>
                <w:tab w:val="center" w:pos="4680"/>
              </w:tabs>
              <w:suppressAutoHyphens/>
              <w:contextualSpacing/>
              <w:rPr>
                <w:spacing w:val="-2"/>
                <w:szCs w:val="22"/>
              </w:rPr>
            </w:pPr>
            <w:r w:rsidRPr="00CF5230">
              <w:rPr>
                <w:spacing w:val="-2"/>
                <w:szCs w:val="22"/>
              </w:rPr>
              <w:t xml:space="preserve">FRN:  </w:t>
            </w:r>
            <w:r w:rsidR="00D46E0F">
              <w:rPr>
                <w:spacing w:val="-2"/>
                <w:szCs w:val="22"/>
              </w:rPr>
              <w:t>3763109</w:t>
            </w:r>
          </w:p>
          <w:p w:rsidR="00C706D2" w14:paraId="53F0C422" w14:textId="45100857">
            <w:pPr>
              <w:tabs>
                <w:tab w:val="center" w:pos="4680"/>
              </w:tabs>
              <w:suppressAutoHyphens/>
              <w:contextualSpacing/>
              <w:rPr>
                <w:spacing w:val="-2"/>
                <w:szCs w:val="22"/>
              </w:rPr>
            </w:pPr>
            <w:r>
              <w:rPr>
                <w:spacing w:val="-2"/>
                <w:szCs w:val="22"/>
              </w:rPr>
              <w:t xml:space="preserve">           18754705</w:t>
            </w:r>
          </w:p>
          <w:p w:rsidR="00C706D2" w14:paraId="0CCEDC47" w14:textId="77777777">
            <w:pPr>
              <w:tabs>
                <w:tab w:val="center" w:pos="4680"/>
              </w:tabs>
              <w:suppressAutoHyphens/>
              <w:contextualSpacing/>
              <w:rPr>
                <w:spacing w:val="-2"/>
                <w:szCs w:val="22"/>
              </w:rPr>
            </w:pPr>
          </w:p>
          <w:p w:rsidR="00C706D2" w:rsidRPr="00CF5230" w14:paraId="1EEB6C19" w14:textId="77777777">
            <w:pPr>
              <w:tabs>
                <w:tab w:val="center" w:pos="4680"/>
              </w:tabs>
              <w:suppressAutoHyphens/>
              <w:contextualSpacing/>
              <w:rPr>
                <w:spacing w:val="-2"/>
                <w:szCs w:val="22"/>
              </w:rPr>
            </w:pP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145A7ED8">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9136F6">
        <w:t>Enrico Brancadora</w:t>
      </w:r>
      <w:r>
        <w:rPr>
          <w:b/>
          <w:bCs/>
        </w:rPr>
        <w:t xml:space="preserve"> </w:t>
      </w:r>
      <w:r w:rsidRPr="00CC5C73" w:rsidR="00CC5C73">
        <w:t xml:space="preserve">and WIBG Limited Liability </w:t>
      </w:r>
      <w:r w:rsidR="00CC5C73">
        <w:t>Compan</w:t>
      </w:r>
      <w:r w:rsidR="005049B6">
        <w:t>y</w:t>
      </w:r>
      <w:r w:rsidR="00CC5C73">
        <w:rPr>
          <w:b/>
          <w:bCs/>
        </w:rPr>
        <w:t xml:space="preserve"> </w:t>
      </w:r>
      <w:r w:rsidRPr="00241A97">
        <w:t>(her</w:t>
      </w:r>
      <w:r>
        <w:t>e</w:t>
      </w:r>
      <w:r w:rsidRPr="00241A97">
        <w:t xml:space="preserve">after </w:t>
      </w:r>
      <w:r>
        <w:t>“</w:t>
      </w:r>
      <w:r w:rsidRPr="00241A97">
        <w:t>Compan</w:t>
      </w:r>
      <w:r w:rsidR="00CC5C73">
        <w:t>ies</w:t>
      </w:r>
      <w:r w:rsidRPr="00241A97">
        <w:t>,</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rsidR="00CC5C73">
        <w:t>Companies’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sidR="00CC5C73">
        <w:rPr>
          <w:bCs/>
        </w:rPr>
        <w:t>Companies</w:t>
      </w:r>
      <w:r>
        <w:rPr>
          <w:b/>
        </w:rPr>
        <w:t xml:space="preserve"> </w:t>
      </w:r>
      <w:bookmarkEnd w:id="3"/>
      <w:r>
        <w:t xml:space="preserve">agree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FFCA6AE">
      <w:pPr>
        <w:widowControl/>
        <w:numPr>
          <w:ilvl w:val="0"/>
          <w:numId w:val="3"/>
        </w:numPr>
        <w:spacing w:after="120"/>
      </w:pPr>
      <w:r>
        <w:t>“Compan</w:t>
      </w:r>
      <w:r w:rsidR="00CC5C73">
        <w:t>ies</w:t>
      </w:r>
      <w:r>
        <w:t xml:space="preserve">” </w:t>
      </w:r>
      <w:r w:rsidRPr="003B3489">
        <w:t xml:space="preserve">mean </w:t>
      </w:r>
      <w:r w:rsidR="009136F6">
        <w:t>Enrico Brancadora</w:t>
      </w:r>
      <w:r w:rsidR="00CC5C73">
        <w:t xml:space="preserve"> and WIBG Limited Liability Compan</w:t>
      </w:r>
      <w:r w:rsidR="005D43BC">
        <w:t>y</w:t>
      </w:r>
      <w:r>
        <w:rPr>
          <w:b/>
        </w:rPr>
        <w:t xml:space="preserve"> </w:t>
      </w:r>
      <w:r>
        <w:t xml:space="preserve">and </w:t>
      </w:r>
      <w:r w:rsidR="00CC5C73">
        <w:t>their</w:t>
      </w:r>
      <w:r>
        <w:t xml:space="preserve"> affiliates, subsidiaries, predecessors-in-interest, and successors-in-interest.  </w:t>
      </w:r>
    </w:p>
    <w:p w:rsidR="009951A8" w14:paraId="408BF075" w14:textId="7FBB2203">
      <w:pPr>
        <w:widowControl/>
        <w:numPr>
          <w:ilvl w:val="0"/>
          <w:numId w:val="3"/>
        </w:numPr>
        <w:spacing w:after="120"/>
      </w:pPr>
      <w:r>
        <w:t xml:space="preserve">“Covered Employees” means all employees and agents of the </w:t>
      </w:r>
      <w:r w:rsidR="00CC5C73">
        <w:t>Companies</w:t>
      </w:r>
      <w:r>
        <w:t xml:space="preserve"> who are responsible for performing, supervising, overseeing, or managing activities related to the maintenance of online political files, as required by the Political Record-Keeping Statute and Rule.</w:t>
      </w:r>
    </w:p>
    <w:p w:rsidR="009951A8" w14:paraId="5394841B" w14:textId="465D7B4F">
      <w:pPr>
        <w:widowControl/>
        <w:numPr>
          <w:ilvl w:val="0"/>
          <w:numId w:val="3"/>
        </w:numPr>
        <w:spacing w:after="120"/>
      </w:pPr>
      <w:r>
        <w:t xml:space="preserve">“Effective Date” means the date by which both the Bureau and </w:t>
      </w:r>
      <w:r w:rsidR="00E6184C">
        <w:t xml:space="preserve">the </w:t>
      </w:r>
      <w:r w:rsidR="00CC5C73">
        <w:t>Companies</w:t>
      </w:r>
      <w:r>
        <w:rPr>
          <w:b/>
        </w:rPr>
        <w:t xml:space="preserve"> </w:t>
      </w:r>
      <w:r>
        <w:t>have signed the Consent Decree.</w:t>
      </w:r>
    </w:p>
    <w:p w:rsidR="009951A8" w14:paraId="564D50CB" w14:textId="08A4544C">
      <w:pPr>
        <w:widowControl/>
        <w:numPr>
          <w:ilvl w:val="0"/>
          <w:numId w:val="3"/>
        </w:numPr>
        <w:spacing w:after="120"/>
      </w:pPr>
      <w:r>
        <w:rPr>
          <w:color w:val="000000"/>
        </w:rPr>
        <w:t>“Investigation” means the Bureau’s</w:t>
      </w:r>
      <w:r>
        <w:t xml:space="preserve"> decision to hold and not process the </w:t>
      </w:r>
      <w:r w:rsidR="00CC5C73">
        <w:t>Companies’</w:t>
      </w:r>
      <w:r>
        <w:t xml:space="preserve"> license renewal applications identified in Appendix A due to the </w:t>
      </w:r>
      <w:r w:rsidR="00CC5C73">
        <w:t>Companies’</w:t>
      </w:r>
      <w:r>
        <w:t xml:space="preserve"> inability to certify compliance with its public file obligations</w:t>
      </w:r>
      <w:r>
        <w:rPr>
          <w:bCs/>
        </w:rPr>
        <w:t>.</w:t>
      </w:r>
      <w:r>
        <w:t xml:space="preserve"> </w:t>
      </w:r>
    </w:p>
    <w:p w:rsidR="009951A8" w14:paraId="6D4A683F" w14:textId="26C1338C">
      <w:pPr>
        <w:widowControl/>
        <w:numPr>
          <w:ilvl w:val="0"/>
          <w:numId w:val="3"/>
        </w:numPr>
        <w:spacing w:after="120"/>
      </w:pPr>
      <w:r>
        <w:t xml:space="preserve">“Parties” means </w:t>
      </w:r>
      <w:r w:rsidR="00E6184C">
        <w:t xml:space="preserve">the </w:t>
      </w:r>
      <w:r w:rsidR="00CC5C73">
        <w:t>Companies</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05973CD2">
      <w:pPr>
        <w:pStyle w:val="ParaNum"/>
        <w:tabs>
          <w:tab w:val="clear" w:pos="1080"/>
          <w:tab w:val="num" w:pos="1440"/>
        </w:tabs>
        <w:rPr>
          <w:snapToGrid/>
          <w:kern w:val="0"/>
        </w:rPr>
      </w:pPr>
      <w:bookmarkStart w:id="6" w:name="_DV_M38"/>
      <w:bookmarkEnd w:id="6"/>
      <w:r>
        <w:t xml:space="preserve">The </w:t>
      </w:r>
      <w:r w:rsidR="00CC5C73">
        <w:t>Companies</w:t>
      </w:r>
      <w:r w:rsidR="00E90E14">
        <w:rPr>
          <w:b/>
        </w:rPr>
        <w:t xml:space="preserve"> </w:t>
      </w:r>
      <w:r w:rsidR="00E90E14">
        <w:rPr>
          <w:bCs/>
        </w:rPr>
        <w:t xml:space="preserve">own and operate one or more commercial radio stations licensed by the Commission.  </w:t>
      </w:r>
      <w:r>
        <w:rPr>
          <w:bCs/>
        </w:rPr>
        <w:t xml:space="preserve">The </w:t>
      </w:r>
      <w:r w:rsidR="00CC5C73">
        <w:t>Companies</w:t>
      </w:r>
      <w:r w:rsidR="00E90E14">
        <w:rPr>
          <w:b/>
        </w:rPr>
        <w:t xml:space="preserve"> </w:t>
      </w:r>
      <w:r w:rsidR="00241CDD">
        <w:rPr>
          <w:bCs/>
        </w:rPr>
        <w:t xml:space="preserve">recently </w:t>
      </w:r>
      <w:r w:rsidR="00E90E14">
        <w:t>filed applications</w:t>
      </w:r>
      <w:r w:rsidR="00B0538B">
        <w:t xml:space="preserve"> for renewal of radio station licenses</w:t>
      </w:r>
      <w:r w:rsidR="00E90E14">
        <w:t xml:space="preserve"> in which it </w:t>
      </w:r>
      <w:r w:rsidR="00E90E14">
        <w:t xml:space="preserve">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00CC5C73">
        <w:t>Companies</w:t>
      </w:r>
      <w:r w:rsidRPr="00D93068" w:rsidR="00D93068">
        <w:t xml:space="preserve">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CC5C73">
        <w:t>Companies’</w:t>
      </w:r>
      <w:r w:rsidR="00E90E14">
        <w:t xml:space="preserve">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31FE6E80">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rsidR="00CC5C73">
        <w:t>Companies</w:t>
      </w:r>
      <w:r>
        <w:rPr>
          <w:bCs/>
        </w:rPr>
        <w:t>,</w:t>
      </w:r>
      <w:r>
        <w:t xml:space="preserve"> under significant</w:t>
      </w:r>
      <w:r w:rsidR="00CC0BD5">
        <w:t>, ongoing</w:t>
      </w:r>
      <w:r>
        <w:t xml:space="preserve"> financial stress. The Bureau believes that </w:t>
      </w:r>
      <w:r w:rsidR="00823333">
        <w:t xml:space="preserve">the </w:t>
      </w:r>
      <w:r w:rsidR="00CC5C73">
        <w:rPr>
          <w:bCs/>
        </w:rPr>
        <w:t>Companies’</w:t>
      </w:r>
      <w:r>
        <w:t xml:space="preserve"> disclosures in </w:t>
      </w:r>
      <w:r w:rsidR="00CC5C73">
        <w:t>their</w:t>
      </w:r>
      <w:r>
        <w:t xml:space="preserve">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08E1E82A">
      <w:pPr>
        <w:pStyle w:val="ParaNum"/>
        <w:keepNext/>
        <w:widowControl/>
        <w:tabs>
          <w:tab w:val="clear" w:pos="1080"/>
          <w:tab w:val="num" w:pos="1440"/>
        </w:tabs>
      </w:pPr>
      <w:r>
        <w:rPr>
          <w:b/>
          <w:u w:val="single"/>
        </w:rPr>
        <w:t>Jurisdiction</w:t>
      </w:r>
      <w:r>
        <w:t xml:space="preserve">.  </w:t>
      </w:r>
      <w:r w:rsidR="00823333">
        <w:t xml:space="preserve">The </w:t>
      </w:r>
      <w:r w:rsidR="00CC5C73">
        <w:t>Companies</w:t>
      </w:r>
      <w:r>
        <w:rPr>
          <w:b/>
        </w:rPr>
        <w:t xml:space="preserve"> </w:t>
      </w:r>
      <w:r>
        <w:t>agree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74BE2F76">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w:t>
      </w:r>
      <w:r w:rsidR="00CC5C73">
        <w:t>Companies’</w:t>
      </w:r>
      <w:r>
        <w:t xml:space="preserve">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rsidR="00CC5C73">
        <w:t>Companies</w:t>
      </w:r>
      <w:r>
        <w:rPr>
          <w:bCs/>
        </w:rPr>
        <w:t xml:space="preserve"> file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sidR="00CC5C73">
        <w:rPr>
          <w:bCs/>
        </w:rPr>
        <w:t>Companies’</w:t>
      </w:r>
      <w:r>
        <w:t xml:space="preserve"> </w:t>
      </w:r>
      <w:r>
        <w:rPr>
          <w:bCs/>
        </w:rPr>
        <w:t xml:space="preserve">inability to certify compliance with its public file obligations in those applications.  </w:t>
      </w:r>
      <w:r>
        <w:t xml:space="preserve">In consideration for such, the </w:t>
      </w:r>
      <w:r w:rsidR="00CC5C73">
        <w:t>Companies</w:t>
      </w:r>
      <w:r>
        <w:t xml:space="preserve"> agrees to the terms, conditions, and procedures contained herein.</w:t>
      </w:r>
      <w:bookmarkEnd w:id="9"/>
      <w:r>
        <w:t xml:space="preserve">  </w:t>
      </w:r>
    </w:p>
    <w:p w:rsidR="009951A8" w14:paraId="35B05048" w14:textId="47F57928">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rsidR="00CC5C73">
        <w:t>Companies</w:t>
      </w:r>
      <w:r>
        <w:rPr>
          <w:b/>
        </w:rPr>
        <w:t xml:space="preserve"> </w:t>
      </w:r>
      <w:r>
        <w:t xml:space="preserve">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w:t>
      </w:r>
      <w:r w:rsidR="00CC5C73">
        <w:t>Companies’</w:t>
      </w:r>
      <w:r>
        <w:t xml:space="preserve"> basic qualifications to be a Commission licensee or to hold Commission licenses or authorizations.</w:t>
      </w:r>
      <w:r>
        <w:rPr>
          <w:rStyle w:val="FootnoteReference"/>
        </w:rPr>
        <w:footnoteReference w:id="26"/>
      </w:r>
      <w:r>
        <w:t xml:space="preserve">  </w:t>
      </w:r>
    </w:p>
    <w:p w:rsidR="009951A8" w14:paraId="4804A5D5" w14:textId="3F2FC824">
      <w:pPr>
        <w:pStyle w:val="ParaNum"/>
        <w:keepNext/>
        <w:widowControl/>
        <w:tabs>
          <w:tab w:val="clear" w:pos="1080"/>
          <w:tab w:val="num" w:pos="1440"/>
        </w:tabs>
      </w:pPr>
      <w:r>
        <w:rPr>
          <w:b/>
          <w:u w:val="single"/>
        </w:rPr>
        <w:t>Admission of Liability</w:t>
      </w:r>
      <w:r>
        <w:t xml:space="preserve">. </w:t>
      </w:r>
      <w:r w:rsidR="00E6184C">
        <w:t xml:space="preserve">The </w:t>
      </w:r>
      <w:r w:rsidR="00CC5C73">
        <w:t>Companies</w:t>
      </w:r>
      <w:r>
        <w:rPr>
          <w:b/>
        </w:rPr>
        <w:t xml:space="preserve"> </w:t>
      </w:r>
      <w:r>
        <w:t xml:space="preserve">admit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271DD3BD">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rsidR="00CC5C73">
        <w:t>Companies</w:t>
      </w:r>
      <w:r>
        <w:rPr>
          <w:b/>
        </w:rPr>
        <w:t xml:space="preserve"> </w:t>
      </w:r>
      <w:r>
        <w:t xml:space="preserve">acknowledge that the Commission or its delegated authority may consider the </w:t>
      </w:r>
      <w:r w:rsidR="00CC5C73">
        <w:t>Companies’</w:t>
      </w:r>
      <w:r>
        <w:t xml:space="preserve"> admission of liability in this Consent Decree in proposing a</w:t>
      </w:r>
      <w:r w:rsidR="00823333">
        <w:t>ny future</w:t>
      </w:r>
      <w:r>
        <w:t xml:space="preserve"> forfeiture against </w:t>
      </w:r>
      <w:r w:rsidR="00CC5C73">
        <w:t>Companies</w:t>
      </w:r>
      <w:r>
        <w:rPr>
          <w:b/>
        </w:rPr>
        <w:t xml:space="preserve"> </w:t>
      </w:r>
      <w:r>
        <w:t xml:space="preserve">in the </w:t>
      </w:r>
      <w:r w:rsidR="00AB62E9">
        <w:t xml:space="preserve"> </w:t>
      </w:r>
      <w:r>
        <w:t xml:space="preserve">event </w:t>
      </w:r>
      <w:r w:rsidR="00823333">
        <w:t xml:space="preserve">the </w:t>
      </w:r>
      <w:r w:rsidR="00CC5C73">
        <w:t>Companies</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6800D50">
      <w:pPr>
        <w:pStyle w:val="ParaNum"/>
        <w:keepNext/>
        <w:widowControl/>
        <w:tabs>
          <w:tab w:val="clear" w:pos="1080"/>
          <w:tab w:val="num" w:pos="1440"/>
        </w:tabs>
      </w:pPr>
      <w:r>
        <w:rPr>
          <w:b/>
          <w:u w:val="single"/>
        </w:rPr>
        <w:t>Compliance Officer</w:t>
      </w:r>
      <w:r>
        <w:t xml:space="preserve">.  Within 30 calendar days after the Effective Date, the </w:t>
      </w:r>
      <w:r w:rsidR="00CC5C73">
        <w:t>Companies</w:t>
      </w:r>
      <w:r>
        <w:t xml:space="preserve"> shall designate a senior manager to serve as a Compliance Officer and to discharge the duties set forth below.  The Compliance Officer shall report directly to </w:t>
      </w:r>
      <w:r w:rsidR="00E6184C">
        <w:t xml:space="preserve">the </w:t>
      </w:r>
      <w:r w:rsidR="00CC5C73">
        <w:t>Companies’</w:t>
      </w:r>
      <w:r>
        <w:t xml:space="preserve">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 xml:space="preserve">on a regular basis, and shall be responsible for developing, implementing, and administering the Compliance Plan and ensuring that the </w:t>
      </w:r>
      <w:r w:rsidR="00CC5C73">
        <w:t>Companies</w:t>
      </w:r>
      <w:r>
        <w:t xml:space="preserve">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70B4691D">
      <w:pPr>
        <w:pStyle w:val="ParaNum"/>
        <w:keepNext/>
        <w:widowControl/>
        <w:tabs>
          <w:tab w:val="clear" w:pos="1080"/>
          <w:tab w:val="num" w:pos="1440"/>
        </w:tabs>
      </w:pPr>
      <w:r>
        <w:rPr>
          <w:b/>
          <w:u w:val="single"/>
        </w:rPr>
        <w:t>Compliance Plan</w:t>
      </w:r>
      <w:r>
        <w:t xml:space="preserve">.  For purposes of settling the matters set forth herein, the </w:t>
      </w:r>
      <w:r w:rsidR="00CC5C73">
        <w:t>Companies</w:t>
      </w:r>
      <w:r>
        <w:t xml:space="preserve"> </w:t>
      </w:r>
      <w:r>
        <w:rPr>
          <w:rFonts w:eastAsia="MS Mincho"/>
        </w:rPr>
        <w:t xml:space="preserve">agree that </w:t>
      </w:r>
      <w:r w:rsidR="00341F1D">
        <w:rPr>
          <w:rFonts w:eastAsia="MS Mincho"/>
        </w:rPr>
        <w:t>they</w:t>
      </w:r>
      <w:r>
        <w:rPr>
          <w:rFonts w:eastAsia="MS Mincho"/>
        </w:rPr>
        <w:t xml:space="preserve">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w:t>
      </w:r>
      <w:r w:rsidR="00CC5C73">
        <w:t>Companies</w:t>
      </w:r>
      <w:r w:rsidR="0027642B">
        <w:t xml:space="preserve">.  </w:t>
      </w:r>
      <w:r>
        <w:t>The Compliance Plan</w:t>
      </w:r>
      <w:r w:rsidR="000E7051">
        <w:t xml:space="preserve"> shall </w:t>
      </w:r>
      <w:r>
        <w:t xml:space="preserve">contain, at a minimum, the following elements: </w:t>
      </w:r>
    </w:p>
    <w:p w:rsidR="009951A8" w:rsidP="00241A97" w14:paraId="5337DA24" w14:textId="54C99D32">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w:t>
      </w:r>
      <w:r w:rsidR="00CC5C73">
        <w:t>Companies</w:t>
      </w:r>
      <w:r w:rsidR="0027510C">
        <w:t xml:space="preserve">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05601908">
      <w:pPr>
        <w:pStyle w:val="Heading2"/>
        <w:numPr>
          <w:ilvl w:val="2"/>
          <w:numId w:val="4"/>
        </w:numPr>
        <w:ind w:left="1980"/>
      </w:pPr>
      <w:r>
        <w:t xml:space="preserve">contain Operating Procedures that Covered Employees must follow to help ensure </w:t>
      </w:r>
      <w:r w:rsidR="00E6184C">
        <w:t xml:space="preserve">the </w:t>
      </w:r>
      <w:r w:rsidR="00CC5C73">
        <w:t>Companies’</w:t>
      </w:r>
      <w:r>
        <w:t xml:space="preserve"> compliance with the Political Record-keeping Statute and Rule.  The Operating Procedures shall include internal procedures and policies specifically designed to ensure that the </w:t>
      </w:r>
      <w:r w:rsidR="00CC5C73">
        <w:t>Companies’</w:t>
      </w:r>
      <w:r>
        <w:t xml:space="preserve">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14FEF29D">
      <w:pPr>
        <w:pStyle w:val="Heading2"/>
        <w:numPr>
          <w:ilvl w:val="0"/>
          <w:numId w:val="4"/>
        </w:numPr>
      </w:pPr>
      <w:r w:rsidRPr="004F69C4">
        <w:rPr>
          <w:b/>
          <w:u w:val="single"/>
        </w:rPr>
        <w:t>Compliance Training Program</w:t>
      </w:r>
      <w:r>
        <w:t xml:space="preserve">.  </w:t>
      </w:r>
      <w:r w:rsidR="000F6B3E">
        <w:t xml:space="preserve">If the </w:t>
      </w:r>
      <w:r w:rsidR="00CC5C73">
        <w:t>Companies</w:t>
      </w:r>
      <w:r w:rsidR="000F6B3E">
        <w:t xml:space="preserve"> ha</w:t>
      </w:r>
      <w:r w:rsidR="00341F1D">
        <w:t>ve</w:t>
      </w:r>
      <w:r w:rsidR="000F6B3E">
        <w:t xml:space="preserve">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w:t>
      </w:r>
      <w:r w:rsidR="00CC5C73">
        <w:t>Companies’</w:t>
      </w:r>
      <w:r>
        <w:t xml:space="preserve">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 xml:space="preserve">program within 30 calendar days after the date he or she becomes a Covered Employee.  The </w:t>
      </w:r>
      <w:r w:rsidR="00CC5C73">
        <w:t>Companies</w:t>
      </w:r>
      <w:r>
        <w:t xml:space="preserve">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D3DB65D">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rsidR="00CC5C73">
        <w:t>Companies</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341F1D">
        <w:t>7</w:t>
      </w:r>
      <w:r w:rsidRPr="00D7468E" w:rsidR="00D7468E">
        <w:t>, 202</w:t>
      </w:r>
      <w:r w:rsidR="00341F1D">
        <w:t>3</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w:t>
      </w:r>
      <w:r w:rsidR="00341F1D">
        <w:t xml:space="preserve"> 8</w:t>
      </w:r>
      <w:r w:rsidRPr="00D7468E" w:rsidR="00D7468E">
        <w:t>, 202</w:t>
      </w:r>
      <w:r w:rsidR="00341F1D">
        <w:t>3</w:t>
      </w:r>
      <w:r w:rsidR="00A11A90">
        <w:t>.</w:t>
      </w:r>
      <w:r w:rsidR="00CB3D91">
        <w:t xml:space="preserve"> </w:t>
      </w:r>
      <w:r w:rsidRPr="008E2E05" w:rsidR="008E2E05">
        <w:t xml:space="preserve">The Bureau may, within its sole discretion, require </w:t>
      </w:r>
      <w:r w:rsidR="00844486">
        <w:t xml:space="preserve">the </w:t>
      </w:r>
      <w:r w:rsidR="00CC5C73">
        <w:t>Companies</w:t>
      </w:r>
      <w:r w:rsidR="00844486">
        <w:t xml:space="preserve">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43D999DE">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w:t>
      </w:r>
      <w:r w:rsidR="00CC5C73">
        <w:t>Companies</w:t>
      </w:r>
      <w:r w:rsidR="00E90E14">
        <w:t>: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56935417">
      <w:pPr>
        <w:pStyle w:val="Heading2"/>
        <w:numPr>
          <w:ilvl w:val="2"/>
          <w:numId w:val="4"/>
        </w:numPr>
        <w:ind w:left="1980"/>
      </w:pPr>
      <w:r>
        <w:t xml:space="preserve">The </w:t>
      </w:r>
      <w:r w:rsidR="00CC5C73">
        <w:t>Companies’</w:t>
      </w:r>
      <w:r>
        <w:t xml:space="preserve">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219A3638">
      <w:pPr>
        <w:pStyle w:val="ParaNum"/>
        <w:tabs>
          <w:tab w:val="clear" w:pos="1080"/>
          <w:tab w:val="num" w:pos="1440"/>
        </w:tabs>
        <w:rPr>
          <w:spacing w:val="-2"/>
          <w:szCs w:val="22"/>
        </w:rPr>
      </w:pPr>
      <w:r>
        <w:rPr>
          <w:b/>
          <w:u w:val="single"/>
        </w:rPr>
        <w:t>Reporting Noncompliance</w:t>
      </w:r>
      <w:r>
        <w:t xml:space="preserve">.  The </w:t>
      </w:r>
      <w:r w:rsidR="00CC5C73">
        <w:t>Companies</w:t>
      </w:r>
      <w:r>
        <w:t xml:space="preserve">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w:t>
      </w:r>
      <w:r>
        <w:t xml:space="preserve">instance of noncompliance; (ii) the steps that the </w:t>
      </w:r>
      <w:r w:rsidR="00CC5C73">
        <w:t>Companies</w:t>
      </w:r>
      <w:r>
        <w:t xml:space="preserve"> ha</w:t>
      </w:r>
      <w:r w:rsidR="00341F1D">
        <w:t>ve</w:t>
      </w:r>
      <w:r>
        <w:t xml:space="preserve"> taken or will take to remedy such noncompliance, including the schedule on which such actions will be taken; and (iiii) the steps that the </w:t>
      </w:r>
      <w:r w:rsidR="00CC5C73">
        <w:t>Companies</w:t>
      </w:r>
      <w:r>
        <w:t xml:space="preserve"> ha</w:t>
      </w:r>
      <w:r w:rsidR="00341F1D">
        <w:t>ve</w:t>
      </w:r>
      <w:r>
        <w:t xml:space="preserve">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46253CB3">
      <w:pPr>
        <w:pStyle w:val="ParaNum"/>
        <w:tabs>
          <w:tab w:val="clear" w:pos="1080"/>
          <w:tab w:val="num" w:pos="1440"/>
        </w:tabs>
      </w:pPr>
      <w:r>
        <w:rPr>
          <w:b/>
          <w:u w:val="single"/>
        </w:rPr>
        <w:t>Termination Date</w:t>
      </w:r>
      <w:r>
        <w:t xml:space="preserve">.  The obligations to which </w:t>
      </w:r>
      <w:r w:rsidR="00E6184C">
        <w:t xml:space="preserve">the </w:t>
      </w:r>
      <w:r w:rsidR="00CC5C73">
        <w:t>Companies</w:t>
      </w:r>
      <w:r>
        <w:t xml:space="preserve"> </w:t>
      </w:r>
      <w:r w:rsidR="00341F1D">
        <w:t xml:space="preserve">are </w:t>
      </w:r>
      <w:r>
        <w:t xml:space="preserve">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sidR="00CC5C73">
        <w:rPr>
          <w:bCs/>
        </w:rPr>
        <w:t>Companies</w:t>
      </w:r>
      <w:r>
        <w:t xml:space="preserve"> has demonstrated substantial compliance with its political file obligations.  </w:t>
      </w:r>
      <w:r w:rsidRPr="00B3492D" w:rsidR="00B3492D">
        <w:t xml:space="preserve">If the Bureau is not satisfied that </w:t>
      </w:r>
      <w:r w:rsidR="002F7F77">
        <w:t xml:space="preserve">the </w:t>
      </w:r>
      <w:r w:rsidR="00CC5C73">
        <w:t>Companies</w:t>
      </w:r>
      <w:r w:rsidR="002F7F77">
        <w:t xml:space="preserve">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7389FFF9">
      <w:pPr>
        <w:pStyle w:val="ParaNum"/>
        <w:tabs>
          <w:tab w:val="clear" w:pos="1080"/>
          <w:tab w:val="num" w:pos="1440"/>
        </w:tabs>
      </w:pPr>
      <w:r>
        <w:t xml:space="preserve">The </w:t>
      </w:r>
      <w:r w:rsidR="00CC5C73">
        <w:t>Companies</w:t>
      </w:r>
      <w:r w:rsidR="00E90E14">
        <w:t xml:space="preserve"> acknowledge that the Bureau retains the discretion and authority to propose sanctions against </w:t>
      </w:r>
      <w:r w:rsidR="00E6184C">
        <w:t xml:space="preserve">the </w:t>
      </w:r>
      <w:r w:rsidR="00CC5C73">
        <w:t>Companies</w:t>
      </w:r>
      <w:r w:rsidR="00E90E14">
        <w:t xml:space="preserve">, including the issuance of notices of apparent liability for forfeitures, for any apparent willful and/or repeated violation by </w:t>
      </w:r>
      <w:r>
        <w:t xml:space="preserve">the </w:t>
      </w:r>
      <w:r w:rsidR="00CC5C73">
        <w:t>Companies</w:t>
      </w:r>
      <w:r w:rsidR="00E90E14">
        <w:t xml:space="preserve"> of the Political Record-keeping Statute and Rule that occurs during the term of this Consent Decree.</w:t>
      </w:r>
    </w:p>
    <w:p w:rsidR="009951A8" w:rsidP="00241A97" w14:paraId="685C8792" w14:textId="341ED285">
      <w:pPr>
        <w:pStyle w:val="ParaNum"/>
        <w:keepNext/>
        <w:widowControl/>
        <w:tabs>
          <w:tab w:val="clear" w:pos="1080"/>
          <w:tab w:val="num" w:pos="1440"/>
        </w:tabs>
      </w:pPr>
      <w:r>
        <w:rPr>
          <w:b/>
          <w:u w:val="single"/>
        </w:rPr>
        <w:t>Waivers</w:t>
      </w:r>
      <w:r>
        <w:t xml:space="preserve">.  As of the Effective Date, </w:t>
      </w:r>
      <w:r w:rsidR="002F7F77">
        <w:t xml:space="preserve">the </w:t>
      </w:r>
      <w:r w:rsidR="00CC5C73">
        <w:rPr>
          <w:bCs/>
        </w:rPr>
        <w:t>Companies</w:t>
      </w:r>
      <w:r>
        <w:t xml:space="preserve"> waives any and all rights it may have to seek administrative or judicial reconsideration, review, appeal, or stay, or to otherwise challenge or contest the validity of this Consent Decree and the Adopting Order.  The </w:t>
      </w:r>
      <w:r w:rsidR="00CC5C73">
        <w:t>Companies</w:t>
      </w:r>
      <w:r>
        <w:t xml:space="preserve"> shall retain the right to challenge Commission interpretation of the Consent Decree or any terms contained herein.  If either Party (or the United States on behalf of the Commission) brings a judicial action to enforce the terms of the Consent Decree or Adopting Order, neither the </w:t>
      </w:r>
      <w:r w:rsidR="00CC5C73">
        <w:t>Companies</w:t>
      </w:r>
      <w:r>
        <w:t xml:space="preserve"> nor the Commission shall contest the validity of the Consent Decree or the Adopting Order, and the </w:t>
      </w:r>
      <w:r w:rsidR="00CC5C73">
        <w:t>Companies</w:t>
      </w:r>
      <w:r>
        <w:t xml:space="preserve"> shall waive any statutory right to a trial </w:t>
      </w:r>
      <w:r>
        <w:rPr>
          <w:i/>
        </w:rPr>
        <w:t>de novo</w:t>
      </w:r>
      <w:r>
        <w:t xml:space="preserve">.  The </w:t>
      </w:r>
      <w:r w:rsidR="00CC5C73">
        <w:t>Companies</w:t>
      </w:r>
      <w:r>
        <w:t xml:space="preserve"> hereby agree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46753A6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w:t>
      </w:r>
      <w:r w:rsidR="00CC5C73">
        <w:t>Companies</w:t>
      </w:r>
      <w:r>
        <w:t xml:space="preserve"> does not expressly consent) that provision will be superseded by such Rule or Order.  </w:t>
      </w:r>
    </w:p>
    <w:p w:rsidR="009951A8" w:rsidP="00241A97" w14:paraId="2E194CD0" w14:textId="1D7EF96E">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sidR="00CC5C73">
        <w:rPr>
          <w:bCs/>
        </w:rPr>
        <w:t>Companies</w:t>
      </w:r>
      <w:r>
        <w:rPr>
          <w:b/>
        </w:rPr>
        <w:t xml:space="preserve"> </w:t>
      </w:r>
      <w:r>
        <w:t>agree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1AA1A9C9" w14:textId="6848EE81"/>
    <w:p w:rsidR="006F6309" w14:paraId="50F2BDCD" w14:textId="77777777"/>
    <w:p w:rsidR="009951A8" w14:paraId="46FB3B17" w14:textId="77777777">
      <w:r>
        <w:t>_____________________________________</w:t>
      </w:r>
    </w:p>
    <w:p w:rsidR="009951A8" w14:paraId="4C6C92D0" w14:textId="28B8A4A7">
      <w:r>
        <w:t>Enrico Brancadora</w:t>
      </w:r>
    </w:p>
    <w:p w:rsidR="0020534F" w14:paraId="53BF74E6" w14:textId="77777777"/>
    <w:p w:rsidR="009951A8" w14:paraId="7C491817" w14:textId="77777777"/>
    <w:p w:rsidR="006F6309" w14:paraId="786D2E0D" w14:textId="6D5349F6">
      <w:r>
        <w:t>____________________________________</w:t>
      </w:r>
    </w:p>
    <w:p w:rsidR="009951A8" w14:paraId="5451AB36" w14:textId="2F496678">
      <w:r>
        <w:t>Date</w:t>
      </w:r>
    </w:p>
    <w:p w:rsidR="006F6309" w14:paraId="47BAECE3" w14:textId="691E955B"/>
    <w:p w:rsidR="006F6309" w14:paraId="5554BC8B" w14:textId="631C2D73"/>
    <w:p w:rsidR="00CF53AA" w14:paraId="4B08914F" w14:textId="77777777"/>
    <w:p w:rsidR="006F6309" w14:paraId="48F081BE" w14:textId="50FF698A">
      <w:r>
        <w:t>_____________________________________</w:t>
      </w:r>
    </w:p>
    <w:p w:rsidR="006F6309" w14:paraId="131E4FF6" w14:textId="22BB5932">
      <w:r>
        <w:t>WIBG Limited Liability Company</w:t>
      </w:r>
    </w:p>
    <w:p w:rsidR="006F6309" w14:paraId="2B238D5A" w14:textId="0DF26EB8"/>
    <w:p w:rsidR="006F6309" w14:paraId="288E4516" w14:textId="74FD3854"/>
    <w:p w:rsidR="006F6309" w14:paraId="3166D877" w14:textId="50685936">
      <w:r>
        <w:t>______________________________________</w:t>
      </w:r>
    </w:p>
    <w:p w:rsidR="006F6309" w14:paraId="4E335704" w14:textId="0C7E672D">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0534F" w:rsidP="00774820" w14:paraId="5AB88F07" w14:textId="2CB3C307">
      <w:r>
        <w:tab/>
      </w:r>
      <w:r w:rsidR="009136F6">
        <w:t>WWAC</w:t>
      </w:r>
      <w:r w:rsidR="009136F6">
        <w:tab/>
        <w:t>Ocean City</w:t>
      </w:r>
      <w:r w:rsidR="00D8750C">
        <w:t>/Sommers Point</w:t>
      </w:r>
      <w:r w:rsidR="009136F6">
        <w:t>, NJ</w:t>
      </w:r>
      <w:r w:rsidR="009136F6">
        <w:tab/>
      </w:r>
      <w:r w:rsidR="009136F6">
        <w:tab/>
        <w:t>180016</w:t>
      </w:r>
    </w:p>
    <w:p w:rsidR="00C24290" w:rsidRPr="00CF5230" w:rsidP="00774820" w14:paraId="4FC340E4" w14:textId="7F1E00AC">
      <w:r>
        <w:tab/>
        <w:t>WIBG-FM</w:t>
      </w:r>
      <w:r>
        <w:tab/>
      </w:r>
      <w:r>
        <w:tab/>
        <w:t>Avalon, NJ</w:t>
      </w:r>
      <w:r>
        <w:tab/>
      </w:r>
      <w:r>
        <w:tab/>
      </w:r>
      <w:r>
        <w:tab/>
        <w:t>180024</w:t>
      </w:r>
      <w:r>
        <w:tab/>
      </w:r>
      <w:r>
        <w:tab/>
      </w:r>
      <w:r>
        <w:tab/>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C44CD" w:rsidP="00EC44CD" w14:paraId="7DD7C6E5" w14:textId="77777777">
      <w:pPr>
        <w:pStyle w:val="FootnoteText"/>
      </w:pPr>
      <w:r>
        <w:rPr>
          <w:rStyle w:val="FootnoteReference"/>
        </w:rPr>
        <w:footnoteRef/>
      </w:r>
      <w:r>
        <w:t xml:space="preserve"> </w:t>
      </w:r>
      <w:r>
        <w:rPr>
          <w:i/>
        </w:rPr>
        <w:t>See</w:t>
      </w:r>
      <w:r>
        <w:t xml:space="preserve"> 3 Fed. Reg. 1691 (1938).</w:t>
      </w:r>
    </w:p>
  </w:footnote>
  <w:footnote w:id="4">
    <w:p w:rsidR="00EC44CD" w:rsidP="00EC44CD" w14:paraId="59F63308"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EC44CD" w:rsidP="00EC44CD" w14:paraId="55108CDA" w14:textId="77777777">
      <w:pPr>
        <w:pStyle w:val="FootnoteText"/>
      </w:pPr>
      <w:r>
        <w:rPr>
          <w:rStyle w:val="FootnoteReference"/>
        </w:rPr>
        <w:footnoteRef/>
      </w:r>
      <w:r>
        <w:t xml:space="preserve"> 47 U.S.C. § 315(e)(1)(A). </w:t>
      </w:r>
    </w:p>
  </w:footnote>
  <w:footnote w:id="6">
    <w:p w:rsidR="00EC44CD" w:rsidP="00EC44CD" w14:paraId="76F863F4" w14:textId="77777777">
      <w:pPr>
        <w:pStyle w:val="FootnoteText"/>
      </w:pPr>
      <w:r>
        <w:rPr>
          <w:rStyle w:val="FootnoteReference"/>
        </w:rPr>
        <w:footnoteRef/>
      </w:r>
      <w:r>
        <w:t xml:space="preserve"> 47 U.S.C. § 315(e)(1)(B).   </w:t>
      </w:r>
    </w:p>
  </w:footnote>
  <w:footnote w:id="7">
    <w:p w:rsidR="00EC44CD" w:rsidP="00EC44CD" w14:paraId="321F82E6" w14:textId="77777777">
      <w:pPr>
        <w:pStyle w:val="FootnoteText"/>
      </w:pPr>
      <w:r>
        <w:rPr>
          <w:rStyle w:val="FootnoteReference"/>
        </w:rPr>
        <w:footnoteRef/>
      </w:r>
      <w:r>
        <w:t xml:space="preserve"> 47 U.S.C. § 315(e)(3). </w:t>
      </w:r>
    </w:p>
  </w:footnote>
  <w:footnote w:id="8">
    <w:p w:rsidR="00EC44CD" w:rsidP="00EC44CD" w14:paraId="7DED83BF" w14:textId="77777777">
      <w:pPr>
        <w:pStyle w:val="FootnoteText"/>
      </w:pPr>
      <w:r>
        <w:rPr>
          <w:rStyle w:val="FootnoteReference"/>
        </w:rPr>
        <w:footnoteRef/>
      </w:r>
      <w:r>
        <w:t xml:space="preserve"> 47 CFR § 73.1943(a)</w:t>
      </w:r>
    </w:p>
  </w:footnote>
  <w:footnote w:id="9">
    <w:p w:rsidR="00EC44CD" w:rsidP="00EC44CD" w14:paraId="1BE4408F" w14:textId="77777777">
      <w:pPr>
        <w:pStyle w:val="FootnoteText"/>
      </w:pPr>
      <w:r>
        <w:rPr>
          <w:rStyle w:val="FootnoteReference"/>
        </w:rPr>
        <w:footnoteRef/>
      </w:r>
      <w:r>
        <w:t xml:space="preserve"> 47 CFR § 73.1943(c).</w:t>
      </w:r>
    </w:p>
  </w:footnote>
  <w:footnote w:id="10">
    <w:p w:rsidR="00EC44CD" w:rsidP="00EC44CD" w14:paraId="1E8D5F54" w14:textId="77777777">
      <w:pPr>
        <w:pStyle w:val="FootnoteText"/>
      </w:pPr>
      <w:r>
        <w:rPr>
          <w:rStyle w:val="FootnoteReference"/>
        </w:rPr>
        <w:footnoteRef/>
      </w:r>
      <w:r>
        <w:t xml:space="preserve"> 47 U.S.C. § 315(a).</w:t>
      </w:r>
    </w:p>
  </w:footnote>
  <w:footnote w:id="11">
    <w:p w:rsidR="00EC44CD" w:rsidP="00EC44CD" w14:paraId="308EE7E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C44CD" w:rsidP="00EC44CD" w14:paraId="7562EF84" w14:textId="77777777">
      <w:pPr>
        <w:pStyle w:val="FootnoteText"/>
      </w:pPr>
      <w:r>
        <w:rPr>
          <w:rStyle w:val="FootnoteReference"/>
        </w:rPr>
        <w:footnoteRef/>
      </w:r>
      <w:r>
        <w:t xml:space="preserve"> </w:t>
      </w:r>
      <w:r>
        <w:rPr>
          <w:i/>
        </w:rPr>
        <w:t xml:space="preserve">Id. </w:t>
      </w:r>
      <w:r>
        <w:t>at 4543-44, para. 16.</w:t>
      </w:r>
    </w:p>
  </w:footnote>
  <w:footnote w:id="13">
    <w:p w:rsidR="00EC44CD" w:rsidP="00EC44CD" w14:paraId="6F8B850D" w14:textId="77777777">
      <w:pPr>
        <w:pStyle w:val="FootnoteText"/>
      </w:pPr>
      <w:r>
        <w:rPr>
          <w:rStyle w:val="FootnoteReference"/>
        </w:rPr>
        <w:footnoteRef/>
      </w:r>
      <w:r>
        <w:t xml:space="preserve"> See Section III, Question 3, of each application. </w:t>
      </w:r>
    </w:p>
  </w:footnote>
  <w:footnote w:id="14">
    <w:p w:rsidR="00EC44CD" w:rsidP="00EC44CD" w14:paraId="567C255A"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DA79F2B">
    <w:pPr>
      <w:pStyle w:val="Header"/>
    </w:pPr>
    <w:r>
      <w:tab/>
      <w:t>Federal Communications Commission</w:t>
    </w:r>
    <w:r>
      <w:tab/>
      <w:t>DA 2</w:t>
    </w:r>
    <w:r w:rsidR="005F4816">
      <w:t>2</w:t>
    </w:r>
    <w:r>
      <w:t>-</w:t>
    </w:r>
    <w:r w:rsidR="00AD67D7">
      <w:t>1004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FF97BC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AD67D7">
      <w:rPr>
        <w:spacing w:val="-2"/>
      </w:rPr>
      <w:t>1004</w:t>
    </w:r>
    <w:r w:rsidR="00AD67D7">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 w:numId="38">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06A78"/>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F2B2E"/>
    <w:rsid w:val="002F7F77"/>
    <w:rsid w:val="00341F1D"/>
    <w:rsid w:val="00385E15"/>
    <w:rsid w:val="003B3489"/>
    <w:rsid w:val="00440CED"/>
    <w:rsid w:val="00454762"/>
    <w:rsid w:val="00486E48"/>
    <w:rsid w:val="004917EF"/>
    <w:rsid w:val="004D73CD"/>
    <w:rsid w:val="004E6B18"/>
    <w:rsid w:val="004F69C4"/>
    <w:rsid w:val="005049B6"/>
    <w:rsid w:val="005211F2"/>
    <w:rsid w:val="00562885"/>
    <w:rsid w:val="005835D5"/>
    <w:rsid w:val="005A1AD0"/>
    <w:rsid w:val="005A77AA"/>
    <w:rsid w:val="005C3FBC"/>
    <w:rsid w:val="005C4351"/>
    <w:rsid w:val="005D1968"/>
    <w:rsid w:val="005D2A4C"/>
    <w:rsid w:val="005D43BC"/>
    <w:rsid w:val="005F4816"/>
    <w:rsid w:val="00615EA1"/>
    <w:rsid w:val="00626149"/>
    <w:rsid w:val="00633C03"/>
    <w:rsid w:val="0063597B"/>
    <w:rsid w:val="006749F9"/>
    <w:rsid w:val="00680E14"/>
    <w:rsid w:val="006B0149"/>
    <w:rsid w:val="006C174F"/>
    <w:rsid w:val="006E2406"/>
    <w:rsid w:val="006F5456"/>
    <w:rsid w:val="006F6309"/>
    <w:rsid w:val="00704AC0"/>
    <w:rsid w:val="00705837"/>
    <w:rsid w:val="0071273A"/>
    <w:rsid w:val="007352E8"/>
    <w:rsid w:val="00774820"/>
    <w:rsid w:val="007B346D"/>
    <w:rsid w:val="007B38D8"/>
    <w:rsid w:val="007E3091"/>
    <w:rsid w:val="007F2D1F"/>
    <w:rsid w:val="00813AAE"/>
    <w:rsid w:val="00821AE6"/>
    <w:rsid w:val="00823333"/>
    <w:rsid w:val="00831B7F"/>
    <w:rsid w:val="00844486"/>
    <w:rsid w:val="00873366"/>
    <w:rsid w:val="008A482B"/>
    <w:rsid w:val="008B268F"/>
    <w:rsid w:val="008E2E05"/>
    <w:rsid w:val="00901D09"/>
    <w:rsid w:val="009136F6"/>
    <w:rsid w:val="0091690D"/>
    <w:rsid w:val="00931D8E"/>
    <w:rsid w:val="00936051"/>
    <w:rsid w:val="00944BDF"/>
    <w:rsid w:val="00952C6D"/>
    <w:rsid w:val="009657AF"/>
    <w:rsid w:val="009951A8"/>
    <w:rsid w:val="009B28C5"/>
    <w:rsid w:val="009D6BE3"/>
    <w:rsid w:val="009E25B7"/>
    <w:rsid w:val="00A11A90"/>
    <w:rsid w:val="00A22680"/>
    <w:rsid w:val="00A24B8E"/>
    <w:rsid w:val="00A50B8D"/>
    <w:rsid w:val="00A62CBF"/>
    <w:rsid w:val="00A91B87"/>
    <w:rsid w:val="00AB62E9"/>
    <w:rsid w:val="00AD67D7"/>
    <w:rsid w:val="00AF5DE3"/>
    <w:rsid w:val="00B0538B"/>
    <w:rsid w:val="00B07E2C"/>
    <w:rsid w:val="00B232AA"/>
    <w:rsid w:val="00B3492D"/>
    <w:rsid w:val="00B72164"/>
    <w:rsid w:val="00B900FF"/>
    <w:rsid w:val="00BF5EF0"/>
    <w:rsid w:val="00C24290"/>
    <w:rsid w:val="00C27090"/>
    <w:rsid w:val="00C27230"/>
    <w:rsid w:val="00C36B27"/>
    <w:rsid w:val="00C563D8"/>
    <w:rsid w:val="00C706D2"/>
    <w:rsid w:val="00C96105"/>
    <w:rsid w:val="00CB3D91"/>
    <w:rsid w:val="00CC0BD5"/>
    <w:rsid w:val="00CC128E"/>
    <w:rsid w:val="00CC5C73"/>
    <w:rsid w:val="00CE2575"/>
    <w:rsid w:val="00CF5230"/>
    <w:rsid w:val="00CF53AA"/>
    <w:rsid w:val="00D10FB9"/>
    <w:rsid w:val="00D219BF"/>
    <w:rsid w:val="00D46E0F"/>
    <w:rsid w:val="00D7468E"/>
    <w:rsid w:val="00D8750C"/>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C44CD"/>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ve@s-p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