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0FD6" w:rsidRPr="00E146CF" w:rsidP="00340FD6" w14:paraId="1DED2806" w14:textId="77777777">
      <w:pPr>
        <w:ind w:left="5760" w:firstLine="720"/>
        <w:rPr>
          <w:sz w:val="22"/>
          <w:szCs w:val="22"/>
        </w:rPr>
      </w:pPr>
    </w:p>
    <w:p w:rsidR="008C27DC" w:rsidRPr="00E146CF" w:rsidP="008C27DC" w14:paraId="2E2538A9" w14:textId="7D8C424E">
      <w:pPr>
        <w:ind w:left="5760" w:firstLine="720"/>
        <w:rPr>
          <w:sz w:val="22"/>
          <w:szCs w:val="22"/>
        </w:rPr>
      </w:pPr>
      <w:r w:rsidRPr="00E146CF">
        <w:rPr>
          <w:sz w:val="22"/>
          <w:szCs w:val="22"/>
        </w:rPr>
        <w:t xml:space="preserve">DA </w:t>
      </w:r>
      <w:r w:rsidR="00773242">
        <w:rPr>
          <w:sz w:val="22"/>
          <w:szCs w:val="22"/>
        </w:rPr>
        <w:t>22-1055</w:t>
      </w:r>
    </w:p>
    <w:p w:rsidR="008C27DC" w:rsidRPr="00E146CF" w:rsidP="008C27DC" w14:paraId="64FB7400" w14:textId="77777777">
      <w:pPr>
        <w:rPr>
          <w:i/>
          <w:sz w:val="22"/>
          <w:szCs w:val="22"/>
        </w:rPr>
      </w:pP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r>
      <w:r w:rsidRPr="00E146CF">
        <w:rPr>
          <w:i/>
          <w:sz w:val="22"/>
          <w:szCs w:val="22"/>
        </w:rPr>
        <w:tab/>
        <w:t>In Reply Refer to:</w:t>
      </w:r>
    </w:p>
    <w:p w:rsidR="008C27DC" w:rsidRPr="00E146CF" w:rsidP="008C27DC" w14:paraId="1D9DFE37" w14:textId="3B7933E4">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1800B3-</w:t>
      </w:r>
      <w:r w:rsidRPr="00E146CF" w:rsidR="00FD476A">
        <w:rPr>
          <w:sz w:val="22"/>
          <w:szCs w:val="22"/>
        </w:rPr>
        <w:t>AR</w:t>
      </w:r>
    </w:p>
    <w:p w:rsidR="008C27DC" w:rsidRPr="00E146CF" w:rsidP="008C27DC" w14:paraId="512E5221" w14:textId="7BE226E5">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 xml:space="preserve">Released </w:t>
      </w:r>
      <w:r w:rsidR="00773242">
        <w:rPr>
          <w:sz w:val="22"/>
          <w:szCs w:val="22"/>
        </w:rPr>
        <w:t>October 4, 2022</w:t>
      </w:r>
    </w:p>
    <w:p w:rsidR="00340FD6" w:rsidRPr="00E146CF" w:rsidP="008C27DC" w14:paraId="7911A722" w14:textId="77777777">
      <w:pPr>
        <w:rPr>
          <w:sz w:val="22"/>
          <w:szCs w:val="22"/>
        </w:rPr>
      </w:pPr>
      <w:r w:rsidRPr="00E146CF">
        <w:rPr>
          <w:sz w:val="22"/>
          <w:szCs w:val="22"/>
        </w:rPr>
        <w:tab/>
      </w:r>
      <w:r w:rsidRPr="00E146CF">
        <w:rPr>
          <w:sz w:val="22"/>
          <w:szCs w:val="22"/>
        </w:rPr>
        <w:tab/>
      </w:r>
      <w:r w:rsidRPr="00E146CF">
        <w:rPr>
          <w:sz w:val="22"/>
          <w:szCs w:val="22"/>
        </w:rPr>
        <w:tab/>
      </w:r>
    </w:p>
    <w:p w:rsidR="0045642F" w:rsidRPr="00E146CF" w:rsidP="0045642F" w14:paraId="3545B9D0" w14:textId="0F51EDC8">
      <w:pPr>
        <w:rPr>
          <w:sz w:val="22"/>
          <w:szCs w:val="22"/>
        </w:rPr>
      </w:pPr>
      <w:r w:rsidRPr="00E146CF">
        <w:rPr>
          <w:sz w:val="22"/>
          <w:szCs w:val="22"/>
        </w:rPr>
        <w:t xml:space="preserve">Mr. </w:t>
      </w:r>
      <w:r w:rsidRPr="00E146CF" w:rsidR="007D65B2">
        <w:rPr>
          <w:sz w:val="22"/>
          <w:szCs w:val="22"/>
        </w:rPr>
        <w:t>Dan J. Alpert, Esq.</w:t>
      </w:r>
    </w:p>
    <w:p w:rsidR="0045642F" w:rsidRPr="00E146CF" w:rsidP="0045642F" w14:paraId="4EF64125" w14:textId="4F115659">
      <w:pPr>
        <w:rPr>
          <w:sz w:val="22"/>
          <w:szCs w:val="22"/>
        </w:rPr>
      </w:pPr>
      <w:r w:rsidRPr="00E146CF">
        <w:rPr>
          <w:sz w:val="22"/>
          <w:szCs w:val="22"/>
        </w:rPr>
        <w:t>Vida Ministry Inc.</w:t>
      </w:r>
    </w:p>
    <w:p w:rsidR="00951BC5" w:rsidRPr="00E146CF" w:rsidP="00951BC5" w14:paraId="296420A3" w14:textId="77777777">
      <w:pPr>
        <w:rPr>
          <w:sz w:val="22"/>
          <w:szCs w:val="22"/>
        </w:rPr>
      </w:pPr>
      <w:r w:rsidRPr="00E146CF">
        <w:rPr>
          <w:sz w:val="22"/>
          <w:szCs w:val="22"/>
        </w:rPr>
        <w:t>2120 21st Rd. N</w:t>
      </w:r>
    </w:p>
    <w:p w:rsidR="00951BC5" w:rsidRPr="00E146CF" w:rsidP="00951BC5" w14:paraId="620653D6" w14:textId="77777777">
      <w:pPr>
        <w:rPr>
          <w:sz w:val="22"/>
          <w:szCs w:val="22"/>
        </w:rPr>
      </w:pPr>
      <w:r w:rsidRPr="00E146CF">
        <w:rPr>
          <w:sz w:val="22"/>
          <w:szCs w:val="22"/>
        </w:rPr>
        <w:t xml:space="preserve">Arlington, VA 22201 </w:t>
      </w:r>
    </w:p>
    <w:p w:rsidR="00A62ED5" w:rsidRPr="00E146CF" w:rsidP="00951BC5" w14:paraId="5E5609DC" w14:textId="2B35C58B">
      <w:pPr>
        <w:rPr>
          <w:sz w:val="22"/>
          <w:szCs w:val="22"/>
        </w:rPr>
      </w:pPr>
      <w:r w:rsidRPr="00E146CF">
        <w:rPr>
          <w:sz w:val="22"/>
          <w:szCs w:val="22"/>
        </w:rPr>
        <w:t xml:space="preserve">(sent by electronic mail to: </w:t>
      </w:r>
      <w:hyperlink r:id="rId5" w:history="1">
        <w:r w:rsidRPr="00E146CF" w:rsidR="00951BC5">
          <w:rPr>
            <w:rStyle w:val="Hyperlink"/>
            <w:sz w:val="22"/>
            <w:szCs w:val="22"/>
          </w:rPr>
          <w:t>DJA@COMMLAW.TV</w:t>
        </w:r>
      </w:hyperlink>
      <w:r w:rsidRPr="00E146CF">
        <w:rPr>
          <w:sz w:val="22"/>
          <w:szCs w:val="22"/>
        </w:rPr>
        <w:t>)</w:t>
      </w:r>
    </w:p>
    <w:p w:rsidR="00340FD6" w:rsidRPr="00E146CF" w:rsidP="00340FD6" w14:paraId="25C52526" w14:textId="77777777">
      <w:pPr>
        <w:rPr>
          <w:sz w:val="22"/>
          <w:szCs w:val="22"/>
        </w:rPr>
      </w:pPr>
    </w:p>
    <w:p w:rsidR="00974C04" w:rsidRPr="00E146CF" w:rsidP="00340FD6" w14:paraId="756E7EEC" w14:textId="77777777">
      <w:pPr>
        <w:rPr>
          <w:sz w:val="22"/>
          <w:szCs w:val="22"/>
        </w:rPr>
      </w:pPr>
      <w:r w:rsidRPr="00E146CF">
        <w:rPr>
          <w:sz w:val="22"/>
          <w:szCs w:val="22"/>
        </w:rPr>
        <w:t xml:space="preserve">Mr. </w:t>
      </w:r>
      <w:r w:rsidRPr="00E146CF">
        <w:rPr>
          <w:sz w:val="22"/>
          <w:szCs w:val="22"/>
        </w:rPr>
        <w:t>Charles E Keiler</w:t>
      </w:r>
    </w:p>
    <w:p w:rsidR="006D47D5" w:rsidRPr="00E146CF" w:rsidP="00340FD6" w14:paraId="6DC7C156" w14:textId="178F7454">
      <w:pPr>
        <w:rPr>
          <w:sz w:val="22"/>
          <w:szCs w:val="22"/>
        </w:rPr>
      </w:pPr>
      <w:r w:rsidRPr="00E146CF">
        <w:rPr>
          <w:sz w:val="22"/>
          <w:szCs w:val="22"/>
        </w:rPr>
        <w:t>Ethree</w:t>
      </w:r>
      <w:r w:rsidRPr="00E146CF">
        <w:rPr>
          <w:sz w:val="22"/>
          <w:szCs w:val="22"/>
        </w:rPr>
        <w:t xml:space="preserve"> Group, Inc.</w:t>
      </w:r>
    </w:p>
    <w:p w:rsidR="00974C04" w:rsidRPr="00E146CF" w:rsidP="00974C04" w14:paraId="37ABDE68" w14:textId="1E29F048">
      <w:pPr>
        <w:rPr>
          <w:sz w:val="22"/>
          <w:szCs w:val="22"/>
        </w:rPr>
      </w:pPr>
      <w:r w:rsidRPr="00E146CF">
        <w:rPr>
          <w:sz w:val="22"/>
          <w:szCs w:val="22"/>
        </w:rPr>
        <w:t>271 NW 53 Court</w:t>
      </w:r>
    </w:p>
    <w:p w:rsidR="00974C04" w:rsidRPr="00E146CF" w:rsidP="00974C04" w14:paraId="2860E319" w14:textId="77777777">
      <w:pPr>
        <w:rPr>
          <w:sz w:val="22"/>
          <w:szCs w:val="22"/>
        </w:rPr>
      </w:pPr>
      <w:r w:rsidRPr="00E146CF">
        <w:rPr>
          <w:sz w:val="22"/>
          <w:szCs w:val="22"/>
        </w:rPr>
        <w:t xml:space="preserve">Deerfield Beach, FL 33064 </w:t>
      </w:r>
    </w:p>
    <w:p w:rsidR="00090BF5" w:rsidRPr="00E146CF" w:rsidP="00974C04" w14:paraId="59C569A4" w14:textId="7E12297B">
      <w:pPr>
        <w:rPr>
          <w:sz w:val="22"/>
          <w:szCs w:val="22"/>
        </w:rPr>
      </w:pPr>
      <w:r w:rsidRPr="00E146CF">
        <w:rPr>
          <w:sz w:val="22"/>
          <w:szCs w:val="22"/>
        </w:rPr>
        <w:t xml:space="preserve">(sent by electronic mail to: </w:t>
      </w:r>
      <w:hyperlink r:id="rId6" w:history="1">
        <w:r w:rsidRPr="00E146CF">
          <w:rPr>
            <w:rStyle w:val="Hyperlink"/>
            <w:sz w:val="22"/>
            <w:szCs w:val="22"/>
          </w:rPr>
          <w:t>ckeiler@ethree.us</w:t>
        </w:r>
      </w:hyperlink>
      <w:r w:rsidRPr="00E146CF">
        <w:rPr>
          <w:sz w:val="22"/>
          <w:szCs w:val="22"/>
        </w:rPr>
        <w:t>)</w:t>
      </w:r>
    </w:p>
    <w:p w:rsidR="0045642F" w:rsidRPr="00E146CF" w:rsidP="00340FD6" w14:paraId="0572AED2" w14:textId="77777777">
      <w:pPr>
        <w:rPr>
          <w:sz w:val="22"/>
          <w:szCs w:val="22"/>
        </w:rPr>
      </w:pPr>
    </w:p>
    <w:p w:rsidR="00340FD6" w:rsidRPr="00E146CF" w:rsidP="00340FD6" w14:paraId="5849BF3C" w14:textId="77777777">
      <w:pPr>
        <w:ind w:left="4320" w:firstLine="720"/>
        <w:rPr>
          <w:sz w:val="22"/>
          <w:szCs w:val="22"/>
        </w:rPr>
      </w:pPr>
      <w:bookmarkStart w:id="0" w:name="_Hlk11270368"/>
    </w:p>
    <w:p w:rsidR="00340FD6" w:rsidRPr="00E146CF" w:rsidP="00340FD6" w14:paraId="203A370B" w14:textId="5B703FB9">
      <w:pPr>
        <w:ind w:left="5760" w:hanging="720"/>
        <w:rPr>
          <w:b/>
          <w:bCs/>
          <w:sz w:val="22"/>
          <w:szCs w:val="22"/>
        </w:rPr>
      </w:pPr>
      <w:r w:rsidRPr="00E146CF">
        <w:rPr>
          <w:sz w:val="22"/>
          <w:szCs w:val="22"/>
        </w:rPr>
        <w:t>In re:</w:t>
      </w:r>
      <w:r w:rsidRPr="00E146CF">
        <w:rPr>
          <w:sz w:val="22"/>
          <w:szCs w:val="22"/>
        </w:rPr>
        <w:tab/>
      </w:r>
      <w:r w:rsidRPr="00E146CF" w:rsidR="000B16B0">
        <w:rPr>
          <w:b/>
          <w:bCs/>
          <w:sz w:val="22"/>
          <w:szCs w:val="22"/>
        </w:rPr>
        <w:t xml:space="preserve">NCE MX Group </w:t>
      </w:r>
      <w:r w:rsidRPr="00E146CF" w:rsidR="008B5B38">
        <w:rPr>
          <w:b/>
          <w:bCs/>
          <w:sz w:val="22"/>
          <w:szCs w:val="22"/>
        </w:rPr>
        <w:t>52</w:t>
      </w:r>
    </w:p>
    <w:p w:rsidR="000B16B0" w:rsidRPr="00E146CF" w:rsidP="00340FD6" w14:paraId="745E5717" w14:textId="77777777">
      <w:pPr>
        <w:ind w:left="5760" w:hanging="720"/>
        <w:rPr>
          <w:b/>
          <w:bCs/>
          <w:sz w:val="22"/>
          <w:szCs w:val="22"/>
        </w:rPr>
      </w:pPr>
    </w:p>
    <w:p w:rsidR="000B16B0" w:rsidRPr="00E146CF" w:rsidP="00340FD6" w14:paraId="6240131A" w14:textId="436BDBF5">
      <w:pPr>
        <w:ind w:left="5760" w:hanging="720"/>
        <w:rPr>
          <w:sz w:val="22"/>
          <w:szCs w:val="22"/>
        </w:rPr>
      </w:pPr>
      <w:r w:rsidRPr="00E146CF">
        <w:rPr>
          <w:b/>
          <w:bCs/>
          <w:sz w:val="22"/>
          <w:szCs w:val="22"/>
        </w:rPr>
        <w:tab/>
      </w:r>
      <w:r w:rsidRPr="00E146CF" w:rsidR="004D5745">
        <w:rPr>
          <w:b/>
          <w:bCs/>
          <w:sz w:val="22"/>
          <w:szCs w:val="22"/>
        </w:rPr>
        <w:t>Vida Ministry Inc.</w:t>
      </w:r>
    </w:p>
    <w:p w:rsidR="007A13DE" w:rsidRPr="00E146CF" w:rsidP="007A13DE" w14:paraId="4F29AF20" w14:textId="1568C1CA">
      <w:pPr>
        <w:ind w:left="5040" w:firstLine="720"/>
        <w:rPr>
          <w:sz w:val="22"/>
          <w:szCs w:val="22"/>
        </w:rPr>
      </w:pPr>
      <w:r w:rsidRPr="00E146CF">
        <w:rPr>
          <w:sz w:val="22"/>
          <w:szCs w:val="22"/>
        </w:rPr>
        <w:t xml:space="preserve">New NCE, </w:t>
      </w:r>
      <w:r w:rsidRPr="00E146CF" w:rsidR="00603ED3">
        <w:rPr>
          <w:sz w:val="22"/>
          <w:szCs w:val="22"/>
        </w:rPr>
        <w:t>Duck Key, Florida</w:t>
      </w:r>
    </w:p>
    <w:p w:rsidR="007A13DE" w:rsidRPr="00E146CF" w:rsidP="007A13DE" w14:paraId="0D3040EF" w14:textId="1040B081">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 xml:space="preserve">Facility ID No. </w:t>
      </w:r>
      <w:r w:rsidRPr="00E146CF" w:rsidR="001B14FF">
        <w:rPr>
          <w:sz w:val="22"/>
          <w:szCs w:val="22"/>
        </w:rPr>
        <w:t>768208</w:t>
      </w:r>
    </w:p>
    <w:p w:rsidR="007A13DE" w:rsidRPr="00E146CF" w:rsidP="007A13DE" w14:paraId="0F37D04B" w14:textId="286CB385">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 xml:space="preserve">File No. </w:t>
      </w:r>
      <w:bookmarkStart w:id="1" w:name="_Hlk105677049"/>
      <w:r w:rsidRPr="00E146CF">
        <w:rPr>
          <w:sz w:val="22"/>
          <w:szCs w:val="22"/>
        </w:rPr>
        <w:t>0000</w:t>
      </w:r>
      <w:r w:rsidRPr="00E146CF" w:rsidR="001B14FF">
        <w:rPr>
          <w:sz w:val="22"/>
          <w:szCs w:val="22"/>
        </w:rPr>
        <w:t>167107</w:t>
      </w:r>
      <w:bookmarkEnd w:id="1"/>
    </w:p>
    <w:p w:rsidR="007A13DE" w:rsidRPr="00E146CF" w:rsidP="00340FD6" w14:paraId="6B3E7AF3" w14:textId="77777777">
      <w:pPr>
        <w:ind w:left="5040" w:firstLine="720"/>
        <w:rPr>
          <w:sz w:val="22"/>
          <w:szCs w:val="22"/>
        </w:rPr>
      </w:pPr>
    </w:p>
    <w:p w:rsidR="00603ED3" w:rsidRPr="00E146CF" w:rsidP="000B57E2" w14:paraId="127F79FE" w14:textId="77777777">
      <w:pPr>
        <w:ind w:left="5040" w:firstLine="720"/>
        <w:rPr>
          <w:b/>
          <w:bCs/>
          <w:sz w:val="22"/>
          <w:szCs w:val="22"/>
        </w:rPr>
      </w:pPr>
      <w:r w:rsidRPr="00E146CF">
        <w:rPr>
          <w:b/>
          <w:bCs/>
          <w:sz w:val="22"/>
          <w:szCs w:val="22"/>
        </w:rPr>
        <w:t>Ethree</w:t>
      </w:r>
      <w:r w:rsidRPr="00E146CF">
        <w:rPr>
          <w:b/>
          <w:bCs/>
          <w:sz w:val="22"/>
          <w:szCs w:val="22"/>
        </w:rPr>
        <w:t xml:space="preserve"> Group, Inc.</w:t>
      </w:r>
    </w:p>
    <w:p w:rsidR="000B57E2" w:rsidRPr="00E146CF" w:rsidP="000B57E2" w14:paraId="2AC959A0" w14:textId="0A541549">
      <w:pPr>
        <w:ind w:left="5040" w:firstLine="720"/>
        <w:rPr>
          <w:sz w:val="22"/>
          <w:szCs w:val="22"/>
        </w:rPr>
      </w:pPr>
      <w:r w:rsidRPr="00E146CF">
        <w:rPr>
          <w:sz w:val="22"/>
          <w:szCs w:val="22"/>
        </w:rPr>
        <w:t xml:space="preserve">New NCE, </w:t>
      </w:r>
      <w:r w:rsidRPr="00E146CF" w:rsidR="003A7D0E">
        <w:rPr>
          <w:sz w:val="22"/>
          <w:szCs w:val="22"/>
        </w:rPr>
        <w:t>Key Colony</w:t>
      </w:r>
      <w:r w:rsidR="00580768">
        <w:rPr>
          <w:sz w:val="22"/>
          <w:szCs w:val="22"/>
        </w:rPr>
        <w:t xml:space="preserve"> Beach</w:t>
      </w:r>
      <w:r w:rsidRPr="00E146CF" w:rsidR="003A7D0E">
        <w:rPr>
          <w:sz w:val="22"/>
          <w:szCs w:val="22"/>
        </w:rPr>
        <w:t>, Florida</w:t>
      </w:r>
    </w:p>
    <w:p w:rsidR="00340FD6" w:rsidRPr="00E146CF" w:rsidP="00340FD6" w14:paraId="0980077A" w14:textId="0719B2A9">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 xml:space="preserve">Facility ID No. </w:t>
      </w:r>
      <w:r w:rsidRPr="00E146CF" w:rsidR="003A7D0E">
        <w:rPr>
          <w:sz w:val="22"/>
          <w:szCs w:val="22"/>
        </w:rPr>
        <w:t>768682</w:t>
      </w:r>
    </w:p>
    <w:p w:rsidR="00340FD6" w:rsidRPr="00E146CF" w:rsidP="00340FD6" w14:paraId="0FAB7737" w14:textId="200EB86E">
      <w:pPr>
        <w:rPr>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t xml:space="preserve">File No. </w:t>
      </w:r>
      <w:bookmarkStart w:id="2" w:name="_Hlk105076786"/>
      <w:r w:rsidRPr="00E146CF" w:rsidR="007A13DE">
        <w:rPr>
          <w:sz w:val="22"/>
          <w:szCs w:val="22"/>
        </w:rPr>
        <w:t>0000</w:t>
      </w:r>
      <w:r w:rsidRPr="00E146CF" w:rsidR="003A7D0E">
        <w:rPr>
          <w:sz w:val="22"/>
          <w:szCs w:val="22"/>
        </w:rPr>
        <w:t>167098</w:t>
      </w:r>
      <w:bookmarkEnd w:id="2"/>
    </w:p>
    <w:p w:rsidR="00FF43E8" w:rsidRPr="00E146CF" w:rsidP="00340FD6" w14:paraId="40092CAE" w14:textId="77777777">
      <w:pPr>
        <w:rPr>
          <w:sz w:val="22"/>
          <w:szCs w:val="22"/>
        </w:rPr>
      </w:pPr>
    </w:p>
    <w:p w:rsidR="00340FD6" w:rsidRPr="00E146CF" w:rsidP="00340FD6" w14:paraId="2838D231" w14:textId="77777777">
      <w:pPr>
        <w:rPr>
          <w:b/>
          <w:sz w:val="22"/>
          <w:szCs w:val="22"/>
        </w:rPr>
      </w:pP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Pr>
          <w:sz w:val="22"/>
          <w:szCs w:val="22"/>
        </w:rPr>
        <w:tab/>
      </w:r>
      <w:r w:rsidRPr="00E146CF" w:rsidR="00FF43E8">
        <w:rPr>
          <w:b/>
          <w:sz w:val="22"/>
          <w:szCs w:val="22"/>
        </w:rPr>
        <w:t>Petition to Deny</w:t>
      </w:r>
    </w:p>
    <w:bookmarkEnd w:id="0"/>
    <w:p w:rsidR="00340FD6" w:rsidRPr="00E146CF" w:rsidP="00340FD6" w14:paraId="26E46FF4" w14:textId="77777777">
      <w:pPr>
        <w:rPr>
          <w:sz w:val="22"/>
          <w:szCs w:val="22"/>
        </w:rPr>
      </w:pPr>
    </w:p>
    <w:p w:rsidR="00340FD6" w:rsidRPr="00E146CF" w:rsidP="00340FD6" w14:paraId="4EF52DB2" w14:textId="4FDF7A6E">
      <w:pPr>
        <w:rPr>
          <w:sz w:val="22"/>
          <w:szCs w:val="22"/>
        </w:rPr>
      </w:pPr>
      <w:r w:rsidRPr="00E146CF">
        <w:rPr>
          <w:sz w:val="22"/>
          <w:szCs w:val="22"/>
        </w:rPr>
        <w:t xml:space="preserve">Dear </w:t>
      </w:r>
      <w:r w:rsidR="009C736B">
        <w:rPr>
          <w:sz w:val="22"/>
          <w:szCs w:val="22"/>
        </w:rPr>
        <w:t>Counsel and Applicant</w:t>
      </w:r>
      <w:r w:rsidR="009C5D3E">
        <w:rPr>
          <w:sz w:val="22"/>
          <w:szCs w:val="22"/>
        </w:rPr>
        <w:t>:</w:t>
      </w:r>
    </w:p>
    <w:p w:rsidR="00340FD6" w:rsidRPr="00E146CF" w14:paraId="2EE6E62C" w14:textId="77777777">
      <w:pPr>
        <w:rPr>
          <w:sz w:val="22"/>
          <w:szCs w:val="22"/>
        </w:rPr>
      </w:pPr>
    </w:p>
    <w:p w:rsidR="00A62ED5" w:rsidRPr="00E146CF" w:rsidP="00825FE6" w14:paraId="6B18FE06" w14:textId="22EEF40F">
      <w:pPr>
        <w:pStyle w:val="ParaNum"/>
        <w:widowControl/>
        <w:numPr>
          <w:ilvl w:val="0"/>
          <w:numId w:val="0"/>
        </w:numPr>
        <w:ind w:firstLine="720"/>
        <w:rPr>
          <w:szCs w:val="22"/>
        </w:rPr>
      </w:pPr>
      <w:r w:rsidRPr="00E146CF">
        <w:rPr>
          <w:szCs w:val="22"/>
        </w:rPr>
        <w:t xml:space="preserve">We have before us </w:t>
      </w:r>
      <w:r w:rsidRPr="00E146CF" w:rsidR="00F74A0C">
        <w:rPr>
          <w:szCs w:val="22"/>
        </w:rPr>
        <w:t>two</w:t>
      </w:r>
      <w:r w:rsidRPr="00E146CF" w:rsidR="00FF43E8">
        <w:rPr>
          <w:szCs w:val="22"/>
        </w:rPr>
        <w:t xml:space="preserve"> mutually exclusive applications </w:t>
      </w:r>
      <w:r w:rsidRPr="00E146CF" w:rsidR="00F41A72">
        <w:rPr>
          <w:szCs w:val="22"/>
        </w:rPr>
        <w:t xml:space="preserve">filed by </w:t>
      </w:r>
      <w:r w:rsidRPr="00E146CF" w:rsidR="009B42C6">
        <w:rPr>
          <w:szCs w:val="22"/>
        </w:rPr>
        <w:t>Vida Ministry Inc. (VMI)</w:t>
      </w:r>
      <w:r w:rsidRPr="00E146CF" w:rsidR="00F41A72">
        <w:rPr>
          <w:szCs w:val="22"/>
        </w:rPr>
        <w:t xml:space="preserve"> and </w:t>
      </w:r>
      <w:r w:rsidRPr="00E146CF" w:rsidR="00572CCA">
        <w:rPr>
          <w:szCs w:val="22"/>
        </w:rPr>
        <w:t>Ethree</w:t>
      </w:r>
      <w:r w:rsidRPr="00E146CF" w:rsidR="00572CCA">
        <w:rPr>
          <w:szCs w:val="22"/>
        </w:rPr>
        <w:t xml:space="preserve"> Group, Inc. (EGI) </w:t>
      </w:r>
      <w:r w:rsidRPr="00E146CF" w:rsidR="00FF43E8">
        <w:rPr>
          <w:szCs w:val="22"/>
        </w:rPr>
        <w:t>for construction permits for new noncommercial educational (NCE) FM stations</w:t>
      </w:r>
      <w:r w:rsidRPr="00E146CF" w:rsidR="00AF7A03">
        <w:rPr>
          <w:szCs w:val="22"/>
        </w:rPr>
        <w:t xml:space="preserve"> in communities in </w:t>
      </w:r>
      <w:r w:rsidRPr="00E146CF" w:rsidR="00540615">
        <w:rPr>
          <w:szCs w:val="22"/>
        </w:rPr>
        <w:t>Florida</w:t>
      </w:r>
      <w:r w:rsidRPr="00E146CF" w:rsidR="0061778B">
        <w:rPr>
          <w:szCs w:val="22"/>
        </w:rPr>
        <w:t>,</w:t>
      </w:r>
      <w:r w:rsidRPr="00E146CF" w:rsidR="00AF7A03">
        <w:rPr>
          <w:szCs w:val="22"/>
        </w:rPr>
        <w:t xml:space="preserve"> </w:t>
      </w:r>
      <w:r w:rsidRPr="00E146CF" w:rsidR="00FF43E8">
        <w:rPr>
          <w:szCs w:val="22"/>
        </w:rPr>
        <w:t xml:space="preserve">which the Media Bureau </w:t>
      </w:r>
      <w:r w:rsidRPr="00E146CF" w:rsidR="0061778B">
        <w:rPr>
          <w:szCs w:val="22"/>
        </w:rPr>
        <w:t xml:space="preserve">(Bureau) </w:t>
      </w:r>
      <w:r w:rsidRPr="00E146CF" w:rsidR="00FF43E8">
        <w:rPr>
          <w:szCs w:val="22"/>
        </w:rPr>
        <w:t xml:space="preserve">designated as NCE MX Group </w:t>
      </w:r>
      <w:r w:rsidRPr="00E146CF" w:rsidR="00540615">
        <w:rPr>
          <w:szCs w:val="22"/>
        </w:rPr>
        <w:t>52</w:t>
      </w:r>
      <w:r w:rsidRPr="00E146CF" w:rsidR="00FF43E8">
        <w:rPr>
          <w:szCs w:val="22"/>
        </w:rPr>
        <w:t>.</w:t>
      </w:r>
      <w:r>
        <w:rPr>
          <w:rStyle w:val="FootnoteReference"/>
          <w:sz w:val="22"/>
          <w:szCs w:val="22"/>
        </w:rPr>
        <w:footnoteReference w:id="2"/>
      </w:r>
      <w:r w:rsidRPr="00E146CF" w:rsidR="00FF43E8">
        <w:rPr>
          <w:szCs w:val="22"/>
        </w:rPr>
        <w:t xml:space="preserve">  The </w:t>
      </w:r>
      <w:r w:rsidRPr="00E146CF" w:rsidR="00FF43E8">
        <w:rPr>
          <w:szCs w:val="22"/>
        </w:rPr>
        <w:t xml:space="preserve">Bureau identified the </w:t>
      </w:r>
      <w:r w:rsidRPr="00E146CF" w:rsidR="00BA3432">
        <w:rPr>
          <w:szCs w:val="22"/>
        </w:rPr>
        <w:t>EGI</w:t>
      </w:r>
      <w:r w:rsidRPr="00E146CF" w:rsidR="00F41A72">
        <w:rPr>
          <w:szCs w:val="22"/>
        </w:rPr>
        <w:t xml:space="preserve"> Application</w:t>
      </w:r>
      <w:r w:rsidRPr="00E146CF" w:rsidR="00FF43E8">
        <w:rPr>
          <w:szCs w:val="22"/>
        </w:rPr>
        <w:t xml:space="preserve"> as the tentative selectee of the group.</w:t>
      </w:r>
      <w:r>
        <w:rPr>
          <w:rStyle w:val="FootnoteReference"/>
          <w:sz w:val="22"/>
          <w:szCs w:val="22"/>
        </w:rPr>
        <w:footnoteReference w:id="3"/>
      </w:r>
      <w:r w:rsidRPr="00E146CF" w:rsidR="00FF43E8">
        <w:rPr>
          <w:szCs w:val="22"/>
        </w:rPr>
        <w:t xml:space="preserve">  We also have before us the Petition to Deny </w:t>
      </w:r>
      <w:r w:rsidRPr="00E146CF" w:rsidR="00825FE6">
        <w:rPr>
          <w:szCs w:val="22"/>
        </w:rPr>
        <w:t xml:space="preserve">(Petition) </w:t>
      </w:r>
      <w:r w:rsidRPr="00E146CF" w:rsidR="00FF43E8">
        <w:rPr>
          <w:szCs w:val="22"/>
        </w:rPr>
        <w:t xml:space="preserve">the </w:t>
      </w:r>
      <w:r w:rsidRPr="00E146CF" w:rsidR="009701C9">
        <w:rPr>
          <w:szCs w:val="22"/>
        </w:rPr>
        <w:t>EGI</w:t>
      </w:r>
      <w:r w:rsidRPr="00E146CF" w:rsidR="00FF43E8">
        <w:rPr>
          <w:szCs w:val="22"/>
        </w:rPr>
        <w:t xml:space="preserve"> Application filed by </w:t>
      </w:r>
      <w:r w:rsidRPr="00E146CF" w:rsidR="009701C9">
        <w:rPr>
          <w:szCs w:val="22"/>
        </w:rPr>
        <w:t>VMI</w:t>
      </w:r>
      <w:r w:rsidR="00972CEE">
        <w:rPr>
          <w:szCs w:val="22"/>
        </w:rPr>
        <w:t>,</w:t>
      </w:r>
      <w:r>
        <w:rPr>
          <w:rStyle w:val="FootnoteReference"/>
          <w:sz w:val="22"/>
          <w:szCs w:val="22"/>
        </w:rPr>
        <w:footnoteReference w:id="4"/>
      </w:r>
      <w:r w:rsidRPr="00E146CF" w:rsidR="00825FE6">
        <w:rPr>
          <w:szCs w:val="22"/>
        </w:rPr>
        <w:t xml:space="preserve"> </w:t>
      </w:r>
      <w:r w:rsidR="00972CEE">
        <w:rPr>
          <w:szCs w:val="22"/>
        </w:rPr>
        <w:t>and EGI’s Opposition to the Petition.</w:t>
      </w:r>
      <w:r>
        <w:rPr>
          <w:rStyle w:val="FootnoteReference"/>
          <w:szCs w:val="22"/>
        </w:rPr>
        <w:footnoteReference w:id="5"/>
      </w:r>
      <w:r w:rsidR="00972CEE">
        <w:rPr>
          <w:szCs w:val="22"/>
        </w:rPr>
        <w:t xml:space="preserve"> </w:t>
      </w:r>
      <w:r w:rsidRPr="00E146CF" w:rsidR="00825FE6">
        <w:rPr>
          <w:szCs w:val="22"/>
        </w:rPr>
        <w:t xml:space="preserve"> </w:t>
      </w:r>
      <w:r w:rsidRPr="00E146CF" w:rsidR="006528D9">
        <w:rPr>
          <w:szCs w:val="22"/>
        </w:rPr>
        <w:t xml:space="preserve">For the reasons set forth below, we </w:t>
      </w:r>
      <w:r w:rsidRPr="00E146CF" w:rsidR="00825FE6">
        <w:rPr>
          <w:szCs w:val="22"/>
        </w:rPr>
        <w:t>grant the Petition</w:t>
      </w:r>
      <w:r w:rsidR="003F2DC9">
        <w:rPr>
          <w:szCs w:val="22"/>
        </w:rPr>
        <w:t xml:space="preserve"> in part</w:t>
      </w:r>
      <w:r w:rsidRPr="00E146CF" w:rsidR="00825FE6">
        <w:rPr>
          <w:szCs w:val="22"/>
        </w:rPr>
        <w:t xml:space="preserve">, rescind our tentative selection of the </w:t>
      </w:r>
      <w:r w:rsidRPr="00E146CF" w:rsidR="005C5A0B">
        <w:rPr>
          <w:szCs w:val="22"/>
        </w:rPr>
        <w:t>EGI</w:t>
      </w:r>
      <w:r w:rsidRPr="00E146CF" w:rsidR="00825FE6">
        <w:rPr>
          <w:szCs w:val="22"/>
        </w:rPr>
        <w:t xml:space="preserve"> Application, </w:t>
      </w:r>
      <w:r w:rsidR="008C7818">
        <w:rPr>
          <w:szCs w:val="22"/>
        </w:rPr>
        <w:t xml:space="preserve">and refer NCE MX Group 52 to the Commission to </w:t>
      </w:r>
      <w:r w:rsidRPr="00E146CF" w:rsidR="00F7372E">
        <w:rPr>
          <w:szCs w:val="22"/>
        </w:rPr>
        <w:t>conduct a point</w:t>
      </w:r>
      <w:r w:rsidRPr="00E146CF" w:rsidR="00555DE7">
        <w:rPr>
          <w:szCs w:val="22"/>
        </w:rPr>
        <w:t xml:space="preserve"> </w:t>
      </w:r>
      <w:r w:rsidR="00121633">
        <w:rPr>
          <w:szCs w:val="22"/>
        </w:rPr>
        <w:t>system</w:t>
      </w:r>
      <w:r w:rsidRPr="00E146CF" w:rsidR="00F7372E">
        <w:rPr>
          <w:szCs w:val="22"/>
        </w:rPr>
        <w:t xml:space="preserve"> anal</w:t>
      </w:r>
      <w:r w:rsidRPr="00E146CF" w:rsidR="00AB2213">
        <w:rPr>
          <w:szCs w:val="22"/>
        </w:rPr>
        <w:t>ysis</w:t>
      </w:r>
      <w:r w:rsidR="008C7818">
        <w:rPr>
          <w:szCs w:val="22"/>
        </w:rPr>
        <w:t>.</w:t>
      </w:r>
      <w:r>
        <w:rPr>
          <w:rStyle w:val="FootnoteReference"/>
          <w:sz w:val="22"/>
          <w:szCs w:val="22"/>
        </w:rPr>
        <w:footnoteReference w:id="6"/>
      </w:r>
      <w:r w:rsidRPr="00E146CF" w:rsidR="00AB2213">
        <w:rPr>
          <w:szCs w:val="22"/>
        </w:rPr>
        <w:t xml:space="preserve"> </w:t>
      </w:r>
    </w:p>
    <w:p w:rsidR="00A62ED5" w:rsidRPr="00E146CF" w:rsidP="00682D7D" w14:paraId="38D6166E" w14:textId="77213125">
      <w:pPr>
        <w:pStyle w:val="ParaNum"/>
        <w:widowControl/>
        <w:numPr>
          <w:ilvl w:val="0"/>
          <w:numId w:val="0"/>
        </w:numPr>
        <w:ind w:firstLine="720"/>
        <w:rPr>
          <w:szCs w:val="22"/>
        </w:rPr>
      </w:pPr>
      <w:r w:rsidRPr="00E146CF">
        <w:rPr>
          <w:i/>
          <w:iCs/>
          <w:szCs w:val="22"/>
        </w:rPr>
        <w:t>Background</w:t>
      </w:r>
      <w:r w:rsidRPr="00E146CF">
        <w:rPr>
          <w:szCs w:val="22"/>
        </w:rPr>
        <w:t>.</w:t>
      </w:r>
      <w:r w:rsidRPr="00E146CF" w:rsidR="00340FD6">
        <w:rPr>
          <w:szCs w:val="22"/>
        </w:rPr>
        <w:t xml:space="preserve">  </w:t>
      </w:r>
      <w:r w:rsidRPr="00E146CF" w:rsidR="00F41A72">
        <w:rPr>
          <w:szCs w:val="22"/>
        </w:rPr>
        <w:t>The subject applications were fil</w:t>
      </w:r>
      <w:r w:rsidRPr="00E146CF" w:rsidR="00DE4AC3">
        <w:rPr>
          <w:szCs w:val="22"/>
        </w:rPr>
        <w:t>e</w:t>
      </w:r>
      <w:r w:rsidRPr="00E146CF" w:rsidR="00F41A72">
        <w:rPr>
          <w:szCs w:val="22"/>
        </w:rPr>
        <w:t xml:space="preserve">d during the 2021 NCE </w:t>
      </w:r>
      <w:r w:rsidRPr="00E146CF" w:rsidR="005512FE">
        <w:rPr>
          <w:szCs w:val="22"/>
        </w:rPr>
        <w:t>f</w:t>
      </w:r>
      <w:r w:rsidRPr="00E146CF" w:rsidR="00F41A72">
        <w:rPr>
          <w:szCs w:val="22"/>
        </w:rPr>
        <w:t xml:space="preserve">iling </w:t>
      </w:r>
      <w:r w:rsidRPr="00E146CF" w:rsidR="005512FE">
        <w:rPr>
          <w:szCs w:val="22"/>
        </w:rPr>
        <w:t>w</w:t>
      </w:r>
      <w:r w:rsidRPr="00E146CF" w:rsidR="00F41A72">
        <w:rPr>
          <w:szCs w:val="22"/>
        </w:rPr>
        <w:t>indow</w:t>
      </w:r>
      <w:r w:rsidRPr="00E146CF" w:rsidR="007D1990">
        <w:rPr>
          <w:szCs w:val="22"/>
        </w:rPr>
        <w:t>, which was open from November 2, 2021, until November 9, 2021</w:t>
      </w:r>
      <w:r w:rsidRPr="00E146CF" w:rsidR="00F41A72">
        <w:rPr>
          <w:szCs w:val="22"/>
        </w:rPr>
        <w:t>.</w:t>
      </w:r>
      <w:r>
        <w:rPr>
          <w:rStyle w:val="FootnoteReference"/>
          <w:sz w:val="22"/>
          <w:szCs w:val="22"/>
        </w:rPr>
        <w:footnoteReference w:id="7"/>
      </w:r>
      <w:r w:rsidRPr="00E146CF" w:rsidR="00F41A72">
        <w:rPr>
          <w:szCs w:val="22"/>
        </w:rPr>
        <w:t xml:space="preserve">  In the </w:t>
      </w:r>
      <w:r w:rsidR="008C7818">
        <w:rPr>
          <w:i/>
          <w:iCs/>
          <w:szCs w:val="22"/>
        </w:rPr>
        <w:t xml:space="preserve">First </w:t>
      </w:r>
      <w:r w:rsidRPr="00E146CF" w:rsidR="00F41A72">
        <w:rPr>
          <w:i/>
          <w:iCs/>
          <w:szCs w:val="22"/>
        </w:rPr>
        <w:t>Fair Distribution Order</w:t>
      </w:r>
      <w:r w:rsidRPr="00E146CF" w:rsidR="00F41A72">
        <w:rPr>
          <w:szCs w:val="22"/>
        </w:rPr>
        <w:t>, the Burea</w:t>
      </w:r>
      <w:r w:rsidRPr="00E146CF" w:rsidR="00DB6A89">
        <w:rPr>
          <w:szCs w:val="22"/>
        </w:rPr>
        <w:t>u</w:t>
      </w:r>
      <w:r w:rsidRPr="00E146CF" w:rsidR="00F41A72">
        <w:rPr>
          <w:szCs w:val="22"/>
        </w:rPr>
        <w:t xml:space="preserve"> </w:t>
      </w:r>
      <w:r w:rsidRPr="00E146CF" w:rsidR="00DB6A89">
        <w:rPr>
          <w:szCs w:val="22"/>
        </w:rPr>
        <w:t>conducted a</w:t>
      </w:r>
      <w:r w:rsidRPr="00E146CF" w:rsidR="001E46BD">
        <w:rPr>
          <w:szCs w:val="22"/>
        </w:rPr>
        <w:t xml:space="preserve"> fair distribution</w:t>
      </w:r>
      <w:r w:rsidRPr="00E146CF" w:rsidR="00DB6A89">
        <w:rPr>
          <w:szCs w:val="22"/>
        </w:rPr>
        <w:t xml:space="preserve"> analysis pursuant to section 307(b) of the Communications Act of 1934, as amended</w:t>
      </w:r>
      <w:r w:rsidRPr="00E146CF" w:rsidR="001E46BD">
        <w:rPr>
          <w:szCs w:val="22"/>
        </w:rPr>
        <w:t xml:space="preserve"> (Act)</w:t>
      </w:r>
      <w:r w:rsidRPr="00E146CF" w:rsidR="00DB6A89">
        <w:rPr>
          <w:szCs w:val="22"/>
        </w:rPr>
        <w:t>,</w:t>
      </w:r>
      <w:r>
        <w:rPr>
          <w:rStyle w:val="FootnoteReference"/>
          <w:sz w:val="22"/>
          <w:szCs w:val="22"/>
        </w:rPr>
        <w:footnoteReference w:id="8"/>
      </w:r>
      <w:r w:rsidRPr="00E146CF" w:rsidR="00DB6A89">
        <w:rPr>
          <w:szCs w:val="22"/>
        </w:rPr>
        <w:t xml:space="preserve"> </w:t>
      </w:r>
      <w:r w:rsidRPr="00E146CF" w:rsidR="00F41A72">
        <w:rPr>
          <w:szCs w:val="22"/>
        </w:rPr>
        <w:t xml:space="preserve">determined that </w:t>
      </w:r>
      <w:r w:rsidRPr="00E146CF" w:rsidR="008F20C6">
        <w:rPr>
          <w:szCs w:val="22"/>
        </w:rPr>
        <w:t>only</w:t>
      </w:r>
      <w:r w:rsidRPr="00E146CF" w:rsidR="00DB6A89">
        <w:rPr>
          <w:szCs w:val="22"/>
        </w:rPr>
        <w:t xml:space="preserve"> the </w:t>
      </w:r>
      <w:r w:rsidRPr="00E146CF" w:rsidR="008F20C6">
        <w:rPr>
          <w:szCs w:val="22"/>
        </w:rPr>
        <w:t>EGI</w:t>
      </w:r>
      <w:r w:rsidRPr="00E146CF" w:rsidR="00DB6A89">
        <w:rPr>
          <w:szCs w:val="22"/>
        </w:rPr>
        <w:t xml:space="preserve"> Application </w:t>
      </w:r>
      <w:r w:rsidRPr="00E146CF" w:rsidR="008F20C6">
        <w:rPr>
          <w:szCs w:val="22"/>
        </w:rPr>
        <w:t>was</w:t>
      </w:r>
      <w:r w:rsidRPr="00E146CF" w:rsidR="00DB6A89">
        <w:rPr>
          <w:szCs w:val="22"/>
        </w:rPr>
        <w:t xml:space="preserve"> </w:t>
      </w:r>
      <w:r w:rsidRPr="00E146CF" w:rsidR="007D1990">
        <w:rPr>
          <w:szCs w:val="22"/>
        </w:rPr>
        <w:t>eligible for</w:t>
      </w:r>
      <w:r w:rsidRPr="00E146CF" w:rsidR="00DB6A89">
        <w:rPr>
          <w:szCs w:val="22"/>
        </w:rPr>
        <w:t xml:space="preserve"> a fair distribution preference, and because</w:t>
      </w:r>
      <w:r w:rsidRPr="00E146CF" w:rsidR="00CB38E7">
        <w:rPr>
          <w:szCs w:val="22"/>
        </w:rPr>
        <w:t xml:space="preserve"> </w:t>
      </w:r>
      <w:r w:rsidRPr="00E146CF" w:rsidR="009A1635">
        <w:rPr>
          <w:szCs w:val="22"/>
        </w:rPr>
        <w:t>VMI claimed no fair distribution preference</w:t>
      </w:r>
      <w:r w:rsidRPr="00E146CF" w:rsidR="00CB38E7">
        <w:rPr>
          <w:szCs w:val="22"/>
        </w:rPr>
        <w:t xml:space="preserve">, identified the </w:t>
      </w:r>
      <w:r w:rsidRPr="00E146CF" w:rsidR="00085EF9">
        <w:rPr>
          <w:szCs w:val="22"/>
        </w:rPr>
        <w:t>EGI</w:t>
      </w:r>
      <w:r w:rsidRPr="00E146CF" w:rsidR="00CB38E7">
        <w:rPr>
          <w:szCs w:val="22"/>
        </w:rPr>
        <w:t xml:space="preserve"> Application as the tentative selectee of NCE MX Group </w:t>
      </w:r>
      <w:r w:rsidRPr="00E146CF" w:rsidR="009A1635">
        <w:rPr>
          <w:szCs w:val="22"/>
        </w:rPr>
        <w:t>52</w:t>
      </w:r>
      <w:r w:rsidRPr="00E146CF" w:rsidR="00CB38E7">
        <w:rPr>
          <w:szCs w:val="22"/>
        </w:rPr>
        <w:t>.</w:t>
      </w:r>
      <w:r>
        <w:rPr>
          <w:rStyle w:val="FootnoteReference"/>
          <w:sz w:val="22"/>
          <w:szCs w:val="22"/>
        </w:rPr>
        <w:footnoteReference w:id="9"/>
      </w:r>
    </w:p>
    <w:p w:rsidR="00CB38E7" w:rsidRPr="00E146CF" w:rsidP="00682D7D" w14:paraId="08274352" w14:textId="36707CEF">
      <w:pPr>
        <w:pStyle w:val="ParaNum"/>
        <w:widowControl/>
        <w:numPr>
          <w:ilvl w:val="0"/>
          <w:numId w:val="0"/>
        </w:numPr>
        <w:ind w:firstLine="720"/>
        <w:rPr>
          <w:szCs w:val="22"/>
        </w:rPr>
      </w:pPr>
      <w:r w:rsidRPr="00E146CF">
        <w:rPr>
          <w:szCs w:val="22"/>
        </w:rPr>
        <w:t xml:space="preserve">In the Petition, </w:t>
      </w:r>
      <w:r w:rsidRPr="00E146CF" w:rsidR="00052197">
        <w:rPr>
          <w:szCs w:val="22"/>
        </w:rPr>
        <w:t>VMI</w:t>
      </w:r>
      <w:r w:rsidRPr="00E146CF">
        <w:rPr>
          <w:szCs w:val="22"/>
        </w:rPr>
        <w:t xml:space="preserve"> argues that the Bureau improperly relied on</w:t>
      </w:r>
      <w:r w:rsidRPr="00E146CF" w:rsidR="00364414">
        <w:rPr>
          <w:szCs w:val="22"/>
        </w:rPr>
        <w:t xml:space="preserve"> </w:t>
      </w:r>
      <w:r w:rsidRPr="00E146CF" w:rsidR="00485863">
        <w:rPr>
          <w:szCs w:val="22"/>
        </w:rPr>
        <w:t xml:space="preserve">the </w:t>
      </w:r>
      <w:r w:rsidRPr="00E146CF" w:rsidR="00364414">
        <w:rPr>
          <w:szCs w:val="22"/>
        </w:rPr>
        <w:t>EGI</w:t>
      </w:r>
      <w:r w:rsidRPr="00E146CF" w:rsidR="00485863">
        <w:rPr>
          <w:szCs w:val="22"/>
        </w:rPr>
        <w:t xml:space="preserve"> Application</w:t>
      </w:r>
      <w:r w:rsidRPr="00E146CF" w:rsidR="00364414">
        <w:rPr>
          <w:szCs w:val="22"/>
        </w:rPr>
        <w:t xml:space="preserve">’s </w:t>
      </w:r>
      <w:r w:rsidRPr="00E146CF">
        <w:rPr>
          <w:szCs w:val="22"/>
        </w:rPr>
        <w:t xml:space="preserve">fair distribution </w:t>
      </w:r>
      <w:r w:rsidRPr="00E146CF" w:rsidR="00364414">
        <w:rPr>
          <w:szCs w:val="22"/>
        </w:rPr>
        <w:t>attachment</w:t>
      </w:r>
      <w:r w:rsidRPr="00E146CF" w:rsidR="00FF4EEA">
        <w:rPr>
          <w:szCs w:val="22"/>
        </w:rPr>
        <w:t xml:space="preserve">, which contained </w:t>
      </w:r>
      <w:r w:rsidRPr="00E146CF" w:rsidR="00A75EDB">
        <w:rPr>
          <w:szCs w:val="22"/>
        </w:rPr>
        <w:t xml:space="preserve">inaccurate </w:t>
      </w:r>
      <w:r w:rsidRPr="00E146CF" w:rsidR="00F11171">
        <w:rPr>
          <w:szCs w:val="22"/>
        </w:rPr>
        <w:t xml:space="preserve">service </w:t>
      </w:r>
      <w:r w:rsidRPr="00E146CF" w:rsidR="00FF4EEA">
        <w:rPr>
          <w:szCs w:val="22"/>
        </w:rPr>
        <w:t>populat</w:t>
      </w:r>
      <w:r w:rsidRPr="00E146CF" w:rsidR="008D12CC">
        <w:rPr>
          <w:szCs w:val="22"/>
        </w:rPr>
        <w:t>ion totals</w:t>
      </w:r>
      <w:r w:rsidRPr="00E146CF" w:rsidR="00EE1AF7">
        <w:rPr>
          <w:szCs w:val="22"/>
        </w:rPr>
        <w:t xml:space="preserve"> based on</w:t>
      </w:r>
      <w:r w:rsidRPr="00E146CF" w:rsidR="00585C6C">
        <w:rPr>
          <w:szCs w:val="22"/>
        </w:rPr>
        <w:t xml:space="preserve"> a</w:t>
      </w:r>
      <w:r w:rsidRPr="00E146CF" w:rsidR="007E66B4">
        <w:rPr>
          <w:szCs w:val="22"/>
        </w:rPr>
        <w:t xml:space="preserve"> different</w:t>
      </w:r>
      <w:r w:rsidRPr="00E146CF" w:rsidR="00364414">
        <w:rPr>
          <w:szCs w:val="22"/>
        </w:rPr>
        <w:t xml:space="preserve"> transmitter site</w:t>
      </w:r>
      <w:r w:rsidR="00580768">
        <w:rPr>
          <w:szCs w:val="22"/>
        </w:rPr>
        <w:t>—located in Big Pine, Florida—instead of it</w:t>
      </w:r>
      <w:r w:rsidRPr="00E146CF" w:rsidR="00485863">
        <w:rPr>
          <w:szCs w:val="22"/>
        </w:rPr>
        <w:t>s</w:t>
      </w:r>
      <w:r w:rsidRPr="00E146CF" w:rsidR="00FF4EEA">
        <w:rPr>
          <w:szCs w:val="22"/>
        </w:rPr>
        <w:t xml:space="preserve"> proposed community of </w:t>
      </w:r>
      <w:r w:rsidRPr="00E146CF" w:rsidR="001E653D">
        <w:rPr>
          <w:szCs w:val="22"/>
        </w:rPr>
        <w:t>Key Colony</w:t>
      </w:r>
      <w:r w:rsidR="00580768">
        <w:rPr>
          <w:szCs w:val="22"/>
        </w:rPr>
        <w:t xml:space="preserve"> Beach</w:t>
      </w:r>
      <w:r w:rsidRPr="00E146CF" w:rsidR="001E653D">
        <w:rPr>
          <w:szCs w:val="22"/>
        </w:rPr>
        <w:t>, Florida</w:t>
      </w:r>
      <w:r w:rsidRPr="00E146CF">
        <w:rPr>
          <w:szCs w:val="22"/>
        </w:rPr>
        <w:t>.</w:t>
      </w:r>
      <w:r>
        <w:rPr>
          <w:rStyle w:val="FootnoteReference"/>
          <w:sz w:val="22"/>
          <w:szCs w:val="22"/>
        </w:rPr>
        <w:footnoteReference w:id="10"/>
      </w:r>
      <w:r w:rsidRPr="00E146CF">
        <w:rPr>
          <w:szCs w:val="22"/>
        </w:rPr>
        <w:t xml:space="preserve">  </w:t>
      </w:r>
      <w:r w:rsidRPr="00E146CF" w:rsidR="00723E5E">
        <w:rPr>
          <w:szCs w:val="22"/>
        </w:rPr>
        <w:t xml:space="preserve">VMI maintains that </w:t>
      </w:r>
      <w:r w:rsidRPr="00E146CF" w:rsidR="003F6FB9">
        <w:rPr>
          <w:szCs w:val="22"/>
        </w:rPr>
        <w:t xml:space="preserve">absent accurate </w:t>
      </w:r>
      <w:r w:rsidRPr="00E146CF" w:rsidR="00485863">
        <w:rPr>
          <w:szCs w:val="22"/>
        </w:rPr>
        <w:t xml:space="preserve">supporting </w:t>
      </w:r>
      <w:r w:rsidRPr="00E146CF" w:rsidR="003F6FB9">
        <w:rPr>
          <w:szCs w:val="22"/>
        </w:rPr>
        <w:t>service population totals</w:t>
      </w:r>
      <w:r w:rsidRPr="00E146CF" w:rsidR="00A71B7D">
        <w:rPr>
          <w:szCs w:val="22"/>
        </w:rPr>
        <w:t xml:space="preserve">, </w:t>
      </w:r>
      <w:r w:rsidRPr="00E146CF" w:rsidR="000319BC">
        <w:rPr>
          <w:szCs w:val="22"/>
        </w:rPr>
        <w:t xml:space="preserve">the Bureau </w:t>
      </w:r>
      <w:r w:rsidRPr="00E146CF" w:rsidR="00A264BE">
        <w:rPr>
          <w:szCs w:val="22"/>
        </w:rPr>
        <w:t xml:space="preserve">should </w:t>
      </w:r>
      <w:r w:rsidRPr="00E146CF" w:rsidR="000319BC">
        <w:rPr>
          <w:szCs w:val="22"/>
        </w:rPr>
        <w:t xml:space="preserve">reject </w:t>
      </w:r>
      <w:r w:rsidRPr="00E146CF" w:rsidR="00A264BE">
        <w:rPr>
          <w:szCs w:val="22"/>
        </w:rPr>
        <w:t>EGI’s</w:t>
      </w:r>
      <w:r w:rsidRPr="00E146CF" w:rsidR="000319BC">
        <w:rPr>
          <w:szCs w:val="22"/>
        </w:rPr>
        <w:t xml:space="preserve"> fair distribution claim and declare the </w:t>
      </w:r>
      <w:r w:rsidRPr="00E146CF" w:rsidR="00897941">
        <w:rPr>
          <w:szCs w:val="22"/>
        </w:rPr>
        <w:t>VMI</w:t>
      </w:r>
      <w:r w:rsidRPr="00E146CF" w:rsidR="006A62B4">
        <w:rPr>
          <w:szCs w:val="22"/>
        </w:rPr>
        <w:t xml:space="preserve"> Application</w:t>
      </w:r>
      <w:r w:rsidRPr="00E146CF" w:rsidR="006D2072">
        <w:rPr>
          <w:szCs w:val="22"/>
        </w:rPr>
        <w:t xml:space="preserve"> as</w:t>
      </w:r>
      <w:r w:rsidRPr="00E146CF" w:rsidR="000319BC">
        <w:rPr>
          <w:szCs w:val="22"/>
        </w:rPr>
        <w:t xml:space="preserve"> the tentative selectee of NCE MX Group </w:t>
      </w:r>
      <w:r w:rsidRPr="00E146CF" w:rsidR="00897941">
        <w:rPr>
          <w:szCs w:val="22"/>
        </w:rPr>
        <w:t>52</w:t>
      </w:r>
      <w:r w:rsidRPr="00E146CF" w:rsidR="00D41872">
        <w:rPr>
          <w:szCs w:val="22"/>
        </w:rPr>
        <w:t>.</w:t>
      </w:r>
      <w:r>
        <w:rPr>
          <w:rStyle w:val="FootnoteReference"/>
          <w:sz w:val="22"/>
          <w:szCs w:val="22"/>
        </w:rPr>
        <w:footnoteReference w:id="11"/>
      </w:r>
      <w:r w:rsidRPr="00E146CF" w:rsidR="00D41872">
        <w:rPr>
          <w:szCs w:val="22"/>
        </w:rPr>
        <w:t xml:space="preserve"> </w:t>
      </w:r>
      <w:r w:rsidRPr="00E146CF">
        <w:rPr>
          <w:szCs w:val="22"/>
        </w:rPr>
        <w:t xml:space="preserve"> </w:t>
      </w:r>
    </w:p>
    <w:p w:rsidR="00FD1909" w:rsidRPr="00E146CF" w:rsidP="00682D7D" w14:paraId="3E9F9946" w14:textId="4CAF121B">
      <w:pPr>
        <w:pStyle w:val="ParaNum"/>
        <w:widowControl/>
        <w:numPr>
          <w:ilvl w:val="0"/>
          <w:numId w:val="0"/>
        </w:numPr>
        <w:ind w:firstLine="720"/>
        <w:rPr>
          <w:szCs w:val="22"/>
        </w:rPr>
      </w:pPr>
      <w:r w:rsidRPr="00E146CF">
        <w:rPr>
          <w:szCs w:val="22"/>
        </w:rPr>
        <w:t xml:space="preserve">In its opposition to the Petition (Opposition), EGI </w:t>
      </w:r>
      <w:r w:rsidRPr="00E146CF" w:rsidR="008B1572">
        <w:rPr>
          <w:szCs w:val="22"/>
        </w:rPr>
        <w:t xml:space="preserve">argues that it </w:t>
      </w:r>
      <w:r w:rsidRPr="00E146CF" w:rsidR="00826BE2">
        <w:rPr>
          <w:szCs w:val="22"/>
        </w:rPr>
        <w:t>experienced</w:t>
      </w:r>
      <w:r w:rsidRPr="00E146CF" w:rsidR="008B1572">
        <w:rPr>
          <w:szCs w:val="22"/>
        </w:rPr>
        <w:t xml:space="preserve"> filing </w:t>
      </w:r>
      <w:r w:rsidRPr="00E146CF" w:rsidR="009974B7">
        <w:rPr>
          <w:szCs w:val="22"/>
        </w:rPr>
        <w:t>complications</w:t>
      </w:r>
      <w:r w:rsidR="003F2DC9">
        <w:rPr>
          <w:szCs w:val="22"/>
        </w:rPr>
        <w:t>,</w:t>
      </w:r>
      <w:r w:rsidR="009C63C3">
        <w:rPr>
          <w:szCs w:val="22"/>
        </w:rPr>
        <w:t xml:space="preserve"> which it believed to be rectified</w:t>
      </w:r>
      <w:r w:rsidRPr="00E146CF" w:rsidR="00DF48C8">
        <w:rPr>
          <w:szCs w:val="22"/>
        </w:rPr>
        <w:t xml:space="preserve">, </w:t>
      </w:r>
      <w:r w:rsidR="009C63C3">
        <w:rPr>
          <w:szCs w:val="22"/>
        </w:rPr>
        <w:t>and</w:t>
      </w:r>
      <w:r w:rsidRPr="00E146CF" w:rsidR="00DF48C8">
        <w:rPr>
          <w:szCs w:val="22"/>
        </w:rPr>
        <w:t xml:space="preserve"> </w:t>
      </w:r>
      <w:r w:rsidRPr="00E146CF" w:rsidR="00990FAF">
        <w:rPr>
          <w:szCs w:val="22"/>
        </w:rPr>
        <w:t xml:space="preserve">acknowledges that </w:t>
      </w:r>
      <w:r w:rsidRPr="00E146CF" w:rsidR="002D310F">
        <w:rPr>
          <w:szCs w:val="22"/>
        </w:rPr>
        <w:t>it</w:t>
      </w:r>
      <w:r w:rsidRPr="00E146CF" w:rsidR="00F220BA">
        <w:rPr>
          <w:szCs w:val="22"/>
        </w:rPr>
        <w:t xml:space="preserve"> </w:t>
      </w:r>
      <w:r w:rsidR="00B01812">
        <w:rPr>
          <w:szCs w:val="22"/>
        </w:rPr>
        <w:t>mistakenly attached the exhibit</w:t>
      </w:r>
      <w:r w:rsidRPr="00E146CF" w:rsidR="004B79BA">
        <w:rPr>
          <w:szCs w:val="22"/>
        </w:rPr>
        <w:t xml:space="preserve"> for a different application</w:t>
      </w:r>
      <w:r w:rsidR="005234BC">
        <w:rPr>
          <w:szCs w:val="22"/>
        </w:rPr>
        <w:t>,</w:t>
      </w:r>
      <w:r w:rsidRPr="00E146CF" w:rsidR="004B79BA">
        <w:rPr>
          <w:szCs w:val="22"/>
        </w:rPr>
        <w:t xml:space="preserve"> </w:t>
      </w:r>
      <w:r w:rsidRPr="00E146CF" w:rsidR="00F220BA">
        <w:rPr>
          <w:szCs w:val="22"/>
        </w:rPr>
        <w:t>which</w:t>
      </w:r>
      <w:r w:rsidRPr="00E146CF" w:rsidR="006115DD">
        <w:rPr>
          <w:szCs w:val="22"/>
        </w:rPr>
        <w:t xml:space="preserve"> accordingly</w:t>
      </w:r>
      <w:r w:rsidRPr="00E146CF" w:rsidR="003D0A09">
        <w:rPr>
          <w:szCs w:val="22"/>
        </w:rPr>
        <w:t xml:space="preserve"> reflec</w:t>
      </w:r>
      <w:r w:rsidRPr="00E146CF" w:rsidR="006115DD">
        <w:rPr>
          <w:szCs w:val="22"/>
        </w:rPr>
        <w:t>ts</w:t>
      </w:r>
      <w:r w:rsidRPr="00E146CF" w:rsidR="003D0A09">
        <w:rPr>
          <w:szCs w:val="22"/>
        </w:rPr>
        <w:t xml:space="preserve"> </w:t>
      </w:r>
      <w:r w:rsidRPr="00E146CF" w:rsidR="0088094B">
        <w:rPr>
          <w:szCs w:val="22"/>
        </w:rPr>
        <w:t>inaccurate</w:t>
      </w:r>
      <w:r w:rsidRPr="00E146CF" w:rsidR="001177E2">
        <w:rPr>
          <w:szCs w:val="22"/>
        </w:rPr>
        <w:t xml:space="preserve"> service population totals.</w:t>
      </w:r>
      <w:r>
        <w:rPr>
          <w:rStyle w:val="FootnoteReference"/>
          <w:sz w:val="22"/>
          <w:szCs w:val="22"/>
        </w:rPr>
        <w:footnoteReference w:id="12"/>
      </w:r>
      <w:r w:rsidRPr="00E146CF" w:rsidR="004B79BA">
        <w:rPr>
          <w:szCs w:val="22"/>
        </w:rPr>
        <w:t xml:space="preserve">  </w:t>
      </w:r>
      <w:r w:rsidRPr="00E146CF" w:rsidR="000710C2">
        <w:rPr>
          <w:szCs w:val="22"/>
        </w:rPr>
        <w:t xml:space="preserve">However, </w:t>
      </w:r>
      <w:r w:rsidRPr="00E146CF" w:rsidR="007B1DEF">
        <w:rPr>
          <w:szCs w:val="22"/>
        </w:rPr>
        <w:t>EGI maintains that its application</w:t>
      </w:r>
      <w:r w:rsidRPr="00E146CF" w:rsidR="00412F26">
        <w:rPr>
          <w:szCs w:val="22"/>
        </w:rPr>
        <w:t xml:space="preserve"> </w:t>
      </w:r>
      <w:r w:rsidR="00F25CC2">
        <w:rPr>
          <w:szCs w:val="22"/>
        </w:rPr>
        <w:t>stat</w:t>
      </w:r>
      <w:r w:rsidR="00B61CB3">
        <w:rPr>
          <w:szCs w:val="22"/>
        </w:rPr>
        <w:t>es</w:t>
      </w:r>
      <w:r w:rsidRPr="00E146CF" w:rsidR="0093693A">
        <w:rPr>
          <w:szCs w:val="22"/>
        </w:rPr>
        <w:t xml:space="preserve"> a </w:t>
      </w:r>
      <w:r w:rsidRPr="00E146CF" w:rsidR="004101EB">
        <w:rPr>
          <w:szCs w:val="22"/>
        </w:rPr>
        <w:t>correct</w:t>
      </w:r>
      <w:r w:rsidRPr="00E146CF" w:rsidR="0093693A">
        <w:rPr>
          <w:szCs w:val="22"/>
        </w:rPr>
        <w:t xml:space="preserve"> claim of fair distribution preference because</w:t>
      </w:r>
      <w:r w:rsidRPr="00E146CF" w:rsidR="004B79BA">
        <w:rPr>
          <w:szCs w:val="22"/>
        </w:rPr>
        <w:t xml:space="preserve"> despite</w:t>
      </w:r>
      <w:r w:rsidRPr="00E146CF" w:rsidR="0088094B">
        <w:rPr>
          <w:szCs w:val="22"/>
        </w:rPr>
        <w:t xml:space="preserve"> </w:t>
      </w:r>
      <w:r w:rsidRPr="00E146CF" w:rsidR="00B90703">
        <w:rPr>
          <w:szCs w:val="22"/>
        </w:rPr>
        <w:t xml:space="preserve">the erroneous attachment, </w:t>
      </w:r>
      <w:r w:rsidRPr="00E146CF" w:rsidR="0093693A">
        <w:rPr>
          <w:szCs w:val="22"/>
        </w:rPr>
        <w:t xml:space="preserve">accurate totals </w:t>
      </w:r>
      <w:r w:rsidR="002036AF">
        <w:rPr>
          <w:szCs w:val="22"/>
        </w:rPr>
        <w:t xml:space="preserve">demonstrate that it </w:t>
      </w:r>
      <w:r w:rsidRPr="00E146CF" w:rsidR="005D1086">
        <w:rPr>
          <w:szCs w:val="22"/>
        </w:rPr>
        <w:t xml:space="preserve">would </w:t>
      </w:r>
      <w:r w:rsidRPr="00E146CF" w:rsidR="002415D3">
        <w:rPr>
          <w:szCs w:val="22"/>
        </w:rPr>
        <w:t xml:space="preserve">provide a secondary service to over 2,000 people </w:t>
      </w:r>
      <w:r w:rsidRPr="00E146CF" w:rsidR="002415D3">
        <w:rPr>
          <w:szCs w:val="22"/>
        </w:rPr>
        <w:t xml:space="preserve">and more than 10 percent </w:t>
      </w:r>
      <w:r w:rsidRPr="00E146CF" w:rsidR="0099161B">
        <w:rPr>
          <w:szCs w:val="22"/>
        </w:rPr>
        <w:t>of the total population.</w:t>
      </w:r>
      <w:r>
        <w:rPr>
          <w:rStyle w:val="FootnoteReference"/>
          <w:sz w:val="22"/>
          <w:szCs w:val="22"/>
        </w:rPr>
        <w:footnoteReference w:id="13"/>
      </w:r>
      <w:r w:rsidRPr="00E146CF" w:rsidR="00637904">
        <w:rPr>
          <w:szCs w:val="22"/>
        </w:rPr>
        <w:t xml:space="preserve">  </w:t>
      </w:r>
      <w:r w:rsidRPr="00E146CF" w:rsidR="0087681F">
        <w:rPr>
          <w:szCs w:val="22"/>
        </w:rPr>
        <w:t xml:space="preserve">EGI further maintains that </w:t>
      </w:r>
      <w:r w:rsidRPr="00E146CF" w:rsidR="00610EC3">
        <w:rPr>
          <w:szCs w:val="22"/>
        </w:rPr>
        <w:t>despite the error, it should remain the tentative selectee since it claims a fair distribution preference and VMI does not.</w:t>
      </w:r>
      <w:r>
        <w:rPr>
          <w:rStyle w:val="FootnoteReference"/>
          <w:sz w:val="22"/>
          <w:szCs w:val="22"/>
        </w:rPr>
        <w:footnoteReference w:id="14"/>
      </w:r>
      <w:r w:rsidRPr="00E146CF" w:rsidR="00610EC3">
        <w:rPr>
          <w:szCs w:val="22"/>
        </w:rPr>
        <w:t xml:space="preserve"> </w:t>
      </w:r>
    </w:p>
    <w:p w:rsidR="003C7866" w:rsidRPr="00E146CF" w:rsidP="00A62ED5" w14:paraId="654E4D98" w14:textId="77777777">
      <w:pPr>
        <w:pStyle w:val="ParaNum"/>
        <w:numPr>
          <w:ilvl w:val="0"/>
          <w:numId w:val="0"/>
        </w:numPr>
        <w:ind w:firstLine="720"/>
        <w:rPr>
          <w:szCs w:val="22"/>
        </w:rPr>
      </w:pPr>
      <w:r w:rsidRPr="00E146CF">
        <w:rPr>
          <w:i/>
          <w:iCs/>
          <w:szCs w:val="22"/>
        </w:rPr>
        <w:t>Discussion</w:t>
      </w:r>
      <w:r w:rsidRPr="00E146CF">
        <w:rPr>
          <w:szCs w:val="22"/>
        </w:rPr>
        <w:t>.</w:t>
      </w:r>
      <w:r w:rsidRPr="00E146CF">
        <w:rPr>
          <w:i/>
          <w:iCs/>
          <w:szCs w:val="22"/>
        </w:rPr>
        <w:t xml:space="preserve">  </w:t>
      </w:r>
      <w:r w:rsidRPr="00E146CF">
        <w:rPr>
          <w:szCs w:val="22"/>
        </w:rPr>
        <w:t xml:space="preserve">Pursuant to </w:t>
      </w:r>
      <w:r w:rsidRPr="00E146CF" w:rsidR="00C31230">
        <w:rPr>
          <w:szCs w:val="22"/>
        </w:rPr>
        <w:t>s</w:t>
      </w:r>
      <w:r w:rsidRPr="00E146CF">
        <w:rPr>
          <w:szCs w:val="22"/>
        </w:rPr>
        <w:t>ection 309(d) of the Act,</w:t>
      </w:r>
      <w:r>
        <w:rPr>
          <w:rStyle w:val="FootnoteReference"/>
          <w:sz w:val="22"/>
          <w:szCs w:val="22"/>
        </w:rPr>
        <w:footnoteReference w:id="15"/>
      </w:r>
      <w:r w:rsidRPr="00E146CF">
        <w:rPr>
          <w:szCs w:val="22"/>
        </w:rPr>
        <w:t xml:space="preserve"> </w:t>
      </w:r>
      <w:bookmarkStart w:id="3" w:name="SR;619"/>
      <w:bookmarkEnd w:id="3"/>
      <w:r w:rsidRPr="00E146CF">
        <w:rPr>
          <w:rStyle w:val="searchterm"/>
          <w:szCs w:val="22"/>
        </w:rPr>
        <w:t>petitions to deny and informal objections</w:t>
      </w:r>
      <w:r w:rsidRPr="00E146CF">
        <w:rPr>
          <w:szCs w:val="22"/>
        </w:rPr>
        <w:t xml:space="preserve"> must provide properly supported allegations of fact that, if true, would establish a substantial and material question of fact that grant of the application would be </w:t>
      </w:r>
      <w:bookmarkStart w:id="4" w:name="SR;651"/>
      <w:bookmarkEnd w:id="4"/>
      <w:r w:rsidRPr="00E146CF">
        <w:rPr>
          <w:rStyle w:val="searchterm"/>
          <w:i/>
          <w:szCs w:val="22"/>
        </w:rPr>
        <w:t>prima</w:t>
      </w:r>
      <w:r w:rsidRPr="00E146CF">
        <w:rPr>
          <w:i/>
          <w:szCs w:val="22"/>
        </w:rPr>
        <w:t xml:space="preserve"> </w:t>
      </w:r>
      <w:bookmarkStart w:id="5" w:name="SR;652"/>
      <w:bookmarkEnd w:id="5"/>
      <w:r w:rsidRPr="00E146CF">
        <w:rPr>
          <w:rStyle w:val="searchterm"/>
          <w:i/>
          <w:szCs w:val="22"/>
        </w:rPr>
        <w:t>facie</w:t>
      </w:r>
      <w:r w:rsidRPr="00E146CF">
        <w:rPr>
          <w:szCs w:val="22"/>
        </w:rPr>
        <w:t xml:space="preserve"> inconsistent with the public interest.</w:t>
      </w:r>
      <w:r>
        <w:rPr>
          <w:rStyle w:val="FootnoteReference"/>
          <w:sz w:val="22"/>
          <w:szCs w:val="22"/>
        </w:rPr>
        <w:footnoteReference w:id="16"/>
      </w:r>
      <w:r w:rsidRPr="00E146CF">
        <w:rPr>
          <w:szCs w:val="22"/>
        </w:rPr>
        <w:t xml:space="preserve">  </w:t>
      </w:r>
    </w:p>
    <w:p w:rsidR="0034458D" w:rsidRPr="00E146CF" w:rsidP="000A3728" w14:paraId="02CD04C3" w14:textId="149BB264">
      <w:pPr>
        <w:pStyle w:val="ParaNum"/>
        <w:numPr>
          <w:ilvl w:val="0"/>
          <w:numId w:val="0"/>
        </w:numPr>
        <w:ind w:firstLine="720"/>
        <w:rPr>
          <w:szCs w:val="22"/>
        </w:rPr>
      </w:pPr>
      <w:r>
        <w:rPr>
          <w:szCs w:val="22"/>
        </w:rPr>
        <w:t>The Bureau makes clear that a</w:t>
      </w:r>
      <w:r w:rsidRPr="00D91852" w:rsidR="00D91852">
        <w:rPr>
          <w:szCs w:val="22"/>
        </w:rPr>
        <w:t xml:space="preserve">pplicant </w:t>
      </w:r>
      <w:r w:rsidR="008F44B9">
        <w:rPr>
          <w:szCs w:val="22"/>
        </w:rPr>
        <w:t xml:space="preserve">fair distribution </w:t>
      </w:r>
      <w:r w:rsidRPr="00D91852" w:rsidR="00D91852">
        <w:rPr>
          <w:szCs w:val="22"/>
        </w:rPr>
        <w:t>claims must be readily ascertainable from timely-filed application exhibits</w:t>
      </w:r>
      <w:r w:rsidR="00D91852">
        <w:rPr>
          <w:szCs w:val="22"/>
        </w:rPr>
        <w:t>.</w:t>
      </w:r>
      <w:r>
        <w:rPr>
          <w:rStyle w:val="FootnoteReference"/>
          <w:szCs w:val="22"/>
        </w:rPr>
        <w:footnoteReference w:id="17"/>
      </w:r>
      <w:r w:rsidR="000A3728">
        <w:rPr>
          <w:szCs w:val="22"/>
        </w:rPr>
        <w:t xml:space="preserve">  </w:t>
      </w:r>
      <w:r w:rsidRPr="00E146CF" w:rsidR="00A868AE">
        <w:rPr>
          <w:szCs w:val="22"/>
        </w:rPr>
        <w:t>EGI</w:t>
      </w:r>
      <w:r w:rsidR="000A3728">
        <w:rPr>
          <w:szCs w:val="22"/>
        </w:rPr>
        <w:t>’s</w:t>
      </w:r>
      <w:r w:rsidRPr="00E146CF" w:rsidR="00A868AE">
        <w:rPr>
          <w:szCs w:val="22"/>
        </w:rPr>
        <w:t xml:space="preserve"> Application includes a</w:t>
      </w:r>
      <w:r w:rsidRPr="00E146CF" w:rsidR="006E36F4">
        <w:rPr>
          <w:szCs w:val="22"/>
        </w:rPr>
        <w:t xml:space="preserve"> </w:t>
      </w:r>
      <w:r w:rsidRPr="00E146CF" w:rsidR="00492EA3">
        <w:rPr>
          <w:szCs w:val="22"/>
        </w:rPr>
        <w:t xml:space="preserve">fair distribution preference </w:t>
      </w:r>
      <w:r w:rsidRPr="00E146CF" w:rsidR="005E5625">
        <w:rPr>
          <w:szCs w:val="22"/>
        </w:rPr>
        <w:t>exhibit</w:t>
      </w:r>
      <w:r w:rsidRPr="00E146CF" w:rsidR="00492EA3">
        <w:rPr>
          <w:szCs w:val="22"/>
        </w:rPr>
        <w:t xml:space="preserve"> </w:t>
      </w:r>
      <w:r w:rsidRPr="00E146CF" w:rsidR="00A31185">
        <w:rPr>
          <w:szCs w:val="22"/>
        </w:rPr>
        <w:t>reflect</w:t>
      </w:r>
      <w:r w:rsidRPr="00E146CF" w:rsidR="00A868AE">
        <w:rPr>
          <w:szCs w:val="22"/>
        </w:rPr>
        <w:t>ing</w:t>
      </w:r>
      <w:r w:rsidRPr="00E146CF" w:rsidR="00492EA3">
        <w:rPr>
          <w:szCs w:val="22"/>
        </w:rPr>
        <w:t xml:space="preserve"> the</w:t>
      </w:r>
      <w:r w:rsidRPr="00E146CF" w:rsidR="00A31185">
        <w:rPr>
          <w:szCs w:val="22"/>
        </w:rPr>
        <w:t xml:space="preserve"> </w:t>
      </w:r>
      <w:r w:rsidRPr="00E146CF" w:rsidR="00990E89">
        <w:rPr>
          <w:szCs w:val="22"/>
        </w:rPr>
        <w:t xml:space="preserve">population totals </w:t>
      </w:r>
      <w:r w:rsidRPr="00E146CF" w:rsidR="00492EA3">
        <w:rPr>
          <w:szCs w:val="22"/>
        </w:rPr>
        <w:t>of</w:t>
      </w:r>
      <w:r w:rsidRPr="00E146CF" w:rsidR="000D7E7F">
        <w:rPr>
          <w:szCs w:val="22"/>
        </w:rPr>
        <w:t xml:space="preserve"> a community</w:t>
      </w:r>
      <w:r w:rsidR="000B0267">
        <w:rPr>
          <w:szCs w:val="22"/>
        </w:rPr>
        <w:t>, which is not</w:t>
      </w:r>
      <w:r w:rsidR="0008322E">
        <w:rPr>
          <w:szCs w:val="22"/>
        </w:rPr>
        <w:t xml:space="preserve"> </w:t>
      </w:r>
      <w:r w:rsidR="000B0267">
        <w:rPr>
          <w:szCs w:val="22"/>
        </w:rPr>
        <w:t xml:space="preserve">its </w:t>
      </w:r>
      <w:r w:rsidRPr="00E146CF" w:rsidR="00316B87">
        <w:rPr>
          <w:szCs w:val="22"/>
        </w:rPr>
        <w:t>proposed</w:t>
      </w:r>
      <w:r w:rsidRPr="00E146CF" w:rsidR="00E70C91">
        <w:rPr>
          <w:szCs w:val="22"/>
        </w:rPr>
        <w:t xml:space="preserve"> community</w:t>
      </w:r>
      <w:r w:rsidRPr="00E146CF" w:rsidR="00316B87">
        <w:rPr>
          <w:szCs w:val="22"/>
        </w:rPr>
        <w:t xml:space="preserve"> </w:t>
      </w:r>
      <w:r w:rsidR="000B0267">
        <w:rPr>
          <w:szCs w:val="22"/>
        </w:rPr>
        <w:t>of license, Key Colony Beach.</w:t>
      </w:r>
      <w:r w:rsidRPr="00E146CF" w:rsidR="001C74E8">
        <w:rPr>
          <w:szCs w:val="22"/>
        </w:rPr>
        <w:t xml:space="preserve">.  </w:t>
      </w:r>
      <w:r w:rsidRPr="00E146CF" w:rsidR="00BF750A">
        <w:rPr>
          <w:szCs w:val="22"/>
        </w:rPr>
        <w:t>In response to VMI’s Petition</w:t>
      </w:r>
      <w:r w:rsidRPr="00E146CF" w:rsidR="001C74E8">
        <w:rPr>
          <w:szCs w:val="22"/>
        </w:rPr>
        <w:t>, EGI</w:t>
      </w:r>
      <w:r w:rsidRPr="00E146CF" w:rsidR="00E1350B">
        <w:rPr>
          <w:szCs w:val="22"/>
        </w:rPr>
        <w:t xml:space="preserve"> filed an Opposition</w:t>
      </w:r>
      <w:r w:rsidR="000B0267">
        <w:rPr>
          <w:szCs w:val="22"/>
        </w:rPr>
        <w:t>,</w:t>
      </w:r>
      <w:r w:rsidRPr="00E146CF" w:rsidR="00E1350B">
        <w:rPr>
          <w:szCs w:val="22"/>
        </w:rPr>
        <w:t xml:space="preserve"> </w:t>
      </w:r>
      <w:r w:rsidR="009D13CF">
        <w:rPr>
          <w:szCs w:val="22"/>
        </w:rPr>
        <w:t>which</w:t>
      </w:r>
      <w:r w:rsidRPr="00E146CF" w:rsidR="00A245DE">
        <w:rPr>
          <w:szCs w:val="22"/>
        </w:rPr>
        <w:t xml:space="preserve"> includes an</w:t>
      </w:r>
      <w:r w:rsidRPr="00E146CF" w:rsidR="00E1350B">
        <w:rPr>
          <w:szCs w:val="22"/>
        </w:rPr>
        <w:t xml:space="preserve"> </w:t>
      </w:r>
      <w:r w:rsidRPr="00E146CF" w:rsidR="005D065D">
        <w:rPr>
          <w:szCs w:val="22"/>
        </w:rPr>
        <w:t xml:space="preserve">amended fair distribution of service </w:t>
      </w:r>
      <w:r w:rsidRPr="00E146CF" w:rsidR="005E5625">
        <w:rPr>
          <w:szCs w:val="22"/>
        </w:rPr>
        <w:t>exhibit</w:t>
      </w:r>
      <w:r w:rsidRPr="00E146CF" w:rsidR="00A245DE">
        <w:rPr>
          <w:szCs w:val="22"/>
        </w:rPr>
        <w:t xml:space="preserve"> reflecting accurate population totals</w:t>
      </w:r>
      <w:r w:rsidRPr="00E146CF" w:rsidR="00171A2A">
        <w:rPr>
          <w:szCs w:val="22"/>
        </w:rPr>
        <w:t xml:space="preserve"> for Key Colony</w:t>
      </w:r>
      <w:r w:rsidR="00580768">
        <w:rPr>
          <w:szCs w:val="22"/>
        </w:rPr>
        <w:t xml:space="preserve"> Beach</w:t>
      </w:r>
      <w:r w:rsidRPr="00E146CF" w:rsidR="00171A2A">
        <w:rPr>
          <w:szCs w:val="22"/>
        </w:rPr>
        <w:t>, Florida</w:t>
      </w:r>
      <w:r w:rsidRPr="00E146CF" w:rsidR="00BC436F">
        <w:rPr>
          <w:szCs w:val="22"/>
        </w:rPr>
        <w:t>.</w:t>
      </w:r>
      <w:r w:rsidRPr="00E146CF" w:rsidR="00E67D9B">
        <w:rPr>
          <w:szCs w:val="22"/>
        </w:rPr>
        <w:t xml:space="preserve"> </w:t>
      </w:r>
      <w:r w:rsidRPr="00E146CF" w:rsidR="00BC436F">
        <w:rPr>
          <w:szCs w:val="22"/>
        </w:rPr>
        <w:t xml:space="preserve"> </w:t>
      </w:r>
      <w:r w:rsidR="0021315D">
        <w:rPr>
          <w:szCs w:val="22"/>
        </w:rPr>
        <w:t>However, t</w:t>
      </w:r>
      <w:r w:rsidRPr="00E146CF" w:rsidR="008D35F2">
        <w:rPr>
          <w:szCs w:val="22"/>
        </w:rPr>
        <w:t xml:space="preserve">he </w:t>
      </w:r>
      <w:r w:rsidRPr="00E146CF" w:rsidR="00EE5EEF">
        <w:rPr>
          <w:szCs w:val="22"/>
        </w:rPr>
        <w:t>Commission</w:t>
      </w:r>
      <w:r w:rsidRPr="00E146CF" w:rsidR="00991AFC">
        <w:rPr>
          <w:szCs w:val="22"/>
        </w:rPr>
        <w:t xml:space="preserve"> and the Bureau have consistently rejected similar p</w:t>
      </w:r>
      <w:r w:rsidRPr="00E146CF" w:rsidR="00E946BF">
        <w:rPr>
          <w:szCs w:val="22"/>
        </w:rPr>
        <w:t>o</w:t>
      </w:r>
      <w:r w:rsidRPr="00E146CF" w:rsidR="00991AFC">
        <w:rPr>
          <w:szCs w:val="22"/>
        </w:rPr>
        <w:t>st-window amendments which attempt to correct population figures.</w:t>
      </w:r>
      <w:r>
        <w:rPr>
          <w:rStyle w:val="FootnoteReference"/>
          <w:sz w:val="22"/>
          <w:szCs w:val="22"/>
        </w:rPr>
        <w:footnoteReference w:id="18"/>
      </w:r>
      <w:r w:rsidRPr="00E146CF" w:rsidR="00DB029E">
        <w:rPr>
          <w:szCs w:val="22"/>
        </w:rPr>
        <w:t xml:space="preserve">  The Bureau has also</w:t>
      </w:r>
      <w:r w:rsidRPr="00E146CF" w:rsidR="0052407C">
        <w:rPr>
          <w:szCs w:val="22"/>
        </w:rPr>
        <w:t xml:space="preserve"> rejected </w:t>
      </w:r>
      <w:r w:rsidR="00A622FF">
        <w:rPr>
          <w:szCs w:val="22"/>
        </w:rPr>
        <w:t xml:space="preserve">an </w:t>
      </w:r>
      <w:r w:rsidRPr="00E146CF" w:rsidR="006C1A0B">
        <w:rPr>
          <w:szCs w:val="22"/>
        </w:rPr>
        <w:t>amendment</w:t>
      </w:r>
      <w:r w:rsidRPr="00E146CF" w:rsidR="0052407C">
        <w:rPr>
          <w:szCs w:val="22"/>
        </w:rPr>
        <w:t xml:space="preserve"> as an attempt to enhance </w:t>
      </w:r>
      <w:r w:rsidR="00A622FF">
        <w:rPr>
          <w:szCs w:val="22"/>
        </w:rPr>
        <w:t xml:space="preserve">a </w:t>
      </w:r>
      <w:r w:rsidRPr="00E146CF" w:rsidR="0052407C">
        <w:rPr>
          <w:szCs w:val="22"/>
        </w:rPr>
        <w:t>comparative position</w:t>
      </w:r>
      <w:r w:rsidRPr="00E146CF" w:rsidR="008C3C7F">
        <w:rPr>
          <w:szCs w:val="22"/>
        </w:rPr>
        <w:t xml:space="preserve"> when the initial application erroneously used population data from a different community than the applicant proposed to serve.</w:t>
      </w:r>
      <w:r>
        <w:rPr>
          <w:rStyle w:val="FootnoteReference"/>
          <w:sz w:val="22"/>
          <w:szCs w:val="22"/>
        </w:rPr>
        <w:footnoteReference w:id="19"/>
      </w:r>
      <w:r w:rsidRPr="00E146CF" w:rsidR="00DB029E">
        <w:rPr>
          <w:szCs w:val="22"/>
        </w:rPr>
        <w:t xml:space="preserve"> </w:t>
      </w:r>
      <w:r w:rsidRPr="00E146CF" w:rsidR="008C3C7F">
        <w:rPr>
          <w:szCs w:val="22"/>
        </w:rPr>
        <w:t xml:space="preserve"> </w:t>
      </w:r>
    </w:p>
    <w:p w:rsidR="00CB38E7" w:rsidRPr="00E146CF" w:rsidP="00A62ED5" w14:paraId="0803B1E4" w14:textId="03C0C31A">
      <w:pPr>
        <w:pStyle w:val="ParaNum"/>
        <w:numPr>
          <w:ilvl w:val="0"/>
          <w:numId w:val="0"/>
        </w:numPr>
        <w:ind w:firstLine="720"/>
        <w:rPr>
          <w:szCs w:val="22"/>
        </w:rPr>
      </w:pPr>
      <w:r>
        <w:rPr>
          <w:szCs w:val="22"/>
        </w:rPr>
        <w:t>Because EGI’s Application did not contain the required exhibit at the time the window closed</w:t>
      </w:r>
      <w:r w:rsidRPr="00E146CF" w:rsidR="00414AC3">
        <w:rPr>
          <w:szCs w:val="22"/>
        </w:rPr>
        <w:t xml:space="preserve">, we grant the Petition </w:t>
      </w:r>
      <w:r w:rsidR="002C5B0F">
        <w:rPr>
          <w:szCs w:val="22"/>
        </w:rPr>
        <w:t xml:space="preserve">in part </w:t>
      </w:r>
      <w:r w:rsidRPr="00E146CF" w:rsidR="00414AC3">
        <w:rPr>
          <w:szCs w:val="22"/>
        </w:rPr>
        <w:t>and rescind our</w:t>
      </w:r>
      <w:r w:rsidR="00594E0D">
        <w:rPr>
          <w:szCs w:val="22"/>
        </w:rPr>
        <w:t xml:space="preserve"> initial</w:t>
      </w:r>
      <w:r w:rsidRPr="00E146CF" w:rsidR="00414AC3">
        <w:rPr>
          <w:szCs w:val="22"/>
        </w:rPr>
        <w:t xml:space="preserve"> tentative selection of the </w:t>
      </w:r>
      <w:r w:rsidRPr="00E146CF" w:rsidR="00CA5BB9">
        <w:rPr>
          <w:szCs w:val="22"/>
        </w:rPr>
        <w:t>EGI</w:t>
      </w:r>
      <w:r w:rsidRPr="00E146CF" w:rsidR="00414AC3">
        <w:rPr>
          <w:szCs w:val="22"/>
        </w:rPr>
        <w:t xml:space="preserve"> Application.  </w:t>
      </w:r>
    </w:p>
    <w:p w:rsidR="007A61AD" w:rsidP="007A61AD" w14:paraId="1CD0BA78" w14:textId="261650F4">
      <w:pPr>
        <w:pStyle w:val="ParaNum"/>
        <w:numPr>
          <w:ilvl w:val="0"/>
          <w:numId w:val="0"/>
        </w:numPr>
        <w:ind w:firstLine="720"/>
        <w:rPr>
          <w:szCs w:val="22"/>
        </w:rPr>
      </w:pPr>
      <w:r>
        <w:rPr>
          <w:szCs w:val="22"/>
        </w:rPr>
        <w:t>Rescinding our initial tentative selectio</w:t>
      </w:r>
      <w:r w:rsidR="00491520">
        <w:rPr>
          <w:szCs w:val="22"/>
        </w:rPr>
        <w:t>n</w:t>
      </w:r>
      <w:r>
        <w:rPr>
          <w:szCs w:val="22"/>
        </w:rPr>
        <w:t xml:space="preserve"> of the EGI Application, however, does not automatically </w:t>
      </w:r>
      <w:r w:rsidR="00491520">
        <w:rPr>
          <w:szCs w:val="22"/>
        </w:rPr>
        <w:t>render the VMI application a replacement tentative selectee</w:t>
      </w:r>
      <w:r w:rsidR="00A23A99">
        <w:rPr>
          <w:szCs w:val="22"/>
        </w:rPr>
        <w:t xml:space="preserve"> as VMI requests</w:t>
      </w:r>
      <w:r w:rsidR="00491520">
        <w:rPr>
          <w:szCs w:val="22"/>
        </w:rPr>
        <w:t>.</w:t>
      </w:r>
      <w:r w:rsidR="003D1DCA">
        <w:rPr>
          <w:szCs w:val="22"/>
        </w:rPr>
        <w:t xml:space="preserve">  Therefore, we deny in part </w:t>
      </w:r>
      <w:r w:rsidR="003D1DCA">
        <w:rPr>
          <w:szCs w:val="22"/>
        </w:rPr>
        <w:t>the Petition</w:t>
      </w:r>
      <w:r w:rsidR="00C8026B">
        <w:rPr>
          <w:szCs w:val="22"/>
        </w:rPr>
        <w:t>.</w:t>
      </w:r>
      <w:r w:rsidR="00491520">
        <w:rPr>
          <w:szCs w:val="22"/>
        </w:rPr>
        <w:t xml:space="preserve">  Instead, we must </w:t>
      </w:r>
      <w:r w:rsidRPr="00E146CF" w:rsidR="00414AC3">
        <w:rPr>
          <w:szCs w:val="22"/>
        </w:rPr>
        <w:t>conduct a new fair distribution analysis</w:t>
      </w:r>
      <w:r w:rsidR="0057791C">
        <w:rPr>
          <w:szCs w:val="22"/>
        </w:rPr>
        <w:t xml:space="preserve"> in accordance with the Commission’s established comparative procedures</w:t>
      </w:r>
      <w:r w:rsidR="003376CC">
        <w:rPr>
          <w:szCs w:val="22"/>
        </w:rPr>
        <w:t>.</w:t>
      </w:r>
      <w:r>
        <w:rPr>
          <w:rStyle w:val="FootnoteReference"/>
          <w:szCs w:val="22"/>
        </w:rPr>
        <w:footnoteReference w:id="20"/>
      </w:r>
      <w:r w:rsidRPr="00E146CF" w:rsidR="00414AC3">
        <w:rPr>
          <w:szCs w:val="22"/>
        </w:rPr>
        <w:t xml:space="preserve">  </w:t>
      </w:r>
      <w:r w:rsidRPr="00E146CF" w:rsidR="00002DAA">
        <w:rPr>
          <w:szCs w:val="22"/>
        </w:rPr>
        <w:t xml:space="preserve">NCE MX Group </w:t>
      </w:r>
      <w:r w:rsidRPr="00E146CF" w:rsidR="00DD100B">
        <w:rPr>
          <w:szCs w:val="22"/>
        </w:rPr>
        <w:t>52</w:t>
      </w:r>
      <w:r w:rsidRPr="00E146CF" w:rsidR="00002DAA">
        <w:rPr>
          <w:szCs w:val="22"/>
        </w:rPr>
        <w:t xml:space="preserve"> consists of </w:t>
      </w:r>
      <w:r w:rsidRPr="00E146CF" w:rsidR="00DD100B">
        <w:rPr>
          <w:szCs w:val="22"/>
        </w:rPr>
        <w:t>two</w:t>
      </w:r>
      <w:r w:rsidRPr="00E146CF" w:rsidR="00002DAA">
        <w:rPr>
          <w:szCs w:val="22"/>
        </w:rPr>
        <w:t xml:space="preserve"> applications to serve different communities in </w:t>
      </w:r>
      <w:r w:rsidRPr="00E146CF" w:rsidR="00DD100B">
        <w:rPr>
          <w:szCs w:val="22"/>
        </w:rPr>
        <w:t>Florida</w:t>
      </w:r>
      <w:r w:rsidRPr="00E146CF" w:rsidR="00002DAA">
        <w:rPr>
          <w:szCs w:val="22"/>
        </w:rPr>
        <w:t xml:space="preserve">.  </w:t>
      </w:r>
      <w:r w:rsidRPr="00E146CF" w:rsidR="00AA6029">
        <w:rPr>
          <w:szCs w:val="22"/>
        </w:rPr>
        <w:t xml:space="preserve">VMI proposes to serve Duck Key, Florida.  </w:t>
      </w:r>
      <w:r w:rsidRPr="00E146CF" w:rsidR="00723815">
        <w:rPr>
          <w:szCs w:val="22"/>
        </w:rPr>
        <w:t>EGI</w:t>
      </w:r>
      <w:r w:rsidRPr="00E146CF" w:rsidR="00AA6029">
        <w:rPr>
          <w:szCs w:val="22"/>
        </w:rPr>
        <w:t xml:space="preserve"> proposes to serve Key Colony Beach, Florida.  EGI asserts that it is eligible for a fair distribution preference</w:t>
      </w:r>
      <w:r w:rsidR="00335D80">
        <w:rPr>
          <w:szCs w:val="22"/>
        </w:rPr>
        <w:t>.</w:t>
      </w:r>
      <w:r w:rsidRPr="00E146CF" w:rsidR="00AA6029">
        <w:rPr>
          <w:szCs w:val="22"/>
        </w:rPr>
        <w:t xml:space="preserve"> </w:t>
      </w:r>
      <w:r w:rsidR="00335D80">
        <w:rPr>
          <w:szCs w:val="22"/>
        </w:rPr>
        <w:t xml:space="preserve"> H</w:t>
      </w:r>
      <w:r w:rsidR="009A1CD3">
        <w:rPr>
          <w:szCs w:val="22"/>
        </w:rPr>
        <w:t>owever</w:t>
      </w:r>
      <w:r w:rsidR="00335D80">
        <w:rPr>
          <w:szCs w:val="22"/>
        </w:rPr>
        <w:t>,</w:t>
      </w:r>
      <w:r w:rsidR="009A1CD3">
        <w:rPr>
          <w:szCs w:val="22"/>
        </w:rPr>
        <w:t xml:space="preserve"> its fair distribution preference exhibit </w:t>
      </w:r>
      <w:r w:rsidR="009F5188">
        <w:rPr>
          <w:szCs w:val="22"/>
        </w:rPr>
        <w:t xml:space="preserve">lacks accurate population totals and therefore </w:t>
      </w:r>
      <w:r w:rsidR="009A1CD3">
        <w:rPr>
          <w:szCs w:val="22"/>
        </w:rPr>
        <w:t>does not support this claim</w:t>
      </w:r>
      <w:r w:rsidRPr="00E146CF" w:rsidR="00AA6029">
        <w:rPr>
          <w:szCs w:val="22"/>
        </w:rPr>
        <w:t>.</w:t>
      </w:r>
      <w:r>
        <w:rPr>
          <w:rStyle w:val="FootnoteReference"/>
          <w:sz w:val="22"/>
          <w:szCs w:val="22"/>
        </w:rPr>
        <w:footnoteReference w:id="21"/>
      </w:r>
      <w:r w:rsidRPr="00E146CF" w:rsidR="00AA6029">
        <w:rPr>
          <w:szCs w:val="22"/>
        </w:rPr>
        <w:t xml:space="preserve">  </w:t>
      </w:r>
      <w:r w:rsidR="00F67548">
        <w:rPr>
          <w:szCs w:val="22"/>
        </w:rPr>
        <w:t>Because</w:t>
      </w:r>
      <w:r w:rsidR="00467E6F">
        <w:rPr>
          <w:szCs w:val="22"/>
        </w:rPr>
        <w:t xml:space="preserve"> we are</w:t>
      </w:r>
      <w:r w:rsidR="000A77C1">
        <w:rPr>
          <w:szCs w:val="22"/>
        </w:rPr>
        <w:t xml:space="preserve"> un</w:t>
      </w:r>
      <w:r w:rsidRPr="00E146CF" w:rsidR="00723815">
        <w:rPr>
          <w:szCs w:val="22"/>
        </w:rPr>
        <w:t xml:space="preserve">able to determine whether </w:t>
      </w:r>
      <w:r w:rsidR="00F67548">
        <w:rPr>
          <w:szCs w:val="22"/>
        </w:rPr>
        <w:t>EGI’s proposal</w:t>
      </w:r>
      <w:r w:rsidRPr="00E146CF" w:rsidR="00723815">
        <w:rPr>
          <w:szCs w:val="22"/>
        </w:rPr>
        <w:t xml:space="preserve"> satisfies the 10 percent threshold and 2</w:t>
      </w:r>
      <w:r w:rsidR="005749A1">
        <w:rPr>
          <w:szCs w:val="22"/>
        </w:rPr>
        <w:t>,</w:t>
      </w:r>
      <w:r w:rsidRPr="00E146CF" w:rsidR="00723815">
        <w:rPr>
          <w:szCs w:val="22"/>
        </w:rPr>
        <w:t>000-person minimum criteria</w:t>
      </w:r>
      <w:r w:rsidR="00221910">
        <w:rPr>
          <w:szCs w:val="22"/>
        </w:rPr>
        <w:t xml:space="preserve"> based on the exhibits contained in the Application at the time of the close of the filing window</w:t>
      </w:r>
      <w:r w:rsidR="00F67548">
        <w:rPr>
          <w:szCs w:val="22"/>
        </w:rPr>
        <w:t xml:space="preserve">, </w:t>
      </w:r>
      <w:r w:rsidR="003175B8">
        <w:rPr>
          <w:szCs w:val="22"/>
        </w:rPr>
        <w:t xml:space="preserve">we cannot award </w:t>
      </w:r>
      <w:r w:rsidRPr="00E146CF" w:rsidR="004062FE">
        <w:rPr>
          <w:szCs w:val="22"/>
        </w:rPr>
        <w:t xml:space="preserve">EGI a fair distribution </w:t>
      </w:r>
      <w:r w:rsidRPr="00E146CF" w:rsidR="003624D2">
        <w:rPr>
          <w:szCs w:val="22"/>
        </w:rPr>
        <w:t xml:space="preserve">of service </w:t>
      </w:r>
      <w:r w:rsidRPr="00E146CF" w:rsidR="004062FE">
        <w:rPr>
          <w:szCs w:val="22"/>
        </w:rPr>
        <w:t xml:space="preserve">preference.  </w:t>
      </w:r>
      <w:r w:rsidRPr="00E146CF" w:rsidR="00AA6029">
        <w:rPr>
          <w:szCs w:val="22"/>
        </w:rPr>
        <w:t>VMI does not</w:t>
      </w:r>
      <w:r w:rsidRPr="00E146CF" w:rsidR="00437969">
        <w:rPr>
          <w:szCs w:val="22"/>
        </w:rPr>
        <w:t xml:space="preserve"> claim a fair distribution of service</w:t>
      </w:r>
      <w:r w:rsidRPr="00E146CF" w:rsidR="003624D2">
        <w:rPr>
          <w:szCs w:val="22"/>
        </w:rPr>
        <w:t xml:space="preserve"> preference</w:t>
      </w:r>
      <w:r w:rsidRPr="00E146CF" w:rsidR="00AA6029">
        <w:rPr>
          <w:szCs w:val="22"/>
        </w:rPr>
        <w:t xml:space="preserve">.  </w:t>
      </w:r>
      <w:r>
        <w:rPr>
          <w:szCs w:val="22"/>
        </w:rPr>
        <w:t>Accordingly, we are unable to designate a tentative selectee under a 307(b) fair distribution analysis</w:t>
      </w:r>
      <w:r w:rsidR="00797F09">
        <w:rPr>
          <w:szCs w:val="22"/>
        </w:rPr>
        <w:t>, and VMI and EGI will proceed to a point system analysis</w:t>
      </w:r>
      <w:r w:rsidR="003376CC">
        <w:rPr>
          <w:szCs w:val="22"/>
        </w:rPr>
        <w:t>.</w:t>
      </w:r>
    </w:p>
    <w:p w:rsidR="00B2361B" w:rsidRPr="00184D95" w:rsidP="00B2361B" w14:paraId="4154E711" w14:textId="45D36B9F">
      <w:pPr>
        <w:pStyle w:val="ParaNum"/>
        <w:numPr>
          <w:ilvl w:val="0"/>
          <w:numId w:val="0"/>
        </w:numPr>
        <w:ind w:firstLine="720"/>
        <w:contextualSpacing/>
        <w:rPr>
          <w:szCs w:val="22"/>
        </w:rPr>
      </w:pPr>
      <w:r>
        <w:rPr>
          <w:szCs w:val="22"/>
        </w:rPr>
        <w:t>T</w:t>
      </w:r>
      <w:r w:rsidRPr="00F0568F">
        <w:rPr>
          <w:szCs w:val="22"/>
        </w:rPr>
        <w:t xml:space="preserve">he point system analysis, which is conducted when </w:t>
      </w:r>
      <w:r>
        <w:rPr>
          <w:szCs w:val="22"/>
        </w:rPr>
        <w:t>s</w:t>
      </w:r>
      <w:r w:rsidRPr="00F0568F">
        <w:rPr>
          <w:szCs w:val="22"/>
        </w:rPr>
        <w:t>ection 307(b) is not determinative, must be conducted by the Commission</w:t>
      </w:r>
      <w:r>
        <w:rPr>
          <w:szCs w:val="22"/>
        </w:rPr>
        <w:t>,</w:t>
      </w:r>
      <w:r w:rsidRPr="00F0568F">
        <w:rPr>
          <w:szCs w:val="22"/>
        </w:rPr>
        <w:t xml:space="preserve"> as this analysis is considered a simplified “hearing” for purposes of </w:t>
      </w:r>
      <w:r>
        <w:rPr>
          <w:szCs w:val="22"/>
        </w:rPr>
        <w:t xml:space="preserve">section </w:t>
      </w:r>
      <w:r w:rsidRPr="00F0568F">
        <w:rPr>
          <w:szCs w:val="22"/>
        </w:rPr>
        <w:t xml:space="preserve">155(c)(1) </w:t>
      </w:r>
      <w:r>
        <w:rPr>
          <w:szCs w:val="22"/>
        </w:rPr>
        <w:t>of the Act.</w:t>
      </w:r>
      <w:r>
        <w:rPr>
          <w:rStyle w:val="FootnoteReference"/>
          <w:szCs w:val="22"/>
        </w:rPr>
        <w:footnoteReference w:id="22"/>
      </w:r>
      <w:r>
        <w:rPr>
          <w:szCs w:val="22"/>
        </w:rPr>
        <w:t xml:space="preserve">  </w:t>
      </w:r>
      <w:r w:rsidRPr="00E146CF">
        <w:rPr>
          <w:szCs w:val="22"/>
        </w:rPr>
        <w:t xml:space="preserve">Accordingly we </w:t>
      </w:r>
      <w:r>
        <w:rPr>
          <w:szCs w:val="22"/>
        </w:rPr>
        <w:t>refer the matter to the Commission to make a determination under</w:t>
      </w:r>
      <w:r w:rsidRPr="00E146CF">
        <w:rPr>
          <w:szCs w:val="22"/>
        </w:rPr>
        <w:t xml:space="preserve"> a point </w:t>
      </w:r>
      <w:r w:rsidR="00C17C3B">
        <w:rPr>
          <w:szCs w:val="22"/>
        </w:rPr>
        <w:t>system</w:t>
      </w:r>
      <w:r>
        <w:rPr>
          <w:szCs w:val="22"/>
        </w:rPr>
        <w:t xml:space="preserve"> analysis</w:t>
      </w:r>
      <w:r w:rsidR="000A5EE7">
        <w:rPr>
          <w:szCs w:val="22"/>
        </w:rPr>
        <w:t>.</w:t>
      </w:r>
      <w:r>
        <w:rPr>
          <w:rStyle w:val="FootnoteReference"/>
          <w:sz w:val="22"/>
          <w:szCs w:val="22"/>
        </w:rPr>
        <w:footnoteReference w:id="23"/>
      </w:r>
      <w:r w:rsidR="00960E6E">
        <w:rPr>
          <w:szCs w:val="22"/>
        </w:rPr>
        <w:t xml:space="preserve"> </w:t>
      </w:r>
    </w:p>
    <w:p w:rsidR="00A925E2" w:rsidRPr="00E146CF" w:rsidP="00B2361B" w14:paraId="15C39660" w14:textId="4E405296">
      <w:pPr>
        <w:tabs>
          <w:tab w:val="left" w:pos="0"/>
        </w:tabs>
        <w:suppressAutoHyphens/>
        <w:spacing w:after="120"/>
        <w:outlineLvl w:val="0"/>
        <w:rPr>
          <w:sz w:val="22"/>
          <w:szCs w:val="22"/>
        </w:rPr>
      </w:pPr>
      <w:r w:rsidRPr="00E146CF">
        <w:rPr>
          <w:b/>
          <w:sz w:val="22"/>
          <w:szCs w:val="22"/>
        </w:rPr>
        <w:tab/>
        <w:t xml:space="preserve">Conclusion/Action.  </w:t>
      </w:r>
      <w:r w:rsidRPr="00E146CF">
        <w:rPr>
          <w:sz w:val="22"/>
          <w:szCs w:val="22"/>
        </w:rPr>
        <w:t xml:space="preserve">Accordingly, </w:t>
      </w:r>
      <w:r w:rsidRPr="00E146CF">
        <w:rPr>
          <w:b/>
          <w:bCs/>
          <w:sz w:val="22"/>
          <w:szCs w:val="22"/>
        </w:rPr>
        <w:t>IT IS ORDERED</w:t>
      </w:r>
      <w:r w:rsidRPr="00E146CF">
        <w:rPr>
          <w:sz w:val="22"/>
          <w:szCs w:val="22"/>
        </w:rPr>
        <w:t xml:space="preserve"> that the </w:t>
      </w:r>
      <w:r w:rsidRPr="00E146CF" w:rsidR="00FF1DBC">
        <w:rPr>
          <w:sz w:val="22"/>
          <w:szCs w:val="22"/>
        </w:rPr>
        <w:t>Petition to Deny</w:t>
      </w:r>
      <w:r w:rsidRPr="00E146CF">
        <w:rPr>
          <w:sz w:val="22"/>
          <w:szCs w:val="22"/>
        </w:rPr>
        <w:t xml:space="preserve"> filed on </w:t>
      </w:r>
      <w:r w:rsidRPr="00E146CF" w:rsidR="00733C64">
        <w:rPr>
          <w:sz w:val="22"/>
          <w:szCs w:val="22"/>
        </w:rPr>
        <w:t>April 8, 2022</w:t>
      </w:r>
      <w:r w:rsidRPr="00E146CF">
        <w:rPr>
          <w:sz w:val="22"/>
          <w:szCs w:val="22"/>
        </w:rPr>
        <w:t xml:space="preserve">, by </w:t>
      </w:r>
      <w:r w:rsidRPr="00E146CF" w:rsidR="00733C64">
        <w:rPr>
          <w:sz w:val="22"/>
          <w:szCs w:val="22"/>
        </w:rPr>
        <w:t>Vida Ministry Inc.</w:t>
      </w:r>
      <w:r w:rsidRPr="00E146CF">
        <w:rPr>
          <w:sz w:val="22"/>
          <w:szCs w:val="22"/>
        </w:rPr>
        <w:t xml:space="preserve"> </w:t>
      </w:r>
      <w:r w:rsidRPr="00E146CF">
        <w:rPr>
          <w:b/>
          <w:bCs/>
          <w:sz w:val="22"/>
          <w:szCs w:val="22"/>
        </w:rPr>
        <w:t xml:space="preserve">IS </w:t>
      </w:r>
      <w:r w:rsidRPr="00E146CF" w:rsidR="00305AEE">
        <w:rPr>
          <w:b/>
          <w:bCs/>
          <w:sz w:val="22"/>
          <w:szCs w:val="22"/>
        </w:rPr>
        <w:t>GRANTED</w:t>
      </w:r>
      <w:r w:rsidR="00335D80">
        <w:rPr>
          <w:b/>
          <w:bCs/>
          <w:sz w:val="22"/>
          <w:szCs w:val="22"/>
        </w:rPr>
        <w:t xml:space="preserve"> IN PART</w:t>
      </w:r>
      <w:r w:rsidR="00C8026B">
        <w:rPr>
          <w:b/>
          <w:bCs/>
          <w:sz w:val="22"/>
          <w:szCs w:val="22"/>
        </w:rPr>
        <w:t xml:space="preserve"> and DENIED IN PART</w:t>
      </w:r>
      <w:r w:rsidRPr="00E146CF" w:rsidR="00305AEE">
        <w:rPr>
          <w:sz w:val="22"/>
          <w:szCs w:val="22"/>
        </w:rPr>
        <w:t>.</w:t>
      </w:r>
    </w:p>
    <w:p w:rsidR="00F73B54" w:rsidRPr="00F73B54" w:rsidP="004243F2" w14:paraId="26DBF512" w14:textId="4EED6602">
      <w:pPr>
        <w:keepNext/>
        <w:keepLines/>
        <w:tabs>
          <w:tab w:val="left" w:pos="0"/>
        </w:tabs>
        <w:suppressAutoHyphens/>
        <w:spacing w:after="120"/>
        <w:outlineLvl w:val="0"/>
        <w:rPr>
          <w:sz w:val="24"/>
          <w:szCs w:val="24"/>
        </w:rPr>
      </w:pPr>
      <w:r>
        <w:rPr>
          <w:b/>
          <w:bCs/>
          <w:sz w:val="22"/>
          <w:szCs w:val="22"/>
        </w:rPr>
        <w:tab/>
      </w:r>
      <w:r w:rsidRPr="00E146CF" w:rsidR="00002DAA">
        <w:rPr>
          <w:b/>
          <w:bCs/>
          <w:sz w:val="22"/>
          <w:szCs w:val="22"/>
        </w:rPr>
        <w:t>IT IS FURTHER ORDERED</w:t>
      </w:r>
      <w:r w:rsidRPr="00E146CF" w:rsidR="00002DAA">
        <w:rPr>
          <w:sz w:val="22"/>
          <w:szCs w:val="22"/>
        </w:rPr>
        <w:t xml:space="preserve">, that the tentative selection of the application of </w:t>
      </w:r>
      <w:r w:rsidRPr="00E146CF" w:rsidR="006D5E7F">
        <w:rPr>
          <w:sz w:val="22"/>
          <w:szCs w:val="22"/>
        </w:rPr>
        <w:t>Ethree</w:t>
      </w:r>
      <w:r w:rsidRPr="00E146CF" w:rsidR="006D5E7F">
        <w:rPr>
          <w:sz w:val="22"/>
          <w:szCs w:val="22"/>
        </w:rPr>
        <w:t xml:space="preserve"> Group, Inc.</w:t>
      </w:r>
      <w:r w:rsidRPr="00E146CF" w:rsidR="00002DAA">
        <w:rPr>
          <w:sz w:val="22"/>
          <w:szCs w:val="22"/>
        </w:rPr>
        <w:t xml:space="preserve"> (File No. </w:t>
      </w:r>
      <w:r w:rsidRPr="00E146CF" w:rsidR="006D5E7F">
        <w:rPr>
          <w:sz w:val="22"/>
          <w:szCs w:val="22"/>
        </w:rPr>
        <w:t>0000167098</w:t>
      </w:r>
      <w:r w:rsidRPr="00E146CF" w:rsidR="00002DAA">
        <w:rPr>
          <w:sz w:val="22"/>
          <w:szCs w:val="22"/>
        </w:rPr>
        <w:t xml:space="preserve">) for a construction permit for a NCE FM station in </w:t>
      </w:r>
      <w:r w:rsidRPr="00E146CF" w:rsidR="00E146CF">
        <w:rPr>
          <w:sz w:val="22"/>
          <w:szCs w:val="22"/>
        </w:rPr>
        <w:t>Key Colony</w:t>
      </w:r>
      <w:r w:rsidR="00580768">
        <w:rPr>
          <w:sz w:val="22"/>
          <w:szCs w:val="22"/>
        </w:rPr>
        <w:t xml:space="preserve"> Beach</w:t>
      </w:r>
      <w:r w:rsidRPr="00E146CF" w:rsidR="00002DAA">
        <w:rPr>
          <w:sz w:val="22"/>
          <w:szCs w:val="22"/>
        </w:rPr>
        <w:t xml:space="preserve">, </w:t>
      </w:r>
      <w:r w:rsidRPr="00E146CF" w:rsidR="00E146CF">
        <w:rPr>
          <w:sz w:val="22"/>
          <w:szCs w:val="22"/>
        </w:rPr>
        <w:t>Florida</w:t>
      </w:r>
      <w:r w:rsidRPr="00E146CF" w:rsidR="00002DAA">
        <w:rPr>
          <w:sz w:val="22"/>
          <w:szCs w:val="22"/>
        </w:rPr>
        <w:t xml:space="preserve">, </w:t>
      </w:r>
      <w:r w:rsidRPr="00E146CF" w:rsidR="00002DAA">
        <w:rPr>
          <w:b/>
          <w:bCs/>
          <w:sz w:val="22"/>
          <w:szCs w:val="22"/>
        </w:rPr>
        <w:t xml:space="preserve">IS </w:t>
      </w:r>
      <w:r w:rsidR="00AF6384">
        <w:rPr>
          <w:b/>
          <w:bCs/>
          <w:sz w:val="22"/>
          <w:szCs w:val="22"/>
        </w:rPr>
        <w:t>RESCINDED</w:t>
      </w:r>
      <w:r w:rsidR="00D64916">
        <w:rPr>
          <w:sz w:val="22"/>
          <w:szCs w:val="22"/>
        </w:rPr>
        <w:t>.</w:t>
      </w:r>
      <w:bookmarkStart w:id="6" w:name="_Hlk77597583"/>
    </w:p>
    <w:p w:rsidR="00825180" w:rsidRPr="00E146CF" w:rsidP="004243F2" w14:paraId="602B4AA0" w14:textId="77777777">
      <w:pPr>
        <w:keepNext/>
        <w:keepLines/>
        <w:tabs>
          <w:tab w:val="left" w:pos="-1440"/>
          <w:tab w:val="left" w:pos="-720"/>
          <w:tab w:val="left" w:pos="5040"/>
          <w:tab w:val="left" w:pos="5760"/>
          <w:tab w:val="right" w:pos="9360"/>
        </w:tabs>
        <w:suppressAutoHyphens/>
        <w:rPr>
          <w:sz w:val="22"/>
          <w:szCs w:val="22"/>
        </w:rPr>
      </w:pPr>
      <w:r w:rsidRPr="00E146CF">
        <w:rPr>
          <w:sz w:val="22"/>
          <w:szCs w:val="22"/>
        </w:rPr>
        <w:tab/>
        <w:t>Sincerely,</w:t>
      </w:r>
    </w:p>
    <w:p w:rsidR="00825180" w:rsidRPr="00E146CF" w:rsidP="004243F2" w14:paraId="77DACD43" w14:textId="77777777">
      <w:pPr>
        <w:keepNext/>
        <w:keepLines/>
        <w:tabs>
          <w:tab w:val="left" w:pos="-1440"/>
          <w:tab w:val="left" w:pos="-720"/>
          <w:tab w:val="left" w:pos="5040"/>
          <w:tab w:val="left" w:pos="5760"/>
          <w:tab w:val="right" w:pos="9360"/>
        </w:tabs>
        <w:suppressAutoHyphens/>
        <w:rPr>
          <w:sz w:val="22"/>
          <w:szCs w:val="22"/>
        </w:rPr>
      </w:pPr>
    </w:p>
    <w:p w:rsidR="00825180" w:rsidRPr="00E146CF" w:rsidP="004243F2" w14:paraId="20018E2F" w14:textId="77777777">
      <w:pPr>
        <w:keepNext/>
        <w:keepLines/>
        <w:tabs>
          <w:tab w:val="left" w:pos="-1440"/>
          <w:tab w:val="left" w:pos="-720"/>
          <w:tab w:val="left" w:pos="5040"/>
          <w:tab w:val="left" w:pos="5760"/>
          <w:tab w:val="right" w:pos="9360"/>
        </w:tabs>
        <w:suppressAutoHyphens/>
        <w:rPr>
          <w:sz w:val="22"/>
          <w:szCs w:val="22"/>
        </w:rPr>
      </w:pPr>
    </w:p>
    <w:p w:rsidR="00825180" w:rsidRPr="00E146CF" w:rsidP="004243F2" w14:paraId="76B86AE0" w14:textId="77777777">
      <w:pPr>
        <w:keepNext/>
        <w:keepLines/>
        <w:tabs>
          <w:tab w:val="left" w:pos="-1440"/>
          <w:tab w:val="left" w:pos="-720"/>
          <w:tab w:val="left" w:pos="5040"/>
          <w:tab w:val="left" w:pos="5760"/>
          <w:tab w:val="right" w:pos="9360"/>
        </w:tabs>
        <w:suppressAutoHyphens/>
        <w:rPr>
          <w:sz w:val="22"/>
          <w:szCs w:val="22"/>
        </w:rPr>
      </w:pPr>
    </w:p>
    <w:p w:rsidR="00825180" w:rsidRPr="00E146CF" w:rsidP="004243F2" w14:paraId="1BE9105C" w14:textId="77777777">
      <w:pPr>
        <w:keepNext/>
        <w:keepLines/>
        <w:tabs>
          <w:tab w:val="left" w:pos="-1440"/>
          <w:tab w:val="left" w:pos="-720"/>
          <w:tab w:val="left" w:pos="5040"/>
          <w:tab w:val="left" w:pos="5760"/>
          <w:tab w:val="right" w:pos="9360"/>
        </w:tabs>
        <w:suppressAutoHyphens/>
        <w:rPr>
          <w:sz w:val="22"/>
          <w:szCs w:val="22"/>
        </w:rPr>
      </w:pPr>
      <w:r w:rsidRPr="00E146CF">
        <w:rPr>
          <w:sz w:val="22"/>
          <w:szCs w:val="22"/>
        </w:rPr>
        <w:tab/>
        <w:t xml:space="preserve">Albert Shuldiner  </w:t>
      </w:r>
    </w:p>
    <w:p w:rsidR="00825180" w:rsidRPr="00E146CF" w:rsidP="004243F2" w14:paraId="57254BFF" w14:textId="77777777">
      <w:pPr>
        <w:keepNext/>
        <w:keepLines/>
        <w:tabs>
          <w:tab w:val="left" w:pos="-1440"/>
          <w:tab w:val="left" w:pos="-720"/>
          <w:tab w:val="left" w:pos="5040"/>
          <w:tab w:val="left" w:pos="5760"/>
          <w:tab w:val="right" w:pos="9360"/>
        </w:tabs>
        <w:suppressAutoHyphens/>
        <w:rPr>
          <w:sz w:val="22"/>
          <w:szCs w:val="22"/>
        </w:rPr>
      </w:pPr>
      <w:r w:rsidRPr="00E146CF">
        <w:rPr>
          <w:sz w:val="22"/>
          <w:szCs w:val="22"/>
        </w:rPr>
        <w:tab/>
        <w:t>Chief, Audio Division</w:t>
      </w:r>
    </w:p>
    <w:p w:rsidR="00825180" w:rsidRPr="00E146CF" w:rsidP="004243F2" w14:paraId="4CE166C7" w14:textId="77777777">
      <w:pPr>
        <w:keepNext/>
        <w:keepLines/>
        <w:tabs>
          <w:tab w:val="left" w:pos="-1440"/>
          <w:tab w:val="left" w:pos="-720"/>
          <w:tab w:val="left" w:pos="5040"/>
          <w:tab w:val="left" w:pos="5760"/>
          <w:tab w:val="right" w:pos="9360"/>
        </w:tabs>
        <w:suppressAutoHyphens/>
        <w:spacing w:after="240"/>
        <w:rPr>
          <w:sz w:val="22"/>
          <w:szCs w:val="22"/>
        </w:rPr>
      </w:pPr>
      <w:r w:rsidRPr="00E146CF">
        <w:rPr>
          <w:sz w:val="22"/>
          <w:szCs w:val="22"/>
        </w:rPr>
        <w:tab/>
        <w:t>Media Bureau</w:t>
      </w:r>
    </w:p>
    <w:bookmarkEnd w:id="6"/>
    <w:p w:rsidR="00825180" w:rsidRPr="00E146CF" w:rsidP="00825180" w14:paraId="7E30C4C5" w14:textId="77777777">
      <w:pPr>
        <w:ind w:firstLine="720"/>
        <w:rPr>
          <w:sz w:val="22"/>
          <w:szCs w:val="22"/>
        </w:rPr>
      </w:pPr>
    </w:p>
    <w:p w:rsidR="00ED4C0E" w14:paraId="46FE5B32" w14:textId="19FE7542">
      <w:pPr>
        <w:rPr>
          <w:sz w:val="22"/>
          <w:szCs w:val="22"/>
        </w:rPr>
      </w:pPr>
    </w:p>
    <w:p w:rsidR="00322E2D" w14:paraId="51E5171A" w14:textId="249704A4">
      <w:pPr>
        <w:rPr>
          <w:sz w:val="22"/>
          <w:szCs w:val="22"/>
        </w:rPr>
      </w:pPr>
    </w:p>
    <w:p w:rsidR="00BC57C0" w:rsidRPr="00BC57C0" w:rsidP="00BC57C0" w14:paraId="5099BD14" w14:textId="34F77644">
      <w:pPr>
        <w:rPr>
          <w:sz w:val="22"/>
          <w:szCs w:val="22"/>
        </w:rPr>
      </w:pPr>
    </w:p>
    <w:p w:rsidR="00BC57C0" w:rsidRPr="00BC57C0" w:rsidP="00BC57C0" w14:paraId="1480EBEB" w14:textId="30E74859">
      <w:pPr>
        <w:rPr>
          <w:sz w:val="22"/>
          <w:szCs w:val="22"/>
        </w:rPr>
      </w:pPr>
    </w:p>
    <w:p w:rsidR="00BC57C0" w:rsidRPr="00BC57C0" w:rsidP="00BC57C0" w14:paraId="1898FCE3" w14:textId="77777777">
      <w:pPr>
        <w:rPr>
          <w:sz w:val="22"/>
          <w:szCs w:val="22"/>
        </w:rPr>
      </w:pPr>
    </w:p>
    <w:sectPr w:rsidSect="00A816F2">
      <w:footerReference w:type="default" r:id="rId7"/>
      <w:headerReference w:type="first" r:id="rId8"/>
      <w:footerReference w:type="first" r:id="rId9"/>
      <w:pgSz w:w="12240" w:h="15840" w:code="1"/>
      <w:pgMar w:top="1987" w:right="1440" w:bottom="1440"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80D" w14:paraId="26BB6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823" w14:paraId="70E7119B" w14:textId="6D18DBDD">
    <w:pPr>
      <w:pStyle w:val="Footer"/>
      <w:jc w:val="center"/>
    </w:pPr>
  </w:p>
  <w:p w:rsidR="00600823" w14:paraId="66FF72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879" w14:paraId="3F74BAE5" w14:textId="77777777">
      <w:r>
        <w:separator/>
      </w:r>
    </w:p>
  </w:footnote>
  <w:footnote w:type="continuationSeparator" w:id="1">
    <w:p w:rsidR="00DC6879" w14:paraId="4268039F" w14:textId="77777777">
      <w:r>
        <w:continuationSeparator/>
      </w:r>
    </w:p>
  </w:footnote>
  <w:footnote w:id="2">
    <w:p w:rsidR="00825FE6" w:rsidRPr="00B512A3" w:rsidP="00B512A3" w14:paraId="71F1E384" w14:textId="552F27BD">
      <w:pPr>
        <w:pStyle w:val="FootnoteText"/>
      </w:pPr>
      <w:r w:rsidRPr="00B512A3">
        <w:rPr>
          <w:rStyle w:val="FootnoteReference"/>
        </w:rPr>
        <w:footnoteRef/>
      </w:r>
      <w:r w:rsidRPr="00B512A3">
        <w:t xml:space="preserve"> </w:t>
      </w:r>
      <w:r w:rsidRPr="00B512A3">
        <w:rPr>
          <w:i/>
          <w:iCs/>
        </w:rPr>
        <w:t>Media Bureau Identifies Groups of Mutually Exclusive Applications Submitted in the November 2021, Filing Window for New Noncommercial Education Stations; Opens Window to Accept Settlements and Technical Amendments</w:t>
      </w:r>
      <w:r w:rsidRPr="00B512A3">
        <w:t xml:space="preserve">, </w:t>
      </w:r>
      <w:r w:rsidRPr="00B512A3" w:rsidR="001E46BD">
        <w:t xml:space="preserve">MB Docket No. 20-343, </w:t>
      </w:r>
      <w:r w:rsidRPr="00B512A3">
        <w:t>Public Notice, DA 21-1476 (MB Nov. 29, 2021)</w:t>
      </w:r>
      <w:r w:rsidRPr="00B512A3" w:rsidR="000B57E2">
        <w:t xml:space="preserve">; </w:t>
      </w:r>
      <w:r w:rsidRPr="00B512A3" w:rsidR="000B57E2">
        <w:rPr>
          <w:i/>
          <w:iCs/>
        </w:rPr>
        <w:t>see also</w:t>
      </w:r>
      <w:r w:rsidRPr="00B512A3" w:rsidR="000B57E2">
        <w:t xml:space="preserve"> </w:t>
      </w:r>
      <w:r w:rsidR="008C7818">
        <w:t xml:space="preserve">Application </w:t>
      </w:r>
      <w:r w:rsidRPr="00B512A3" w:rsidR="000B57E2">
        <w:t xml:space="preserve">File Nos. </w:t>
      </w:r>
      <w:r w:rsidRPr="00B512A3" w:rsidR="005E23B0">
        <w:t xml:space="preserve">0000167107 </w:t>
      </w:r>
      <w:r w:rsidRPr="00B512A3" w:rsidR="000B57E2">
        <w:t>(</w:t>
      </w:r>
      <w:r w:rsidRPr="00B512A3" w:rsidR="005E23B0">
        <w:t>VMI</w:t>
      </w:r>
      <w:r w:rsidRPr="00B512A3" w:rsidR="000B57E2">
        <w:t xml:space="preserve"> Application</w:t>
      </w:r>
      <w:r w:rsidRPr="00B512A3" w:rsidR="00DF358D">
        <w:t>)</w:t>
      </w:r>
      <w:r w:rsidRPr="00B512A3" w:rsidR="000B57E2">
        <w:t xml:space="preserve"> and </w:t>
      </w:r>
      <w:r w:rsidRPr="00B512A3" w:rsidR="005E23B0">
        <w:t xml:space="preserve">0000167098 </w:t>
      </w:r>
      <w:r w:rsidRPr="00B512A3" w:rsidR="000B57E2">
        <w:t>(</w:t>
      </w:r>
      <w:r w:rsidRPr="00B512A3" w:rsidR="005E23B0">
        <w:t>EGI</w:t>
      </w:r>
      <w:r w:rsidRPr="00B512A3" w:rsidR="000B57E2">
        <w:t xml:space="preserve"> Application).</w:t>
      </w:r>
    </w:p>
  </w:footnote>
  <w:footnote w:id="3">
    <w:p w:rsidR="00102848" w:rsidRPr="00B512A3" w:rsidP="00B512A3" w14:paraId="67B22621" w14:textId="4967AE9A">
      <w:pPr>
        <w:pStyle w:val="FootnoteText"/>
      </w:pPr>
      <w:r w:rsidRPr="00B512A3">
        <w:rPr>
          <w:rStyle w:val="FootnoteReference"/>
        </w:rPr>
        <w:footnoteRef/>
      </w:r>
      <w:r w:rsidRPr="00B512A3">
        <w:t xml:space="preserve"> </w:t>
      </w:r>
      <w:r w:rsidRPr="00B512A3" w:rsidR="008D35F2">
        <w:rPr>
          <w:i/>
          <w:iCs/>
        </w:rPr>
        <w:t>Threshold Fair Distribution Analysis of 1</w:t>
      </w:r>
      <w:r w:rsidRPr="00B512A3" w:rsidR="00692CD6">
        <w:rPr>
          <w:i/>
          <w:iCs/>
        </w:rPr>
        <w:t>5</w:t>
      </w:r>
      <w:r w:rsidRPr="00B512A3" w:rsidR="008D35F2">
        <w:rPr>
          <w:i/>
          <w:iCs/>
        </w:rPr>
        <w:t xml:space="preserve"> Groups of Mutually Exclusive Applications for Permits to Construct New Noncommercial Educational FM Stations</w:t>
      </w:r>
      <w:r w:rsidRPr="00B512A3" w:rsidR="008D35F2">
        <w:t>, Memorandum Opinion and Order, DA 22-</w:t>
      </w:r>
      <w:r w:rsidRPr="00B512A3" w:rsidR="00950C47">
        <w:t>238</w:t>
      </w:r>
      <w:r w:rsidRPr="00B512A3" w:rsidR="008D35F2">
        <w:t xml:space="preserve"> at </w:t>
      </w:r>
      <w:r w:rsidRPr="00B512A3" w:rsidR="00CF0062">
        <w:t>4</w:t>
      </w:r>
      <w:r w:rsidRPr="00B512A3" w:rsidR="00CB38E7">
        <w:t>, para. 1</w:t>
      </w:r>
      <w:r w:rsidRPr="00B512A3" w:rsidR="00CF0062">
        <w:t>1</w:t>
      </w:r>
      <w:r w:rsidRPr="00B512A3" w:rsidR="008D35F2">
        <w:t xml:space="preserve"> (MB </w:t>
      </w:r>
      <w:r w:rsidRPr="00B512A3" w:rsidR="00603C2E">
        <w:t>Mar</w:t>
      </w:r>
      <w:r w:rsidRPr="00B512A3" w:rsidR="008D35F2">
        <w:t xml:space="preserve">. </w:t>
      </w:r>
      <w:r w:rsidRPr="00B512A3" w:rsidR="00603C2E">
        <w:t>9</w:t>
      </w:r>
      <w:r w:rsidRPr="00B512A3" w:rsidR="008D35F2">
        <w:t>, 2022) (</w:t>
      </w:r>
      <w:r w:rsidR="008C7818">
        <w:rPr>
          <w:i/>
          <w:iCs/>
        </w:rPr>
        <w:t xml:space="preserve">First </w:t>
      </w:r>
      <w:r w:rsidRPr="00B512A3" w:rsidR="008D35F2">
        <w:rPr>
          <w:i/>
          <w:iCs/>
        </w:rPr>
        <w:t xml:space="preserve">Fair </w:t>
      </w:r>
      <w:r w:rsidRPr="00B512A3" w:rsidR="00CB38E7">
        <w:rPr>
          <w:i/>
          <w:iCs/>
        </w:rPr>
        <w:t>Distribution</w:t>
      </w:r>
      <w:r w:rsidRPr="00B512A3" w:rsidR="008D35F2">
        <w:t xml:space="preserve"> </w:t>
      </w:r>
      <w:r w:rsidRPr="00B512A3" w:rsidR="008D35F2">
        <w:rPr>
          <w:i/>
          <w:iCs/>
        </w:rPr>
        <w:t>Order</w:t>
      </w:r>
      <w:r w:rsidRPr="00B512A3" w:rsidR="008D35F2">
        <w:t>).</w:t>
      </w:r>
    </w:p>
  </w:footnote>
  <w:footnote w:id="4">
    <w:p w:rsidR="00825FE6" w:rsidRPr="00B512A3" w:rsidP="00B512A3" w14:paraId="386D9E79" w14:textId="522C2E2A">
      <w:pPr>
        <w:pStyle w:val="FootnoteText"/>
      </w:pPr>
      <w:r w:rsidRPr="00B512A3">
        <w:rPr>
          <w:rStyle w:val="FootnoteReference"/>
        </w:rPr>
        <w:footnoteRef/>
      </w:r>
      <w:r w:rsidRPr="00B512A3">
        <w:t xml:space="preserve"> Pleading File No. </w:t>
      </w:r>
      <w:r w:rsidRPr="00B512A3" w:rsidR="00426218">
        <w:t xml:space="preserve">0000189096 </w:t>
      </w:r>
      <w:r w:rsidRPr="00B512A3">
        <w:t xml:space="preserve">(filed Apr. </w:t>
      </w:r>
      <w:r w:rsidRPr="00B512A3" w:rsidR="00C55121">
        <w:t>8</w:t>
      </w:r>
      <w:r w:rsidRPr="00B512A3">
        <w:t>, 2022).</w:t>
      </w:r>
    </w:p>
  </w:footnote>
  <w:footnote w:id="5">
    <w:p w:rsidR="00972CEE" w14:paraId="3C2A960E" w14:textId="752DC4C7">
      <w:pPr>
        <w:pStyle w:val="FootnoteText"/>
      </w:pPr>
      <w:r>
        <w:rPr>
          <w:rStyle w:val="FootnoteReference"/>
        </w:rPr>
        <w:footnoteRef/>
      </w:r>
      <w:r>
        <w:t xml:space="preserve"> </w:t>
      </w:r>
      <w:r w:rsidRPr="00B512A3">
        <w:t>Pleading File No. 0000190787 (filed May 15, 2022)</w:t>
      </w:r>
      <w:r>
        <w:t xml:space="preserve">.  </w:t>
      </w:r>
      <w:r w:rsidRPr="00B512A3">
        <w:t>We also note that EGI’s Opposition is untimely.  47 CFR § 1.45(b) requires that oppositions be filed with 10 days of a petition to deny.</w:t>
      </w:r>
      <w:r>
        <w:t xml:space="preserve">  However, we will consider the Opposition in the interest of having a complete record.</w:t>
      </w:r>
    </w:p>
  </w:footnote>
  <w:footnote w:id="6">
    <w:p w:rsidR="00D440A0" w:rsidRPr="00B512A3" w:rsidP="00B512A3" w14:paraId="733B7617" w14:textId="1C5D75A7">
      <w:pPr>
        <w:pStyle w:val="FootnoteText"/>
      </w:pPr>
      <w:r w:rsidRPr="00B512A3">
        <w:rPr>
          <w:rStyle w:val="FootnoteReference"/>
        </w:rPr>
        <w:footnoteRef/>
      </w:r>
      <w:r w:rsidRPr="00B512A3">
        <w:t xml:space="preserve"> </w:t>
      </w:r>
      <w:r w:rsidRPr="00B512A3" w:rsidR="00067174">
        <w:rPr>
          <w:i/>
          <w:iCs/>
        </w:rPr>
        <w:t>See</w:t>
      </w:r>
      <w:r w:rsidRPr="00B512A3" w:rsidR="00067174">
        <w:t xml:space="preserve"> 47 CFR § 73.7002(b).  The point system analysis</w:t>
      </w:r>
      <w:r w:rsidR="003F2DC9">
        <w:t>,</w:t>
      </w:r>
      <w:r w:rsidRPr="00B512A3" w:rsidR="00067174">
        <w:t xml:space="preserve"> conducted when </w:t>
      </w:r>
      <w:r w:rsidR="003F2DC9">
        <w:t xml:space="preserve">the </w:t>
      </w:r>
      <w:r w:rsidR="008C7818">
        <w:t>s</w:t>
      </w:r>
      <w:r w:rsidRPr="00B512A3" w:rsidR="00067174">
        <w:t xml:space="preserve">ection 307(b) </w:t>
      </w:r>
      <w:r w:rsidR="003F2DC9">
        <w:t xml:space="preserve">analysis </w:t>
      </w:r>
      <w:r w:rsidRPr="00B512A3" w:rsidR="00067174">
        <w:t>is not determinative</w:t>
      </w:r>
      <w:r w:rsidR="003F2DC9">
        <w:t>,</w:t>
      </w:r>
      <w:r w:rsidRPr="00B512A3" w:rsidR="00067174">
        <w:t xml:space="preserve"> is considered a simplified “hearing” for purposes of 47 U.S.C. § 155(c)(1).  </w:t>
      </w:r>
      <w:r w:rsidRPr="006A1783" w:rsidR="00067174">
        <w:rPr>
          <w:i/>
          <w:iCs/>
        </w:rPr>
        <w:t xml:space="preserve">See </w:t>
      </w:r>
      <w:r w:rsidRPr="0027102D" w:rsidR="00467832">
        <w:rPr>
          <w:i/>
        </w:rPr>
        <w:t>Reexamination of the Comparative Standards for Noncommercial Educational Applicants</w:t>
      </w:r>
      <w:r w:rsidR="00467832">
        <w:rPr>
          <w:i/>
        </w:rPr>
        <w:t xml:space="preserve">, </w:t>
      </w:r>
      <w:r w:rsidR="00467832">
        <w:rPr>
          <w:iCs/>
        </w:rPr>
        <w:t>Report and Order</w:t>
      </w:r>
      <w:r w:rsidRPr="00B512A3" w:rsidR="00467832">
        <w:t xml:space="preserve">, 15 </w:t>
      </w:r>
      <w:r w:rsidRPr="007471F8" w:rsidR="00467832">
        <w:t xml:space="preserve">FCC </w:t>
      </w:r>
      <w:r w:rsidRPr="007471F8" w:rsidR="00467832">
        <w:t>Rcd</w:t>
      </w:r>
      <w:r w:rsidRPr="007471F8" w:rsidR="00467832">
        <w:t xml:space="preserve"> 7386, 7420 (2001)</w:t>
      </w:r>
      <w:r w:rsidR="008B29C4">
        <w:t xml:space="preserve"> (</w:t>
      </w:r>
      <w:r w:rsidRPr="006A1783" w:rsidR="00067174">
        <w:rPr>
          <w:i/>
          <w:iCs/>
        </w:rPr>
        <w:t>NCE Order</w:t>
      </w:r>
      <w:r w:rsidR="008B29C4">
        <w:t>).</w:t>
      </w:r>
    </w:p>
  </w:footnote>
  <w:footnote w:id="7">
    <w:p w:rsidR="007D1990" w:rsidRPr="00B512A3" w:rsidP="00B512A3" w14:paraId="606563AB" w14:textId="77777777">
      <w:pPr>
        <w:pStyle w:val="FootnoteText"/>
      </w:pPr>
      <w:r w:rsidRPr="00B512A3">
        <w:rPr>
          <w:rStyle w:val="FootnoteReference"/>
        </w:rPr>
        <w:footnoteRef/>
      </w:r>
      <w:r w:rsidRPr="00B512A3">
        <w:t xml:space="preserve"> </w:t>
      </w:r>
      <w:r w:rsidRPr="00B512A3">
        <w:rPr>
          <w:i/>
          <w:iCs/>
        </w:rPr>
        <w:t>Media Bureau Announces NCE FM New Station Application Filing Window; Window Open from November 2, 2021, to November 9, 2021</w:t>
      </w:r>
      <w:r w:rsidRPr="00B512A3">
        <w:t xml:space="preserve">, </w:t>
      </w:r>
      <w:r w:rsidRPr="00B512A3" w:rsidR="001E46BD">
        <w:t xml:space="preserve">MB Docket No. 20-343, </w:t>
      </w:r>
      <w:r w:rsidRPr="00B512A3">
        <w:t>Public Notice</w:t>
      </w:r>
      <w:r w:rsidRPr="00B512A3" w:rsidR="001E46BD">
        <w:t>,</w:t>
      </w:r>
      <w:r w:rsidRPr="00B512A3">
        <w:t xml:space="preserve"> </w:t>
      </w:r>
      <w:r w:rsidRPr="00B512A3" w:rsidR="001E46BD">
        <w:t xml:space="preserve">36 FCC </w:t>
      </w:r>
      <w:r w:rsidRPr="00B512A3" w:rsidR="001E46BD">
        <w:t>Rcd</w:t>
      </w:r>
      <w:r w:rsidRPr="00B512A3" w:rsidR="001E46BD">
        <w:t xml:space="preserve"> 7449</w:t>
      </w:r>
      <w:r w:rsidRPr="00B512A3">
        <w:t xml:space="preserve"> (MB 2021).</w:t>
      </w:r>
    </w:p>
  </w:footnote>
  <w:footnote w:id="8">
    <w:p w:rsidR="00DB6A89" w:rsidRPr="00B512A3" w:rsidP="00B512A3" w14:paraId="2CAD7D8D" w14:textId="22EB962F">
      <w:pPr>
        <w:pStyle w:val="FootnoteText"/>
      </w:pPr>
      <w:r w:rsidRPr="00B512A3">
        <w:rPr>
          <w:rStyle w:val="FootnoteReference"/>
        </w:rPr>
        <w:footnoteRef/>
      </w:r>
      <w:r w:rsidRPr="00B512A3">
        <w:t xml:space="preserve"> </w:t>
      </w:r>
      <w:r w:rsidRPr="00B512A3">
        <w:rPr>
          <w:i/>
          <w:iCs/>
        </w:rPr>
        <w:t xml:space="preserve">See </w:t>
      </w:r>
      <w:r w:rsidR="008C7818">
        <w:rPr>
          <w:i/>
          <w:iCs/>
        </w:rPr>
        <w:t xml:space="preserve">First </w:t>
      </w:r>
      <w:r w:rsidRPr="00B512A3">
        <w:rPr>
          <w:i/>
          <w:iCs/>
        </w:rPr>
        <w:t>Fair Distribution Order</w:t>
      </w:r>
      <w:r w:rsidRPr="00B512A3">
        <w:t xml:space="preserve"> at </w:t>
      </w:r>
      <w:r w:rsidRPr="00B512A3" w:rsidR="00CE328B">
        <w:t>2-3, paras. 3-6.</w:t>
      </w:r>
    </w:p>
  </w:footnote>
  <w:footnote w:id="9">
    <w:p w:rsidR="00CB38E7" w:rsidRPr="00B512A3" w:rsidP="00B512A3" w14:paraId="16B64951" w14:textId="50E2302A">
      <w:pPr>
        <w:pStyle w:val="FootnoteText"/>
      </w:pPr>
      <w:r w:rsidRPr="00B512A3">
        <w:rPr>
          <w:rStyle w:val="FootnoteReference"/>
        </w:rPr>
        <w:footnoteRef/>
      </w:r>
      <w:r w:rsidRPr="00B512A3">
        <w:t xml:space="preserve"> </w:t>
      </w:r>
      <w:r w:rsidRPr="00B512A3">
        <w:rPr>
          <w:i/>
          <w:iCs/>
        </w:rPr>
        <w:t>Id</w:t>
      </w:r>
      <w:r w:rsidR="000B0267">
        <w:rPr>
          <w:i/>
          <w:iCs/>
        </w:rPr>
        <w:t>.</w:t>
      </w:r>
      <w:r w:rsidRPr="00B512A3" w:rsidR="00EE645C">
        <w:t xml:space="preserve"> at 4, para. 11. </w:t>
      </w:r>
    </w:p>
  </w:footnote>
  <w:footnote w:id="10">
    <w:p w:rsidR="00D41872" w:rsidRPr="00B512A3" w:rsidP="00B512A3" w14:paraId="13E08ECF" w14:textId="68641BBE">
      <w:pPr>
        <w:pStyle w:val="FootnoteText"/>
      </w:pPr>
      <w:r w:rsidRPr="00B512A3">
        <w:rPr>
          <w:rStyle w:val="FootnoteReference"/>
        </w:rPr>
        <w:footnoteRef/>
      </w:r>
      <w:r w:rsidRPr="00B512A3">
        <w:t xml:space="preserve"> </w:t>
      </w:r>
      <w:r w:rsidRPr="00B512A3" w:rsidR="00BA659B">
        <w:t>Petition at 1</w:t>
      </w:r>
      <w:r w:rsidRPr="00B512A3" w:rsidR="001B2B05">
        <w:t>; EGI Application</w:t>
      </w:r>
      <w:r w:rsidRPr="00B512A3" w:rsidR="006054CC">
        <w:t xml:space="preserve"> at Fair Distribution </w:t>
      </w:r>
      <w:r w:rsidRPr="00B512A3" w:rsidR="007650D5">
        <w:t>of Service A</w:t>
      </w:r>
      <w:r w:rsidRPr="00B512A3" w:rsidR="007E66B4">
        <w:t>ttachment</w:t>
      </w:r>
      <w:r w:rsidRPr="00B512A3" w:rsidR="00AC2C99">
        <w:t xml:space="preserve"> (“Second Service 60 dBu – Pop Served 10652, Aggregated Pop Service 42991”).</w:t>
      </w:r>
      <w:r w:rsidR="00580768">
        <w:t xml:space="preserve">  The attachment identifies Big Pine, Florida, as the community of license</w:t>
      </w:r>
      <w:r w:rsidR="000B0267">
        <w:t>,</w:t>
      </w:r>
      <w:r w:rsidR="00580768">
        <w:t xml:space="preserve"> and the contour map does not provide any coverage to Key Colony Beach.</w:t>
      </w:r>
    </w:p>
  </w:footnote>
  <w:footnote w:id="11">
    <w:p w:rsidR="00D41872" w:rsidRPr="00B512A3" w:rsidP="00B512A3" w14:paraId="638C2669" w14:textId="660393C5">
      <w:pPr>
        <w:pStyle w:val="FootnoteText"/>
      </w:pPr>
      <w:r w:rsidRPr="00B512A3">
        <w:rPr>
          <w:rStyle w:val="FootnoteReference"/>
        </w:rPr>
        <w:footnoteRef/>
      </w:r>
      <w:r w:rsidRPr="00B512A3">
        <w:t xml:space="preserve"> </w:t>
      </w:r>
      <w:r w:rsidRPr="00B512A3" w:rsidR="00BA659B">
        <w:rPr>
          <w:i/>
          <w:iCs/>
        </w:rPr>
        <w:t>Id.</w:t>
      </w:r>
      <w:r w:rsidRPr="00B512A3" w:rsidR="00BA659B">
        <w:t xml:space="preserve"> at 2. </w:t>
      </w:r>
    </w:p>
  </w:footnote>
  <w:footnote w:id="12">
    <w:p w:rsidR="001177E2" w:rsidRPr="00B512A3" w:rsidP="00B512A3" w14:paraId="2EAAB07A" w14:textId="00BEB9B3">
      <w:pPr>
        <w:pStyle w:val="FootnoteText"/>
      </w:pPr>
      <w:r w:rsidRPr="00B512A3">
        <w:rPr>
          <w:rStyle w:val="FootnoteReference"/>
        </w:rPr>
        <w:footnoteRef/>
      </w:r>
      <w:r w:rsidRPr="00B512A3">
        <w:t xml:space="preserve"> </w:t>
      </w:r>
      <w:r w:rsidR="00972CEE">
        <w:t xml:space="preserve">Opposition </w:t>
      </w:r>
      <w:r w:rsidRPr="00B512A3">
        <w:t xml:space="preserve">at 1.  </w:t>
      </w:r>
    </w:p>
  </w:footnote>
  <w:footnote w:id="13">
    <w:p w:rsidR="0099161B" w:rsidRPr="00B512A3" w:rsidP="00B512A3" w14:paraId="6A21697F" w14:textId="13B7F846">
      <w:pPr>
        <w:pStyle w:val="FootnoteText"/>
        <w:rPr>
          <w:i/>
          <w:iCs/>
        </w:rPr>
      </w:pPr>
      <w:r w:rsidRPr="00B512A3">
        <w:rPr>
          <w:rStyle w:val="FootnoteReference"/>
        </w:rPr>
        <w:footnoteRef/>
      </w:r>
      <w:r w:rsidRPr="00B512A3">
        <w:t xml:space="preserve"> Opposition at </w:t>
      </w:r>
      <w:r w:rsidRPr="00B512A3" w:rsidR="00637904">
        <w:t>2</w:t>
      </w:r>
      <w:r w:rsidRPr="00B512A3" w:rsidR="00BC32A9">
        <w:t xml:space="preserve"> and</w:t>
      </w:r>
      <w:r w:rsidRPr="00B512A3" w:rsidR="00477135">
        <w:t xml:space="preserve"> </w:t>
      </w:r>
      <w:r w:rsidRPr="00B512A3" w:rsidR="00FC20A1">
        <w:t>Exh</w:t>
      </w:r>
      <w:r w:rsidRPr="00B512A3" w:rsidR="00FC20A1">
        <w:t>. 1</w:t>
      </w:r>
      <w:r w:rsidRPr="00B512A3" w:rsidR="00C504D7">
        <w:t xml:space="preserve"> (“Second Service 60 dBu – Pop Served 4299</w:t>
      </w:r>
      <w:r w:rsidRPr="00B512A3" w:rsidR="00C070D5">
        <w:t xml:space="preserve">, Aggregate </w:t>
      </w:r>
      <w:r w:rsidRPr="00B512A3" w:rsidR="008A2992">
        <w:t xml:space="preserve">– </w:t>
      </w:r>
      <w:r w:rsidRPr="00B512A3" w:rsidR="00C070D5">
        <w:t>Po</w:t>
      </w:r>
      <w:r w:rsidRPr="00B512A3" w:rsidR="008A2992">
        <w:t>p 11434</w:t>
      </w:r>
      <w:r w:rsidRPr="00B512A3" w:rsidR="00477135">
        <w:t>”)</w:t>
      </w:r>
      <w:r w:rsidRPr="00B512A3" w:rsidR="0062769F">
        <w:t xml:space="preserve">.  </w:t>
      </w:r>
    </w:p>
  </w:footnote>
  <w:footnote w:id="14">
    <w:p w:rsidR="00610EC3" w:rsidRPr="00B512A3" w:rsidP="00B512A3" w14:paraId="72E60CB1" w14:textId="05BAD7A0">
      <w:pPr>
        <w:pStyle w:val="FootnoteText"/>
      </w:pPr>
      <w:r w:rsidRPr="00B512A3">
        <w:rPr>
          <w:rStyle w:val="FootnoteReference"/>
        </w:rPr>
        <w:footnoteRef/>
      </w:r>
      <w:r w:rsidRPr="00B512A3">
        <w:t xml:space="preserve"> </w:t>
      </w:r>
      <w:r w:rsidRPr="00B512A3">
        <w:rPr>
          <w:i/>
          <w:iCs/>
        </w:rPr>
        <w:t>Id</w:t>
      </w:r>
      <w:r w:rsidRPr="00B512A3">
        <w:t xml:space="preserve">. at 2. </w:t>
      </w:r>
    </w:p>
  </w:footnote>
  <w:footnote w:id="15">
    <w:p w:rsidR="003C7866" w:rsidRPr="00B512A3" w:rsidP="00B512A3" w14:paraId="295B0C47" w14:textId="77777777">
      <w:pPr>
        <w:pStyle w:val="FootnoteText"/>
      </w:pPr>
      <w:r w:rsidRPr="00B512A3">
        <w:rPr>
          <w:rStyle w:val="FootnoteReference"/>
        </w:rPr>
        <w:footnoteRef/>
      </w:r>
      <w:r w:rsidRPr="00B512A3">
        <w:t xml:space="preserve"> 47 U.S.C. § 309(d).</w:t>
      </w:r>
    </w:p>
  </w:footnote>
  <w:footnote w:id="16">
    <w:p w:rsidR="003C7866" w:rsidRPr="00B512A3" w:rsidP="00B512A3" w14:paraId="24F2B9B7" w14:textId="77777777">
      <w:pPr>
        <w:pStyle w:val="FootnoteText"/>
      </w:pPr>
      <w:r w:rsidRPr="00B512A3">
        <w:rPr>
          <w:rStyle w:val="FootnoteReference"/>
        </w:rPr>
        <w:footnoteRef/>
      </w:r>
      <w:r w:rsidRPr="00B512A3">
        <w:t xml:space="preserve"> </w:t>
      </w:r>
      <w:r w:rsidRPr="00B512A3">
        <w:rPr>
          <w:i/>
        </w:rPr>
        <w:t>See, e.g</w:t>
      </w:r>
      <w:r w:rsidRPr="00B512A3">
        <w:t xml:space="preserve">., </w:t>
      </w:r>
      <w:r w:rsidRPr="00B512A3">
        <w:rPr>
          <w:i/>
        </w:rPr>
        <w:t>WWOR-TV, Inc</w:t>
      </w:r>
      <w:r w:rsidRPr="00B512A3">
        <w:t xml:space="preserve">., Memorandum Opinion and Order, 6 FCC </w:t>
      </w:r>
      <w:r w:rsidRPr="00B512A3">
        <w:t>Rcd</w:t>
      </w:r>
      <w:r w:rsidRPr="00B512A3">
        <w:t xml:space="preserve"> 193, 197 n.10 (1990), </w:t>
      </w:r>
      <w:r w:rsidRPr="00B512A3">
        <w:rPr>
          <w:i/>
        </w:rPr>
        <w:t>aff'd sub nom. Garden State Broad. L.P. v. FCC</w:t>
      </w:r>
      <w:r w:rsidRPr="00B512A3">
        <w:t xml:space="preserve">, 996 F. 2d 386 (D.C. Cir. 1993), </w:t>
      </w:r>
      <w:r w:rsidRPr="00B512A3">
        <w:rPr>
          <w:i/>
        </w:rPr>
        <w:t>rehearing denied</w:t>
      </w:r>
      <w:r w:rsidRPr="00B512A3">
        <w:t xml:space="preserve"> (Sep. 10, 1993); </w:t>
      </w:r>
      <w:r w:rsidRPr="00B512A3">
        <w:rPr>
          <w:i/>
          <w:iCs/>
        </w:rPr>
        <w:t>Gencom</w:t>
      </w:r>
      <w:r w:rsidRPr="00B512A3">
        <w:rPr>
          <w:i/>
          <w:iCs/>
        </w:rPr>
        <w:t>, Inc. v. FCC</w:t>
      </w:r>
      <w:r w:rsidRPr="00B512A3">
        <w:t xml:space="preserve">, 832 F.2d 171, 181 (D.C. Cir. 1987); </w:t>
      </w:r>
      <w:r w:rsidRPr="00B512A3">
        <w:rPr>
          <w:i/>
        </w:rPr>
        <w:t>Area Christian Television, Inc</w:t>
      </w:r>
      <w:r w:rsidRPr="00B512A3">
        <w:t xml:space="preserve">., Memorandum Opinion and Order, 60 RR 2d 862, 864, para. 6 (1986) (petitions to deny and informal objections must contain adequate and specific factual allegations sufficient to warrant the relief requested). </w:t>
      </w:r>
    </w:p>
  </w:footnote>
  <w:footnote w:id="17">
    <w:p w:rsidR="00B512A3" w:rsidRPr="00F45ADF" w:rsidP="00B512A3" w14:paraId="3E1BFD35" w14:textId="175E9AA0">
      <w:pPr>
        <w:spacing w:after="120"/>
        <w:textAlignment w:val="baseline"/>
        <w:rPr>
          <w:b/>
          <w:bCs/>
          <w:i/>
          <w:iCs/>
          <w:color w:val="3D3D3D"/>
        </w:rPr>
      </w:pPr>
      <w:r w:rsidRPr="00B512A3">
        <w:rPr>
          <w:rStyle w:val="FootnoteReference"/>
        </w:rPr>
        <w:footnoteRef/>
      </w:r>
      <w:r w:rsidRPr="00B512A3">
        <w:t xml:space="preserve"> </w:t>
      </w:r>
      <w:r w:rsidRPr="00B512A3">
        <w:rPr>
          <w:color w:val="3D3D3D"/>
        </w:rPr>
        <w:t xml:space="preserve">To be </w:t>
      </w:r>
      <w:r w:rsidRPr="00B512A3">
        <w:t xml:space="preserve">considered timely-filed, </w:t>
      </w:r>
      <w:r w:rsidR="00FD6147">
        <w:t>exhibits</w:t>
      </w:r>
      <w:r w:rsidRPr="00B512A3">
        <w:t> must be filed by the close of the filing window. </w:t>
      </w:r>
      <w:r w:rsidR="00600C73">
        <w:t xml:space="preserve"> </w:t>
      </w:r>
      <w:r w:rsidRPr="00B512A3">
        <w:rPr>
          <w:rStyle w:val="Emphasis"/>
          <w:bdr w:val="none" w:sz="0" w:space="0" w:color="auto" w:frame="1"/>
        </w:rPr>
        <w:t>See</w:t>
      </w:r>
      <w:r w:rsidR="008F44B9">
        <w:rPr>
          <w:rStyle w:val="Emphasis"/>
          <w:bdr w:val="none" w:sz="0" w:space="0" w:color="auto" w:frame="1"/>
        </w:rPr>
        <w:t xml:space="preserve"> </w:t>
      </w:r>
      <w:r w:rsidRPr="00F45ADF" w:rsidR="008F44B9">
        <w:rPr>
          <w:i/>
          <w:iCs/>
        </w:rPr>
        <w:t>Media Bureau Announces NCE FM New Station Filing Procedures and Requirements for November 2- 9, 2021, Window Limited Application Filing Freeze to Commence on October 5, 2021</w:t>
      </w:r>
      <w:r w:rsidR="008F44B9">
        <w:t>, Public Notice, DA 21-885, 2021 WL 3158377 (MB July 23, 2021)</w:t>
      </w:r>
      <w:r w:rsidRPr="003C0275" w:rsidR="008F44B9">
        <w:t xml:space="preserve"> </w:t>
      </w:r>
      <w:r w:rsidRPr="00B512A3" w:rsidR="008F44B9">
        <w:t>(</w:t>
      </w:r>
      <w:r w:rsidRPr="00B512A3" w:rsidR="008F44B9">
        <w:rPr>
          <w:i/>
          <w:iCs/>
        </w:rPr>
        <w:t>NCE Filing Procedures Public Notice</w:t>
      </w:r>
      <w:r w:rsidRPr="00B512A3" w:rsidR="008F44B9">
        <w:t>)</w:t>
      </w:r>
      <w:r w:rsidR="008F44B9">
        <w:t>.</w:t>
      </w:r>
      <w:r w:rsidR="004C0402">
        <w:t xml:space="preserve">  </w:t>
      </w:r>
      <w:r w:rsidR="00F45ADF">
        <w:rPr>
          <w:i/>
          <w:iCs/>
        </w:rPr>
        <w:t xml:space="preserve">See also </w:t>
      </w:r>
      <w:r w:rsidR="008F44B9">
        <w:rPr>
          <w:rStyle w:val="Emphasis"/>
          <w:bdr w:val="none" w:sz="0" w:space="0" w:color="auto" w:frame="1"/>
        </w:rPr>
        <w:t>Comparative Consideration of 33 Groups of Mutually Exclusive Applications for Permits to Construct New Noncommercial Educational FM Stations</w:t>
      </w:r>
      <w:r w:rsidRPr="00B512A3" w:rsidR="008F44B9">
        <w:rPr>
          <w:bdr w:val="none" w:sz="0" w:space="0" w:color="auto" w:frame="1"/>
        </w:rPr>
        <w:t>, 2</w:t>
      </w:r>
      <w:r w:rsidR="008F44B9">
        <w:rPr>
          <w:bdr w:val="none" w:sz="0" w:space="0" w:color="auto" w:frame="1"/>
        </w:rPr>
        <w:t xml:space="preserve">6 FCC </w:t>
      </w:r>
      <w:r w:rsidRPr="00B512A3" w:rsidR="008F44B9">
        <w:rPr>
          <w:bdr w:val="none" w:sz="0" w:space="0" w:color="auto" w:frame="1"/>
        </w:rPr>
        <w:t>Rcd</w:t>
      </w:r>
      <w:r w:rsidRPr="00B512A3" w:rsidR="008F44B9">
        <w:rPr>
          <w:bdr w:val="none" w:sz="0" w:space="0" w:color="auto" w:frame="1"/>
        </w:rPr>
        <w:t xml:space="preserve"> </w:t>
      </w:r>
      <w:r w:rsidR="008F44B9">
        <w:rPr>
          <w:bdr w:val="none" w:sz="0" w:space="0" w:color="auto" w:frame="1"/>
        </w:rPr>
        <w:t>9058,</w:t>
      </w:r>
      <w:r w:rsidRPr="00B512A3" w:rsidR="008F44B9">
        <w:rPr>
          <w:bdr w:val="none" w:sz="0" w:space="0" w:color="auto" w:frame="1"/>
        </w:rPr>
        <w:t xml:space="preserve"> 9063 (2011)</w:t>
      </w:r>
      <w:r w:rsidRPr="00B512A3" w:rsidR="008F44B9">
        <w:t> (comparative qualification claims not supported with documentation on file by close of window cannot be credited</w:t>
      </w:r>
      <w:r w:rsidR="008F44B9">
        <w:t>).</w:t>
      </w:r>
    </w:p>
  </w:footnote>
  <w:footnote w:id="18">
    <w:p w:rsidR="008D35F2" w:rsidRPr="00B512A3" w:rsidP="00E02A7A" w14:paraId="2BDFD1A6" w14:textId="25F7AA96">
      <w:pPr>
        <w:pStyle w:val="FootnoteText"/>
      </w:pPr>
      <w:r w:rsidRPr="00B512A3">
        <w:rPr>
          <w:rStyle w:val="FootnoteReference"/>
        </w:rPr>
        <w:footnoteRef/>
      </w:r>
      <w:r w:rsidRPr="00B512A3">
        <w:t xml:space="preserve"> </w:t>
      </w:r>
      <w:r w:rsidRPr="00B512A3" w:rsidR="00EE5EEF">
        <w:rPr>
          <w:i/>
          <w:iCs/>
        </w:rPr>
        <w:t>Comparative Consideration of Seven Groups of Mutually Exclusive Applications for Permits to Construct New Noncommercial Educational FM Stations</w:t>
      </w:r>
      <w:r w:rsidRPr="00B512A3" w:rsidR="00EE5EEF">
        <w:t xml:space="preserve">, Memorandum Opinion and Order, 30 FCC </w:t>
      </w:r>
      <w:r w:rsidRPr="00B512A3" w:rsidR="00EE5EEF">
        <w:t>Rcd</w:t>
      </w:r>
      <w:r w:rsidRPr="00B512A3" w:rsidR="00EE5EEF">
        <w:t xml:space="preserve"> 5161, 5170, paras. 26-27 (2015)</w:t>
      </w:r>
      <w:r w:rsidR="00B12300">
        <w:t xml:space="preserve"> (finding that </w:t>
      </w:r>
      <w:r w:rsidR="0041639D">
        <w:t xml:space="preserve">allowance of late submission of requested information in comparative cases </w:t>
      </w:r>
      <w:r w:rsidR="009E0A9F">
        <w:t>“</w:t>
      </w:r>
      <w:r w:rsidR="00E02A7A">
        <w:t xml:space="preserve">would </w:t>
      </w:r>
      <w:r w:rsidR="009E0A9F">
        <w:t>’</w:t>
      </w:r>
      <w:r w:rsidR="00E02A7A">
        <w:t>inevitably lead to abuse of the Commission's processes, applicant gamesmanship, and unfair advantage</w:t>
      </w:r>
      <w:r w:rsidR="00856573">
        <w:t>’”</w:t>
      </w:r>
      <w:r w:rsidR="009E0A9F">
        <w:t>)</w:t>
      </w:r>
      <w:r w:rsidRPr="00B512A3">
        <w:t xml:space="preserve">; </w:t>
      </w:r>
      <w:r w:rsidRPr="00B512A3">
        <w:rPr>
          <w:i/>
          <w:iCs/>
        </w:rPr>
        <w:t>compare Threshold Fair Distribution Analysis of 13 Groups of Mutually Exclusive Applications for Permits to Construct New Noncommercial Educational FM Stations</w:t>
      </w:r>
      <w:r w:rsidRPr="00B512A3">
        <w:t>, Memorandum Opinion and Order, DA 22-477</w:t>
      </w:r>
      <w:r w:rsidRPr="00B512A3" w:rsidR="00C612C5">
        <w:t xml:space="preserve"> at n.38</w:t>
      </w:r>
      <w:r w:rsidRPr="00B512A3">
        <w:t xml:space="preserve"> (MB May 2, 2022) (</w:t>
      </w:r>
      <w:r w:rsidRPr="00B512A3" w:rsidR="00C612C5">
        <w:t xml:space="preserve">Bureau affords applicant whose </w:t>
      </w:r>
      <w:r w:rsidR="007E0F67">
        <w:t xml:space="preserve">timely-filed </w:t>
      </w:r>
      <w:r w:rsidRPr="00B512A3" w:rsidR="00C612C5">
        <w:t>attachments were corrupted</w:t>
      </w:r>
      <w:r w:rsidR="007E0F67">
        <w:t xml:space="preserve"> upon upload by the filing deadline</w:t>
      </w:r>
      <w:r w:rsidR="009065FD">
        <w:t>, the</w:t>
      </w:r>
      <w:r w:rsidRPr="00B512A3" w:rsidR="00C612C5">
        <w:t xml:space="preserve"> opportunity to provide supporting documents).</w:t>
      </w:r>
    </w:p>
  </w:footnote>
  <w:footnote w:id="19">
    <w:p w:rsidR="008C3C7F" w:rsidRPr="00B512A3" w:rsidP="00B512A3" w14:paraId="33E9E249" w14:textId="658C2E3B">
      <w:pPr>
        <w:pStyle w:val="FootnoteText"/>
      </w:pPr>
      <w:r w:rsidRPr="00B512A3">
        <w:rPr>
          <w:rStyle w:val="FootnoteReference"/>
        </w:rPr>
        <w:footnoteRef/>
      </w:r>
      <w:r w:rsidRPr="00B512A3">
        <w:t xml:space="preserve"> </w:t>
      </w:r>
      <w:r w:rsidRPr="00B512A3">
        <w:rPr>
          <w:rStyle w:val="Emphasis"/>
          <w:bdr w:val="none" w:sz="0" w:space="0" w:color="auto" w:frame="1"/>
          <w:shd w:val="clear" w:color="auto" w:fill="FFFFFF"/>
        </w:rPr>
        <w:t>Threshold Fair Distribution Analysis of 28 Groups of Mutually Exclusive Applications for Permits to Construct New or Modified Noncommercial Educational FM Stations Filed in October 2007 Window</w:t>
      </w:r>
      <w:r w:rsidRPr="00B512A3">
        <w:rPr>
          <w:bdr w:val="none" w:sz="0" w:space="0" w:color="auto" w:frame="1"/>
          <w:shd w:val="clear" w:color="auto" w:fill="FFFFFF"/>
        </w:rPr>
        <w:t xml:space="preserve">, Memorandum Opinion and Order, 24 FCC </w:t>
      </w:r>
      <w:r w:rsidRPr="00B512A3">
        <w:rPr>
          <w:bdr w:val="none" w:sz="0" w:space="0" w:color="auto" w:frame="1"/>
          <w:shd w:val="clear" w:color="auto" w:fill="FFFFFF"/>
        </w:rPr>
        <w:t>Rcd</w:t>
      </w:r>
      <w:r w:rsidRPr="00B512A3">
        <w:rPr>
          <w:bdr w:val="none" w:sz="0" w:space="0" w:color="auto" w:frame="1"/>
          <w:shd w:val="clear" w:color="auto" w:fill="FFFFFF"/>
        </w:rPr>
        <w:t xml:space="preserve"> 12390, 12394-12395</w:t>
      </w:r>
      <w:r w:rsidR="008F44B9">
        <w:rPr>
          <w:bdr w:val="none" w:sz="0" w:space="0" w:color="auto" w:frame="1"/>
          <w:shd w:val="clear" w:color="auto" w:fill="FFFFFF"/>
        </w:rPr>
        <w:t>, para. 15</w:t>
      </w:r>
      <w:r w:rsidRPr="00B512A3">
        <w:rPr>
          <w:bdr w:val="none" w:sz="0" w:space="0" w:color="auto" w:frame="1"/>
          <w:shd w:val="clear" w:color="auto" w:fill="FFFFFF"/>
        </w:rPr>
        <w:t xml:space="preserve"> (MB 2009)</w:t>
      </w:r>
      <w:r w:rsidR="008F44B9">
        <w:rPr>
          <w:bdr w:val="none" w:sz="0" w:space="0" w:color="auto" w:frame="1"/>
          <w:shd w:val="clear" w:color="auto" w:fill="FFFFFF"/>
        </w:rPr>
        <w:t xml:space="preserve"> (</w:t>
      </w:r>
      <w:r w:rsidR="00556327">
        <w:rPr>
          <w:bdr w:val="none" w:sz="0" w:space="0" w:color="auto" w:frame="1"/>
          <w:shd w:val="clear" w:color="auto" w:fill="FFFFFF"/>
        </w:rPr>
        <w:t>amendment to identify corrected community of license was improper post-window attempt to enhance comparative standing)</w:t>
      </w:r>
      <w:r w:rsidR="009C5D3E">
        <w:rPr>
          <w:bdr w:val="none" w:sz="0" w:space="0" w:color="auto" w:frame="1"/>
          <w:shd w:val="clear" w:color="auto" w:fill="FFFFFF"/>
        </w:rPr>
        <w:t>.</w:t>
      </w:r>
    </w:p>
  </w:footnote>
  <w:footnote w:id="20">
    <w:p w:rsidR="0057791C" w:rsidRPr="0085148A" w:rsidP="0057791C" w14:paraId="7D49C606" w14:textId="77777777">
      <w:pPr>
        <w:pStyle w:val="FootnoteText"/>
      </w:pPr>
      <w:r>
        <w:rPr>
          <w:rStyle w:val="FootnoteReference"/>
        </w:rPr>
        <w:footnoteRef/>
      </w:r>
      <w:r>
        <w:t xml:space="preserve"> </w:t>
      </w:r>
      <w:r>
        <w:rPr>
          <w:i/>
          <w:iCs/>
        </w:rPr>
        <w:t xml:space="preserve">See, e.g., </w:t>
      </w:r>
      <w:r>
        <w:t>47 CFR § 73.7002.</w:t>
      </w:r>
    </w:p>
  </w:footnote>
  <w:footnote w:id="21">
    <w:p w:rsidR="00AA6029" w:rsidRPr="00B512A3" w:rsidP="00B512A3" w14:paraId="1CF41A6B" w14:textId="669CA6CD">
      <w:pPr>
        <w:spacing w:after="120"/>
      </w:pPr>
      <w:r w:rsidRPr="00B512A3">
        <w:rPr>
          <w:rStyle w:val="FootnoteReference"/>
        </w:rPr>
        <w:footnoteRef/>
      </w:r>
      <w:r w:rsidRPr="00B512A3">
        <w:t xml:space="preserve"> </w:t>
      </w:r>
      <w:r w:rsidRPr="00B512A3">
        <w:rPr>
          <w:i/>
          <w:iCs/>
        </w:rPr>
        <w:t xml:space="preserve">See </w:t>
      </w:r>
      <w:r w:rsidRPr="00B512A3">
        <w:t xml:space="preserve">File No. </w:t>
      </w:r>
      <w:r w:rsidRPr="00B512A3">
        <w:rPr>
          <w:color w:val="000000"/>
        </w:rPr>
        <w:t>167098</w:t>
      </w:r>
      <w:r w:rsidRPr="00B512A3">
        <w:t xml:space="preserve">, Fair Distribution of Service Section, and associated exhibit.  </w:t>
      </w:r>
      <w:r w:rsidRPr="00B512A3" w:rsidR="00854E36">
        <w:t xml:space="preserve">Each applicant claiming a First or Second NCE Service preference must support its fair distribution claim with an exhibit identifying the population residing within the proposed station’s 60 dBµ service contour and the number of people that would receive a new first or second NCE aural service.  </w:t>
      </w:r>
      <w:r w:rsidRPr="00B512A3" w:rsidR="00854E36">
        <w:rPr>
          <w:i/>
          <w:iCs/>
        </w:rPr>
        <w:t xml:space="preserve">See </w:t>
      </w:r>
      <w:r w:rsidRPr="00B512A3" w:rsidR="00A316A1">
        <w:t>47 CFR</w:t>
      </w:r>
      <w:r w:rsidRPr="00B512A3" w:rsidR="005C3B2E">
        <w:t xml:space="preserve"> § 73.7002(b). </w:t>
      </w:r>
      <w:r w:rsidRPr="00B512A3" w:rsidR="00A316A1">
        <w:t xml:space="preserve"> </w:t>
      </w:r>
      <w:r w:rsidRPr="00B512A3" w:rsidR="005C3B2E">
        <w:t xml:space="preserve">Applicants were required to use the most recently available, i.e., 2010 Census, population data. </w:t>
      </w:r>
      <w:r w:rsidRPr="00B512A3" w:rsidR="00886927">
        <w:t xml:space="preserve"> </w:t>
      </w:r>
      <w:r w:rsidRPr="00B512A3" w:rsidR="005C3B2E">
        <w:rPr>
          <w:i/>
          <w:iCs/>
        </w:rPr>
        <w:t>See</w:t>
      </w:r>
      <w:r w:rsidRPr="00B512A3" w:rsidR="005C3B2E">
        <w:t xml:space="preserve"> </w:t>
      </w:r>
      <w:r w:rsidRPr="00B512A3" w:rsidR="00A47D5E">
        <w:rPr>
          <w:i/>
          <w:iCs/>
        </w:rPr>
        <w:t>NCE Filing Procedures Public Notice</w:t>
      </w:r>
      <w:r w:rsidRPr="00B512A3" w:rsidR="005C3B2E">
        <w:t>, at 5-7 and n.24</w:t>
      </w:r>
      <w:r w:rsidR="00266B99">
        <w:t>;</w:t>
      </w:r>
      <w:r w:rsidRPr="00B512A3" w:rsidR="005C3B2E">
        <w:t xml:space="preserve"> FCC Form 2100, Schedule 340, Instructions for Fair Distribution of Service at 12-14. </w:t>
      </w:r>
      <w:r w:rsidRPr="00B512A3" w:rsidR="00EE71B8">
        <w:t xml:space="preserve"> </w:t>
      </w:r>
      <w:r w:rsidRPr="00B512A3" w:rsidR="005C3B2E">
        <w:t xml:space="preserve">An applicant’s fair distribution showing must be computed as of the time of filing (close of the filing window for applications filed prior to the window) and cannot be enhanced thereafter. </w:t>
      </w:r>
      <w:r w:rsidRPr="00B512A3" w:rsidR="00EE71B8">
        <w:t xml:space="preserve"> </w:t>
      </w:r>
      <w:r w:rsidRPr="00B512A3" w:rsidR="005C3B2E">
        <w:rPr>
          <w:i/>
          <w:iCs/>
        </w:rPr>
        <w:t>See</w:t>
      </w:r>
      <w:r w:rsidRPr="00B512A3" w:rsidR="005C3B2E">
        <w:t xml:space="preserve"> 47 CFR § 73.7003(e) and (f)(3); </w:t>
      </w:r>
      <w:r w:rsidRPr="00B512A3" w:rsidR="005C3B2E">
        <w:rPr>
          <w:i/>
          <w:iCs/>
        </w:rPr>
        <w:t>NCE Filing Procedures Public Notice</w:t>
      </w:r>
      <w:r w:rsidRPr="00B512A3" w:rsidR="005C3B2E">
        <w:t xml:space="preserve"> at 11</w:t>
      </w:r>
      <w:r w:rsidR="00D247DF">
        <w:t>.</w:t>
      </w:r>
    </w:p>
  </w:footnote>
  <w:footnote w:id="22">
    <w:p w:rsidR="007A61AD" w:rsidRPr="007471F8" w:rsidP="007A61AD" w14:paraId="0684F19F" w14:textId="1812C357">
      <w:pPr>
        <w:pStyle w:val="FootnoteText"/>
      </w:pPr>
      <w:r>
        <w:rPr>
          <w:rStyle w:val="FootnoteReference"/>
        </w:rPr>
        <w:footnoteRef/>
      </w:r>
      <w:r>
        <w:t xml:space="preserve"> </w:t>
      </w:r>
      <w:r w:rsidRPr="00B512A3">
        <w:rPr>
          <w:i/>
        </w:rPr>
        <w:t xml:space="preserve">See </w:t>
      </w:r>
      <w:r w:rsidRPr="00B512A3">
        <w:t xml:space="preserve">47 CFR § 73.7002(b).  </w:t>
      </w:r>
      <w:r w:rsidRPr="00A31612">
        <w:t xml:space="preserve">The Commission compares mutually exclusive groups of NCE FM applications under the point system set forth in </w:t>
      </w:r>
      <w:r>
        <w:t>s</w:t>
      </w:r>
      <w:r w:rsidRPr="00A31612">
        <w:t xml:space="preserve">ection 73.7003 of the </w:t>
      </w:r>
      <w:r w:rsidR="00000C92">
        <w:t>r</w:t>
      </w:r>
      <w:r w:rsidRPr="00A31612">
        <w:t>ules.</w:t>
      </w:r>
      <w:r>
        <w:t xml:space="preserve">  </w:t>
      </w:r>
      <w:r w:rsidRPr="00B512A3">
        <w:rPr>
          <w:i/>
        </w:rPr>
        <w:t xml:space="preserve">See </w:t>
      </w:r>
      <w:r>
        <w:rPr>
          <w:i/>
        </w:rPr>
        <w:t>also</w:t>
      </w:r>
      <w:r w:rsidR="00C536B6">
        <w:rPr>
          <w:i/>
        </w:rPr>
        <w:t xml:space="preserve"> NCE Order</w:t>
      </w:r>
      <w:r w:rsidRPr="00B512A3">
        <w:t xml:space="preserve">, 15 </w:t>
      </w:r>
      <w:r w:rsidRPr="007471F8">
        <w:t xml:space="preserve">FCC </w:t>
      </w:r>
      <w:r w:rsidRPr="007471F8">
        <w:t>Rcd</w:t>
      </w:r>
      <w:r w:rsidRPr="007471F8">
        <w:t xml:space="preserve"> </w:t>
      </w:r>
      <w:r w:rsidR="00C536B6">
        <w:t xml:space="preserve">at </w:t>
      </w:r>
      <w:r w:rsidRPr="007471F8">
        <w:t>7420.</w:t>
      </w:r>
    </w:p>
  </w:footnote>
  <w:footnote w:id="23">
    <w:p w:rsidR="007A61AD" w:rsidRPr="00AC5015" w:rsidP="00960E6E" w14:paraId="353625C6" w14:textId="43C27770">
      <w:pPr>
        <w:shd w:val="clear" w:color="auto" w:fill="FFFFFF"/>
        <w:spacing w:after="120"/>
        <w:textAlignment w:val="baseline"/>
        <w:rPr>
          <w:rFonts w:ascii="Source Sans Pro" w:hAnsi="Source Sans Pro"/>
          <w:color w:val="000000"/>
          <w:sz w:val="24"/>
          <w:szCs w:val="24"/>
        </w:rPr>
      </w:pPr>
      <w:r w:rsidRPr="007471F8">
        <w:rPr>
          <w:rStyle w:val="FootnoteReference"/>
        </w:rPr>
        <w:footnoteRef/>
      </w:r>
      <w:r w:rsidRPr="007471F8">
        <w:t xml:space="preserve"> </w:t>
      </w:r>
      <w:r w:rsidR="00D97F1B">
        <w:rPr>
          <w:i/>
          <w:iCs/>
        </w:rPr>
        <w:t xml:space="preserve">See </w:t>
      </w:r>
      <w:r w:rsidRPr="00B2361B" w:rsidR="007F10B8">
        <w:rPr>
          <w:i/>
          <w:iCs/>
        </w:rPr>
        <w:t>Central Florida Educational Foundation, Inc. c/o Joseph E. Dunne, Esq.</w:t>
      </w:r>
      <w:r w:rsidRPr="007F10B8" w:rsidR="007F10B8">
        <w:t xml:space="preserve">, </w:t>
      </w:r>
      <w:r w:rsidR="002A7EEB">
        <w:t xml:space="preserve">Letter Order, </w:t>
      </w:r>
      <w:r w:rsidRPr="007F10B8" w:rsidR="007F10B8">
        <w:t xml:space="preserve">22 FCC </w:t>
      </w:r>
      <w:r w:rsidRPr="007F10B8" w:rsidR="007F10B8">
        <w:t>Rcd</w:t>
      </w:r>
      <w:r w:rsidRPr="007F10B8" w:rsidR="007F10B8">
        <w:t>. 18332, 18334 (</w:t>
      </w:r>
      <w:r w:rsidR="002A7EEB">
        <w:t xml:space="preserve">MB </w:t>
      </w:r>
      <w:r w:rsidRPr="007F10B8" w:rsidR="007F10B8">
        <w:t>2007)</w:t>
      </w:r>
      <w:r w:rsidR="002A7EEB">
        <w:t xml:space="preserve"> (</w:t>
      </w:r>
      <w:r w:rsidR="00537AD1">
        <w:t>referring</w:t>
      </w:r>
      <w:r w:rsidR="00B32865">
        <w:t xml:space="preserve"> the matter to the Commission for consideration</w:t>
      </w:r>
      <w:r w:rsidR="002A7EEB">
        <w:t xml:space="preserve"> where</w:t>
      </w:r>
      <w:r w:rsidR="0087557E">
        <w:t xml:space="preserve"> the </w:t>
      </w:r>
      <w:r w:rsidR="00537AD1">
        <w:t>initial outcome would</w:t>
      </w:r>
      <w:r w:rsidR="00E64552">
        <w:t xml:space="preserve"> be altered by the </w:t>
      </w:r>
      <w:r w:rsidR="002A7EEB">
        <w:t xml:space="preserve">potential </w:t>
      </w:r>
      <w:r w:rsidR="00E64552">
        <w:t>for</w:t>
      </w:r>
      <w:r w:rsidR="002A7EEB">
        <w:t xml:space="preserve"> a new </w:t>
      </w:r>
      <w:r w:rsidR="0087557E">
        <w:t>points analysis</w:t>
      </w:r>
      <w:r w:rsidR="00E64552">
        <w:t>).</w:t>
      </w:r>
      <w:r w:rsidR="0087557E">
        <w:t xml:space="preserve"> </w:t>
      </w:r>
      <w:r w:rsidR="002A7EEB">
        <w:t xml:space="preserve"> </w:t>
      </w:r>
      <w:r>
        <w:rPr>
          <w:i/>
          <w:iCs/>
        </w:rPr>
        <w:t>See</w:t>
      </w:r>
      <w:r w:rsidR="00A10D69">
        <w:rPr>
          <w:i/>
          <w:iCs/>
        </w:rPr>
        <w:t xml:space="preserve"> also</w:t>
      </w:r>
      <w:r>
        <w:rPr>
          <w:i/>
          <w:iCs/>
        </w:rPr>
        <w:t xml:space="preserve"> </w:t>
      </w:r>
      <w:r w:rsidRPr="00FE1B1B">
        <w:rPr>
          <w:i/>
          <w:iCs/>
          <w:color w:val="000000"/>
          <w:bdr w:val="none" w:sz="0" w:space="0" w:color="auto" w:frame="1"/>
        </w:rPr>
        <w:t>Compar</w:t>
      </w:r>
      <w:r>
        <w:rPr>
          <w:i/>
          <w:iCs/>
          <w:color w:val="000000"/>
          <w:bdr w:val="none" w:sz="0" w:space="0" w:color="auto" w:frame="1"/>
        </w:rPr>
        <w:t>ative</w:t>
      </w:r>
      <w:r w:rsidRPr="00FE1B1B">
        <w:rPr>
          <w:i/>
          <w:iCs/>
          <w:color w:val="000000"/>
          <w:bdr w:val="none" w:sz="0" w:space="0" w:color="auto" w:frame="1"/>
        </w:rPr>
        <w:t xml:space="preserve"> Consideration of 24 Groups of Mutually Exclusive Applications for Permits to Construct New or Modified Noncommercial Educ. F</w:t>
      </w:r>
      <w:r w:rsidR="005446D1">
        <w:rPr>
          <w:i/>
          <w:iCs/>
          <w:color w:val="000000"/>
          <w:bdr w:val="none" w:sz="0" w:space="0" w:color="auto" w:frame="1"/>
        </w:rPr>
        <w:t>M</w:t>
      </w:r>
      <w:r w:rsidRPr="00FE1B1B">
        <w:rPr>
          <w:i/>
          <w:iCs/>
          <w:color w:val="000000"/>
          <w:bdr w:val="none" w:sz="0" w:space="0" w:color="auto" w:frame="1"/>
        </w:rPr>
        <w:t xml:space="preserve"> Stations</w:t>
      </w:r>
      <w:r w:rsidRPr="00FE1B1B">
        <w:rPr>
          <w:color w:val="000000"/>
        </w:rPr>
        <w:t xml:space="preserve">, </w:t>
      </w:r>
      <w:r>
        <w:rPr>
          <w:color w:val="000000"/>
        </w:rPr>
        <w:t xml:space="preserve">Memorandum Opinion and Order, </w:t>
      </w:r>
      <w:r w:rsidRPr="00FE1B1B">
        <w:rPr>
          <w:color w:val="000000"/>
        </w:rPr>
        <w:t xml:space="preserve">25 FCC </w:t>
      </w:r>
      <w:r w:rsidRPr="00FE1B1B">
        <w:rPr>
          <w:color w:val="000000"/>
        </w:rPr>
        <w:t>Rcd</w:t>
      </w:r>
      <w:r w:rsidRPr="00FE1B1B">
        <w:rPr>
          <w:color w:val="000000"/>
        </w:rPr>
        <w:t xml:space="preserve"> 12887, 12914 (2010)</w:t>
      </w:r>
      <w:r>
        <w:rPr>
          <w:color w:val="000000"/>
        </w:rPr>
        <w:t xml:space="preserve"> (“</w:t>
      </w:r>
      <w:r w:rsidRPr="00E142C2">
        <w:rPr>
          <w:color w:val="000000"/>
        </w:rPr>
        <w:t>staff should refer only those issues to the Commission where the exclusion or inclusion of challenged or claimed points could alter the outcome in the particular NCE group, or where a new or novel question or substantial and material question of fact otherwise exists</w:t>
      </w:r>
      <w:r>
        <w:rPr>
          <w:color w:val="000000"/>
        </w:rPr>
        <w:t>.”).</w:t>
      </w:r>
      <w:r w:rsidR="000A5EE7">
        <w:rPr>
          <w:color w:val="000000"/>
        </w:rPr>
        <w:t xml:space="preserve">  </w:t>
      </w:r>
      <w:r w:rsidRPr="000A5EE7" w:rsidR="000A5EE7">
        <w:rPr>
          <w:color w:val="000000"/>
        </w:rPr>
        <w:t>We remind all parties that this letter, which does not grant or deny any application, constitutes an interlocutory action, and petitions for reconsideration against such actions are subject to dismissal under section 1.106(a)(1) of the Rules.  See 47 CFR § 1.106(a)(1</w:t>
      </w:r>
      <w:r w:rsidRPr="000973D7" w:rsidR="000A5EE7">
        <w:rPr>
          <w:i/>
          <w:iCs/>
          <w:color w:val="000000"/>
        </w:rPr>
        <w:t>).  See also American Family Association, Inc</w:t>
      </w:r>
      <w:r w:rsidRPr="000A5EE7" w:rsidR="000A5EE7">
        <w:rPr>
          <w:color w:val="000000"/>
        </w:rPr>
        <w:t xml:space="preserve">., Letter Order, 22 FCC </w:t>
      </w:r>
      <w:r w:rsidRPr="000A5EE7" w:rsidR="000A5EE7">
        <w:rPr>
          <w:color w:val="000000"/>
        </w:rPr>
        <w:t>Rcd</w:t>
      </w:r>
      <w:r w:rsidRPr="000A5EE7" w:rsidR="000A5EE7">
        <w:rPr>
          <w:color w:val="000000"/>
        </w:rPr>
        <w:t xml:space="preserve"> 11165 (MB 2007) (dismissing petition for reconsideration of interlocutory action).  The Commission will afford a 30-day public notice period for parties to file petitions to deny or informal objections to the application of the new tentative selectee.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EF96DE5"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1F9C8E7"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B54DB" w14:paraId="069D102D" w14:textId="77777777">
    <w:pPr>
      <w:pStyle w:val="Header"/>
      <w:tabs>
        <w:tab w:val="clear" w:pos="4320"/>
      </w:tabs>
      <w:jc w:val="center"/>
      <w:rPr>
        <w:sz w:val="22"/>
      </w:rPr>
    </w:pPr>
  </w:p>
  <w:p w:rsidR="002B54DB" w14:paraId="5282420C" w14:textId="77777777">
    <w:pPr>
      <w:pStyle w:val="Header"/>
      <w:tabs>
        <w:tab w:val="clear" w:pos="4320"/>
      </w:tabs>
      <w:jc w:val="center"/>
      <w:rPr>
        <w:sz w:val="22"/>
      </w:rPr>
    </w:pPr>
  </w:p>
  <w:p w:rsidR="002B54DB" w14:paraId="6A2CACEF" w14:textId="397F6516">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773242">
      <w:rPr>
        <w:noProof/>
        <w:sz w:val="24"/>
      </w:rPr>
      <w:t>October 4,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C92"/>
    <w:rsid w:val="00001EA9"/>
    <w:rsid w:val="000023FE"/>
    <w:rsid w:val="00002DAA"/>
    <w:rsid w:val="00003A52"/>
    <w:rsid w:val="0001282B"/>
    <w:rsid w:val="000136EE"/>
    <w:rsid w:val="00014BA9"/>
    <w:rsid w:val="000319BC"/>
    <w:rsid w:val="00035EA3"/>
    <w:rsid w:val="00047C83"/>
    <w:rsid w:val="00052197"/>
    <w:rsid w:val="00060035"/>
    <w:rsid w:val="00067174"/>
    <w:rsid w:val="000674C2"/>
    <w:rsid w:val="000710C2"/>
    <w:rsid w:val="0007664B"/>
    <w:rsid w:val="00077819"/>
    <w:rsid w:val="0008322E"/>
    <w:rsid w:val="00085EF9"/>
    <w:rsid w:val="00090BF5"/>
    <w:rsid w:val="000973D7"/>
    <w:rsid w:val="000A16D4"/>
    <w:rsid w:val="000A3728"/>
    <w:rsid w:val="000A4B36"/>
    <w:rsid w:val="000A5EE7"/>
    <w:rsid w:val="000A77C1"/>
    <w:rsid w:val="000B0267"/>
    <w:rsid w:val="000B16B0"/>
    <w:rsid w:val="000B405E"/>
    <w:rsid w:val="000B57E2"/>
    <w:rsid w:val="000C226C"/>
    <w:rsid w:val="000D4CB3"/>
    <w:rsid w:val="000D581E"/>
    <w:rsid w:val="000D7E7F"/>
    <w:rsid w:val="000E2E16"/>
    <w:rsid w:val="000E600C"/>
    <w:rsid w:val="000E79CF"/>
    <w:rsid w:val="000F06CE"/>
    <w:rsid w:val="000F1312"/>
    <w:rsid w:val="00102848"/>
    <w:rsid w:val="00103C3E"/>
    <w:rsid w:val="001051D6"/>
    <w:rsid w:val="001177E2"/>
    <w:rsid w:val="00121633"/>
    <w:rsid w:val="001261AD"/>
    <w:rsid w:val="00131D1F"/>
    <w:rsid w:val="001333F1"/>
    <w:rsid w:val="00144D66"/>
    <w:rsid w:val="00170905"/>
    <w:rsid w:val="00171A2A"/>
    <w:rsid w:val="00177975"/>
    <w:rsid w:val="00184D95"/>
    <w:rsid w:val="001A0901"/>
    <w:rsid w:val="001A1BAE"/>
    <w:rsid w:val="001A4C69"/>
    <w:rsid w:val="001B14FF"/>
    <w:rsid w:val="001B2B05"/>
    <w:rsid w:val="001C74E8"/>
    <w:rsid w:val="001D3C40"/>
    <w:rsid w:val="001D69DC"/>
    <w:rsid w:val="001E46BD"/>
    <w:rsid w:val="001E653D"/>
    <w:rsid w:val="00201132"/>
    <w:rsid w:val="002036AF"/>
    <w:rsid w:val="00204CE3"/>
    <w:rsid w:val="0021315D"/>
    <w:rsid w:val="00221910"/>
    <w:rsid w:val="00224389"/>
    <w:rsid w:val="00224447"/>
    <w:rsid w:val="00224751"/>
    <w:rsid w:val="00230EFE"/>
    <w:rsid w:val="0023276D"/>
    <w:rsid w:val="002377CE"/>
    <w:rsid w:val="002415D3"/>
    <w:rsid w:val="00241D85"/>
    <w:rsid w:val="002441A8"/>
    <w:rsid w:val="002449D0"/>
    <w:rsid w:val="00247A22"/>
    <w:rsid w:val="00251468"/>
    <w:rsid w:val="00266B99"/>
    <w:rsid w:val="0027102D"/>
    <w:rsid w:val="002835C0"/>
    <w:rsid w:val="00286EFA"/>
    <w:rsid w:val="002903B6"/>
    <w:rsid w:val="002A7E0A"/>
    <w:rsid w:val="002A7EEB"/>
    <w:rsid w:val="002B2186"/>
    <w:rsid w:val="002B54DB"/>
    <w:rsid w:val="002C5B0F"/>
    <w:rsid w:val="002D310F"/>
    <w:rsid w:val="002D3367"/>
    <w:rsid w:val="002D41FB"/>
    <w:rsid w:val="002E2E39"/>
    <w:rsid w:val="002E3827"/>
    <w:rsid w:val="00305225"/>
    <w:rsid w:val="003056C6"/>
    <w:rsid w:val="00305AEE"/>
    <w:rsid w:val="00316B87"/>
    <w:rsid w:val="003175B8"/>
    <w:rsid w:val="00322090"/>
    <w:rsid w:val="00322E01"/>
    <w:rsid w:val="00322E2D"/>
    <w:rsid w:val="003306D5"/>
    <w:rsid w:val="00331B1A"/>
    <w:rsid w:val="00335D80"/>
    <w:rsid w:val="003376CC"/>
    <w:rsid w:val="00340FD6"/>
    <w:rsid w:val="00341318"/>
    <w:rsid w:val="0034458D"/>
    <w:rsid w:val="00356251"/>
    <w:rsid w:val="00360C7F"/>
    <w:rsid w:val="003624D2"/>
    <w:rsid w:val="00364414"/>
    <w:rsid w:val="00372C28"/>
    <w:rsid w:val="00373D8F"/>
    <w:rsid w:val="00374090"/>
    <w:rsid w:val="00383496"/>
    <w:rsid w:val="00390379"/>
    <w:rsid w:val="003930CF"/>
    <w:rsid w:val="00395509"/>
    <w:rsid w:val="003A7D0E"/>
    <w:rsid w:val="003B0FA1"/>
    <w:rsid w:val="003C0275"/>
    <w:rsid w:val="003C762B"/>
    <w:rsid w:val="003C7866"/>
    <w:rsid w:val="003D0A09"/>
    <w:rsid w:val="003D1042"/>
    <w:rsid w:val="003D1DCA"/>
    <w:rsid w:val="003F2DC9"/>
    <w:rsid w:val="003F6FB9"/>
    <w:rsid w:val="00403D4E"/>
    <w:rsid w:val="00405F36"/>
    <w:rsid w:val="004062FE"/>
    <w:rsid w:val="004101EB"/>
    <w:rsid w:val="00411EE1"/>
    <w:rsid w:val="00412F26"/>
    <w:rsid w:val="00414AC3"/>
    <w:rsid w:val="0041639D"/>
    <w:rsid w:val="004243F2"/>
    <w:rsid w:val="00426218"/>
    <w:rsid w:val="00437969"/>
    <w:rsid w:val="00440AD2"/>
    <w:rsid w:val="004424A2"/>
    <w:rsid w:val="0045642F"/>
    <w:rsid w:val="00467832"/>
    <w:rsid w:val="00467E6F"/>
    <w:rsid w:val="0047480D"/>
    <w:rsid w:val="00477135"/>
    <w:rsid w:val="00485863"/>
    <w:rsid w:val="00491520"/>
    <w:rsid w:val="00492EA3"/>
    <w:rsid w:val="004961EA"/>
    <w:rsid w:val="004A2765"/>
    <w:rsid w:val="004A6189"/>
    <w:rsid w:val="004B1633"/>
    <w:rsid w:val="004B5770"/>
    <w:rsid w:val="004B79BA"/>
    <w:rsid w:val="004C0402"/>
    <w:rsid w:val="004D0715"/>
    <w:rsid w:val="004D3B53"/>
    <w:rsid w:val="004D5745"/>
    <w:rsid w:val="004E064A"/>
    <w:rsid w:val="004E3643"/>
    <w:rsid w:val="004F28FE"/>
    <w:rsid w:val="004F4979"/>
    <w:rsid w:val="00502939"/>
    <w:rsid w:val="00503531"/>
    <w:rsid w:val="005131F9"/>
    <w:rsid w:val="005156ED"/>
    <w:rsid w:val="00517397"/>
    <w:rsid w:val="005234BC"/>
    <w:rsid w:val="0052407C"/>
    <w:rsid w:val="00537AD1"/>
    <w:rsid w:val="00540615"/>
    <w:rsid w:val="0054211A"/>
    <w:rsid w:val="005446D1"/>
    <w:rsid w:val="00544B82"/>
    <w:rsid w:val="005472B3"/>
    <w:rsid w:val="00547993"/>
    <w:rsid w:val="005512FE"/>
    <w:rsid w:val="00552FE5"/>
    <w:rsid w:val="00555876"/>
    <w:rsid w:val="00555DE7"/>
    <w:rsid w:val="00556327"/>
    <w:rsid w:val="0056224D"/>
    <w:rsid w:val="005640A6"/>
    <w:rsid w:val="00572CCA"/>
    <w:rsid w:val="005749A1"/>
    <w:rsid w:val="00576109"/>
    <w:rsid w:val="005763D0"/>
    <w:rsid w:val="0057791C"/>
    <w:rsid w:val="00580768"/>
    <w:rsid w:val="00585C6C"/>
    <w:rsid w:val="00587BB6"/>
    <w:rsid w:val="00587DBF"/>
    <w:rsid w:val="00593160"/>
    <w:rsid w:val="00594E0D"/>
    <w:rsid w:val="005A0408"/>
    <w:rsid w:val="005A22F3"/>
    <w:rsid w:val="005B1E2C"/>
    <w:rsid w:val="005B2B55"/>
    <w:rsid w:val="005B4DD2"/>
    <w:rsid w:val="005C3237"/>
    <w:rsid w:val="005C3B2E"/>
    <w:rsid w:val="005C5A0B"/>
    <w:rsid w:val="005C780E"/>
    <w:rsid w:val="005D065D"/>
    <w:rsid w:val="005D1086"/>
    <w:rsid w:val="005D1A5E"/>
    <w:rsid w:val="005D5927"/>
    <w:rsid w:val="005D7ED3"/>
    <w:rsid w:val="005E23B0"/>
    <w:rsid w:val="005E3548"/>
    <w:rsid w:val="005E5625"/>
    <w:rsid w:val="005E680D"/>
    <w:rsid w:val="00600823"/>
    <w:rsid w:val="00600C73"/>
    <w:rsid w:val="00603C2E"/>
    <w:rsid w:val="00603ED3"/>
    <w:rsid w:val="00604F60"/>
    <w:rsid w:val="006054CC"/>
    <w:rsid w:val="00610EC3"/>
    <w:rsid w:val="006115DD"/>
    <w:rsid w:val="0061778B"/>
    <w:rsid w:val="006248EE"/>
    <w:rsid w:val="0062769F"/>
    <w:rsid w:val="00630DAF"/>
    <w:rsid w:val="00637904"/>
    <w:rsid w:val="006460C1"/>
    <w:rsid w:val="00651BE4"/>
    <w:rsid w:val="006522C0"/>
    <w:rsid w:val="006528D9"/>
    <w:rsid w:val="00682D7D"/>
    <w:rsid w:val="00690D99"/>
    <w:rsid w:val="00692CD6"/>
    <w:rsid w:val="006A173A"/>
    <w:rsid w:val="006A1783"/>
    <w:rsid w:val="006A2325"/>
    <w:rsid w:val="006A62B4"/>
    <w:rsid w:val="006C1A0B"/>
    <w:rsid w:val="006C6C63"/>
    <w:rsid w:val="006D0C7E"/>
    <w:rsid w:val="006D2072"/>
    <w:rsid w:val="006D278E"/>
    <w:rsid w:val="006D474F"/>
    <w:rsid w:val="006D47D5"/>
    <w:rsid w:val="006D5E7F"/>
    <w:rsid w:val="006E36F4"/>
    <w:rsid w:val="006F5C10"/>
    <w:rsid w:val="007018D7"/>
    <w:rsid w:val="00723815"/>
    <w:rsid w:val="00723E5E"/>
    <w:rsid w:val="00732A29"/>
    <w:rsid w:val="00733C64"/>
    <w:rsid w:val="007372A0"/>
    <w:rsid w:val="007471F8"/>
    <w:rsid w:val="00747C09"/>
    <w:rsid w:val="007604FD"/>
    <w:rsid w:val="00762F97"/>
    <w:rsid w:val="007650D5"/>
    <w:rsid w:val="00773242"/>
    <w:rsid w:val="00776A84"/>
    <w:rsid w:val="00777B31"/>
    <w:rsid w:val="00782F85"/>
    <w:rsid w:val="00783943"/>
    <w:rsid w:val="00785DCD"/>
    <w:rsid w:val="00792B96"/>
    <w:rsid w:val="00797F09"/>
    <w:rsid w:val="007A13DE"/>
    <w:rsid w:val="007A61AD"/>
    <w:rsid w:val="007B1DEF"/>
    <w:rsid w:val="007B4712"/>
    <w:rsid w:val="007B4859"/>
    <w:rsid w:val="007B6697"/>
    <w:rsid w:val="007C190B"/>
    <w:rsid w:val="007D1990"/>
    <w:rsid w:val="007D65B2"/>
    <w:rsid w:val="007E0F67"/>
    <w:rsid w:val="007E4AFC"/>
    <w:rsid w:val="007E66B4"/>
    <w:rsid w:val="007F10B8"/>
    <w:rsid w:val="008023B4"/>
    <w:rsid w:val="00810763"/>
    <w:rsid w:val="00820624"/>
    <w:rsid w:val="00825180"/>
    <w:rsid w:val="008259FA"/>
    <w:rsid w:val="00825FE6"/>
    <w:rsid w:val="00826BE2"/>
    <w:rsid w:val="00837977"/>
    <w:rsid w:val="00846849"/>
    <w:rsid w:val="0085148A"/>
    <w:rsid w:val="00854E36"/>
    <w:rsid w:val="00856573"/>
    <w:rsid w:val="00864A01"/>
    <w:rsid w:val="0086696C"/>
    <w:rsid w:val="0087557E"/>
    <w:rsid w:val="0087681F"/>
    <w:rsid w:val="00877207"/>
    <w:rsid w:val="0088094B"/>
    <w:rsid w:val="00885E08"/>
    <w:rsid w:val="00886927"/>
    <w:rsid w:val="00895494"/>
    <w:rsid w:val="00896E6D"/>
    <w:rsid w:val="00897941"/>
    <w:rsid w:val="00897F19"/>
    <w:rsid w:val="008A2992"/>
    <w:rsid w:val="008B11A4"/>
    <w:rsid w:val="008B1572"/>
    <w:rsid w:val="008B27EB"/>
    <w:rsid w:val="008B29C4"/>
    <w:rsid w:val="008B5B38"/>
    <w:rsid w:val="008B7EE5"/>
    <w:rsid w:val="008C0288"/>
    <w:rsid w:val="008C1257"/>
    <w:rsid w:val="008C27DC"/>
    <w:rsid w:val="008C3C7F"/>
    <w:rsid w:val="008C62E6"/>
    <w:rsid w:val="008C7818"/>
    <w:rsid w:val="008D12CC"/>
    <w:rsid w:val="008D35F2"/>
    <w:rsid w:val="008D3A84"/>
    <w:rsid w:val="008D5227"/>
    <w:rsid w:val="008E2CA0"/>
    <w:rsid w:val="008E662F"/>
    <w:rsid w:val="008E6A00"/>
    <w:rsid w:val="008F104F"/>
    <w:rsid w:val="008F20C6"/>
    <w:rsid w:val="008F44B9"/>
    <w:rsid w:val="008F55CA"/>
    <w:rsid w:val="00903DC2"/>
    <w:rsid w:val="009065FD"/>
    <w:rsid w:val="009070BD"/>
    <w:rsid w:val="0091074A"/>
    <w:rsid w:val="0092610A"/>
    <w:rsid w:val="009346C1"/>
    <w:rsid w:val="0093693A"/>
    <w:rsid w:val="00950C47"/>
    <w:rsid w:val="00951BC5"/>
    <w:rsid w:val="00951F01"/>
    <w:rsid w:val="00960BD8"/>
    <w:rsid w:val="00960E6E"/>
    <w:rsid w:val="0096396C"/>
    <w:rsid w:val="00966504"/>
    <w:rsid w:val="009701C9"/>
    <w:rsid w:val="009701ED"/>
    <w:rsid w:val="00972CEE"/>
    <w:rsid w:val="00974C04"/>
    <w:rsid w:val="0098756E"/>
    <w:rsid w:val="009876AC"/>
    <w:rsid w:val="00990E89"/>
    <w:rsid w:val="00990FAF"/>
    <w:rsid w:val="0099161B"/>
    <w:rsid w:val="00991AFC"/>
    <w:rsid w:val="0099389B"/>
    <w:rsid w:val="009940E1"/>
    <w:rsid w:val="0099493E"/>
    <w:rsid w:val="0099499B"/>
    <w:rsid w:val="00996646"/>
    <w:rsid w:val="009974B7"/>
    <w:rsid w:val="009A0299"/>
    <w:rsid w:val="009A1635"/>
    <w:rsid w:val="009A1CD3"/>
    <w:rsid w:val="009B3ECB"/>
    <w:rsid w:val="009B42C6"/>
    <w:rsid w:val="009B4BC1"/>
    <w:rsid w:val="009B4E4E"/>
    <w:rsid w:val="009B5FA7"/>
    <w:rsid w:val="009B6C6D"/>
    <w:rsid w:val="009C5D3E"/>
    <w:rsid w:val="009C63C3"/>
    <w:rsid w:val="009C736B"/>
    <w:rsid w:val="009D13CF"/>
    <w:rsid w:val="009E0A9F"/>
    <w:rsid w:val="009F1A17"/>
    <w:rsid w:val="009F4035"/>
    <w:rsid w:val="009F5188"/>
    <w:rsid w:val="009F5D54"/>
    <w:rsid w:val="00A0078B"/>
    <w:rsid w:val="00A10D69"/>
    <w:rsid w:val="00A20383"/>
    <w:rsid w:val="00A2354E"/>
    <w:rsid w:val="00A23A99"/>
    <w:rsid w:val="00A245DE"/>
    <w:rsid w:val="00A2638A"/>
    <w:rsid w:val="00A264BE"/>
    <w:rsid w:val="00A27E75"/>
    <w:rsid w:val="00A307B6"/>
    <w:rsid w:val="00A30999"/>
    <w:rsid w:val="00A31185"/>
    <w:rsid w:val="00A31612"/>
    <w:rsid w:val="00A316A1"/>
    <w:rsid w:val="00A32DEA"/>
    <w:rsid w:val="00A358C8"/>
    <w:rsid w:val="00A4433B"/>
    <w:rsid w:val="00A47D5E"/>
    <w:rsid w:val="00A57EF0"/>
    <w:rsid w:val="00A622FF"/>
    <w:rsid w:val="00A62ED5"/>
    <w:rsid w:val="00A70FDD"/>
    <w:rsid w:val="00A71B7D"/>
    <w:rsid w:val="00A75EDB"/>
    <w:rsid w:val="00A76F89"/>
    <w:rsid w:val="00A816F2"/>
    <w:rsid w:val="00A84703"/>
    <w:rsid w:val="00A84A33"/>
    <w:rsid w:val="00A8661D"/>
    <w:rsid w:val="00A8683F"/>
    <w:rsid w:val="00A868AE"/>
    <w:rsid w:val="00A925E2"/>
    <w:rsid w:val="00AA6029"/>
    <w:rsid w:val="00AB2213"/>
    <w:rsid w:val="00AB4901"/>
    <w:rsid w:val="00AC113B"/>
    <w:rsid w:val="00AC2C99"/>
    <w:rsid w:val="00AC5015"/>
    <w:rsid w:val="00AC6725"/>
    <w:rsid w:val="00AD69FE"/>
    <w:rsid w:val="00AE0121"/>
    <w:rsid w:val="00AE0AC6"/>
    <w:rsid w:val="00AE3AC0"/>
    <w:rsid w:val="00AE5F4E"/>
    <w:rsid w:val="00AF1527"/>
    <w:rsid w:val="00AF25A7"/>
    <w:rsid w:val="00AF3A72"/>
    <w:rsid w:val="00AF3EF5"/>
    <w:rsid w:val="00AF4C35"/>
    <w:rsid w:val="00AF6384"/>
    <w:rsid w:val="00AF7A03"/>
    <w:rsid w:val="00B01812"/>
    <w:rsid w:val="00B04621"/>
    <w:rsid w:val="00B12300"/>
    <w:rsid w:val="00B17BBF"/>
    <w:rsid w:val="00B21E1F"/>
    <w:rsid w:val="00B2361B"/>
    <w:rsid w:val="00B23D9D"/>
    <w:rsid w:val="00B32865"/>
    <w:rsid w:val="00B423B3"/>
    <w:rsid w:val="00B46683"/>
    <w:rsid w:val="00B512A3"/>
    <w:rsid w:val="00B52F71"/>
    <w:rsid w:val="00B61CB3"/>
    <w:rsid w:val="00B80463"/>
    <w:rsid w:val="00B8059B"/>
    <w:rsid w:val="00B80D06"/>
    <w:rsid w:val="00B84DC4"/>
    <w:rsid w:val="00B90703"/>
    <w:rsid w:val="00B90AD0"/>
    <w:rsid w:val="00BA3432"/>
    <w:rsid w:val="00BA659B"/>
    <w:rsid w:val="00BA7CDE"/>
    <w:rsid w:val="00BB5979"/>
    <w:rsid w:val="00BC32A9"/>
    <w:rsid w:val="00BC436F"/>
    <w:rsid w:val="00BC57C0"/>
    <w:rsid w:val="00BE62EA"/>
    <w:rsid w:val="00BF544E"/>
    <w:rsid w:val="00BF5836"/>
    <w:rsid w:val="00BF6605"/>
    <w:rsid w:val="00BF750A"/>
    <w:rsid w:val="00C02F86"/>
    <w:rsid w:val="00C06ED1"/>
    <w:rsid w:val="00C070D5"/>
    <w:rsid w:val="00C175F1"/>
    <w:rsid w:val="00C17C3B"/>
    <w:rsid w:val="00C26DA5"/>
    <w:rsid w:val="00C31230"/>
    <w:rsid w:val="00C32F0D"/>
    <w:rsid w:val="00C455F3"/>
    <w:rsid w:val="00C468E0"/>
    <w:rsid w:val="00C504D7"/>
    <w:rsid w:val="00C520FF"/>
    <w:rsid w:val="00C536B6"/>
    <w:rsid w:val="00C55121"/>
    <w:rsid w:val="00C612C5"/>
    <w:rsid w:val="00C8026B"/>
    <w:rsid w:val="00C8227C"/>
    <w:rsid w:val="00C90A83"/>
    <w:rsid w:val="00C9107D"/>
    <w:rsid w:val="00CA5B61"/>
    <w:rsid w:val="00CA5BB9"/>
    <w:rsid w:val="00CB38E7"/>
    <w:rsid w:val="00CB4396"/>
    <w:rsid w:val="00CD19A3"/>
    <w:rsid w:val="00CE328B"/>
    <w:rsid w:val="00CF0062"/>
    <w:rsid w:val="00CF2C47"/>
    <w:rsid w:val="00CF5E53"/>
    <w:rsid w:val="00D14F3C"/>
    <w:rsid w:val="00D247DF"/>
    <w:rsid w:val="00D31A63"/>
    <w:rsid w:val="00D360F6"/>
    <w:rsid w:val="00D41872"/>
    <w:rsid w:val="00D440A0"/>
    <w:rsid w:val="00D5126C"/>
    <w:rsid w:val="00D55654"/>
    <w:rsid w:val="00D64916"/>
    <w:rsid w:val="00D739F0"/>
    <w:rsid w:val="00D76BD6"/>
    <w:rsid w:val="00D83454"/>
    <w:rsid w:val="00D91852"/>
    <w:rsid w:val="00D93981"/>
    <w:rsid w:val="00D97F1B"/>
    <w:rsid w:val="00DA30AB"/>
    <w:rsid w:val="00DA30EB"/>
    <w:rsid w:val="00DA74B0"/>
    <w:rsid w:val="00DB029E"/>
    <w:rsid w:val="00DB6A89"/>
    <w:rsid w:val="00DB73A6"/>
    <w:rsid w:val="00DC1F54"/>
    <w:rsid w:val="00DC6879"/>
    <w:rsid w:val="00DD080E"/>
    <w:rsid w:val="00DD100B"/>
    <w:rsid w:val="00DD3E4E"/>
    <w:rsid w:val="00DE2C19"/>
    <w:rsid w:val="00DE4012"/>
    <w:rsid w:val="00DE481D"/>
    <w:rsid w:val="00DE4AC3"/>
    <w:rsid w:val="00DE5D4E"/>
    <w:rsid w:val="00DF1C91"/>
    <w:rsid w:val="00DF29FC"/>
    <w:rsid w:val="00DF358D"/>
    <w:rsid w:val="00DF48C8"/>
    <w:rsid w:val="00E02A7A"/>
    <w:rsid w:val="00E0620B"/>
    <w:rsid w:val="00E1350B"/>
    <w:rsid w:val="00E142C2"/>
    <w:rsid w:val="00E146CF"/>
    <w:rsid w:val="00E21464"/>
    <w:rsid w:val="00E271EB"/>
    <w:rsid w:val="00E31D82"/>
    <w:rsid w:val="00E31DCC"/>
    <w:rsid w:val="00E40460"/>
    <w:rsid w:val="00E45840"/>
    <w:rsid w:val="00E61832"/>
    <w:rsid w:val="00E64552"/>
    <w:rsid w:val="00E67D9B"/>
    <w:rsid w:val="00E70C91"/>
    <w:rsid w:val="00E80490"/>
    <w:rsid w:val="00E858DD"/>
    <w:rsid w:val="00E87CAF"/>
    <w:rsid w:val="00E90C3F"/>
    <w:rsid w:val="00E91BAB"/>
    <w:rsid w:val="00E92605"/>
    <w:rsid w:val="00E92788"/>
    <w:rsid w:val="00E946BF"/>
    <w:rsid w:val="00EB1EA0"/>
    <w:rsid w:val="00EC4FB6"/>
    <w:rsid w:val="00ED1F55"/>
    <w:rsid w:val="00ED4C0E"/>
    <w:rsid w:val="00EE1AF7"/>
    <w:rsid w:val="00EE5EEF"/>
    <w:rsid w:val="00EE645C"/>
    <w:rsid w:val="00EE71B8"/>
    <w:rsid w:val="00F00DAB"/>
    <w:rsid w:val="00F0568F"/>
    <w:rsid w:val="00F11171"/>
    <w:rsid w:val="00F21B84"/>
    <w:rsid w:val="00F220BA"/>
    <w:rsid w:val="00F23A6B"/>
    <w:rsid w:val="00F24EF7"/>
    <w:rsid w:val="00F25CC2"/>
    <w:rsid w:val="00F26EAA"/>
    <w:rsid w:val="00F3356D"/>
    <w:rsid w:val="00F41A72"/>
    <w:rsid w:val="00F45ADF"/>
    <w:rsid w:val="00F47080"/>
    <w:rsid w:val="00F528B8"/>
    <w:rsid w:val="00F60327"/>
    <w:rsid w:val="00F67548"/>
    <w:rsid w:val="00F71924"/>
    <w:rsid w:val="00F72A7A"/>
    <w:rsid w:val="00F7372E"/>
    <w:rsid w:val="00F73B54"/>
    <w:rsid w:val="00F74A0C"/>
    <w:rsid w:val="00F75FB7"/>
    <w:rsid w:val="00F80C6C"/>
    <w:rsid w:val="00F8222B"/>
    <w:rsid w:val="00F94158"/>
    <w:rsid w:val="00F96831"/>
    <w:rsid w:val="00FA2FFF"/>
    <w:rsid w:val="00FA40CD"/>
    <w:rsid w:val="00FA5527"/>
    <w:rsid w:val="00FC20A1"/>
    <w:rsid w:val="00FD0AB0"/>
    <w:rsid w:val="00FD1909"/>
    <w:rsid w:val="00FD2A61"/>
    <w:rsid w:val="00FD476A"/>
    <w:rsid w:val="00FD6147"/>
    <w:rsid w:val="00FE1B1B"/>
    <w:rsid w:val="00FF1DBC"/>
    <w:rsid w:val="00FF43E8"/>
    <w:rsid w:val="00FF4E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EF4487"/>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73242"/>
  </w:style>
  <w:style w:type="character" w:default="1" w:styleId="DefaultParagraphFont">
    <w:name w:val="Default Paragraph Font"/>
    <w:semiHidden/>
    <w:rsid w:val="007732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3242"/>
  </w:style>
  <w:style w:type="paragraph" w:styleId="Header">
    <w:name w:val="header"/>
    <w:basedOn w:val="Normal"/>
    <w:semiHidden/>
    <w:rsid w:val="00773242"/>
    <w:pPr>
      <w:tabs>
        <w:tab w:val="center" w:pos="4320"/>
        <w:tab w:val="right" w:pos="8640"/>
      </w:tabs>
    </w:pPr>
  </w:style>
  <w:style w:type="paragraph" w:styleId="Footer">
    <w:name w:val="footer"/>
    <w:basedOn w:val="Normal"/>
    <w:link w:val="FooterChar"/>
    <w:rsid w:val="00773242"/>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uiPriority w:val="99"/>
    <w:qFormat/>
    <w:rsid w:val="00340FD6"/>
    <w:pPr>
      <w:spacing w:after="120"/>
    </w:pPr>
  </w:style>
  <w:style w:type="character" w:customStyle="1" w:styleId="FootnoteTextChar">
    <w:name w:val="Footnote Text Char"/>
    <w:aliases w:val="ALTS FOOTNOTE Char,Footnote Text Char Char Char Char Char Char Char1,Footnote Text Char Char Char Char1,Footnote Text Char1 Char Char1,Footnote Text Char1 Char1,Footnote Text Char1 Char1 Char Char Char Char1,Footnote Text Char2 Char"/>
    <w:basedOn w:val="DefaultParagraphFont"/>
    <w:link w:val="FootnoteText"/>
    <w:uiPriority w:val="99"/>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customStyle="1" w:styleId="UnresolvedMention1">
    <w:name w:val="Unresolved Mention1"/>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 w:type="character" w:styleId="UnresolvedMention">
    <w:name w:val="Unresolved Mention"/>
    <w:basedOn w:val="DefaultParagraphFont"/>
    <w:uiPriority w:val="99"/>
    <w:rsid w:val="00951BC5"/>
    <w:rPr>
      <w:color w:val="605E5C"/>
      <w:shd w:val="clear" w:color="auto" w:fill="E1DFDD"/>
    </w:rPr>
  </w:style>
  <w:style w:type="character" w:styleId="Emphasis">
    <w:name w:val="Emphasis"/>
    <w:basedOn w:val="DefaultParagraphFont"/>
    <w:uiPriority w:val="20"/>
    <w:qFormat/>
    <w:rsid w:val="00DB029E"/>
    <w:rPr>
      <w:i/>
      <w:iCs/>
    </w:rPr>
  </w:style>
  <w:style w:type="character" w:customStyle="1" w:styleId="cosearchterm">
    <w:name w:val="co_searchterm"/>
    <w:basedOn w:val="DefaultParagraphFont"/>
    <w:rsid w:val="00B512A3"/>
  </w:style>
  <w:style w:type="character" w:customStyle="1" w:styleId="coconcept3139">
    <w:name w:val="co_concept_31_39"/>
    <w:basedOn w:val="DefaultParagraphFont"/>
    <w:rsid w:val="00FE1B1B"/>
  </w:style>
  <w:style w:type="character" w:customStyle="1" w:styleId="coconcept4453">
    <w:name w:val="co_concept_44_53"/>
    <w:basedOn w:val="DefaultParagraphFont"/>
    <w:rsid w:val="00FE1B1B"/>
  </w:style>
  <w:style w:type="character" w:customStyle="1" w:styleId="coconcept5559">
    <w:name w:val="co_concept_55_59"/>
    <w:basedOn w:val="DefaultParagraphFont"/>
    <w:rsid w:val="00FE1B1B"/>
  </w:style>
  <w:style w:type="character" w:customStyle="1" w:styleId="coconcept13">
    <w:name w:val="co_concept_1_3"/>
    <w:basedOn w:val="DefaultParagraphFont"/>
    <w:rsid w:val="00FE1B1B"/>
  </w:style>
  <w:style w:type="character" w:customStyle="1" w:styleId="coconcept812">
    <w:name w:val="co_concept_8_12"/>
    <w:basedOn w:val="DefaultParagraphFont"/>
    <w:rsid w:val="00FE1B1B"/>
  </w:style>
  <w:style w:type="character" w:customStyle="1" w:styleId="costarpage">
    <w:name w:val="co_starpage"/>
    <w:basedOn w:val="DefaultParagraphFont"/>
    <w:rsid w:val="00AB4901"/>
  </w:style>
  <w:style w:type="character" w:customStyle="1" w:styleId="copinpointicon">
    <w:name w:val="co_pinpointicon"/>
    <w:basedOn w:val="DefaultParagraphFont"/>
    <w:rsid w:val="00AB4901"/>
  </w:style>
  <w:style w:type="character" w:customStyle="1" w:styleId="FooterChar">
    <w:name w:val="Footer Char"/>
    <w:basedOn w:val="DefaultParagraphFont"/>
    <w:link w:val="Footer"/>
    <w:rsid w:val="0060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JA@COMMLAW.TV" TargetMode="External" /><Relationship Id="rId6" Type="http://schemas.openxmlformats.org/officeDocument/2006/relationships/hyperlink" Target="mailto:ckeiler@ethree.us"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