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474AA" w:rsidRPr="00B02A93" w:rsidP="0088295E" w14:paraId="30425195" w14:textId="412E097C">
      <w:pPr>
        <w:jc w:val="right"/>
        <w:rPr>
          <w:b/>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B02A93" w:rsidR="002351E7">
        <w:rPr>
          <w:b/>
        </w:rPr>
        <w:t xml:space="preserve">DA </w:t>
      </w:r>
      <w:r w:rsidR="002351E7">
        <w:rPr>
          <w:b/>
        </w:rPr>
        <w:t>2</w:t>
      </w:r>
      <w:r w:rsidR="00446101">
        <w:rPr>
          <w:b/>
        </w:rPr>
        <w:t>2</w:t>
      </w:r>
      <w:r w:rsidR="002351E7">
        <w:rPr>
          <w:b/>
        </w:rPr>
        <w:t>-</w:t>
      </w:r>
      <w:r w:rsidR="00B77A60">
        <w:rPr>
          <w:b/>
        </w:rPr>
        <w:t>1062</w:t>
      </w:r>
    </w:p>
    <w:p w:rsidR="003474AA" w:rsidRPr="00B02A93" w:rsidP="003474AA" w14:paraId="7B409D96" w14:textId="2D273A71">
      <w:pPr>
        <w:widowControl/>
        <w:suppressAutoHyphens/>
        <w:spacing w:after="240"/>
        <w:jc w:val="right"/>
        <w:rPr>
          <w:b/>
        </w:rPr>
      </w:pPr>
      <w:r w:rsidRPr="00B02A93">
        <w:rPr>
          <w:b/>
        </w:rPr>
        <w:t xml:space="preserve">Released:  </w:t>
      </w:r>
      <w:r w:rsidR="00CA4F9E">
        <w:rPr>
          <w:b/>
        </w:rPr>
        <w:t>October</w:t>
      </w:r>
      <w:r w:rsidR="007D73CD">
        <w:rPr>
          <w:b/>
        </w:rPr>
        <w:t xml:space="preserve"> 4</w:t>
      </w:r>
      <w:r>
        <w:rPr>
          <w:b/>
        </w:rPr>
        <w:t>, 202</w:t>
      </w:r>
      <w:r w:rsidR="001D13D1">
        <w:rPr>
          <w:b/>
        </w:rPr>
        <w:t>2</w:t>
      </w:r>
    </w:p>
    <w:p w:rsidR="00633D78" w:rsidP="00E86630" w14:paraId="78EA893C" w14:textId="77777777">
      <w:pPr>
        <w:autoSpaceDE w:val="0"/>
        <w:autoSpaceDN w:val="0"/>
        <w:adjustRightInd w:val="0"/>
        <w:ind w:left="-180" w:right="90"/>
        <w:jc w:val="center"/>
        <w:rPr>
          <w:b/>
          <w:bCs/>
          <w:szCs w:val="22"/>
        </w:rPr>
      </w:pPr>
      <w:r w:rsidRPr="00477B03">
        <w:rPr>
          <w:b/>
          <w:bCs/>
          <w:szCs w:val="22"/>
        </w:rPr>
        <w:t xml:space="preserve">DOMESTIC SECTION 214 APPLICATION FILED FOR THE TRANSFER OF CONTROL OF </w:t>
      </w:r>
      <w:r w:rsidRPr="00BB6C6A" w:rsidR="00BB6C6A">
        <w:rPr>
          <w:b/>
          <w:bCs/>
          <w:szCs w:val="22"/>
        </w:rPr>
        <w:t>SKYBEAM, LLC</w:t>
      </w:r>
      <w:r w:rsidR="002D7726">
        <w:rPr>
          <w:b/>
          <w:bCs/>
          <w:szCs w:val="22"/>
        </w:rPr>
        <w:t xml:space="preserve"> </w:t>
      </w:r>
      <w:r w:rsidR="000D7131">
        <w:rPr>
          <w:b/>
          <w:bCs/>
          <w:szCs w:val="22"/>
        </w:rPr>
        <w:t xml:space="preserve">AND AFFILIATES </w:t>
      </w:r>
      <w:r w:rsidRPr="00BB6C6A" w:rsidR="00BB6C6A">
        <w:rPr>
          <w:b/>
          <w:bCs/>
          <w:szCs w:val="22"/>
        </w:rPr>
        <w:t>TO GI DI IRIS ACQUISITION, INC.</w:t>
      </w:r>
    </w:p>
    <w:p w:rsidR="00E86630" w:rsidP="00E86630" w14:paraId="589FCBD7" w14:textId="77777777">
      <w:pPr>
        <w:autoSpaceDE w:val="0"/>
        <w:autoSpaceDN w:val="0"/>
        <w:adjustRightInd w:val="0"/>
        <w:jc w:val="center"/>
        <w:rPr>
          <w:b/>
          <w:szCs w:val="22"/>
        </w:rPr>
      </w:pPr>
    </w:p>
    <w:p w:rsidR="00E86630" w:rsidP="00E86630" w14:paraId="055BD97D" w14:textId="77777777">
      <w:pPr>
        <w:autoSpaceDE w:val="0"/>
        <w:autoSpaceDN w:val="0"/>
        <w:adjustRightInd w:val="0"/>
        <w:jc w:val="center"/>
        <w:rPr>
          <w:b/>
          <w:szCs w:val="22"/>
        </w:rPr>
      </w:pPr>
      <w:r w:rsidRPr="00B02A93">
        <w:rPr>
          <w:b/>
          <w:szCs w:val="22"/>
        </w:rPr>
        <w:t>WC Docket No. 2</w:t>
      </w:r>
      <w:r>
        <w:rPr>
          <w:b/>
          <w:szCs w:val="22"/>
        </w:rPr>
        <w:t>2-230</w:t>
      </w:r>
    </w:p>
    <w:p w:rsidR="00E86630" w:rsidP="00C976EA" w14:paraId="2FB356D8" w14:textId="77777777">
      <w:pPr>
        <w:autoSpaceDE w:val="0"/>
        <w:autoSpaceDN w:val="0"/>
        <w:adjustRightInd w:val="0"/>
        <w:ind w:left="-180" w:right="90"/>
        <w:jc w:val="center"/>
        <w:rPr>
          <w:b/>
          <w:bCs/>
          <w:szCs w:val="22"/>
        </w:rPr>
      </w:pPr>
    </w:p>
    <w:p w:rsidR="00E86630" w:rsidRPr="00341E03" w:rsidP="00C976EA" w14:paraId="0E176C6C" w14:textId="29489F75">
      <w:pPr>
        <w:autoSpaceDE w:val="0"/>
        <w:autoSpaceDN w:val="0"/>
        <w:adjustRightInd w:val="0"/>
        <w:ind w:left="-180" w:right="90"/>
        <w:jc w:val="center"/>
        <w:rPr>
          <w:b/>
          <w:bCs/>
          <w:szCs w:val="22"/>
        </w:rPr>
      </w:pPr>
      <w:r>
        <w:rPr>
          <w:b/>
          <w:bCs/>
          <w:szCs w:val="22"/>
        </w:rPr>
        <w:t xml:space="preserve">SECTION 310(b)(4) PETITION FOR DECLARATORY RULING </w:t>
      </w:r>
    </w:p>
    <w:p w:rsidR="003474AA" w:rsidRPr="00B02A93" w:rsidP="003474AA" w14:paraId="33A71771" w14:textId="77777777">
      <w:pPr>
        <w:autoSpaceDE w:val="0"/>
        <w:autoSpaceDN w:val="0"/>
        <w:adjustRightInd w:val="0"/>
        <w:rPr>
          <w:b/>
          <w:szCs w:val="22"/>
        </w:rPr>
      </w:pPr>
    </w:p>
    <w:p w:rsidR="00BE16AD" w:rsidP="003474AA" w14:paraId="2C3B2A56" w14:textId="621A03C6">
      <w:pPr>
        <w:autoSpaceDE w:val="0"/>
        <w:autoSpaceDN w:val="0"/>
        <w:adjustRightInd w:val="0"/>
        <w:jc w:val="center"/>
        <w:rPr>
          <w:b/>
          <w:bCs/>
          <w:szCs w:val="22"/>
        </w:rPr>
      </w:pPr>
      <w:r w:rsidRPr="00BE16AD">
        <w:rPr>
          <w:b/>
          <w:bCs/>
          <w:szCs w:val="22"/>
        </w:rPr>
        <w:t>IB File No.</w:t>
      </w:r>
      <w:r w:rsidRPr="00BE16AD">
        <w:rPr>
          <w:b/>
          <w:bCs/>
        </w:rPr>
        <w:t xml:space="preserve"> </w:t>
      </w:r>
      <w:r w:rsidRPr="00BE16AD">
        <w:rPr>
          <w:b/>
          <w:bCs/>
          <w:szCs w:val="22"/>
        </w:rPr>
        <w:t>ISP-PDR-</w:t>
      </w:r>
      <w:r w:rsidRPr="00C93BC0" w:rsidR="00C93BC0">
        <w:rPr>
          <w:b/>
          <w:bCs/>
          <w:szCs w:val="22"/>
        </w:rPr>
        <w:t>20220610-00004</w:t>
      </w:r>
    </w:p>
    <w:p w:rsidR="00E86630" w:rsidP="003474AA" w14:paraId="74D3E860" w14:textId="77777777">
      <w:pPr>
        <w:autoSpaceDE w:val="0"/>
        <w:autoSpaceDN w:val="0"/>
        <w:adjustRightInd w:val="0"/>
        <w:jc w:val="center"/>
        <w:rPr>
          <w:b/>
          <w:bCs/>
          <w:szCs w:val="22"/>
        </w:rPr>
      </w:pPr>
    </w:p>
    <w:p w:rsidR="00E86630" w:rsidRPr="00477B03" w:rsidP="00E86630" w14:paraId="0086A17E" w14:textId="77777777">
      <w:pPr>
        <w:autoSpaceDE w:val="0"/>
        <w:autoSpaceDN w:val="0"/>
        <w:adjustRightInd w:val="0"/>
        <w:jc w:val="center"/>
        <w:rPr>
          <w:b/>
          <w:szCs w:val="22"/>
        </w:rPr>
      </w:pPr>
      <w:r w:rsidRPr="00477B03">
        <w:rPr>
          <w:b/>
          <w:szCs w:val="22"/>
        </w:rPr>
        <w:t>PLEADING CYCLE ESTABLISHED</w:t>
      </w:r>
    </w:p>
    <w:p w:rsidR="003474AA" w:rsidP="003474AA" w14:paraId="47EE0091" w14:textId="77777777">
      <w:pPr>
        <w:autoSpaceDE w:val="0"/>
        <w:autoSpaceDN w:val="0"/>
        <w:adjustRightInd w:val="0"/>
        <w:jc w:val="center"/>
        <w:rPr>
          <w:b/>
          <w:szCs w:val="22"/>
        </w:rPr>
      </w:pPr>
    </w:p>
    <w:p w:rsidR="003474AA" w:rsidP="003474AA" w14:paraId="10989172" w14:textId="2DCA20BB">
      <w:pPr>
        <w:pStyle w:val="NoSpacing"/>
        <w:rPr>
          <w:b/>
          <w:szCs w:val="22"/>
        </w:rPr>
      </w:pPr>
      <w:r w:rsidRPr="005B2105">
        <w:rPr>
          <w:b/>
          <w:szCs w:val="22"/>
        </w:rPr>
        <w:t xml:space="preserve">Comments Due:  </w:t>
      </w:r>
      <w:r w:rsidR="007D73CD">
        <w:rPr>
          <w:b/>
          <w:szCs w:val="22"/>
        </w:rPr>
        <w:t>November 3,</w:t>
      </w:r>
      <w:r w:rsidRPr="005B2105">
        <w:rPr>
          <w:b/>
          <w:szCs w:val="22"/>
        </w:rPr>
        <w:t xml:space="preserve"> 202</w:t>
      </w:r>
      <w:r>
        <w:rPr>
          <w:b/>
          <w:szCs w:val="22"/>
        </w:rPr>
        <w:t xml:space="preserve">2 </w:t>
      </w:r>
    </w:p>
    <w:p w:rsidR="003474AA" w:rsidRPr="005B2105" w:rsidP="003474AA" w14:paraId="48108E64" w14:textId="5EEFF881">
      <w:pPr>
        <w:pStyle w:val="NoSpacing"/>
        <w:rPr>
          <w:b/>
          <w:szCs w:val="22"/>
        </w:rPr>
      </w:pPr>
      <w:r>
        <w:rPr>
          <w:b/>
          <w:szCs w:val="22"/>
        </w:rPr>
        <w:t xml:space="preserve">Reply Comment Due:  </w:t>
      </w:r>
      <w:r w:rsidR="007D73CD">
        <w:rPr>
          <w:b/>
          <w:szCs w:val="22"/>
        </w:rPr>
        <w:t>November 18</w:t>
      </w:r>
      <w:r>
        <w:rPr>
          <w:b/>
          <w:szCs w:val="22"/>
        </w:rPr>
        <w:t xml:space="preserve">, 2022 </w:t>
      </w:r>
    </w:p>
    <w:p w:rsidR="00E91E34" w:rsidP="00446F0A" w14:paraId="3E337336" w14:textId="77777777">
      <w:pPr>
        <w:widowControl/>
        <w:autoSpaceDE w:val="0"/>
        <w:autoSpaceDN w:val="0"/>
        <w:adjustRightInd w:val="0"/>
        <w:spacing w:after="120"/>
        <w:rPr>
          <w:snapToGrid/>
          <w:kern w:val="0"/>
          <w:szCs w:val="22"/>
        </w:rPr>
      </w:pPr>
    </w:p>
    <w:p w:rsidR="00E577AE" w:rsidRPr="00AC1D52" w:rsidP="000B6E77" w14:paraId="56D7B323" w14:textId="1E5F60F5">
      <w:pPr>
        <w:widowControl/>
        <w:autoSpaceDE w:val="0"/>
        <w:autoSpaceDN w:val="0"/>
        <w:adjustRightInd w:val="0"/>
        <w:spacing w:after="120"/>
        <w:ind w:firstLine="720"/>
        <w:rPr>
          <w:snapToGrid/>
          <w:kern w:val="0"/>
          <w:szCs w:val="22"/>
        </w:rPr>
      </w:pPr>
      <w:r w:rsidRPr="0077152F">
        <w:rPr>
          <w:snapToGrid/>
          <w:kern w:val="0"/>
          <w:szCs w:val="22"/>
        </w:rPr>
        <w:t>By this Public Notice, the Wireline Competition Bureau</w:t>
      </w:r>
      <w:r w:rsidR="00F0754B">
        <w:rPr>
          <w:snapToGrid/>
          <w:kern w:val="0"/>
          <w:szCs w:val="22"/>
        </w:rPr>
        <w:t xml:space="preserve"> </w:t>
      </w:r>
      <w:r w:rsidRPr="0077152F">
        <w:rPr>
          <w:snapToGrid/>
          <w:kern w:val="0"/>
          <w:szCs w:val="22"/>
        </w:rPr>
        <w:t>seek</w:t>
      </w:r>
      <w:r w:rsidR="007630A4">
        <w:rPr>
          <w:snapToGrid/>
          <w:kern w:val="0"/>
          <w:szCs w:val="22"/>
        </w:rPr>
        <w:t>s</w:t>
      </w:r>
      <w:r w:rsidRPr="0077152F">
        <w:rPr>
          <w:snapToGrid/>
          <w:kern w:val="0"/>
          <w:szCs w:val="22"/>
        </w:rPr>
        <w:t xml:space="preserve"> comment from interested parties on an application filed by </w:t>
      </w:r>
      <w:bookmarkStart w:id="0" w:name="_Hlk87961388"/>
      <w:r w:rsidR="00E85BB6">
        <w:rPr>
          <w:snapToGrid/>
          <w:kern w:val="0"/>
          <w:szCs w:val="22"/>
        </w:rPr>
        <w:t>JAB Wireless, Inc. (</w:t>
      </w:r>
      <w:r w:rsidR="00BB6C6A">
        <w:rPr>
          <w:snapToGrid/>
          <w:kern w:val="0"/>
          <w:szCs w:val="22"/>
        </w:rPr>
        <w:t>JAB Wireless</w:t>
      </w:r>
      <w:r w:rsidR="00E85BB6">
        <w:rPr>
          <w:snapToGrid/>
          <w:kern w:val="0"/>
          <w:szCs w:val="22"/>
        </w:rPr>
        <w:t>), Skybeam, LLC, AirCano</w:t>
      </w:r>
      <w:r w:rsidR="0004566F">
        <w:rPr>
          <w:snapToGrid/>
          <w:kern w:val="0"/>
          <w:szCs w:val="22"/>
        </w:rPr>
        <w:t>p</w:t>
      </w:r>
      <w:r w:rsidR="00E85BB6">
        <w:rPr>
          <w:snapToGrid/>
          <w:kern w:val="0"/>
          <w:szCs w:val="22"/>
        </w:rPr>
        <w:t>y Internet Services, Inc. (AirCanopy), and Essex Telcom, Inc. (Essex</w:t>
      </w:r>
      <w:r w:rsidR="008B0339">
        <w:rPr>
          <w:snapToGrid/>
          <w:kern w:val="0"/>
          <w:szCs w:val="22"/>
        </w:rPr>
        <w:t xml:space="preserve">, together with </w:t>
      </w:r>
      <w:r w:rsidR="00E85BB6">
        <w:rPr>
          <w:snapToGrid/>
          <w:kern w:val="0"/>
          <w:szCs w:val="22"/>
        </w:rPr>
        <w:t>Skybeam</w:t>
      </w:r>
      <w:r w:rsidR="00B95B6A">
        <w:rPr>
          <w:snapToGrid/>
          <w:kern w:val="0"/>
          <w:szCs w:val="22"/>
        </w:rPr>
        <w:t>, LLC</w:t>
      </w:r>
      <w:r w:rsidR="008B0339">
        <w:rPr>
          <w:snapToGrid/>
          <w:kern w:val="0"/>
          <w:szCs w:val="22"/>
        </w:rPr>
        <w:t xml:space="preserve"> and</w:t>
      </w:r>
      <w:r w:rsidR="00E85BB6">
        <w:rPr>
          <w:snapToGrid/>
          <w:kern w:val="0"/>
          <w:szCs w:val="22"/>
        </w:rPr>
        <w:t xml:space="preserve"> AirCanopy</w:t>
      </w:r>
      <w:r w:rsidR="008B0339">
        <w:rPr>
          <w:snapToGrid/>
          <w:kern w:val="0"/>
          <w:szCs w:val="22"/>
        </w:rPr>
        <w:t>,</w:t>
      </w:r>
      <w:r w:rsidR="003C5C3C">
        <w:rPr>
          <w:snapToGrid/>
          <w:kern w:val="0"/>
          <w:szCs w:val="22"/>
        </w:rPr>
        <w:t xml:space="preserve"> </w:t>
      </w:r>
      <w:r w:rsidR="00E85BB6">
        <w:rPr>
          <w:snapToGrid/>
          <w:kern w:val="0"/>
          <w:szCs w:val="22"/>
        </w:rPr>
        <w:t xml:space="preserve">the </w:t>
      </w:r>
      <w:r w:rsidR="00812B2B">
        <w:rPr>
          <w:snapToGrid/>
          <w:kern w:val="0"/>
          <w:szCs w:val="22"/>
        </w:rPr>
        <w:t xml:space="preserve">Domestic </w:t>
      </w:r>
      <w:r w:rsidR="008B3434">
        <w:rPr>
          <w:snapToGrid/>
          <w:kern w:val="0"/>
          <w:szCs w:val="22"/>
        </w:rPr>
        <w:t xml:space="preserve">214 </w:t>
      </w:r>
      <w:r w:rsidR="008B49F6">
        <w:rPr>
          <w:snapToGrid/>
          <w:kern w:val="0"/>
          <w:szCs w:val="22"/>
        </w:rPr>
        <w:t>Authorization Holders</w:t>
      </w:r>
      <w:r w:rsidR="00E85BB6">
        <w:rPr>
          <w:snapToGrid/>
          <w:kern w:val="0"/>
          <w:szCs w:val="22"/>
        </w:rPr>
        <w:t>)</w:t>
      </w:r>
      <w:r w:rsidR="00BB6C6A">
        <w:rPr>
          <w:snapToGrid/>
          <w:kern w:val="0"/>
          <w:szCs w:val="22"/>
        </w:rPr>
        <w:t>,</w:t>
      </w:r>
      <w:r w:rsidR="00E85BB6">
        <w:rPr>
          <w:snapToGrid/>
          <w:kern w:val="0"/>
          <w:szCs w:val="22"/>
        </w:rPr>
        <w:t xml:space="preserve"> and GI DI Iris Acquisition Inc. (</w:t>
      </w:r>
      <w:r w:rsidR="00BB6C6A">
        <w:rPr>
          <w:snapToGrid/>
          <w:kern w:val="0"/>
          <w:szCs w:val="22"/>
        </w:rPr>
        <w:t>GI DI Iris Acquisition</w:t>
      </w:r>
      <w:r w:rsidR="008B0339">
        <w:rPr>
          <w:snapToGrid/>
          <w:kern w:val="0"/>
          <w:szCs w:val="22"/>
        </w:rPr>
        <w:t xml:space="preserve">, </w:t>
      </w:r>
      <w:r w:rsidR="004D58FD">
        <w:rPr>
          <w:snapToGrid/>
          <w:kern w:val="0"/>
          <w:szCs w:val="22"/>
        </w:rPr>
        <w:t xml:space="preserve">together with JAB Wireless and </w:t>
      </w:r>
      <w:r w:rsidR="008B0339">
        <w:rPr>
          <w:snapToGrid/>
          <w:kern w:val="0"/>
          <w:szCs w:val="22"/>
        </w:rPr>
        <w:t xml:space="preserve">the </w:t>
      </w:r>
      <w:r w:rsidR="002E58B0">
        <w:rPr>
          <w:snapToGrid/>
          <w:kern w:val="0"/>
          <w:szCs w:val="22"/>
        </w:rPr>
        <w:t xml:space="preserve">Domestic 214 </w:t>
      </w:r>
      <w:r w:rsidR="008B49F6">
        <w:rPr>
          <w:snapToGrid/>
          <w:kern w:val="0"/>
          <w:szCs w:val="22"/>
        </w:rPr>
        <w:t>Authorization Holders</w:t>
      </w:r>
      <w:r w:rsidR="00E85BB6">
        <w:rPr>
          <w:snapToGrid/>
          <w:kern w:val="0"/>
          <w:szCs w:val="22"/>
        </w:rPr>
        <w:t>, Applicants)</w:t>
      </w:r>
      <w:bookmarkEnd w:id="0"/>
      <w:r w:rsidRPr="0077152F">
        <w:rPr>
          <w:snapToGrid/>
          <w:kern w:val="0"/>
          <w:szCs w:val="22"/>
        </w:rPr>
        <w:t xml:space="preserve">, pursuant to section 214 of the </w:t>
      </w:r>
      <w:r w:rsidRPr="00AC1D52">
        <w:rPr>
          <w:snapToGrid/>
          <w:kern w:val="0"/>
          <w:szCs w:val="22"/>
        </w:rPr>
        <w:t xml:space="preserve">Communications </w:t>
      </w:r>
      <w:r w:rsidRPr="00D73A39">
        <w:rPr>
          <w:snapToGrid/>
          <w:kern w:val="0"/>
          <w:szCs w:val="22"/>
        </w:rPr>
        <w:t>Act</w:t>
      </w:r>
      <w:r w:rsidRPr="00AC1D52">
        <w:rPr>
          <w:snapToGrid/>
          <w:kern w:val="0"/>
          <w:szCs w:val="22"/>
        </w:rPr>
        <w:t xml:space="preserve"> of 1934, as amended</w:t>
      </w:r>
      <w:r w:rsidRPr="00AC1D52" w:rsidR="00152B83">
        <w:rPr>
          <w:snapToGrid/>
          <w:kern w:val="0"/>
          <w:szCs w:val="22"/>
        </w:rPr>
        <w:t xml:space="preserve"> (the Act)</w:t>
      </w:r>
      <w:r w:rsidRPr="00AC1D52">
        <w:rPr>
          <w:snapToGrid/>
          <w:kern w:val="0"/>
          <w:szCs w:val="22"/>
        </w:rPr>
        <w:t xml:space="preserve">, and sections 63.03-04 of the Commission’s rules, requesting </w:t>
      </w:r>
      <w:r w:rsidRPr="00AC1D52" w:rsidR="00A3243E">
        <w:rPr>
          <w:snapToGrid/>
          <w:kern w:val="0"/>
          <w:szCs w:val="22"/>
        </w:rPr>
        <w:t>approval</w:t>
      </w:r>
      <w:r w:rsidRPr="00AC1D52" w:rsidR="002A0A73">
        <w:rPr>
          <w:snapToGrid/>
          <w:kern w:val="0"/>
          <w:szCs w:val="22"/>
        </w:rPr>
        <w:t xml:space="preserve"> for the </w:t>
      </w:r>
      <w:r w:rsidRPr="00AC1D52" w:rsidR="00E73F37">
        <w:rPr>
          <w:snapToGrid/>
          <w:kern w:val="0"/>
          <w:szCs w:val="22"/>
        </w:rPr>
        <w:t>t</w:t>
      </w:r>
      <w:r w:rsidRPr="00AC1D52" w:rsidR="005A029F">
        <w:rPr>
          <w:snapToGrid/>
          <w:kern w:val="0"/>
          <w:szCs w:val="22"/>
        </w:rPr>
        <w:t>ransfer</w:t>
      </w:r>
      <w:r w:rsidRPr="00AC1D52" w:rsidR="00861AB3">
        <w:rPr>
          <w:snapToGrid/>
          <w:kern w:val="0"/>
          <w:szCs w:val="22"/>
        </w:rPr>
        <w:t xml:space="preserve"> of</w:t>
      </w:r>
      <w:r w:rsidRPr="00AC1D52" w:rsidR="005A029F">
        <w:rPr>
          <w:snapToGrid/>
          <w:kern w:val="0"/>
          <w:szCs w:val="22"/>
        </w:rPr>
        <w:t xml:space="preserve"> control of </w:t>
      </w:r>
      <w:r w:rsidRPr="00AC1D52" w:rsidR="00EC2190">
        <w:rPr>
          <w:snapToGrid/>
          <w:kern w:val="0"/>
          <w:szCs w:val="22"/>
        </w:rPr>
        <w:t xml:space="preserve">the </w:t>
      </w:r>
      <w:r w:rsidR="00DC2D93">
        <w:rPr>
          <w:snapToGrid/>
          <w:kern w:val="0"/>
          <w:szCs w:val="22"/>
        </w:rPr>
        <w:t>Domestic 214 Authorization Holders</w:t>
      </w:r>
      <w:r w:rsidRPr="00AC1D52" w:rsidR="004D58FD">
        <w:rPr>
          <w:snapToGrid/>
          <w:kern w:val="0"/>
          <w:szCs w:val="22"/>
        </w:rPr>
        <w:t xml:space="preserve"> to GI DI Iris Acquisition.</w:t>
      </w:r>
      <w:r>
        <w:rPr>
          <w:rStyle w:val="FootnoteReference"/>
          <w:snapToGrid/>
          <w:kern w:val="0"/>
          <w:szCs w:val="22"/>
        </w:rPr>
        <w:footnoteReference w:id="3"/>
      </w:r>
      <w:r w:rsidRPr="00AC1D52" w:rsidR="009E6C1B">
        <w:rPr>
          <w:snapToGrid/>
          <w:kern w:val="0"/>
          <w:szCs w:val="22"/>
        </w:rPr>
        <w:t xml:space="preserve"> </w:t>
      </w:r>
      <w:r w:rsidRPr="00AC1D52">
        <w:rPr>
          <w:snapToGrid/>
          <w:kern w:val="0"/>
          <w:szCs w:val="22"/>
        </w:rPr>
        <w:t xml:space="preserve"> </w:t>
      </w:r>
    </w:p>
    <w:p w:rsidR="00D30B5A" w:rsidP="00D73A39" w14:paraId="2C001B5C" w14:textId="237766FF">
      <w:pPr>
        <w:pStyle w:val="CommentText"/>
        <w:ind w:firstLine="720"/>
        <w:rPr>
          <w:snapToGrid/>
          <w:kern w:val="0"/>
          <w:szCs w:val="22"/>
        </w:rPr>
      </w:pPr>
      <w:r w:rsidRPr="00D73A39">
        <w:rPr>
          <w:snapToGrid/>
          <w:kern w:val="0"/>
          <w:sz w:val="22"/>
          <w:szCs w:val="22"/>
        </w:rPr>
        <w:t xml:space="preserve">The International Bureau also seeks comment on </w:t>
      </w:r>
      <w:r w:rsidRPr="00D73A39" w:rsidR="00E577AE">
        <w:rPr>
          <w:snapToGrid/>
          <w:kern w:val="0"/>
          <w:sz w:val="22"/>
          <w:szCs w:val="22"/>
        </w:rPr>
        <w:t xml:space="preserve">a </w:t>
      </w:r>
      <w:r w:rsidRPr="00D73A39">
        <w:rPr>
          <w:snapToGrid/>
          <w:kern w:val="0"/>
          <w:sz w:val="22"/>
          <w:szCs w:val="22"/>
        </w:rPr>
        <w:t xml:space="preserve">petition for declaratory ruling </w:t>
      </w:r>
      <w:r w:rsidRPr="00D73A39" w:rsidR="00E577AE">
        <w:rPr>
          <w:snapToGrid/>
          <w:kern w:val="0"/>
          <w:sz w:val="22"/>
          <w:szCs w:val="22"/>
        </w:rPr>
        <w:t xml:space="preserve">filed by </w:t>
      </w:r>
      <w:r w:rsidRPr="00D73A39" w:rsidR="0030587D">
        <w:rPr>
          <w:snapToGrid/>
          <w:kern w:val="0"/>
          <w:sz w:val="22"/>
          <w:szCs w:val="22"/>
        </w:rPr>
        <w:t>J</w:t>
      </w:r>
      <w:r w:rsidRPr="00D73A39" w:rsidR="00B95B6A">
        <w:rPr>
          <w:snapToGrid/>
          <w:kern w:val="0"/>
          <w:sz w:val="22"/>
          <w:szCs w:val="22"/>
        </w:rPr>
        <w:t>AB</w:t>
      </w:r>
      <w:r w:rsidRPr="00D73A39" w:rsidR="0030587D">
        <w:rPr>
          <w:snapToGrid/>
          <w:kern w:val="0"/>
          <w:sz w:val="22"/>
          <w:szCs w:val="22"/>
        </w:rPr>
        <w:t xml:space="preserve"> Wireless</w:t>
      </w:r>
      <w:r w:rsidRPr="00D73A39" w:rsidR="009A0973">
        <w:rPr>
          <w:snapToGrid/>
          <w:kern w:val="0"/>
          <w:sz w:val="22"/>
          <w:szCs w:val="22"/>
        </w:rPr>
        <w:t xml:space="preserve"> </w:t>
      </w:r>
      <w:r w:rsidRPr="00D73A39" w:rsidR="00E91C5F">
        <w:rPr>
          <w:snapToGrid/>
          <w:kern w:val="0"/>
          <w:sz w:val="22"/>
          <w:szCs w:val="22"/>
        </w:rPr>
        <w:t xml:space="preserve">and GI DI Iris Acquisition </w:t>
      </w:r>
      <w:r w:rsidRPr="00D73A39" w:rsidR="0030587D">
        <w:rPr>
          <w:snapToGrid/>
          <w:kern w:val="0"/>
          <w:sz w:val="22"/>
          <w:szCs w:val="22"/>
        </w:rPr>
        <w:t>(</w:t>
      </w:r>
      <w:r w:rsidRPr="00D73A39" w:rsidR="00E91C5F">
        <w:rPr>
          <w:snapToGrid/>
          <w:kern w:val="0"/>
          <w:sz w:val="22"/>
          <w:szCs w:val="22"/>
        </w:rPr>
        <w:t>together</w:t>
      </w:r>
      <w:r w:rsidR="00DC2D93">
        <w:rPr>
          <w:snapToGrid/>
          <w:kern w:val="0"/>
          <w:sz w:val="22"/>
          <w:szCs w:val="22"/>
        </w:rPr>
        <w:t>,</w:t>
      </w:r>
      <w:r w:rsidRPr="00D73A39" w:rsidR="00E91C5F">
        <w:rPr>
          <w:snapToGrid/>
          <w:kern w:val="0"/>
          <w:sz w:val="22"/>
          <w:szCs w:val="22"/>
        </w:rPr>
        <w:t xml:space="preserve"> </w:t>
      </w:r>
      <w:r w:rsidRPr="00D73A39" w:rsidR="0030587D">
        <w:rPr>
          <w:snapToGrid/>
          <w:kern w:val="0"/>
          <w:sz w:val="22"/>
          <w:szCs w:val="22"/>
        </w:rPr>
        <w:t>Petitioner</w:t>
      </w:r>
      <w:r w:rsidRPr="00D73A39" w:rsidR="00E91C5F">
        <w:rPr>
          <w:snapToGrid/>
          <w:kern w:val="0"/>
          <w:sz w:val="22"/>
          <w:szCs w:val="22"/>
        </w:rPr>
        <w:t>s</w:t>
      </w:r>
      <w:r w:rsidRPr="00D73A39" w:rsidR="0030587D">
        <w:rPr>
          <w:snapToGrid/>
          <w:kern w:val="0"/>
          <w:sz w:val="22"/>
          <w:szCs w:val="22"/>
        </w:rPr>
        <w:t>)</w:t>
      </w:r>
      <w:r w:rsidRPr="00D73A39" w:rsidR="00E91C5F">
        <w:rPr>
          <w:snapToGrid/>
          <w:kern w:val="0"/>
          <w:sz w:val="22"/>
          <w:szCs w:val="22"/>
        </w:rPr>
        <w:t xml:space="preserve"> </w:t>
      </w:r>
      <w:r w:rsidRPr="00D73A39" w:rsidR="0030587D">
        <w:rPr>
          <w:snapToGrid/>
          <w:kern w:val="0"/>
          <w:sz w:val="22"/>
          <w:szCs w:val="22"/>
        </w:rPr>
        <w:t xml:space="preserve"> </w:t>
      </w:r>
      <w:r w:rsidRPr="00D73A39">
        <w:rPr>
          <w:snapToGrid/>
          <w:kern w:val="0"/>
          <w:sz w:val="22"/>
          <w:szCs w:val="22"/>
        </w:rPr>
        <w:t xml:space="preserve">to permit foreign investment in </w:t>
      </w:r>
      <w:r w:rsidRPr="00D73A39" w:rsidR="00DB53DD">
        <w:rPr>
          <w:snapToGrid/>
          <w:kern w:val="0"/>
          <w:sz w:val="22"/>
          <w:szCs w:val="22"/>
        </w:rPr>
        <w:t xml:space="preserve">JAB Wireless, </w:t>
      </w:r>
      <w:r w:rsidRPr="00D73A39" w:rsidR="00AA6DF7">
        <w:rPr>
          <w:snapToGrid/>
          <w:kern w:val="0"/>
          <w:sz w:val="22"/>
          <w:szCs w:val="22"/>
        </w:rPr>
        <w:t xml:space="preserve">the </w:t>
      </w:r>
      <w:r w:rsidRPr="00D73A39" w:rsidR="00AA6DF7">
        <w:rPr>
          <w:snapToGrid/>
          <w:kern w:val="0"/>
          <w:sz w:val="22"/>
        </w:rPr>
        <w:t>controlling U.S. parent</w:t>
      </w:r>
      <w:r w:rsidRPr="00D73A39" w:rsidR="00DB53DD">
        <w:rPr>
          <w:snapToGrid/>
          <w:kern w:val="0"/>
          <w:sz w:val="22"/>
        </w:rPr>
        <w:t xml:space="preserve"> of </w:t>
      </w:r>
      <w:r w:rsidRPr="00D73A39" w:rsidR="008501F8">
        <w:rPr>
          <w:snapToGrid/>
          <w:kern w:val="0"/>
          <w:sz w:val="22"/>
          <w:szCs w:val="22"/>
        </w:rPr>
        <w:t>Digis, LLC, LP Broadband, Inc., Rhino Communications, Inc., Skybeam Acquisition Corporation, Skybeam, LLC</w:t>
      </w:r>
      <w:r w:rsidRPr="00D73A39" w:rsidR="00F32ED2">
        <w:rPr>
          <w:snapToGrid/>
          <w:kern w:val="0"/>
          <w:sz w:val="22"/>
          <w:szCs w:val="22"/>
        </w:rPr>
        <w:t xml:space="preserve">, AirCanopy, and Essex </w:t>
      </w:r>
      <w:r w:rsidRPr="00D73A39" w:rsidR="008501F8">
        <w:rPr>
          <w:snapToGrid/>
          <w:kern w:val="0"/>
          <w:sz w:val="22"/>
          <w:szCs w:val="22"/>
        </w:rPr>
        <w:t xml:space="preserve">(collectively, </w:t>
      </w:r>
      <w:r w:rsidRPr="00D73A39" w:rsidR="00F32ED2">
        <w:rPr>
          <w:snapToGrid/>
          <w:kern w:val="0"/>
          <w:sz w:val="22"/>
          <w:szCs w:val="22"/>
        </w:rPr>
        <w:t xml:space="preserve">Wireless </w:t>
      </w:r>
      <w:r w:rsidRPr="00D73A39" w:rsidR="008501F8">
        <w:rPr>
          <w:snapToGrid/>
          <w:kern w:val="0"/>
          <w:sz w:val="22"/>
          <w:szCs w:val="22"/>
        </w:rPr>
        <w:t>Licensees)</w:t>
      </w:r>
      <w:r w:rsidRPr="00D73A39" w:rsidR="00F32ED2">
        <w:rPr>
          <w:snapToGrid/>
          <w:kern w:val="0"/>
          <w:sz w:val="22"/>
          <w:szCs w:val="22"/>
        </w:rPr>
        <w:t>,</w:t>
      </w:r>
      <w:r w:rsidRPr="00D73A39" w:rsidR="008501F8">
        <w:rPr>
          <w:snapToGrid/>
          <w:kern w:val="0"/>
          <w:sz w:val="22"/>
          <w:szCs w:val="22"/>
        </w:rPr>
        <w:t xml:space="preserve"> </w:t>
      </w:r>
      <w:r w:rsidRPr="00D73A39">
        <w:rPr>
          <w:snapToGrid/>
          <w:kern w:val="0"/>
          <w:sz w:val="22"/>
          <w:szCs w:val="22"/>
        </w:rPr>
        <w:t>above the 25% benchmark</w:t>
      </w:r>
      <w:r w:rsidRPr="00D73A39" w:rsidR="001E2CC9">
        <w:rPr>
          <w:snapToGrid/>
          <w:kern w:val="0"/>
          <w:sz w:val="22"/>
          <w:szCs w:val="22"/>
        </w:rPr>
        <w:t>s</w:t>
      </w:r>
      <w:r w:rsidRPr="00D73A39">
        <w:rPr>
          <w:snapToGrid/>
          <w:kern w:val="0"/>
          <w:sz w:val="22"/>
          <w:szCs w:val="22"/>
        </w:rPr>
        <w:t xml:space="preserve"> in section 310(b)(4) of the Act</w:t>
      </w:r>
      <w:r w:rsidRPr="00D73A39" w:rsidR="00C85FE6">
        <w:rPr>
          <w:snapToGrid/>
          <w:kern w:val="0"/>
          <w:sz w:val="22"/>
          <w:szCs w:val="22"/>
        </w:rPr>
        <w:t xml:space="preserve"> </w:t>
      </w:r>
      <w:r w:rsidRPr="00D73A39">
        <w:rPr>
          <w:snapToGrid/>
          <w:kern w:val="0"/>
          <w:sz w:val="22"/>
          <w:szCs w:val="22"/>
        </w:rPr>
        <w:t>and section 1.5000(a)(1) of the Commission’s rules.</w:t>
      </w:r>
      <w:r>
        <w:rPr>
          <w:snapToGrid/>
          <w:kern w:val="0"/>
          <w:sz w:val="22"/>
          <w:szCs w:val="22"/>
          <w:vertAlign w:val="superscript"/>
        </w:rPr>
        <w:footnoteReference w:id="4"/>
      </w:r>
    </w:p>
    <w:p w:rsidR="009A07AD" w:rsidRPr="009A07AD" w:rsidP="009A07AD" w14:paraId="1B266381" w14:textId="2B1C8668">
      <w:pPr>
        <w:widowControl/>
        <w:autoSpaceDE w:val="0"/>
        <w:autoSpaceDN w:val="0"/>
        <w:adjustRightInd w:val="0"/>
        <w:spacing w:after="120"/>
        <w:rPr>
          <w:snapToGrid/>
          <w:kern w:val="0"/>
          <w:szCs w:val="22"/>
          <w:u w:val="single"/>
        </w:rPr>
      </w:pPr>
      <w:r>
        <w:rPr>
          <w:snapToGrid/>
          <w:kern w:val="0"/>
          <w:szCs w:val="22"/>
          <w:u w:val="single"/>
        </w:rPr>
        <w:t xml:space="preserve">Domestic 214 </w:t>
      </w:r>
      <w:r w:rsidR="008B49F6">
        <w:rPr>
          <w:snapToGrid/>
          <w:kern w:val="0"/>
          <w:szCs w:val="22"/>
          <w:u w:val="single"/>
        </w:rPr>
        <w:t>Authorization Holders</w:t>
      </w:r>
    </w:p>
    <w:p w:rsidR="00A021BA" w:rsidP="00A021BA" w14:paraId="2AC3FF7E" w14:textId="2C60E99E">
      <w:pPr>
        <w:widowControl/>
        <w:autoSpaceDE w:val="0"/>
        <w:autoSpaceDN w:val="0"/>
        <w:adjustRightInd w:val="0"/>
        <w:spacing w:after="120"/>
        <w:ind w:firstLine="720"/>
      </w:pPr>
      <w:r w:rsidRPr="00A021BA">
        <w:rPr>
          <w:snapToGrid/>
          <w:kern w:val="0"/>
          <w:szCs w:val="22"/>
        </w:rPr>
        <w:t>JAB Wireless, a Colorado corporation, does not itself provide telecommunications services.</w:t>
      </w:r>
      <w:r>
        <w:rPr>
          <w:snapToGrid/>
          <w:kern w:val="0"/>
          <w:szCs w:val="22"/>
          <w:vertAlign w:val="superscript"/>
        </w:rPr>
        <w:footnoteReference w:id="5"/>
      </w:r>
      <w:r w:rsidRPr="00A021BA">
        <w:rPr>
          <w:snapToGrid/>
          <w:kern w:val="0"/>
          <w:szCs w:val="22"/>
        </w:rPr>
        <w:t xml:space="preserve">  </w:t>
      </w:r>
      <w:r w:rsidR="00DC2D93">
        <w:rPr>
          <w:snapToGrid/>
          <w:kern w:val="0"/>
          <w:szCs w:val="22"/>
        </w:rPr>
        <w:t xml:space="preserve">The </w:t>
      </w:r>
      <w:r w:rsidR="007149D2">
        <w:rPr>
          <w:snapToGrid/>
          <w:kern w:val="0"/>
          <w:szCs w:val="22"/>
        </w:rPr>
        <w:t>Domestic 214</w:t>
      </w:r>
      <w:r w:rsidR="008B49F6">
        <w:rPr>
          <w:snapToGrid/>
          <w:kern w:val="0"/>
          <w:szCs w:val="22"/>
        </w:rPr>
        <w:t xml:space="preserve"> Authorization Holders</w:t>
      </w:r>
      <w:r w:rsidRPr="00A021BA">
        <w:rPr>
          <w:snapToGrid/>
          <w:kern w:val="0"/>
          <w:szCs w:val="22"/>
        </w:rPr>
        <w:t>, all U.S. entities, are direct and indirect wholly</w:t>
      </w:r>
      <w:r w:rsidR="006F6A94">
        <w:rPr>
          <w:snapToGrid/>
          <w:kern w:val="0"/>
          <w:szCs w:val="22"/>
        </w:rPr>
        <w:t xml:space="preserve"> </w:t>
      </w:r>
      <w:r w:rsidRPr="00A021BA">
        <w:rPr>
          <w:snapToGrid/>
          <w:kern w:val="0"/>
          <w:szCs w:val="22"/>
        </w:rPr>
        <w:t>owned subsidiaries of JAB Wireless and provide fixed wireless, fiber broadband, and digital voice services under the name, Rise Broadband, in Texas, Oklahoma, Missouri, Illinois, Indiana, Nebraska, Iowa, Kansas, Colorado, Wyoming, Idaho, Nevada, Utah, Minnesota, Wisconsin, and South Dakota.</w:t>
      </w:r>
      <w:r>
        <w:rPr>
          <w:snapToGrid/>
          <w:kern w:val="0"/>
          <w:szCs w:val="22"/>
          <w:vertAlign w:val="superscript"/>
        </w:rPr>
        <w:footnoteReference w:id="6"/>
      </w:r>
      <w:r w:rsidRPr="00A021BA">
        <w:rPr>
          <w:snapToGrid/>
          <w:kern w:val="0"/>
          <w:szCs w:val="22"/>
        </w:rPr>
        <w:t xml:space="preserve">  Skybeam </w:t>
      </w:r>
      <w:r w:rsidR="009A10C5">
        <w:rPr>
          <w:snapToGrid/>
          <w:kern w:val="0"/>
          <w:szCs w:val="22"/>
        </w:rPr>
        <w:t xml:space="preserve">LLC </w:t>
      </w:r>
      <w:r w:rsidRPr="00A021BA">
        <w:rPr>
          <w:snapToGrid/>
          <w:kern w:val="0"/>
          <w:szCs w:val="22"/>
        </w:rPr>
        <w:t xml:space="preserve">received authorization for Rural Broadband Experiment (RBE) </w:t>
      </w:r>
      <w:r w:rsidR="00CA4F9E">
        <w:rPr>
          <w:snapToGrid/>
          <w:kern w:val="0"/>
          <w:szCs w:val="22"/>
        </w:rPr>
        <w:t xml:space="preserve">universal service funding </w:t>
      </w:r>
      <w:r w:rsidRPr="00A021BA">
        <w:rPr>
          <w:snapToGrid/>
          <w:kern w:val="0"/>
          <w:szCs w:val="22"/>
        </w:rPr>
        <w:t>support in several states where it (and/or its affiliates, AirCanopy and Essex) provide services pursuant to such support.</w:t>
      </w:r>
      <w:r>
        <w:rPr>
          <w:snapToGrid/>
          <w:kern w:val="0"/>
          <w:szCs w:val="22"/>
          <w:vertAlign w:val="superscript"/>
        </w:rPr>
        <w:footnoteReference w:id="7"/>
      </w:r>
      <w:r w:rsidRPr="00A021BA">
        <w:rPr>
          <w:snapToGrid/>
          <w:kern w:val="0"/>
          <w:szCs w:val="22"/>
        </w:rPr>
        <w:t xml:space="preserve">  </w:t>
      </w:r>
      <w:r w:rsidR="00E577AE">
        <w:t xml:space="preserve">Applicants state that, “as a recipient of RBE support, (a) </w:t>
      </w:r>
      <w:r w:rsidRPr="008D74A7" w:rsidR="00E577AE">
        <w:t xml:space="preserve">Skybeam </w:t>
      </w:r>
      <w:r w:rsidR="00F51F23">
        <w:t>LLC</w:t>
      </w:r>
      <w:r w:rsidR="0007424D">
        <w:t xml:space="preserve"> </w:t>
      </w:r>
      <w:r w:rsidRPr="008D74A7" w:rsidR="00E577AE">
        <w:t xml:space="preserve">is an </w:t>
      </w:r>
      <w:r w:rsidR="00E577AE">
        <w:t xml:space="preserve">[Eligible Telecommunications Carrier] </w:t>
      </w:r>
      <w:r w:rsidRPr="008D74A7" w:rsidR="00E577AE">
        <w:t>ETC in Iowa, Kansas, Nebraska, and Texas, and (b) Essex is an ETC in Illinois.</w:t>
      </w:r>
      <w:r w:rsidR="00E577AE">
        <w:t>”</w:t>
      </w:r>
      <w:r>
        <w:rPr>
          <w:rStyle w:val="FootnoteReference"/>
        </w:rPr>
        <w:footnoteReference w:id="8"/>
      </w:r>
      <w:r w:rsidRPr="008D74A7" w:rsidR="00E577AE">
        <w:t xml:space="preserve"> </w:t>
      </w:r>
      <w:r w:rsidR="00E577AE">
        <w:t xml:space="preserve"> </w:t>
      </w:r>
    </w:p>
    <w:p w:rsidR="00991B32" w:rsidRPr="00991B32" w:rsidP="00D73A39" w14:paraId="15E823FB" w14:textId="0BFC2D5D">
      <w:pPr>
        <w:widowControl/>
        <w:autoSpaceDE w:val="0"/>
        <w:autoSpaceDN w:val="0"/>
        <w:adjustRightInd w:val="0"/>
        <w:spacing w:after="120"/>
        <w:rPr>
          <w:snapToGrid/>
          <w:kern w:val="0"/>
          <w:szCs w:val="22"/>
        </w:rPr>
      </w:pPr>
      <w:r>
        <w:rPr>
          <w:u w:val="single"/>
        </w:rPr>
        <w:t>Proposed Transaction</w:t>
      </w:r>
    </w:p>
    <w:p w:rsidR="00991B32" w:rsidP="00D96C9B" w14:paraId="35FD1C0C" w14:textId="1CEF112E">
      <w:pPr>
        <w:widowControl/>
        <w:autoSpaceDE w:val="0"/>
        <w:autoSpaceDN w:val="0"/>
        <w:adjustRightInd w:val="0"/>
        <w:spacing w:after="120"/>
        <w:ind w:firstLine="720"/>
        <w:rPr>
          <w:snapToGrid/>
          <w:kern w:val="0"/>
          <w:szCs w:val="22"/>
        </w:rPr>
      </w:pPr>
      <w:r>
        <w:rPr>
          <w:bCs/>
          <w:snapToGrid/>
          <w:kern w:val="0"/>
        </w:rPr>
        <w:t>P</w:t>
      </w:r>
      <w:r w:rsidRPr="001A573F">
        <w:rPr>
          <w:bCs/>
          <w:snapToGrid/>
          <w:kern w:val="0"/>
        </w:rPr>
        <w:t xml:space="preserve">ursuant to an agreement dated May 28, 2022, by and among GI DI </w:t>
      </w:r>
      <w:r w:rsidR="006F01FF">
        <w:rPr>
          <w:bCs/>
          <w:snapToGrid/>
          <w:kern w:val="0"/>
        </w:rPr>
        <w:t xml:space="preserve">Iris </w:t>
      </w:r>
      <w:r w:rsidRPr="001A573F">
        <w:rPr>
          <w:bCs/>
          <w:snapToGrid/>
          <w:kern w:val="0"/>
        </w:rPr>
        <w:t xml:space="preserve">Acquisition., GI DI Iris Merger Sub Inc., </w:t>
      </w:r>
      <w:r w:rsidRPr="001A573F" w:rsidR="00DB1293">
        <w:rPr>
          <w:bCs/>
          <w:snapToGrid/>
          <w:kern w:val="0"/>
        </w:rPr>
        <w:t xml:space="preserve">a newly formed company created for the purpose of completing the </w:t>
      </w:r>
      <w:r w:rsidR="003F2062">
        <w:rPr>
          <w:bCs/>
          <w:snapToGrid/>
          <w:kern w:val="0"/>
        </w:rPr>
        <w:t>t</w:t>
      </w:r>
      <w:r w:rsidRPr="001A573F" w:rsidR="00DB1293">
        <w:rPr>
          <w:bCs/>
          <w:snapToGrid/>
          <w:kern w:val="0"/>
        </w:rPr>
        <w:t xml:space="preserve">ransaction </w:t>
      </w:r>
      <w:r w:rsidRPr="001A573F">
        <w:rPr>
          <w:bCs/>
          <w:snapToGrid/>
          <w:kern w:val="0"/>
        </w:rPr>
        <w:t>(Merger Sub), JAB Wireless, and LStar Equity Company Holdings, L.P., Merger Sub will merge with and into JAB Wireless with JAB Wireless being the surviving entity pursuant to the proposed transaction (the Transaction).</w:t>
      </w:r>
      <w:r>
        <w:rPr>
          <w:rStyle w:val="FootnoteReference"/>
          <w:bCs/>
          <w:snapToGrid/>
          <w:kern w:val="0"/>
        </w:rPr>
        <w:footnoteReference w:id="9"/>
      </w:r>
      <w:r w:rsidRPr="001A573F">
        <w:rPr>
          <w:bCs/>
          <w:snapToGrid/>
          <w:kern w:val="0"/>
        </w:rPr>
        <w:t xml:space="preserve">  As a result of the Transaction, JAB Wireless will be a direct, wholly</w:t>
      </w:r>
      <w:r w:rsidR="006F6A94">
        <w:rPr>
          <w:bCs/>
          <w:snapToGrid/>
          <w:kern w:val="0"/>
        </w:rPr>
        <w:t xml:space="preserve"> </w:t>
      </w:r>
      <w:r w:rsidRPr="001A573F">
        <w:rPr>
          <w:bCs/>
          <w:snapToGrid/>
          <w:kern w:val="0"/>
        </w:rPr>
        <w:t>owned subsidiary</w:t>
      </w:r>
      <w:r w:rsidR="008B077A">
        <w:rPr>
          <w:bCs/>
          <w:snapToGrid/>
          <w:kern w:val="0"/>
        </w:rPr>
        <w:t xml:space="preserve"> </w:t>
      </w:r>
      <w:r w:rsidRPr="001A573F">
        <w:rPr>
          <w:bCs/>
          <w:snapToGrid/>
          <w:kern w:val="0"/>
        </w:rPr>
        <w:t xml:space="preserve">of </w:t>
      </w:r>
      <w:r w:rsidRPr="001A573F">
        <w:rPr>
          <w:bCs/>
          <w:snapToGrid/>
          <w:kern w:val="0"/>
        </w:rPr>
        <w:t xml:space="preserve">GI DI </w:t>
      </w:r>
      <w:r w:rsidR="006F01FF">
        <w:rPr>
          <w:bCs/>
          <w:snapToGrid/>
          <w:kern w:val="0"/>
        </w:rPr>
        <w:t xml:space="preserve">Iris </w:t>
      </w:r>
      <w:r w:rsidRPr="001A573F">
        <w:rPr>
          <w:bCs/>
          <w:snapToGrid/>
          <w:kern w:val="0"/>
        </w:rPr>
        <w:t>Acquisition.</w:t>
      </w:r>
      <w:r>
        <w:rPr>
          <w:rStyle w:val="FootnoteReference"/>
          <w:bCs/>
          <w:snapToGrid/>
          <w:kern w:val="0"/>
        </w:rPr>
        <w:footnoteReference w:id="10"/>
      </w:r>
      <w:r w:rsidRPr="001A573F">
        <w:rPr>
          <w:bCs/>
          <w:snapToGrid/>
          <w:kern w:val="0"/>
        </w:rPr>
        <w:t xml:space="preserve">  </w:t>
      </w:r>
      <w:r w:rsidRPr="008B077A">
        <w:rPr>
          <w:bCs/>
          <w:snapToGrid/>
          <w:kern w:val="0"/>
        </w:rPr>
        <w:t>Further, the Domestic 214</w:t>
      </w:r>
      <w:r w:rsidR="008B49F6">
        <w:rPr>
          <w:bCs/>
          <w:snapToGrid/>
          <w:kern w:val="0"/>
        </w:rPr>
        <w:t xml:space="preserve"> Authorization Holders</w:t>
      </w:r>
      <w:r w:rsidRPr="008B077A">
        <w:rPr>
          <w:bCs/>
          <w:snapToGrid/>
          <w:kern w:val="0"/>
        </w:rPr>
        <w:t xml:space="preserve"> and Wireless Licensees will</w:t>
      </w:r>
      <w:r w:rsidRPr="001A573F">
        <w:rPr>
          <w:bCs/>
          <w:snapToGrid/>
          <w:kern w:val="0"/>
        </w:rPr>
        <w:t xml:space="preserve"> be indirect wholly</w:t>
      </w:r>
      <w:r>
        <w:rPr>
          <w:bCs/>
          <w:snapToGrid/>
          <w:kern w:val="0"/>
        </w:rPr>
        <w:t xml:space="preserve"> </w:t>
      </w:r>
      <w:r w:rsidRPr="001A573F">
        <w:rPr>
          <w:bCs/>
          <w:snapToGrid/>
          <w:kern w:val="0"/>
        </w:rPr>
        <w:t xml:space="preserve">owned subsidiaries of GI DI </w:t>
      </w:r>
      <w:r w:rsidR="006F01FF">
        <w:rPr>
          <w:bCs/>
          <w:snapToGrid/>
          <w:kern w:val="0"/>
        </w:rPr>
        <w:t xml:space="preserve">Iris </w:t>
      </w:r>
      <w:r w:rsidRPr="001A573F">
        <w:rPr>
          <w:bCs/>
          <w:snapToGrid/>
          <w:kern w:val="0"/>
        </w:rPr>
        <w:t>Acquisition.</w:t>
      </w:r>
      <w:r>
        <w:rPr>
          <w:rStyle w:val="FootnoteReference"/>
          <w:bCs/>
          <w:snapToGrid/>
          <w:kern w:val="0"/>
        </w:rPr>
        <w:footnoteReference w:id="11"/>
      </w:r>
      <w:r w:rsidRPr="001A573F">
        <w:rPr>
          <w:bCs/>
          <w:snapToGrid/>
          <w:kern w:val="0"/>
        </w:rPr>
        <w:t xml:space="preserve">  </w:t>
      </w:r>
    </w:p>
    <w:p w:rsidR="005915B3" w:rsidP="00D96C9B" w14:paraId="5712E698" w14:textId="6D183EEF">
      <w:pPr>
        <w:widowControl/>
        <w:autoSpaceDE w:val="0"/>
        <w:autoSpaceDN w:val="0"/>
        <w:adjustRightInd w:val="0"/>
        <w:spacing w:after="120"/>
        <w:ind w:firstLine="720"/>
        <w:rPr>
          <w:snapToGrid/>
          <w:kern w:val="0"/>
          <w:szCs w:val="22"/>
        </w:rPr>
      </w:pPr>
      <w:r w:rsidRPr="00D54E82">
        <w:rPr>
          <w:snapToGrid/>
          <w:kern w:val="0"/>
          <w:szCs w:val="22"/>
        </w:rPr>
        <w:t xml:space="preserve">GI DI </w:t>
      </w:r>
      <w:r w:rsidR="006F01FF">
        <w:rPr>
          <w:snapToGrid/>
          <w:kern w:val="0"/>
          <w:szCs w:val="22"/>
        </w:rPr>
        <w:t xml:space="preserve">Iris </w:t>
      </w:r>
      <w:r w:rsidRPr="00D54E82">
        <w:rPr>
          <w:snapToGrid/>
          <w:kern w:val="0"/>
          <w:szCs w:val="22"/>
        </w:rPr>
        <w:t>Acquisition</w:t>
      </w:r>
      <w:r w:rsidR="00674F87">
        <w:rPr>
          <w:snapToGrid/>
          <w:kern w:val="0"/>
          <w:szCs w:val="22"/>
        </w:rPr>
        <w:t>,</w:t>
      </w:r>
      <w:r w:rsidRPr="005915B3">
        <w:rPr>
          <w:snapToGrid/>
          <w:kern w:val="0"/>
          <w:szCs w:val="22"/>
        </w:rPr>
        <w:t xml:space="preserve"> </w:t>
      </w:r>
      <w:r w:rsidRPr="00D54E82">
        <w:rPr>
          <w:snapToGrid/>
          <w:kern w:val="0"/>
          <w:szCs w:val="22"/>
        </w:rPr>
        <w:t xml:space="preserve">a </w:t>
      </w:r>
      <w:r w:rsidR="003F2062">
        <w:rPr>
          <w:snapToGrid/>
          <w:kern w:val="0"/>
          <w:szCs w:val="22"/>
        </w:rPr>
        <w:t xml:space="preserve">newly formed </w:t>
      </w:r>
      <w:r w:rsidRPr="00D54E82">
        <w:rPr>
          <w:snapToGrid/>
          <w:kern w:val="0"/>
          <w:szCs w:val="22"/>
        </w:rPr>
        <w:t>Delaware limited liability company</w:t>
      </w:r>
      <w:r w:rsidR="003F2062">
        <w:rPr>
          <w:snapToGrid/>
          <w:kern w:val="0"/>
          <w:szCs w:val="22"/>
        </w:rPr>
        <w:t xml:space="preserve"> created for the purpose of completing this transaction</w:t>
      </w:r>
      <w:r>
        <w:rPr>
          <w:snapToGrid/>
          <w:kern w:val="0"/>
          <w:szCs w:val="22"/>
        </w:rPr>
        <w:t>,</w:t>
      </w:r>
      <w:r w:rsidRPr="00D54E82">
        <w:rPr>
          <w:snapToGrid/>
          <w:kern w:val="0"/>
          <w:szCs w:val="22"/>
        </w:rPr>
        <w:t xml:space="preserve"> </w:t>
      </w:r>
      <w:r w:rsidRPr="00D54E82" w:rsidR="00B93E5C">
        <w:rPr>
          <w:snapToGrid/>
          <w:kern w:val="0"/>
          <w:szCs w:val="22"/>
        </w:rPr>
        <w:t>will be</w:t>
      </w:r>
      <w:r w:rsidRPr="00D54E82">
        <w:rPr>
          <w:snapToGrid/>
          <w:kern w:val="0"/>
          <w:szCs w:val="22"/>
        </w:rPr>
        <w:t xml:space="preserve"> wholly</w:t>
      </w:r>
      <w:r>
        <w:rPr>
          <w:snapToGrid/>
          <w:kern w:val="0"/>
          <w:szCs w:val="22"/>
        </w:rPr>
        <w:t xml:space="preserve"> </w:t>
      </w:r>
      <w:r w:rsidRPr="00D54E82">
        <w:rPr>
          <w:snapToGrid/>
          <w:kern w:val="0"/>
          <w:szCs w:val="22"/>
        </w:rPr>
        <w:t xml:space="preserve">owned by GI DI Intermediate Inc., a Delaware corporation that </w:t>
      </w:r>
      <w:r>
        <w:rPr>
          <w:snapToGrid/>
          <w:kern w:val="0"/>
          <w:szCs w:val="22"/>
        </w:rPr>
        <w:t xml:space="preserve">is </w:t>
      </w:r>
      <w:r w:rsidRPr="00D54E82">
        <w:rPr>
          <w:snapToGrid/>
          <w:kern w:val="0"/>
          <w:szCs w:val="22"/>
        </w:rPr>
        <w:t>wholly</w:t>
      </w:r>
      <w:r>
        <w:rPr>
          <w:snapToGrid/>
          <w:kern w:val="0"/>
          <w:szCs w:val="22"/>
        </w:rPr>
        <w:t xml:space="preserve"> </w:t>
      </w:r>
      <w:r w:rsidRPr="00D54E82">
        <w:rPr>
          <w:snapToGrid/>
          <w:kern w:val="0"/>
          <w:szCs w:val="22"/>
        </w:rPr>
        <w:t>owned by GI DI Parent, LP (Iris Parent), a Delaware limited partnership.</w:t>
      </w:r>
      <w:r>
        <w:rPr>
          <w:rStyle w:val="FootnoteReference"/>
          <w:snapToGrid/>
          <w:kern w:val="0"/>
          <w:szCs w:val="22"/>
        </w:rPr>
        <w:footnoteReference w:id="12"/>
      </w:r>
      <w:r w:rsidRPr="00D54E82">
        <w:rPr>
          <w:snapToGrid/>
          <w:kern w:val="0"/>
          <w:szCs w:val="22"/>
        </w:rPr>
        <w:t>  GI DI Iris Holdings LP (Iris Holdings), a Delaware limited partnership, hold</w:t>
      </w:r>
      <w:r>
        <w:rPr>
          <w:snapToGrid/>
          <w:kern w:val="0"/>
          <w:szCs w:val="22"/>
        </w:rPr>
        <w:t>s</w:t>
      </w:r>
      <w:r w:rsidRPr="00D54E82">
        <w:rPr>
          <w:snapToGrid/>
          <w:kern w:val="0"/>
          <w:szCs w:val="22"/>
        </w:rPr>
        <w:t> 99.5% equity and 100% voting interests in Iris Parent.</w:t>
      </w:r>
      <w:r>
        <w:rPr>
          <w:rStyle w:val="FootnoteReference"/>
          <w:snapToGrid/>
          <w:kern w:val="0"/>
          <w:szCs w:val="22"/>
        </w:rPr>
        <w:footnoteReference w:id="13"/>
      </w:r>
      <w:r w:rsidRPr="00D54E82">
        <w:rPr>
          <w:snapToGrid/>
          <w:kern w:val="0"/>
          <w:szCs w:val="22"/>
        </w:rPr>
        <w:t>  The 10% or greater equity holders of Iris Holding</w:t>
      </w:r>
      <w:r w:rsidRPr="00D54E82" w:rsidR="008B4143">
        <w:rPr>
          <w:snapToGrid/>
          <w:kern w:val="0"/>
          <w:szCs w:val="22"/>
        </w:rPr>
        <w:t>s</w:t>
      </w:r>
      <w:r w:rsidRPr="00D54E82">
        <w:rPr>
          <w:snapToGrid/>
          <w:kern w:val="0"/>
          <w:szCs w:val="22"/>
        </w:rPr>
        <w:t xml:space="preserve"> </w:t>
      </w:r>
      <w:r>
        <w:rPr>
          <w:snapToGrid/>
          <w:kern w:val="0"/>
          <w:szCs w:val="22"/>
        </w:rPr>
        <w:t>are</w:t>
      </w:r>
      <w:r w:rsidRPr="00D54E82">
        <w:rPr>
          <w:snapToGrid/>
          <w:kern w:val="0"/>
          <w:szCs w:val="22"/>
        </w:rPr>
        <w:t xml:space="preserve"> (1) Iris Opportunity LP (Iris Opportunity), a Delaware limited partnership (32.8% equity, 0% voting), (2) GI Data Infrastructure Fund LP (GI DI Fund), a Delaware limited partnership (20.6% equity, 0% voting), and (3) GI Data Infrastructure Fund-A LP (GI DI Fund-A), a Delaware limited partnership (39.3% equity, 0% voting).</w:t>
      </w:r>
      <w:r>
        <w:rPr>
          <w:rStyle w:val="FootnoteReference"/>
          <w:snapToGrid/>
          <w:kern w:val="0"/>
          <w:szCs w:val="22"/>
        </w:rPr>
        <w:footnoteReference w:id="14"/>
      </w:r>
      <w:r w:rsidRPr="00D54E82">
        <w:rPr>
          <w:snapToGrid/>
          <w:kern w:val="0"/>
          <w:szCs w:val="22"/>
        </w:rPr>
        <w:t xml:space="preserve">  GI DI Iris GP LLC (Iris GP), a Delaware limited liability company, </w:t>
      </w:r>
      <w:r w:rsidRPr="00D54E82" w:rsidR="004E4899">
        <w:rPr>
          <w:snapToGrid/>
          <w:kern w:val="0"/>
          <w:szCs w:val="22"/>
        </w:rPr>
        <w:t>will be</w:t>
      </w:r>
      <w:r w:rsidRPr="00D54E82">
        <w:rPr>
          <w:snapToGrid/>
          <w:kern w:val="0"/>
          <w:szCs w:val="22"/>
        </w:rPr>
        <w:t xml:space="preserve"> the general partner of Iris Holding</w:t>
      </w:r>
      <w:r w:rsidRPr="00D54E82" w:rsidR="008B4143">
        <w:rPr>
          <w:snapToGrid/>
          <w:kern w:val="0"/>
          <w:szCs w:val="22"/>
        </w:rPr>
        <w:t>s</w:t>
      </w:r>
      <w:r w:rsidRPr="00D54E82">
        <w:rPr>
          <w:snapToGrid/>
          <w:kern w:val="0"/>
          <w:szCs w:val="22"/>
        </w:rPr>
        <w:t xml:space="preserve"> and Iris Opportunity (0% equity, 100% voting).</w:t>
      </w:r>
      <w:r>
        <w:rPr>
          <w:rStyle w:val="FootnoteReference"/>
          <w:snapToGrid/>
          <w:kern w:val="0"/>
          <w:szCs w:val="22"/>
        </w:rPr>
        <w:footnoteReference w:id="15"/>
      </w:r>
      <w:r w:rsidRPr="00D54E82">
        <w:rPr>
          <w:snapToGrid/>
          <w:kern w:val="0"/>
          <w:szCs w:val="22"/>
        </w:rPr>
        <w:t xml:space="preserve">  GI GP DI LP, a Delaware limited partnership, </w:t>
      </w:r>
      <w:r w:rsidRPr="00D54E82" w:rsidR="002B3FE4">
        <w:rPr>
          <w:snapToGrid/>
          <w:kern w:val="0"/>
          <w:szCs w:val="22"/>
        </w:rPr>
        <w:t>will be</w:t>
      </w:r>
      <w:r w:rsidRPr="00D54E82">
        <w:rPr>
          <w:snapToGrid/>
          <w:kern w:val="0"/>
          <w:szCs w:val="22"/>
        </w:rPr>
        <w:t xml:space="preserve"> the general partner of GI DI Fund and GI DI Fund-A (0% equity, 100% voting).</w:t>
      </w:r>
      <w:r>
        <w:rPr>
          <w:rStyle w:val="FootnoteReference"/>
          <w:snapToGrid/>
          <w:kern w:val="0"/>
          <w:szCs w:val="22"/>
        </w:rPr>
        <w:footnoteReference w:id="16"/>
      </w:r>
      <w:r w:rsidRPr="00D54E82">
        <w:rPr>
          <w:snapToGrid/>
          <w:kern w:val="0"/>
          <w:szCs w:val="22"/>
        </w:rPr>
        <w:t xml:space="preserve">  GI GP DI LLC, a Delaware limited liability company, </w:t>
      </w:r>
      <w:r>
        <w:rPr>
          <w:snapToGrid/>
          <w:kern w:val="0"/>
          <w:szCs w:val="22"/>
        </w:rPr>
        <w:t xml:space="preserve">is </w:t>
      </w:r>
      <w:r w:rsidRPr="00D54E82">
        <w:rPr>
          <w:snapToGrid/>
          <w:kern w:val="0"/>
          <w:szCs w:val="22"/>
        </w:rPr>
        <w:t>the general partner of GI GP DI LP (0% equity, 100% voting) and the sole member and managing member of Iris GP (100% equity, 100% voting).</w:t>
      </w:r>
      <w:r>
        <w:rPr>
          <w:rStyle w:val="FootnoteReference"/>
          <w:snapToGrid/>
          <w:kern w:val="0"/>
          <w:szCs w:val="22"/>
        </w:rPr>
        <w:footnoteReference w:id="17"/>
      </w:r>
      <w:r w:rsidRPr="00D54E82">
        <w:rPr>
          <w:snapToGrid/>
          <w:kern w:val="0"/>
          <w:szCs w:val="22"/>
        </w:rPr>
        <w:t xml:space="preserve">  GI Manager L.P., a Delaware limited partnership, </w:t>
      </w:r>
      <w:r>
        <w:rPr>
          <w:snapToGrid/>
          <w:kern w:val="0"/>
          <w:szCs w:val="22"/>
        </w:rPr>
        <w:t xml:space="preserve">is </w:t>
      </w:r>
      <w:r w:rsidRPr="00D54E82">
        <w:rPr>
          <w:snapToGrid/>
          <w:kern w:val="0"/>
          <w:szCs w:val="22"/>
        </w:rPr>
        <w:t>the sole member of GI GP DI LLC (100% equity, 100% voting).</w:t>
      </w:r>
      <w:r>
        <w:rPr>
          <w:rStyle w:val="FootnoteReference"/>
          <w:snapToGrid/>
          <w:kern w:val="0"/>
          <w:szCs w:val="22"/>
        </w:rPr>
        <w:footnoteReference w:id="18"/>
      </w:r>
      <w:r w:rsidRPr="00D54E82">
        <w:rPr>
          <w:snapToGrid/>
          <w:kern w:val="0"/>
          <w:szCs w:val="22"/>
        </w:rPr>
        <w:t xml:space="preserve">  GI Manager Holdings LLC, a Delaware limited liability company, </w:t>
      </w:r>
      <w:r>
        <w:rPr>
          <w:snapToGrid/>
          <w:kern w:val="0"/>
          <w:szCs w:val="22"/>
        </w:rPr>
        <w:t xml:space="preserve">is </w:t>
      </w:r>
      <w:r w:rsidRPr="00D54E82">
        <w:rPr>
          <w:snapToGrid/>
          <w:kern w:val="0"/>
          <w:szCs w:val="22"/>
        </w:rPr>
        <w:t>the general partner of GI Manager L.P. (0% equity, 100% voting).</w:t>
      </w:r>
      <w:r>
        <w:rPr>
          <w:rStyle w:val="FootnoteReference"/>
          <w:snapToGrid/>
          <w:kern w:val="0"/>
          <w:szCs w:val="22"/>
        </w:rPr>
        <w:footnoteReference w:id="19"/>
      </w:r>
      <w:r w:rsidRPr="00D54E82">
        <w:rPr>
          <w:snapToGrid/>
          <w:kern w:val="0"/>
          <w:szCs w:val="22"/>
        </w:rPr>
        <w:t xml:space="preserve">  GI Manager LLC, a Delaware limited liability company, </w:t>
      </w:r>
      <w:r>
        <w:rPr>
          <w:snapToGrid/>
          <w:kern w:val="0"/>
          <w:szCs w:val="22"/>
        </w:rPr>
        <w:t xml:space="preserve">is </w:t>
      </w:r>
      <w:r w:rsidRPr="00D54E82">
        <w:rPr>
          <w:snapToGrid/>
          <w:kern w:val="0"/>
          <w:szCs w:val="22"/>
        </w:rPr>
        <w:t>the sole member of GI Manager Holdings LLC (100% equity, 100% voting).</w:t>
      </w:r>
      <w:r>
        <w:rPr>
          <w:rStyle w:val="FootnoteReference"/>
          <w:snapToGrid/>
          <w:kern w:val="0"/>
          <w:szCs w:val="22"/>
        </w:rPr>
        <w:footnoteReference w:id="20"/>
      </w:r>
      <w:r w:rsidRPr="00D54E82">
        <w:rPr>
          <w:snapToGrid/>
          <w:kern w:val="0"/>
          <w:szCs w:val="22"/>
        </w:rPr>
        <w:t xml:space="preserve">  GI Manager LLC </w:t>
      </w:r>
      <w:r>
        <w:rPr>
          <w:snapToGrid/>
          <w:kern w:val="0"/>
          <w:szCs w:val="22"/>
        </w:rPr>
        <w:t xml:space="preserve">is </w:t>
      </w:r>
      <w:r w:rsidRPr="00D54E82">
        <w:rPr>
          <w:snapToGrid/>
          <w:kern w:val="0"/>
          <w:szCs w:val="22"/>
        </w:rPr>
        <w:t xml:space="preserve">controlled by Richard Magnuson, a U.S. citizen, as trustee of the Magnuson Living Trust, a California </w:t>
      </w:r>
      <w:r w:rsidRPr="00D54E82">
        <w:rPr>
          <w:snapToGrid/>
          <w:kern w:val="0"/>
          <w:szCs w:val="22"/>
        </w:rPr>
        <w:t xml:space="preserve">trust that </w:t>
      </w:r>
      <w:r w:rsidRPr="00D54E82" w:rsidR="00C8271F">
        <w:rPr>
          <w:snapToGrid/>
          <w:kern w:val="0"/>
          <w:szCs w:val="22"/>
        </w:rPr>
        <w:t>will be</w:t>
      </w:r>
      <w:r w:rsidRPr="00D54E82">
        <w:rPr>
          <w:snapToGrid/>
          <w:kern w:val="0"/>
          <w:szCs w:val="22"/>
        </w:rPr>
        <w:t xml:space="preserve"> the managing member of GI Manager LLC.</w:t>
      </w:r>
      <w:r>
        <w:rPr>
          <w:rStyle w:val="FootnoteReference"/>
          <w:snapToGrid/>
          <w:kern w:val="0"/>
          <w:szCs w:val="22"/>
        </w:rPr>
        <w:footnoteReference w:id="21"/>
      </w:r>
      <w:r w:rsidRPr="00D54E82">
        <w:rPr>
          <w:snapToGrid/>
          <w:kern w:val="0"/>
          <w:szCs w:val="22"/>
        </w:rPr>
        <w:t xml:space="preserve"> </w:t>
      </w:r>
      <w:r w:rsidRPr="00D54E82" w:rsidR="00B93E5C">
        <w:rPr>
          <w:snapToGrid/>
          <w:kern w:val="0"/>
          <w:szCs w:val="22"/>
        </w:rPr>
        <w:t xml:space="preserve"> </w:t>
      </w:r>
      <w:r w:rsidRPr="00D54E82">
        <w:rPr>
          <w:snapToGrid/>
          <w:kern w:val="0"/>
          <w:szCs w:val="22"/>
        </w:rPr>
        <w:t xml:space="preserve">The only beneficiaries of the Magnuson Living Trust </w:t>
      </w:r>
      <w:r w:rsidRPr="00D54E82" w:rsidR="00407717">
        <w:rPr>
          <w:snapToGrid/>
          <w:kern w:val="0"/>
          <w:szCs w:val="22"/>
        </w:rPr>
        <w:t>are</w:t>
      </w:r>
      <w:r w:rsidRPr="00D54E82">
        <w:rPr>
          <w:snapToGrid/>
          <w:kern w:val="0"/>
          <w:szCs w:val="22"/>
        </w:rPr>
        <w:t xml:space="preserve"> Richard Magnuson, Allison Magnuson, Taylor Magnuson, and Scott Magnuson, who are all U.S. citizens.</w:t>
      </w:r>
      <w:r>
        <w:rPr>
          <w:rStyle w:val="FootnoteReference"/>
          <w:snapToGrid/>
          <w:kern w:val="0"/>
          <w:szCs w:val="22"/>
        </w:rPr>
        <w:footnoteReference w:id="22"/>
      </w:r>
      <w:r>
        <w:rPr>
          <w:snapToGrid/>
          <w:kern w:val="0"/>
          <w:szCs w:val="22"/>
        </w:rPr>
        <w:t xml:space="preserve"> </w:t>
      </w:r>
    </w:p>
    <w:p w:rsidR="00BE16AD" w:rsidP="00D73A39" w14:paraId="2EB116F7" w14:textId="44B68DFD">
      <w:pPr>
        <w:widowControl/>
        <w:autoSpaceDE w:val="0"/>
        <w:autoSpaceDN w:val="0"/>
        <w:adjustRightInd w:val="0"/>
        <w:spacing w:after="120"/>
        <w:ind w:firstLine="720"/>
        <w:rPr>
          <w:snapToGrid/>
          <w:kern w:val="0"/>
        </w:rPr>
      </w:pPr>
      <w:r w:rsidRPr="0077152F">
        <w:rPr>
          <w:bCs/>
          <w:snapToGrid/>
          <w:szCs w:val="22"/>
        </w:rPr>
        <w:t xml:space="preserve">Applicants assert that a grant of the </w:t>
      </w:r>
      <w:r w:rsidR="006F6A94">
        <w:rPr>
          <w:bCs/>
          <w:snapToGrid/>
          <w:szCs w:val="22"/>
        </w:rPr>
        <w:t>A</w:t>
      </w:r>
      <w:r w:rsidRPr="0077152F">
        <w:rPr>
          <w:bCs/>
          <w:snapToGrid/>
          <w:szCs w:val="22"/>
        </w:rPr>
        <w:t>pplication would serve the public interest, convenience, and necessity</w:t>
      </w:r>
      <w:r w:rsidR="00CC2B48">
        <w:rPr>
          <w:bCs/>
          <w:snapToGrid/>
          <w:szCs w:val="22"/>
        </w:rPr>
        <w:t xml:space="preserve"> and will not affect the </w:t>
      </w:r>
      <w:r w:rsidR="00CF5ACE">
        <w:rPr>
          <w:bCs/>
          <w:snapToGrid/>
          <w:szCs w:val="22"/>
        </w:rPr>
        <w:t xml:space="preserve">Domestic 214 </w:t>
      </w:r>
      <w:r w:rsidR="008B49F6">
        <w:rPr>
          <w:bCs/>
          <w:snapToGrid/>
          <w:szCs w:val="22"/>
        </w:rPr>
        <w:t>Authorization Holders’</w:t>
      </w:r>
      <w:r w:rsidR="00CC2B48">
        <w:rPr>
          <w:bCs/>
          <w:snapToGrid/>
          <w:szCs w:val="22"/>
        </w:rPr>
        <w:t xml:space="preserve"> ability to meet RBE service, performance, and reporting obligations</w:t>
      </w:r>
      <w:r w:rsidRPr="0077152F">
        <w:rPr>
          <w:bCs/>
          <w:snapToGrid/>
          <w:szCs w:val="22"/>
        </w:rPr>
        <w:t>.</w:t>
      </w:r>
      <w:r>
        <w:rPr>
          <w:bCs/>
          <w:snapToGrid/>
          <w:szCs w:val="22"/>
          <w:vertAlign w:val="superscript"/>
        </w:rPr>
        <w:footnoteReference w:id="23"/>
      </w:r>
      <w:r w:rsidRPr="0077152F">
        <w:rPr>
          <w:bCs/>
          <w:snapToGrid/>
          <w:szCs w:val="22"/>
        </w:rPr>
        <w:t xml:space="preserve">  </w:t>
      </w:r>
      <w:r w:rsidRPr="001269C7" w:rsidR="001269C7">
        <w:rPr>
          <w:snapToGrid/>
          <w:kern w:val="0"/>
        </w:rPr>
        <w:t xml:space="preserve"> </w:t>
      </w:r>
    </w:p>
    <w:p w:rsidR="009A07AD" w:rsidRPr="009A07AD" w:rsidP="009A07AD" w14:paraId="31B57477" w14:textId="77777777">
      <w:pPr>
        <w:widowControl/>
        <w:autoSpaceDE w:val="0"/>
        <w:autoSpaceDN w:val="0"/>
        <w:adjustRightInd w:val="0"/>
        <w:rPr>
          <w:rFonts w:ascii="TimesNewRoman,Bold" w:hAnsi="TimesNewRoman,Bold" w:cs="TimesNewRoman,Bold"/>
          <w:snapToGrid/>
          <w:color w:val="010101"/>
          <w:kern w:val="0"/>
          <w:szCs w:val="22"/>
          <w:u w:val="single"/>
        </w:rPr>
      </w:pPr>
      <w:r w:rsidRPr="009A07AD">
        <w:rPr>
          <w:rFonts w:ascii="TimesNewRoman,Bold" w:hAnsi="TimesNewRoman,Bold" w:cs="TimesNewRoman,Bold"/>
          <w:snapToGrid/>
          <w:color w:val="010101"/>
          <w:kern w:val="0"/>
          <w:szCs w:val="22"/>
          <w:u w:val="single"/>
        </w:rPr>
        <w:t>Petition for Declaratory Ruling Under Section 310(b)(4)</w:t>
      </w:r>
    </w:p>
    <w:p w:rsidR="00D64518" w:rsidP="00D73A39" w14:paraId="429D1AD5" w14:textId="77777777">
      <w:pPr>
        <w:autoSpaceDE w:val="0"/>
        <w:autoSpaceDN w:val="0"/>
        <w:adjustRightInd w:val="0"/>
        <w:rPr>
          <w:bCs/>
          <w:snapToGrid/>
          <w:kern w:val="0"/>
        </w:rPr>
      </w:pPr>
    </w:p>
    <w:p w:rsidR="00BE16AD" w:rsidP="009A07AD" w14:paraId="0ACA280E" w14:textId="26F8226B">
      <w:pPr>
        <w:autoSpaceDE w:val="0"/>
        <w:autoSpaceDN w:val="0"/>
        <w:adjustRightInd w:val="0"/>
        <w:spacing w:after="120"/>
      </w:pPr>
      <w:r>
        <w:rPr>
          <w:bCs/>
          <w:snapToGrid/>
          <w:kern w:val="0"/>
        </w:rPr>
        <w:tab/>
      </w:r>
      <w:r>
        <w:t xml:space="preserve">The </w:t>
      </w:r>
      <w:r w:rsidR="009C06CC">
        <w:t>Petitioners</w:t>
      </w:r>
      <w:r>
        <w:t xml:space="preserve"> filed </w:t>
      </w:r>
      <w:r w:rsidR="00C85A42">
        <w:t xml:space="preserve">the </w:t>
      </w:r>
      <w:r>
        <w:t>Petition pursuant to section 310(b)(4) of the Act, and section 1.5000(a)(</w:t>
      </w:r>
      <w:r w:rsidRPr="00CC0CD5">
        <w:t xml:space="preserve">1) of the Commission’s rules, </w:t>
      </w:r>
      <w:r w:rsidRPr="001A573F" w:rsidR="00647A93">
        <w:rPr>
          <w:bCs/>
          <w:snapToGrid/>
          <w:kern w:val="0"/>
        </w:rPr>
        <w:t xml:space="preserve">asking the Commission to find that it would serve the public interest </w:t>
      </w:r>
      <w:r w:rsidRPr="00CC0CD5">
        <w:t>to permit post-transaction foreign ownership of</w:t>
      </w:r>
      <w:r w:rsidR="0073031F">
        <w:t xml:space="preserve"> J</w:t>
      </w:r>
      <w:r w:rsidR="00144635">
        <w:t>AB</w:t>
      </w:r>
      <w:r w:rsidR="0073031F">
        <w:t xml:space="preserve"> Wireless</w:t>
      </w:r>
      <w:r w:rsidR="00596646">
        <w:t xml:space="preserve">, the direct controlling U.S. parent of </w:t>
      </w:r>
      <w:r w:rsidR="00A15E44">
        <w:t xml:space="preserve">the Wireless </w:t>
      </w:r>
      <w:r w:rsidR="00596646">
        <w:t xml:space="preserve">Licensees. </w:t>
      </w:r>
    </w:p>
    <w:p w:rsidR="001A573F" w:rsidRPr="001A573F" w:rsidP="004D2B83" w14:paraId="71411136" w14:textId="5641A93C">
      <w:pPr>
        <w:autoSpaceDE w:val="0"/>
        <w:autoSpaceDN w:val="0"/>
        <w:adjustRightInd w:val="0"/>
        <w:spacing w:after="120"/>
        <w:rPr>
          <w:bCs/>
          <w:snapToGrid/>
          <w:kern w:val="0"/>
        </w:rPr>
      </w:pPr>
      <w:r>
        <w:rPr>
          <w:bCs/>
          <w:snapToGrid/>
          <w:kern w:val="0"/>
        </w:rPr>
        <w:tab/>
      </w:r>
      <w:r w:rsidRPr="001A573F">
        <w:rPr>
          <w:bCs/>
          <w:snapToGrid/>
          <w:kern w:val="0"/>
        </w:rPr>
        <w:t xml:space="preserve">Petitioners expect that the Transaction will result in aggregate indirect foreign ownership of GI DI , JAB Wireless, and </w:t>
      </w:r>
      <w:r w:rsidR="00DC2D93">
        <w:rPr>
          <w:bCs/>
          <w:snapToGrid/>
          <w:kern w:val="0"/>
        </w:rPr>
        <w:t xml:space="preserve">the Wireless </w:t>
      </w:r>
      <w:r w:rsidRPr="001A573F">
        <w:rPr>
          <w:bCs/>
          <w:snapToGrid/>
          <w:kern w:val="0"/>
        </w:rPr>
        <w:t>Licensees of approximately 68%.</w:t>
      </w:r>
      <w:r>
        <w:rPr>
          <w:rStyle w:val="FootnoteReference"/>
          <w:bCs/>
          <w:snapToGrid/>
          <w:kern w:val="0"/>
        </w:rPr>
        <w:footnoteReference w:id="24"/>
      </w:r>
      <w:r w:rsidRPr="001A573F">
        <w:rPr>
          <w:bCs/>
          <w:snapToGrid/>
          <w:kern w:val="0"/>
        </w:rPr>
        <w:t xml:space="preserve">  This foreign ownership will arise through foreign entities that are currently or are expected to hold insulated limited partnership interests in GI DI  Fund-A LP (approximately 89.3% equity in the fund) and Iris Opportunity (up to 100% equity in the fund).</w:t>
      </w:r>
      <w:r>
        <w:rPr>
          <w:rStyle w:val="FootnoteReference"/>
          <w:bCs/>
          <w:snapToGrid/>
          <w:kern w:val="0"/>
        </w:rPr>
        <w:footnoteReference w:id="25"/>
      </w:r>
      <w:r w:rsidRPr="001A573F">
        <w:rPr>
          <w:bCs/>
          <w:snapToGrid/>
          <w:kern w:val="0"/>
        </w:rPr>
        <w:t xml:space="preserve"> </w:t>
      </w:r>
      <w:r w:rsidR="00E91B0A">
        <w:rPr>
          <w:bCs/>
          <w:snapToGrid/>
          <w:kern w:val="0"/>
        </w:rPr>
        <w:t xml:space="preserve"> </w:t>
      </w:r>
      <w:r w:rsidRPr="001A573F">
        <w:rPr>
          <w:bCs/>
          <w:snapToGrid/>
          <w:kern w:val="0"/>
        </w:rPr>
        <w:t>Petitioners request up to 100% aggregate foreign ownership interest in the proposed controlling U.S. parent, J</w:t>
      </w:r>
      <w:r w:rsidR="007A4496">
        <w:rPr>
          <w:bCs/>
          <w:snapToGrid/>
          <w:kern w:val="0"/>
        </w:rPr>
        <w:t>AB</w:t>
      </w:r>
      <w:r w:rsidRPr="001A573F">
        <w:rPr>
          <w:bCs/>
          <w:snapToGrid/>
          <w:kern w:val="0"/>
        </w:rPr>
        <w:t xml:space="preserve"> Wireless.</w:t>
      </w:r>
      <w:r>
        <w:rPr>
          <w:rStyle w:val="FootnoteReference"/>
          <w:bCs/>
          <w:snapToGrid/>
          <w:kern w:val="0"/>
        </w:rPr>
        <w:footnoteReference w:id="26"/>
      </w:r>
      <w:r w:rsidRPr="001A573F">
        <w:rPr>
          <w:bCs/>
          <w:snapToGrid/>
          <w:kern w:val="0"/>
        </w:rPr>
        <w:t xml:space="preserve">   </w:t>
      </w:r>
    </w:p>
    <w:p w:rsidR="001A573F" w:rsidRPr="001A573F" w:rsidP="00F96818" w14:paraId="48270905" w14:textId="184D38D1">
      <w:pPr>
        <w:autoSpaceDE w:val="0"/>
        <w:autoSpaceDN w:val="0"/>
        <w:adjustRightInd w:val="0"/>
        <w:spacing w:after="120"/>
        <w:ind w:firstLine="720"/>
        <w:rPr>
          <w:bCs/>
          <w:snapToGrid/>
          <w:kern w:val="0"/>
        </w:rPr>
      </w:pPr>
      <w:r w:rsidRPr="001A573F">
        <w:rPr>
          <w:bCs/>
          <w:snapToGrid/>
          <w:kern w:val="0"/>
        </w:rPr>
        <w:t xml:space="preserve">According to the Petition, upon consummation of the Transaction, no foreign individual or entity will hold </w:t>
      </w:r>
      <w:r w:rsidR="006F6A94">
        <w:rPr>
          <w:bCs/>
          <w:snapToGrid/>
          <w:kern w:val="0"/>
        </w:rPr>
        <w:t xml:space="preserve">a </w:t>
      </w:r>
      <w:r w:rsidRPr="001A573F">
        <w:rPr>
          <w:bCs/>
          <w:snapToGrid/>
          <w:kern w:val="0"/>
        </w:rPr>
        <w:t xml:space="preserve">5% or greater direct or indirect equity and/or voting interest in GI DI </w:t>
      </w:r>
      <w:r w:rsidR="006F01FF">
        <w:rPr>
          <w:bCs/>
          <w:snapToGrid/>
          <w:kern w:val="0"/>
        </w:rPr>
        <w:t xml:space="preserve">Iris </w:t>
      </w:r>
      <w:r w:rsidRPr="001A573F">
        <w:rPr>
          <w:bCs/>
          <w:snapToGrid/>
          <w:kern w:val="0"/>
        </w:rPr>
        <w:t xml:space="preserve">Acquisition and </w:t>
      </w:r>
      <w:r w:rsidR="003F2062">
        <w:rPr>
          <w:bCs/>
          <w:snapToGrid/>
          <w:kern w:val="0"/>
        </w:rPr>
        <w:t xml:space="preserve">Wireless </w:t>
      </w:r>
      <w:r w:rsidRPr="001A573F">
        <w:rPr>
          <w:bCs/>
          <w:snapToGrid/>
          <w:kern w:val="0"/>
        </w:rPr>
        <w:t>Licensees.</w:t>
      </w:r>
      <w:r>
        <w:rPr>
          <w:rStyle w:val="FootnoteReference"/>
          <w:bCs/>
          <w:snapToGrid/>
          <w:kern w:val="0"/>
        </w:rPr>
        <w:footnoteReference w:id="27"/>
      </w:r>
      <w:r w:rsidRPr="001A573F">
        <w:rPr>
          <w:bCs/>
          <w:snapToGrid/>
          <w:kern w:val="0"/>
        </w:rPr>
        <w:t xml:space="preserve">  Therefore, Petitioners do not request specific or advance approval for any foreign interest holder(s).</w:t>
      </w:r>
      <w:r>
        <w:rPr>
          <w:rStyle w:val="FootnoteReference"/>
          <w:bCs/>
          <w:snapToGrid/>
          <w:kern w:val="0"/>
        </w:rPr>
        <w:footnoteReference w:id="28"/>
      </w:r>
      <w:r w:rsidRPr="001A573F">
        <w:rPr>
          <w:bCs/>
          <w:snapToGrid/>
          <w:kern w:val="0"/>
        </w:rPr>
        <w:t xml:space="preserve"> </w:t>
      </w:r>
      <w:r w:rsidR="000F02F8">
        <w:rPr>
          <w:bCs/>
          <w:snapToGrid/>
          <w:kern w:val="0"/>
        </w:rPr>
        <w:t xml:space="preserve"> </w:t>
      </w:r>
    </w:p>
    <w:p w:rsidR="00890F8A" w:rsidP="00890F8A" w14:paraId="12ECAD9E" w14:textId="2EB5256F">
      <w:pPr>
        <w:autoSpaceDE w:val="0"/>
        <w:autoSpaceDN w:val="0"/>
        <w:adjustRightInd w:val="0"/>
        <w:spacing w:after="120"/>
        <w:ind w:firstLine="720"/>
        <w:rPr>
          <w:bCs/>
          <w:snapToGrid/>
          <w:kern w:val="0"/>
        </w:rPr>
      </w:pPr>
      <w:r>
        <w:rPr>
          <w:color w:val="000000"/>
          <w:szCs w:val="22"/>
          <w:u w:val="single"/>
        </w:rPr>
        <w:t>Non-streamlined Processing.</w:t>
      </w:r>
      <w:r>
        <w:rPr>
          <w:color w:val="000000"/>
          <w:szCs w:val="22"/>
        </w:rPr>
        <w:t xml:space="preserve">  </w:t>
      </w:r>
      <w:r w:rsidRPr="00B62EDB">
        <w:rPr>
          <w:color w:val="000000"/>
          <w:szCs w:val="22"/>
        </w:rPr>
        <w:t xml:space="preserve">In light of the multiple applications pending before the Commission with respect to this transaction </w:t>
      </w:r>
      <w:r>
        <w:rPr>
          <w:snapToGrid/>
          <w:kern w:val="0"/>
        </w:rPr>
        <w:t>and b</w:t>
      </w:r>
      <w:r w:rsidRPr="001269C7">
        <w:rPr>
          <w:snapToGrid/>
          <w:kern w:val="0"/>
        </w:rPr>
        <w:t>ecause the proposed transaction would involve the exchange and assumption of Universal Service Fund high-cost mechanism obligations, in order to sufficiently analyze whether the proposed transaction would serve the public interest, we accept the Application for non-streamlined processing</w:t>
      </w:r>
      <w:r>
        <w:rPr>
          <w:bCs/>
          <w:snapToGrid/>
          <w:kern w:val="0"/>
        </w:rPr>
        <w:t>.</w:t>
      </w:r>
      <w:r>
        <w:rPr>
          <w:snapToGrid/>
          <w:kern w:val="0"/>
          <w:szCs w:val="22"/>
          <w:vertAlign w:val="superscript"/>
        </w:rPr>
        <w:footnoteReference w:id="29"/>
      </w:r>
      <w:r w:rsidRPr="0077152F">
        <w:rPr>
          <w:snapToGrid/>
          <w:kern w:val="0"/>
          <w:szCs w:val="22"/>
        </w:rPr>
        <w:t xml:space="preserve"> </w:t>
      </w:r>
      <w:r w:rsidRPr="001269C7">
        <w:rPr>
          <w:bCs/>
          <w:snapToGrid/>
          <w:kern w:val="0"/>
        </w:rPr>
        <w:t xml:space="preserve"> </w:t>
      </w:r>
    </w:p>
    <w:p w:rsidR="0000494F" w14:paraId="00F3D329" w14:textId="418239E0">
      <w:pPr>
        <w:pStyle w:val="FootnoteText"/>
        <w:spacing w:after="0"/>
        <w:ind w:firstLine="720"/>
      </w:pPr>
      <w:r w:rsidRPr="00DE4B27">
        <w:rPr>
          <w:bCs/>
          <w:sz w:val="22"/>
          <w:szCs w:val="22"/>
          <w:u w:val="single"/>
        </w:rPr>
        <w:t xml:space="preserve">Executive Branch </w:t>
      </w:r>
      <w:r w:rsidR="00B95B6A">
        <w:rPr>
          <w:bCs/>
          <w:sz w:val="22"/>
          <w:szCs w:val="22"/>
          <w:u w:val="single"/>
        </w:rPr>
        <w:t>Review</w:t>
      </w:r>
      <w:r w:rsidRPr="00DE4B27">
        <w:rPr>
          <w:bCs/>
          <w:sz w:val="22"/>
          <w:szCs w:val="22"/>
        </w:rPr>
        <w:t xml:space="preserve">.  </w:t>
      </w:r>
      <w:r w:rsidRPr="00DE4B27" w:rsidR="00DE4B27">
        <w:rPr>
          <w:sz w:val="22"/>
          <w:szCs w:val="22"/>
        </w:rPr>
        <w:t xml:space="preserve">The Commission determined in the </w:t>
      </w:r>
      <w:r w:rsidRPr="00DE4B27" w:rsidR="00DE4B27">
        <w:rPr>
          <w:i/>
          <w:iCs/>
          <w:sz w:val="22"/>
          <w:szCs w:val="22"/>
        </w:rPr>
        <w:t>Executive Branch Review Process Order</w:t>
      </w:r>
      <w:r w:rsidRPr="00DE4B27" w:rsidR="00DE4B27">
        <w:rPr>
          <w:sz w:val="22"/>
          <w:szCs w:val="22"/>
        </w:rPr>
        <w:t xml:space="preserve"> that it would not routinely refer to the Executive Branch </w:t>
      </w:r>
      <w:r w:rsidR="003F2062">
        <w:rPr>
          <w:sz w:val="22"/>
          <w:szCs w:val="22"/>
        </w:rPr>
        <w:t xml:space="preserve">applications and </w:t>
      </w:r>
      <w:r w:rsidRPr="00DE4B27" w:rsidR="00DE4B27">
        <w:rPr>
          <w:sz w:val="22"/>
          <w:szCs w:val="22"/>
        </w:rPr>
        <w:t xml:space="preserve">section 310(b) petitions </w:t>
      </w:r>
      <w:r w:rsidR="003F2062">
        <w:rPr>
          <w:sz w:val="22"/>
          <w:szCs w:val="22"/>
        </w:rPr>
        <w:t>“</w:t>
      </w:r>
      <w:r w:rsidRPr="00DE4B27" w:rsidR="00DE4B27">
        <w:rPr>
          <w:sz w:val="22"/>
          <w:szCs w:val="22"/>
        </w:rPr>
        <w:t>where the only reportable foreign ownership is through wholly owned intermediate holding companies and the ultimate ownership and control is held by U.S. citizens or entities</w:t>
      </w:r>
      <w:r w:rsidR="00A477EA">
        <w:rPr>
          <w:sz w:val="22"/>
          <w:szCs w:val="22"/>
        </w:rPr>
        <w:t>.”</w:t>
      </w:r>
      <w:r>
        <w:rPr>
          <w:rStyle w:val="FootnoteReference"/>
          <w:szCs w:val="22"/>
        </w:rPr>
        <w:footnoteReference w:id="30"/>
      </w:r>
      <w:r w:rsidR="00A477EA">
        <w:rPr>
          <w:sz w:val="22"/>
          <w:szCs w:val="22"/>
        </w:rPr>
        <w:t xml:space="preserve">  </w:t>
      </w:r>
      <w:r w:rsidRPr="00DE4B27" w:rsidR="00DE4B27">
        <w:rPr>
          <w:sz w:val="22"/>
          <w:szCs w:val="22"/>
        </w:rPr>
        <w:t xml:space="preserve">The Commission, however, retains the discretion to refer </w:t>
      </w:r>
      <w:r w:rsidR="00A477EA">
        <w:rPr>
          <w:sz w:val="22"/>
          <w:szCs w:val="22"/>
        </w:rPr>
        <w:t xml:space="preserve">such applications or petitions </w:t>
      </w:r>
      <w:r w:rsidRPr="00DE4B27" w:rsidR="00DE4B27">
        <w:rPr>
          <w:sz w:val="22"/>
          <w:szCs w:val="22"/>
        </w:rPr>
        <w:t xml:space="preserve">should it find that a particular application </w:t>
      </w:r>
      <w:r w:rsidR="007630A4">
        <w:rPr>
          <w:sz w:val="22"/>
          <w:szCs w:val="22"/>
        </w:rPr>
        <w:t xml:space="preserve">or </w:t>
      </w:r>
      <w:r w:rsidR="007630A4">
        <w:rPr>
          <w:sz w:val="22"/>
          <w:szCs w:val="22"/>
        </w:rPr>
        <w:t xml:space="preserve">petition </w:t>
      </w:r>
      <w:r w:rsidRPr="00DE4B27" w:rsidR="00DE4B27">
        <w:rPr>
          <w:sz w:val="22"/>
          <w:szCs w:val="22"/>
        </w:rPr>
        <w:t>may raise national security, law enforcement, foreign policy, and trade policy concerns for which it would benefit from the advice of the Executive Branch.</w:t>
      </w:r>
      <w:r>
        <w:rPr>
          <w:rStyle w:val="FootnoteReference"/>
          <w:szCs w:val="22"/>
        </w:rPr>
        <w:footnoteReference w:id="31"/>
      </w:r>
      <w:r w:rsidRPr="00DE4B27" w:rsidR="00DE4B27">
        <w:rPr>
          <w:sz w:val="22"/>
          <w:szCs w:val="22"/>
        </w:rPr>
        <w:t xml:space="preserve"> </w:t>
      </w:r>
      <w:r w:rsidR="0019741E">
        <w:rPr>
          <w:sz w:val="22"/>
          <w:szCs w:val="22"/>
        </w:rPr>
        <w:t xml:space="preserve"> </w:t>
      </w:r>
      <w:r w:rsidR="0034682A">
        <w:rPr>
          <w:sz w:val="22"/>
          <w:szCs w:val="22"/>
        </w:rPr>
        <w:t xml:space="preserve">The parties </w:t>
      </w:r>
      <w:r w:rsidR="00A477EA">
        <w:rPr>
          <w:sz w:val="22"/>
          <w:szCs w:val="22"/>
        </w:rPr>
        <w:t>assert t</w:t>
      </w:r>
      <w:r w:rsidRPr="00DE4B27" w:rsidR="00DE4B27">
        <w:rPr>
          <w:sz w:val="22"/>
          <w:szCs w:val="22"/>
        </w:rPr>
        <w:t xml:space="preserve">hat the </w:t>
      </w:r>
      <w:r w:rsidRPr="00F24E1A" w:rsidR="00DE4B27">
        <w:rPr>
          <w:sz w:val="22"/>
          <w:szCs w:val="22"/>
        </w:rPr>
        <w:t>Application</w:t>
      </w:r>
      <w:r w:rsidRPr="00DE4B27" w:rsidR="00DE4B27">
        <w:rPr>
          <w:sz w:val="22"/>
          <w:szCs w:val="22"/>
        </w:rPr>
        <w:t xml:space="preserve"> </w:t>
      </w:r>
      <w:r w:rsidR="007630A4">
        <w:rPr>
          <w:sz w:val="22"/>
          <w:szCs w:val="22"/>
        </w:rPr>
        <w:t>and</w:t>
      </w:r>
      <w:r w:rsidR="00A477EA">
        <w:rPr>
          <w:sz w:val="22"/>
          <w:szCs w:val="22"/>
        </w:rPr>
        <w:t xml:space="preserve"> the Petition fall under th</w:t>
      </w:r>
      <w:r w:rsidR="00B95B6A">
        <w:rPr>
          <w:sz w:val="22"/>
          <w:szCs w:val="22"/>
        </w:rPr>
        <w:t>is</w:t>
      </w:r>
      <w:r w:rsidR="00A477EA">
        <w:rPr>
          <w:sz w:val="22"/>
          <w:szCs w:val="22"/>
        </w:rPr>
        <w:t xml:space="preserve"> exclusion and that the Commission should not refer them to the Executive </w:t>
      </w:r>
      <w:r w:rsidR="007630A4">
        <w:rPr>
          <w:sz w:val="22"/>
          <w:szCs w:val="22"/>
        </w:rPr>
        <w:t>B</w:t>
      </w:r>
      <w:r w:rsidR="00A477EA">
        <w:rPr>
          <w:sz w:val="22"/>
          <w:szCs w:val="22"/>
        </w:rPr>
        <w:t xml:space="preserve">ranch </w:t>
      </w:r>
      <w:r w:rsidR="00B95B6A">
        <w:rPr>
          <w:sz w:val="22"/>
          <w:szCs w:val="22"/>
        </w:rPr>
        <w:t>a</w:t>
      </w:r>
      <w:r w:rsidR="00A477EA">
        <w:rPr>
          <w:sz w:val="22"/>
          <w:szCs w:val="22"/>
        </w:rPr>
        <w:t>gencies.</w:t>
      </w:r>
      <w:r>
        <w:rPr>
          <w:rStyle w:val="FootnoteReference"/>
          <w:szCs w:val="22"/>
        </w:rPr>
        <w:footnoteReference w:id="32"/>
      </w:r>
      <w:r w:rsidR="00A477EA">
        <w:rPr>
          <w:sz w:val="22"/>
          <w:szCs w:val="22"/>
        </w:rPr>
        <w:t xml:space="preserve">  </w:t>
      </w:r>
      <w:r w:rsidRPr="0019741E" w:rsidR="009A07AD">
        <w:rPr>
          <w:sz w:val="22"/>
          <w:szCs w:val="22"/>
        </w:rPr>
        <w:t>We</w:t>
      </w:r>
      <w:r w:rsidR="009A07AD">
        <w:t xml:space="preserve"> </w:t>
      </w:r>
      <w:r w:rsidRPr="009A07AD" w:rsidR="009A07AD">
        <w:rPr>
          <w:sz w:val="22"/>
          <w:szCs w:val="22"/>
        </w:rPr>
        <w:t xml:space="preserve">find that </w:t>
      </w:r>
      <w:r w:rsidR="00DA70C5">
        <w:rPr>
          <w:sz w:val="22"/>
          <w:szCs w:val="22"/>
        </w:rPr>
        <w:t xml:space="preserve">the </w:t>
      </w:r>
      <w:r w:rsidR="00B95B6A">
        <w:rPr>
          <w:sz w:val="22"/>
          <w:szCs w:val="22"/>
        </w:rPr>
        <w:t>parties</w:t>
      </w:r>
      <w:r w:rsidRPr="009A07AD" w:rsidR="009A07AD">
        <w:rPr>
          <w:sz w:val="22"/>
          <w:szCs w:val="22"/>
        </w:rPr>
        <w:t xml:space="preserve"> have made a showing that the Application and Petition come within </w:t>
      </w:r>
      <w:r w:rsidR="00E86630">
        <w:rPr>
          <w:sz w:val="22"/>
          <w:szCs w:val="22"/>
        </w:rPr>
        <w:t>the</w:t>
      </w:r>
      <w:r w:rsidRPr="009A07AD" w:rsidR="009A07AD">
        <w:rPr>
          <w:sz w:val="22"/>
          <w:szCs w:val="22"/>
        </w:rPr>
        <w:t xml:space="preserve"> exclusion from referral to the Executive Branch for national security, law enforcement, foreign policy and trade policy review.  While we are not referring the Application or Petition, we will provide a cou</w:t>
      </w:r>
      <w:r w:rsidRPr="009A07AD" w:rsidR="00695528">
        <w:rPr>
          <w:sz w:val="22"/>
          <w:szCs w:val="22"/>
        </w:rPr>
        <w:t>rtesy copy of this public notice to the Executive Branch agencies.</w:t>
      </w:r>
      <w:r>
        <w:rPr>
          <w:rStyle w:val="FootnoteReference"/>
          <w:szCs w:val="22"/>
        </w:rPr>
        <w:footnoteReference w:id="33"/>
      </w:r>
      <w:r w:rsidRPr="00D64518" w:rsidR="00D64518">
        <w:t xml:space="preserve"> </w:t>
      </w:r>
    </w:p>
    <w:p w:rsidR="007630A4" w:rsidP="003474AA" w14:paraId="0D754C89" w14:textId="77777777">
      <w:pPr>
        <w:widowControl/>
        <w:autoSpaceDE w:val="0"/>
        <w:autoSpaceDN w:val="0"/>
        <w:adjustRightInd w:val="0"/>
        <w:rPr>
          <w:b/>
          <w:snapToGrid/>
          <w:kern w:val="0"/>
          <w:szCs w:val="22"/>
          <w:u w:val="single"/>
        </w:rPr>
      </w:pPr>
      <w:bookmarkStart w:id="4" w:name="_Hlk91058179"/>
    </w:p>
    <w:p w:rsidR="003474AA" w:rsidRPr="005C743D" w:rsidP="003474AA" w14:paraId="6805E28F" w14:textId="77777777">
      <w:pPr>
        <w:widowControl/>
        <w:autoSpaceDE w:val="0"/>
        <w:autoSpaceDN w:val="0"/>
        <w:adjustRightInd w:val="0"/>
        <w:rPr>
          <w:snapToGrid/>
          <w:kern w:val="0"/>
          <w:szCs w:val="22"/>
        </w:rPr>
      </w:pPr>
      <w:r w:rsidRPr="005C743D">
        <w:rPr>
          <w:b/>
          <w:snapToGrid/>
          <w:kern w:val="0"/>
          <w:szCs w:val="22"/>
          <w:u w:val="single"/>
        </w:rPr>
        <w:t>GENERAL INFORMATION</w:t>
      </w:r>
    </w:p>
    <w:p w:rsidR="003474AA" w:rsidRPr="005C743D" w:rsidP="003474AA" w14:paraId="44D16A08" w14:textId="77777777">
      <w:pPr>
        <w:widowControl/>
        <w:autoSpaceDE w:val="0"/>
        <w:autoSpaceDN w:val="0"/>
        <w:adjustRightInd w:val="0"/>
        <w:rPr>
          <w:snapToGrid/>
          <w:kern w:val="0"/>
          <w:szCs w:val="22"/>
        </w:rPr>
      </w:pPr>
    </w:p>
    <w:p w:rsidR="008014D0" w:rsidRPr="008014D0" w:rsidP="008014D0" w14:paraId="30DD85D4" w14:textId="2F37768F">
      <w:pPr>
        <w:widowControl/>
        <w:autoSpaceDE w:val="0"/>
        <w:autoSpaceDN w:val="0"/>
        <w:adjustRightInd w:val="0"/>
        <w:spacing w:after="120"/>
        <w:ind w:firstLine="720"/>
        <w:rPr>
          <w:snapToGrid/>
          <w:kern w:val="0"/>
          <w:szCs w:val="22"/>
        </w:rPr>
      </w:pPr>
      <w:r w:rsidRPr="008014D0">
        <w:rPr>
          <w:snapToGrid/>
          <w:kern w:val="0"/>
          <w:szCs w:val="22"/>
        </w:rPr>
        <w:t xml:space="preserve">The </w:t>
      </w:r>
      <w:r w:rsidR="006F6A94">
        <w:rPr>
          <w:snapToGrid/>
          <w:kern w:val="0"/>
          <w:szCs w:val="22"/>
        </w:rPr>
        <w:t>A</w:t>
      </w:r>
      <w:r w:rsidRPr="008014D0">
        <w:rPr>
          <w:snapToGrid/>
          <w:kern w:val="0"/>
          <w:szCs w:val="22"/>
        </w:rPr>
        <w:t>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8014D0" w:rsidRPr="008014D0" w:rsidP="008014D0" w14:paraId="3D63F673" w14:textId="10889F67">
      <w:pPr>
        <w:widowControl/>
        <w:autoSpaceDE w:val="0"/>
        <w:autoSpaceDN w:val="0"/>
        <w:adjustRightInd w:val="0"/>
        <w:spacing w:after="120"/>
        <w:ind w:firstLine="720"/>
        <w:rPr>
          <w:snapToGrid/>
          <w:kern w:val="0"/>
          <w:szCs w:val="22"/>
        </w:rPr>
      </w:pPr>
      <w:r w:rsidRPr="008014D0">
        <w:rPr>
          <w:snapToGrid/>
          <w:kern w:val="0"/>
          <w:szCs w:val="22"/>
        </w:rPr>
        <w:t xml:space="preserve">Interested parties may file comments </w:t>
      </w:r>
      <w:r w:rsidRPr="008014D0">
        <w:rPr>
          <w:b/>
          <w:snapToGrid/>
          <w:kern w:val="0"/>
          <w:szCs w:val="22"/>
        </w:rPr>
        <w:t xml:space="preserve">on or before </w:t>
      </w:r>
      <w:r w:rsidR="007D73CD">
        <w:rPr>
          <w:b/>
          <w:snapToGrid/>
          <w:kern w:val="0"/>
          <w:szCs w:val="22"/>
        </w:rPr>
        <w:t>November 3</w:t>
      </w:r>
      <w:r w:rsidRPr="008014D0">
        <w:rPr>
          <w:b/>
          <w:snapToGrid/>
          <w:kern w:val="0"/>
          <w:szCs w:val="22"/>
        </w:rPr>
        <w:t>, 202</w:t>
      </w:r>
      <w:r>
        <w:rPr>
          <w:b/>
          <w:snapToGrid/>
          <w:kern w:val="0"/>
          <w:szCs w:val="22"/>
        </w:rPr>
        <w:t>2</w:t>
      </w:r>
      <w:r w:rsidRPr="008014D0">
        <w:rPr>
          <w:snapToGrid/>
          <w:kern w:val="0"/>
          <w:szCs w:val="22"/>
        </w:rPr>
        <w:t xml:space="preserve">, and reply comments </w:t>
      </w:r>
      <w:r w:rsidRPr="008014D0">
        <w:rPr>
          <w:b/>
          <w:snapToGrid/>
          <w:kern w:val="0"/>
          <w:szCs w:val="22"/>
        </w:rPr>
        <w:t xml:space="preserve">on or before </w:t>
      </w:r>
      <w:r w:rsidR="007D73CD">
        <w:rPr>
          <w:b/>
          <w:snapToGrid/>
          <w:kern w:val="0"/>
          <w:szCs w:val="22"/>
        </w:rPr>
        <w:t>November 18</w:t>
      </w:r>
      <w:r w:rsidRPr="008014D0">
        <w:rPr>
          <w:b/>
          <w:snapToGrid/>
          <w:kern w:val="0"/>
          <w:szCs w:val="22"/>
        </w:rPr>
        <w:t>, 202</w:t>
      </w:r>
      <w:r>
        <w:rPr>
          <w:b/>
          <w:snapToGrid/>
          <w:kern w:val="0"/>
          <w:szCs w:val="22"/>
        </w:rPr>
        <w:t>2</w:t>
      </w:r>
      <w:r w:rsidRPr="008014D0">
        <w:rPr>
          <w:snapToGrid/>
          <w:kern w:val="0"/>
          <w:szCs w:val="22"/>
        </w:rPr>
        <w:t>.  Comments may be filed using the Commission’s Electronic Comment Filing System (ECFS) or by paper.  </w:t>
      </w:r>
    </w:p>
    <w:p w:rsidR="008014D0" w:rsidRPr="008014D0" w:rsidP="008014D0" w14:paraId="3EF26ADA" w14:textId="77777777">
      <w:pPr>
        <w:widowControl/>
        <w:numPr>
          <w:ilvl w:val="0"/>
          <w:numId w:val="8"/>
        </w:numPr>
        <w:autoSpaceDE w:val="0"/>
        <w:autoSpaceDN w:val="0"/>
        <w:adjustRightInd w:val="0"/>
        <w:spacing w:after="120"/>
        <w:rPr>
          <w:snapToGrid/>
          <w:kern w:val="0"/>
          <w:szCs w:val="22"/>
        </w:rPr>
      </w:pPr>
      <w:r w:rsidRPr="008014D0">
        <w:rPr>
          <w:snapToGrid/>
          <w:kern w:val="0"/>
          <w:szCs w:val="22"/>
        </w:rPr>
        <w:t>Electronic Filers:  Comments may be filed electronically by accessing ECFS at </w:t>
      </w:r>
      <w:hyperlink r:id="rId5" w:history="1">
        <w:r w:rsidRPr="008014D0">
          <w:rPr>
            <w:rStyle w:val="Hyperlink"/>
            <w:snapToGrid/>
            <w:kern w:val="0"/>
            <w:szCs w:val="22"/>
          </w:rPr>
          <w:t>http://apps.fcc.gov/ecfs/</w:t>
        </w:r>
      </w:hyperlink>
      <w:r w:rsidRPr="008014D0">
        <w:rPr>
          <w:snapToGrid/>
          <w:kern w:val="0"/>
          <w:szCs w:val="22"/>
          <w:u w:val="single"/>
        </w:rPr>
        <w:t xml:space="preserve"> </w:t>
      </w:r>
      <w:r w:rsidRPr="008014D0">
        <w:rPr>
          <w:snapToGrid/>
          <w:kern w:val="0"/>
          <w:szCs w:val="22"/>
        </w:rPr>
        <w:t>.</w:t>
      </w:r>
    </w:p>
    <w:p w:rsidR="008014D0" w:rsidRPr="008014D0" w:rsidP="008014D0" w14:paraId="74F9F533" w14:textId="77777777">
      <w:pPr>
        <w:widowControl/>
        <w:numPr>
          <w:ilvl w:val="0"/>
          <w:numId w:val="9"/>
        </w:numPr>
        <w:autoSpaceDE w:val="0"/>
        <w:autoSpaceDN w:val="0"/>
        <w:adjustRightInd w:val="0"/>
        <w:spacing w:after="120"/>
        <w:rPr>
          <w:snapToGrid/>
          <w:kern w:val="0"/>
          <w:szCs w:val="22"/>
        </w:rPr>
      </w:pPr>
      <w:r w:rsidRPr="008014D0">
        <w:rPr>
          <w:i/>
          <w:iCs/>
          <w:snapToGrid/>
          <w:kern w:val="0"/>
          <w:szCs w:val="22"/>
        </w:rPr>
        <w:t>Paper Filers</w:t>
      </w:r>
      <w:r w:rsidRPr="008014D0">
        <w:rPr>
          <w:snapToGrid/>
          <w:kern w:val="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014D0" w:rsidRPr="008014D0" w:rsidP="008014D0" w14:paraId="344094B9" w14:textId="77777777">
      <w:pPr>
        <w:widowControl/>
        <w:numPr>
          <w:ilvl w:val="1"/>
          <w:numId w:val="9"/>
        </w:numPr>
        <w:autoSpaceDE w:val="0"/>
        <w:autoSpaceDN w:val="0"/>
        <w:adjustRightInd w:val="0"/>
        <w:spacing w:after="120"/>
        <w:rPr>
          <w:snapToGrid/>
          <w:kern w:val="0"/>
          <w:szCs w:val="22"/>
        </w:rPr>
      </w:pPr>
      <w:r w:rsidRPr="008014D0">
        <w:rPr>
          <w:snapToGrid/>
          <w:kern w:val="0"/>
          <w:szCs w:val="22"/>
        </w:rPr>
        <w:t>Filings can be sent by commercial overnight courier or by first-class or overnight U.S. Postal Service mail.</w:t>
      </w:r>
      <w:r>
        <w:rPr>
          <w:snapToGrid/>
          <w:kern w:val="0"/>
          <w:szCs w:val="22"/>
          <w:vertAlign w:val="superscript"/>
        </w:rPr>
        <w:footnoteReference w:id="34"/>
      </w:r>
      <w:r w:rsidRPr="008014D0">
        <w:rPr>
          <w:snapToGrid/>
          <w:kern w:val="0"/>
          <w:szCs w:val="22"/>
        </w:rPr>
        <w:t xml:space="preserve">  All filings must be addressed to the Commission’s Secretary, Office of the Secretary, Federal Communications Commission.</w:t>
      </w:r>
    </w:p>
    <w:p w:rsidR="008014D0" w:rsidRPr="008014D0" w:rsidP="008014D0" w14:paraId="2C9645F7" w14:textId="77777777">
      <w:pPr>
        <w:widowControl/>
        <w:numPr>
          <w:ilvl w:val="1"/>
          <w:numId w:val="9"/>
        </w:numPr>
        <w:autoSpaceDE w:val="0"/>
        <w:autoSpaceDN w:val="0"/>
        <w:adjustRightInd w:val="0"/>
        <w:spacing w:after="120"/>
        <w:rPr>
          <w:snapToGrid/>
          <w:kern w:val="0"/>
          <w:szCs w:val="22"/>
        </w:rPr>
      </w:pPr>
      <w:r w:rsidRPr="008014D0">
        <w:rPr>
          <w:snapToGrid/>
          <w:kern w:val="0"/>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8014D0" w:rsidRPr="008014D0" w:rsidP="008014D0" w14:paraId="1C06D685" w14:textId="77777777">
      <w:pPr>
        <w:widowControl/>
        <w:autoSpaceDE w:val="0"/>
        <w:autoSpaceDN w:val="0"/>
        <w:adjustRightInd w:val="0"/>
        <w:spacing w:after="120"/>
        <w:ind w:firstLine="720"/>
        <w:rPr>
          <w:snapToGrid/>
          <w:kern w:val="0"/>
          <w:szCs w:val="22"/>
        </w:rPr>
      </w:pPr>
      <w:r w:rsidRPr="008014D0">
        <w:rPr>
          <w:snapToGrid/>
          <w:kern w:val="0"/>
          <w:szCs w:val="22"/>
        </w:rPr>
        <w:t>People with Disabilities:  We ask that requests for accommodations be made as soon as possible in order to allow the agency to satisfy such requests whenever possible.  Send an email to </w:t>
      </w:r>
      <w:hyperlink r:id="rId6" w:tgtFrame="_blank" w:history="1">
        <w:r w:rsidRPr="008014D0">
          <w:rPr>
            <w:rStyle w:val="Hyperlink"/>
            <w:snapToGrid/>
            <w:kern w:val="0"/>
            <w:szCs w:val="22"/>
          </w:rPr>
          <w:t>fcc504@fcc.gov</w:t>
        </w:r>
      </w:hyperlink>
      <w:r w:rsidRPr="008014D0">
        <w:rPr>
          <w:snapToGrid/>
          <w:kern w:val="0"/>
          <w:szCs w:val="22"/>
        </w:rPr>
        <w:t> or call the Consumer and Governmental Affairs Bureau at (202) 418-0530.</w:t>
      </w:r>
    </w:p>
    <w:p w:rsidR="008014D0" w:rsidRPr="008014D0" w:rsidP="008014D0" w14:paraId="4D607239" w14:textId="77777777">
      <w:pPr>
        <w:widowControl/>
        <w:autoSpaceDE w:val="0"/>
        <w:autoSpaceDN w:val="0"/>
        <w:adjustRightInd w:val="0"/>
        <w:spacing w:after="120"/>
        <w:ind w:firstLine="720"/>
        <w:rPr>
          <w:b/>
          <w:snapToGrid/>
          <w:kern w:val="0"/>
          <w:szCs w:val="22"/>
        </w:rPr>
      </w:pPr>
      <w:r w:rsidRPr="008014D0">
        <w:rPr>
          <w:b/>
          <w:snapToGrid/>
          <w:kern w:val="0"/>
          <w:szCs w:val="22"/>
        </w:rPr>
        <w:t>In addition, e-mail one copy of each pleading to each of the following:</w:t>
      </w:r>
    </w:p>
    <w:p w:rsidR="001D6710" w:rsidP="001D6710" w14:paraId="080AE09C" w14:textId="77777777">
      <w:pPr>
        <w:widowControl/>
        <w:numPr>
          <w:ilvl w:val="0"/>
          <w:numId w:val="7"/>
        </w:numPr>
        <w:autoSpaceDE w:val="0"/>
        <w:autoSpaceDN w:val="0"/>
        <w:adjustRightInd w:val="0"/>
        <w:spacing w:after="120"/>
        <w:rPr>
          <w:snapToGrid/>
          <w:kern w:val="0"/>
          <w:szCs w:val="22"/>
        </w:rPr>
      </w:pPr>
      <w:r>
        <w:rPr>
          <w:snapToGrid/>
          <w:kern w:val="0"/>
          <w:szCs w:val="22"/>
        </w:rPr>
        <w:t>Gregory Kwan</w:t>
      </w:r>
      <w:r w:rsidRPr="008014D0" w:rsidR="001171CB">
        <w:rPr>
          <w:snapToGrid/>
          <w:kern w:val="0"/>
          <w:szCs w:val="22"/>
        </w:rPr>
        <w:t xml:space="preserve">, Competition Policy Division, Wireline Competition Bureau, </w:t>
      </w:r>
      <w:hyperlink r:id="rId7" w:history="1">
        <w:r w:rsidRPr="00130F6A">
          <w:rPr>
            <w:rStyle w:val="Hyperlink"/>
            <w:snapToGrid/>
            <w:kern w:val="0"/>
            <w:szCs w:val="22"/>
          </w:rPr>
          <w:t>gregory.kwan@fcc.gov</w:t>
        </w:r>
      </w:hyperlink>
      <w:r>
        <w:rPr>
          <w:snapToGrid/>
          <w:kern w:val="0"/>
          <w:szCs w:val="22"/>
        </w:rPr>
        <w:t xml:space="preserve">; </w:t>
      </w:r>
    </w:p>
    <w:p w:rsidR="001D6710" w:rsidP="001D6710" w14:paraId="2457635E" w14:textId="63C81375">
      <w:pPr>
        <w:widowControl/>
        <w:numPr>
          <w:ilvl w:val="0"/>
          <w:numId w:val="7"/>
        </w:numPr>
        <w:autoSpaceDE w:val="0"/>
        <w:autoSpaceDN w:val="0"/>
        <w:adjustRightInd w:val="0"/>
        <w:spacing w:after="120"/>
        <w:rPr>
          <w:snapToGrid/>
          <w:kern w:val="0"/>
          <w:szCs w:val="22"/>
        </w:rPr>
      </w:pPr>
      <w:r>
        <w:t>Fara Mohsenikolour</w:t>
      </w:r>
      <w:r w:rsidRPr="001D6710">
        <w:rPr>
          <w:szCs w:val="22"/>
        </w:rPr>
        <w:t>, Telecommunications &amp; Analysis Division, International Bureau;</w:t>
      </w:r>
      <w:r w:rsidR="003E0D09">
        <w:rPr>
          <w:szCs w:val="22"/>
        </w:rPr>
        <w:t xml:space="preserve"> </w:t>
      </w:r>
      <w:hyperlink r:id="rId8" w:history="1"/>
      <w:hyperlink r:id="rId9" w:history="1">
        <w:r w:rsidRPr="00117AB7" w:rsidR="00C85A42">
          <w:rPr>
            <w:rStyle w:val="Hyperlink"/>
          </w:rPr>
          <w:t>Fara.Mohsenikolour@fcc.gov</w:t>
        </w:r>
      </w:hyperlink>
      <w:r w:rsidR="00C85A42">
        <w:t xml:space="preserve">; </w:t>
      </w:r>
      <w:r w:rsidRPr="001D6710">
        <w:rPr>
          <w:szCs w:val="22"/>
        </w:rPr>
        <w:t>and</w:t>
      </w:r>
    </w:p>
    <w:p w:rsidR="008014D0" w:rsidRPr="001D6710" w:rsidP="001D6710" w14:paraId="478BC472" w14:textId="77777777">
      <w:pPr>
        <w:widowControl/>
        <w:numPr>
          <w:ilvl w:val="0"/>
          <w:numId w:val="7"/>
        </w:numPr>
        <w:autoSpaceDE w:val="0"/>
        <w:autoSpaceDN w:val="0"/>
        <w:adjustRightInd w:val="0"/>
        <w:spacing w:after="120"/>
        <w:rPr>
          <w:snapToGrid/>
          <w:kern w:val="0"/>
          <w:szCs w:val="22"/>
        </w:rPr>
      </w:pPr>
      <w:r w:rsidRPr="001D6710">
        <w:rPr>
          <w:snapToGrid/>
          <w:kern w:val="0"/>
          <w:szCs w:val="22"/>
        </w:rPr>
        <w:t xml:space="preserve">Jim Bird, Office of General Counsel, </w:t>
      </w:r>
      <w:hyperlink r:id="rId10" w:history="1">
        <w:r w:rsidRPr="001D6710">
          <w:rPr>
            <w:rStyle w:val="Hyperlink"/>
            <w:snapToGrid/>
            <w:kern w:val="0"/>
            <w:szCs w:val="22"/>
          </w:rPr>
          <w:t>jim.bird@fcc.gov</w:t>
        </w:r>
      </w:hyperlink>
    </w:p>
    <w:p w:rsidR="008014D0" w:rsidRPr="008014D0" w:rsidP="008014D0" w14:paraId="57FC2533" w14:textId="77777777">
      <w:pPr>
        <w:widowControl/>
        <w:autoSpaceDE w:val="0"/>
        <w:autoSpaceDN w:val="0"/>
        <w:adjustRightInd w:val="0"/>
        <w:spacing w:after="120"/>
        <w:ind w:firstLine="720"/>
        <w:rPr>
          <w:snapToGrid/>
          <w:kern w:val="0"/>
          <w:szCs w:val="22"/>
        </w:rPr>
      </w:pPr>
      <w:r w:rsidRPr="008014D0">
        <w:rPr>
          <w:snapToGrid/>
          <w:kern w:val="0"/>
          <w:szCs w:val="22"/>
        </w:rPr>
        <w:t xml:space="preserve">The proceeding in this Notice shall be treated as a “permit-but-disclose” proceeding in accordance with the Commission’s </w:t>
      </w:r>
      <w:r w:rsidRPr="008014D0">
        <w:rPr>
          <w:i/>
          <w:snapToGrid/>
          <w:kern w:val="0"/>
          <w:szCs w:val="22"/>
        </w:rPr>
        <w:t>ex parte</w:t>
      </w:r>
      <w:r w:rsidRPr="008014D0">
        <w:rPr>
          <w:snapToGrid/>
          <w:kern w:val="0"/>
          <w:szCs w:val="22"/>
        </w:rPr>
        <w:t xml:space="preserve"> rules.  Persons making </w:t>
      </w:r>
      <w:r w:rsidRPr="008014D0">
        <w:rPr>
          <w:i/>
          <w:snapToGrid/>
          <w:kern w:val="0"/>
          <w:szCs w:val="22"/>
        </w:rPr>
        <w:t>ex parte</w:t>
      </w:r>
      <w:r w:rsidRPr="008014D0">
        <w:rPr>
          <w:snapToGrid/>
          <w:kern w:val="0"/>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8014D0">
        <w:rPr>
          <w:i/>
          <w:snapToGrid/>
          <w:kern w:val="0"/>
          <w:szCs w:val="22"/>
        </w:rPr>
        <w:t>ex parte</w:t>
      </w:r>
      <w:r w:rsidRPr="008014D0">
        <w:rPr>
          <w:snapToGrid/>
          <w:kern w:val="0"/>
          <w:szCs w:val="22"/>
        </w:rPr>
        <w:t xml:space="preserve"> presentations are reminded that memoranda summarizing the presentation must (1) list all persons attending or otherwise participating in the meeting at which the </w:t>
      </w:r>
      <w:r w:rsidRPr="008014D0">
        <w:rPr>
          <w:i/>
          <w:snapToGrid/>
          <w:kern w:val="0"/>
          <w:szCs w:val="22"/>
        </w:rPr>
        <w:t>ex parte</w:t>
      </w:r>
      <w:r w:rsidRPr="008014D0">
        <w:rPr>
          <w:snapToGrid/>
          <w:kern w:val="0"/>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014D0">
        <w:rPr>
          <w:i/>
          <w:snapToGrid/>
          <w:kern w:val="0"/>
          <w:szCs w:val="22"/>
        </w:rPr>
        <w:t>ex parte</w:t>
      </w:r>
      <w:r w:rsidRPr="008014D0">
        <w:rPr>
          <w:snapToGrid/>
          <w:kern w:val="0"/>
          <w:szCs w:val="22"/>
        </w:rPr>
        <w:t xml:space="preserve"> meetings are deemed to be written </w:t>
      </w:r>
      <w:r w:rsidRPr="008014D0">
        <w:rPr>
          <w:i/>
          <w:snapToGrid/>
          <w:kern w:val="0"/>
          <w:szCs w:val="22"/>
        </w:rPr>
        <w:t>ex parte</w:t>
      </w:r>
      <w:r w:rsidRPr="008014D0">
        <w:rPr>
          <w:snapToGrid/>
          <w:kern w:val="0"/>
          <w:szCs w:val="22"/>
        </w:rPr>
        <w:t xml:space="preserve"> presentations and must be filed consistent with rule 1.1206(b), 47 CFR § 1.1206(b).  Participants in this proceeding should familiarize themselves with the Commission’s </w:t>
      </w:r>
      <w:r w:rsidRPr="008014D0">
        <w:rPr>
          <w:i/>
          <w:snapToGrid/>
          <w:kern w:val="0"/>
          <w:szCs w:val="22"/>
        </w:rPr>
        <w:t>ex parte</w:t>
      </w:r>
      <w:r w:rsidRPr="008014D0">
        <w:rPr>
          <w:snapToGrid/>
          <w:kern w:val="0"/>
          <w:szCs w:val="22"/>
        </w:rPr>
        <w:t xml:space="preserve"> rules.</w:t>
      </w:r>
    </w:p>
    <w:p w:rsidR="008014D0" w:rsidRPr="008014D0" w:rsidP="008014D0" w14:paraId="7F2C02EB" w14:textId="0D9F509D">
      <w:pPr>
        <w:widowControl/>
        <w:autoSpaceDE w:val="0"/>
        <w:autoSpaceDN w:val="0"/>
        <w:adjustRightInd w:val="0"/>
        <w:spacing w:after="120"/>
        <w:ind w:firstLine="720"/>
        <w:rPr>
          <w:snapToGrid/>
          <w:kern w:val="0"/>
          <w:szCs w:val="22"/>
        </w:rPr>
      </w:pPr>
      <w:r w:rsidRPr="008014D0">
        <w:rPr>
          <w:snapToGrid/>
          <w:kern w:val="0"/>
          <w:szCs w:val="22"/>
        </w:rPr>
        <w:t xml:space="preserve">To allow the Commission to consider fully all substantive issues regarding the </w:t>
      </w:r>
      <w:r w:rsidR="002D3500">
        <w:rPr>
          <w:snapToGrid/>
          <w:kern w:val="0"/>
          <w:szCs w:val="22"/>
        </w:rPr>
        <w:t>A</w:t>
      </w:r>
      <w:r w:rsidRPr="008014D0">
        <w:rPr>
          <w:snapToGrid/>
          <w:kern w:val="0"/>
          <w:szCs w:val="22"/>
        </w:rPr>
        <w:t>pplication in as timely and efficient a manner as possible, petitioners and commenters should raise all issues in their initial filings.  New issues may not be raised in responses or replies.</w:t>
      </w:r>
      <w:r>
        <w:rPr>
          <w:snapToGrid/>
          <w:kern w:val="0"/>
          <w:szCs w:val="22"/>
          <w:vertAlign w:val="superscript"/>
        </w:rPr>
        <w:footnoteReference w:id="35"/>
      </w:r>
      <w:r w:rsidRPr="008014D0">
        <w:rPr>
          <w:snapToGrid/>
          <w:kern w:val="0"/>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206960" w:rsidRPr="00206960" w:rsidP="00206960" w14:paraId="5678F911" w14:textId="7B814C72">
      <w:pPr>
        <w:widowControl/>
        <w:autoSpaceDE w:val="0"/>
        <w:autoSpaceDN w:val="0"/>
        <w:adjustRightInd w:val="0"/>
        <w:spacing w:after="120"/>
        <w:ind w:firstLine="720"/>
        <w:rPr>
          <w:snapToGrid/>
          <w:kern w:val="0"/>
          <w:szCs w:val="22"/>
        </w:rPr>
      </w:pPr>
      <w:r w:rsidRPr="008014D0">
        <w:rPr>
          <w:snapToGrid/>
          <w:kern w:val="0"/>
          <w:szCs w:val="22"/>
        </w:rPr>
        <w:t xml:space="preserve">For further information, please contact </w:t>
      </w:r>
      <w:r w:rsidR="00A73B60">
        <w:rPr>
          <w:snapToGrid/>
          <w:kern w:val="0"/>
          <w:szCs w:val="22"/>
        </w:rPr>
        <w:t>Gregory Kwan</w:t>
      </w:r>
      <w:r>
        <w:rPr>
          <w:snapToGrid/>
          <w:kern w:val="0"/>
          <w:szCs w:val="22"/>
        </w:rPr>
        <w:t>,</w:t>
      </w:r>
      <w:r w:rsidRPr="008014D0">
        <w:rPr>
          <w:snapToGrid/>
          <w:kern w:val="0"/>
          <w:szCs w:val="22"/>
        </w:rPr>
        <w:t xml:space="preserve"> </w:t>
      </w:r>
      <w:r w:rsidRPr="00206960">
        <w:rPr>
          <w:snapToGrid/>
          <w:kern w:val="0"/>
          <w:szCs w:val="22"/>
        </w:rPr>
        <w:t xml:space="preserve">Wireline Competition Bureau, </w:t>
      </w:r>
      <w:r w:rsidRPr="008014D0">
        <w:rPr>
          <w:snapToGrid/>
          <w:kern w:val="0"/>
          <w:szCs w:val="22"/>
        </w:rPr>
        <w:t>(202)</w:t>
      </w:r>
      <w:r>
        <w:rPr>
          <w:snapToGrid/>
          <w:kern w:val="0"/>
          <w:szCs w:val="22"/>
        </w:rPr>
        <w:t xml:space="preserve"> </w:t>
      </w:r>
      <w:r w:rsidRPr="008014D0">
        <w:rPr>
          <w:snapToGrid/>
          <w:kern w:val="0"/>
          <w:szCs w:val="22"/>
        </w:rPr>
        <w:t>418</w:t>
      </w:r>
      <w:r w:rsidR="00816A4E">
        <w:rPr>
          <w:snapToGrid/>
          <w:kern w:val="0"/>
          <w:szCs w:val="22"/>
        </w:rPr>
        <w:t>-</w:t>
      </w:r>
      <w:r w:rsidR="00A73B60">
        <w:rPr>
          <w:snapToGrid/>
          <w:kern w:val="0"/>
          <w:szCs w:val="22"/>
        </w:rPr>
        <w:t>1191</w:t>
      </w:r>
      <w:r w:rsidR="0087489B">
        <w:rPr>
          <w:snapToGrid/>
          <w:kern w:val="0"/>
          <w:szCs w:val="22"/>
        </w:rPr>
        <w:t xml:space="preserve"> or</w:t>
      </w:r>
      <w:r w:rsidR="00B273A1">
        <w:rPr>
          <w:snapToGrid/>
          <w:kern w:val="0"/>
          <w:szCs w:val="22"/>
        </w:rPr>
        <w:t xml:space="preserve"> </w:t>
      </w:r>
      <w:r w:rsidR="00AC1D52">
        <w:t xml:space="preserve">Fara Mohsenikolour, </w:t>
      </w:r>
      <w:r w:rsidR="0087489B">
        <w:t xml:space="preserve">International Bureau, </w:t>
      </w:r>
      <w:r w:rsidR="00AC1D52">
        <w:t>202-418-</w:t>
      </w:r>
      <w:r w:rsidR="00DF291C">
        <w:t xml:space="preserve">1429. </w:t>
      </w:r>
    </w:p>
    <w:p w:rsidR="00206960" w:rsidRPr="00206960" w:rsidP="0008514F" w14:paraId="79F7D937" w14:textId="77777777">
      <w:pPr>
        <w:widowControl/>
        <w:autoSpaceDE w:val="0"/>
        <w:autoSpaceDN w:val="0"/>
        <w:adjustRightInd w:val="0"/>
        <w:spacing w:after="120"/>
        <w:rPr>
          <w:b/>
          <w:snapToGrid/>
          <w:kern w:val="0"/>
          <w:szCs w:val="22"/>
        </w:rPr>
      </w:pPr>
    </w:p>
    <w:bookmarkEnd w:id="4"/>
    <w:p w:rsidR="0008514F" w:rsidP="0008514F" w14:paraId="3454FD3B" w14:textId="77777777">
      <w:pPr>
        <w:autoSpaceDE w:val="0"/>
        <w:autoSpaceDN w:val="0"/>
        <w:adjustRightInd w:val="0"/>
        <w:rPr>
          <w:b/>
          <w:snapToGrid/>
          <w:kern w:val="0"/>
          <w:szCs w:val="22"/>
        </w:rPr>
      </w:pPr>
    </w:p>
    <w:p w:rsidR="008A0A00" w:rsidRPr="008A0A00" w:rsidP="00927053" w14:paraId="3B8389CA" w14:textId="77777777">
      <w:pPr>
        <w:tabs>
          <w:tab w:val="left" w:pos="2760"/>
        </w:tabs>
        <w:autoSpaceDE w:val="0"/>
        <w:autoSpaceDN w:val="0"/>
        <w:adjustRightInd w:val="0"/>
        <w:jc w:val="center"/>
        <w:rPr>
          <w:b/>
          <w:snapToGrid/>
          <w:kern w:val="0"/>
          <w:szCs w:val="22"/>
        </w:rPr>
      </w:pPr>
      <w:r w:rsidRPr="008A0A00">
        <w:rPr>
          <w:b/>
          <w:snapToGrid/>
          <w:kern w:val="0"/>
          <w:szCs w:val="22"/>
        </w:rPr>
        <w:t>- FCC –</w:t>
      </w:r>
    </w:p>
    <w:p w:rsidR="003474AA" w:rsidP="003474AA" w14:paraId="4049DD8E" w14:textId="77777777">
      <w:pPr>
        <w:spacing w:before="120" w:after="240"/>
      </w:pPr>
    </w:p>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401A4C89" w14:textId="77777777">
    <w:pPr>
      <w:pStyle w:val="Footer"/>
      <w:framePr w:wrap="around" w:vAnchor="text" w:hAnchor="margin" w:xAlign="center" w:y="1"/>
    </w:pPr>
    <w:r>
      <w:fldChar w:fldCharType="begin"/>
    </w:r>
    <w:r>
      <w:instrText xml:space="preserve">PAGE  </w:instrText>
    </w:r>
    <w:r w:rsidR="00B77A60">
      <w:fldChar w:fldCharType="separate"/>
    </w:r>
    <w:r>
      <w:fldChar w:fldCharType="end"/>
    </w:r>
  </w:p>
  <w:p w:rsidR="00D43260" w14:paraId="4BF7083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427094D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1C92024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150E6" w14:paraId="5A9967E0" w14:textId="77777777">
      <w:r>
        <w:separator/>
      </w:r>
    </w:p>
  </w:footnote>
  <w:footnote w:type="continuationSeparator" w:id="1">
    <w:p w:rsidR="005150E6" w14:paraId="1C9E3EA7" w14:textId="77777777">
      <w:pPr>
        <w:rPr>
          <w:sz w:val="20"/>
        </w:rPr>
      </w:pPr>
      <w:r>
        <w:rPr>
          <w:sz w:val="20"/>
        </w:rPr>
        <w:t xml:space="preserve">(Continued from previous page)  </w:t>
      </w:r>
      <w:r>
        <w:rPr>
          <w:sz w:val="20"/>
        </w:rPr>
        <w:separator/>
      </w:r>
    </w:p>
  </w:footnote>
  <w:footnote w:type="continuationNotice" w:id="2">
    <w:p w:rsidR="005150E6" w14:paraId="226FBA33" w14:textId="77777777">
      <w:pPr>
        <w:jc w:val="right"/>
        <w:rPr>
          <w:sz w:val="20"/>
        </w:rPr>
      </w:pPr>
      <w:r>
        <w:rPr>
          <w:sz w:val="20"/>
        </w:rPr>
        <w:t>(continued….)</w:t>
      </w:r>
    </w:p>
  </w:footnote>
  <w:footnote w:id="3">
    <w:p w:rsidR="003656FF" w:rsidRPr="003661DC" w14:paraId="172E059A" w14:textId="498D80E5">
      <w:pPr>
        <w:pStyle w:val="FootnoteText"/>
      </w:pPr>
      <w:r w:rsidRPr="003661DC">
        <w:rPr>
          <w:rStyle w:val="FootnoteReference"/>
          <w:sz w:val="20"/>
        </w:rPr>
        <w:footnoteRef/>
      </w:r>
      <w:r w:rsidRPr="003661DC">
        <w:t xml:space="preserve"> </w:t>
      </w:r>
      <w:r w:rsidRPr="003661DC" w:rsidR="00DA0F59">
        <w:rPr>
          <w:i/>
          <w:iCs/>
        </w:rPr>
        <w:t xml:space="preserve">See </w:t>
      </w:r>
      <w:r w:rsidRPr="003661DC" w:rsidR="00DA0F59">
        <w:t xml:space="preserve">47 U.S.C. § 214; 47 CFR §§ 63.03-04.  </w:t>
      </w:r>
      <w:bookmarkStart w:id="1" w:name="_Hlk98748594"/>
      <w:bookmarkStart w:id="2" w:name="_Hlk92356124"/>
      <w:r w:rsidRPr="003661DC" w:rsidR="000B6E77">
        <w:t xml:space="preserve">Application </w:t>
      </w:r>
      <w:r w:rsidR="004D58FD">
        <w:t xml:space="preserve">for the Transfer of Control of </w:t>
      </w:r>
      <w:r w:rsidR="0020196E">
        <w:t xml:space="preserve">JAB Wireless, Inc., Skybeam, LLC, AirCanopy Internet Services, Inc., and Essex Telcom, Inc., to GI DI Iris Acquisition Inc., </w:t>
      </w:r>
      <w:r w:rsidRPr="003661DC" w:rsidR="000B6E77">
        <w:t>WC Docket No 22-</w:t>
      </w:r>
      <w:r w:rsidR="000C668C">
        <w:t>230</w:t>
      </w:r>
      <w:r w:rsidRPr="003661DC" w:rsidR="000B6E77">
        <w:t xml:space="preserve"> (filed </w:t>
      </w:r>
      <w:r w:rsidR="000C668C">
        <w:t>Jun</w:t>
      </w:r>
      <w:r w:rsidRPr="003661DC" w:rsidR="000B6E77">
        <w:t xml:space="preserve">. </w:t>
      </w:r>
      <w:r w:rsidR="000C668C">
        <w:t>10</w:t>
      </w:r>
      <w:r w:rsidRPr="003661DC" w:rsidR="000B6E77">
        <w:t xml:space="preserve">, 2022) (Application). </w:t>
      </w:r>
      <w:r w:rsidR="0062243C">
        <w:t xml:space="preserve"> Applicants </w:t>
      </w:r>
      <w:r w:rsidRPr="003661DC" w:rsidR="00DA0F59">
        <w:t>also filed</w:t>
      </w:r>
      <w:r w:rsidR="002D5BF0">
        <w:t xml:space="preserve"> </w:t>
      </w:r>
      <w:r w:rsidRPr="003661DC" w:rsidR="00DA0F59">
        <w:t>application</w:t>
      </w:r>
      <w:r w:rsidR="002D5BF0">
        <w:t>s</w:t>
      </w:r>
      <w:r w:rsidRPr="003661DC" w:rsidR="00DA0F59">
        <w:t xml:space="preserve"> for the transfer of </w:t>
      </w:r>
      <w:r w:rsidR="007C54A4">
        <w:t xml:space="preserve"> </w:t>
      </w:r>
      <w:r w:rsidRPr="003661DC" w:rsidR="00DA0F59">
        <w:t>authorizatio</w:t>
      </w:r>
      <w:r w:rsidRPr="007D1572" w:rsidR="00DA0F59">
        <w:t>n</w:t>
      </w:r>
      <w:r w:rsidR="00DC2D93">
        <w:t>s</w:t>
      </w:r>
      <w:r w:rsidRPr="003661DC" w:rsidR="00DA0F59">
        <w:t xml:space="preserve"> associated with </w:t>
      </w:r>
      <w:r w:rsidR="004D58FD">
        <w:t>wireless</w:t>
      </w:r>
      <w:r w:rsidRPr="003661DC" w:rsidR="00DA0F59">
        <w:t xml:space="preserve"> </w:t>
      </w:r>
      <w:r w:rsidR="001C194B">
        <w:t>service</w:t>
      </w:r>
      <w:r w:rsidR="00D30B5A">
        <w:t>s</w:t>
      </w:r>
      <w:r w:rsidR="00BD2680">
        <w:t xml:space="preserve">.  Application at </w:t>
      </w:r>
      <w:r w:rsidR="00D30B5A">
        <w:t>13</w:t>
      </w:r>
      <w:r w:rsidR="00BD2680">
        <w:t>.</w:t>
      </w:r>
      <w:bookmarkEnd w:id="1"/>
      <w:r w:rsidR="00F16DF1">
        <w:t xml:space="preserve">  </w:t>
      </w:r>
      <w:r w:rsidR="00181532">
        <w:t xml:space="preserve">On July 1, 2022, Applicants filed a supplement to the domestic section 214 </w:t>
      </w:r>
      <w:r w:rsidR="002D3500">
        <w:t>a</w:t>
      </w:r>
      <w:r w:rsidR="00181532">
        <w:t xml:space="preserve">pplication.  </w:t>
      </w:r>
      <w:bookmarkStart w:id="3" w:name="_Hlk115078931"/>
      <w:r w:rsidR="00560DBA">
        <w:t xml:space="preserve">Letter from Stephen E. Coran, </w:t>
      </w:r>
      <w:r w:rsidR="002D5BF0">
        <w:t>C</w:t>
      </w:r>
      <w:r w:rsidR="00560DBA">
        <w:t>ounsel to J</w:t>
      </w:r>
      <w:r w:rsidR="00937C70">
        <w:t xml:space="preserve">AB </w:t>
      </w:r>
      <w:r w:rsidR="00560DBA">
        <w:t xml:space="preserve">Wireless and Licensees, and Andrew D. Lipman, </w:t>
      </w:r>
      <w:r w:rsidR="002D5BF0">
        <w:t>C</w:t>
      </w:r>
      <w:r w:rsidR="00560DBA">
        <w:t>ounsel to GI DI Iris Acquisition, to Marlene H. Dortch, Secretary, FCC, WC Docket No. 22-230</w:t>
      </w:r>
      <w:r w:rsidR="00CD58BE">
        <w:t xml:space="preserve"> (filed July 1, 2022) (Supplement).</w:t>
      </w:r>
      <w:bookmarkEnd w:id="3"/>
      <w:r w:rsidR="00CD58BE">
        <w:t xml:space="preserve"> </w:t>
      </w:r>
      <w:r w:rsidR="00560DBA">
        <w:t xml:space="preserve"> </w:t>
      </w:r>
      <w:r w:rsidRPr="003661DC" w:rsidR="00DA0F59">
        <w:t>Any action on this domestic section 214 application is without prejudice to Commission action on other related, pending applications</w:t>
      </w:r>
      <w:r w:rsidR="005E2C4B">
        <w:t xml:space="preserve"> or matters related to the Applicants</w:t>
      </w:r>
      <w:r w:rsidRPr="003661DC" w:rsidR="00DA0F59">
        <w:rPr>
          <w:bCs/>
        </w:rPr>
        <w:t>.</w:t>
      </w:r>
      <w:bookmarkEnd w:id="2"/>
    </w:p>
  </w:footnote>
  <w:footnote w:id="4">
    <w:p w:rsidR="00D30B5A" w:rsidRPr="00F60AC8" w:rsidP="001C7FC9" w14:paraId="5B99AA1A" w14:textId="21EF478F">
      <w:pPr>
        <w:pStyle w:val="FootnoteText"/>
      </w:pPr>
      <w:r w:rsidRPr="00F60AC8">
        <w:rPr>
          <w:rStyle w:val="FootnoteReference"/>
        </w:rPr>
        <w:footnoteRef/>
      </w:r>
      <w:r w:rsidRPr="00F60AC8">
        <w:t xml:space="preserve"> </w:t>
      </w:r>
      <w:r w:rsidRPr="00C85FE6" w:rsidR="00064DC7">
        <w:t>47 U.S.C. § 310(b)(4)</w:t>
      </w:r>
      <w:r w:rsidR="00064DC7">
        <w:t xml:space="preserve">; </w:t>
      </w:r>
      <w:r w:rsidRPr="00F60AC8">
        <w:t>47 CFR § 1.5000(a)(1</w:t>
      </w:r>
      <w:r w:rsidRPr="008B077A">
        <w:t xml:space="preserve">).  </w:t>
      </w:r>
      <w:r w:rsidRPr="008B077A" w:rsidR="00D42B0F">
        <w:t>J</w:t>
      </w:r>
      <w:r w:rsidRPr="008B077A" w:rsidR="00195786">
        <w:t>AB</w:t>
      </w:r>
      <w:r w:rsidRPr="008B077A" w:rsidR="00D42B0F">
        <w:t xml:space="preserve"> Wire</w:t>
      </w:r>
      <w:r w:rsidRPr="008B077A" w:rsidR="00D3602A">
        <w:t>less</w:t>
      </w:r>
      <w:r w:rsidRPr="008B077A">
        <w:t>, et al., Petition for Declaratory Ruling Under Section 310(b)(4) of the Communications Act of 1934, as amended, IBFS File No. ISP-PDR-</w:t>
      </w:r>
      <w:r w:rsidRPr="008B077A" w:rsidR="00D419A3">
        <w:t xml:space="preserve"> 20220610-00004 </w:t>
      </w:r>
      <w:r w:rsidRPr="008B077A">
        <w:t xml:space="preserve"> (filed</w:t>
      </w:r>
      <w:r w:rsidRPr="008B077A" w:rsidR="00C731AE">
        <w:t xml:space="preserve"> </w:t>
      </w:r>
      <w:r w:rsidRPr="008B077A" w:rsidR="00723D04">
        <w:t>June 10,</w:t>
      </w:r>
      <w:r w:rsidRPr="008B077A" w:rsidR="00AD6324">
        <w:t xml:space="preserve"> </w:t>
      </w:r>
      <w:r w:rsidRPr="008B077A" w:rsidR="00723D04">
        <w:t>2022</w:t>
      </w:r>
      <w:r w:rsidRPr="008B077A">
        <w:t>, 202</w:t>
      </w:r>
      <w:r w:rsidRPr="008B077A" w:rsidR="00C731AE">
        <w:t>2</w:t>
      </w:r>
      <w:r w:rsidRPr="008B077A">
        <w:t>) (Petition).</w:t>
      </w:r>
      <w:r w:rsidRPr="008B077A" w:rsidR="00EF13B1">
        <w:t xml:space="preserve">  </w:t>
      </w:r>
      <w:r w:rsidRPr="008B077A" w:rsidR="000313DD">
        <w:t>Petitioners filed supplements to the Petition on July 8, 2022, July 29, 2022, August 25, 2022, and September 28, 2022.</w:t>
      </w:r>
      <w:r w:rsidR="006F6A94">
        <w:t xml:space="preserve"> </w:t>
      </w:r>
      <w:r w:rsidRPr="008B077A" w:rsidR="000313DD">
        <w:t xml:space="preserve"> </w:t>
      </w:r>
      <w:r w:rsidRPr="008B077A" w:rsidR="00EC3DA9">
        <w:t xml:space="preserve">Letter from Stephen E. Coran, </w:t>
      </w:r>
      <w:r w:rsidRPr="008B077A" w:rsidR="002D5BF0">
        <w:t>C</w:t>
      </w:r>
      <w:r w:rsidRPr="008B077A" w:rsidR="00EC3DA9">
        <w:t>ounsel to J</w:t>
      </w:r>
      <w:r w:rsidRPr="008B077A" w:rsidR="0044675F">
        <w:t>AB</w:t>
      </w:r>
      <w:r w:rsidRPr="008B077A" w:rsidR="00EC3DA9">
        <w:t xml:space="preserve"> Wireless and Licensees, and Andrew</w:t>
      </w:r>
      <w:r w:rsidRPr="00EC3DA9" w:rsidR="00EC3DA9">
        <w:t xml:space="preserve"> D. Lipman, </w:t>
      </w:r>
      <w:r w:rsidR="002D5BF0">
        <w:t>C</w:t>
      </w:r>
      <w:r w:rsidRPr="00EC3DA9" w:rsidR="00EC3DA9">
        <w:t xml:space="preserve">ounsel to GI DI Iris Acquisition, to Marlene H. Dortch, Secretary, FCC, (filed </w:t>
      </w:r>
      <w:r w:rsidR="0067772C">
        <w:t>Ju</w:t>
      </w:r>
      <w:r w:rsidR="008D3EFC">
        <w:t>l</w:t>
      </w:r>
      <w:r w:rsidR="00AD6324">
        <w:t xml:space="preserve">. </w:t>
      </w:r>
      <w:r w:rsidR="008D3EFC">
        <w:t>8</w:t>
      </w:r>
      <w:r w:rsidR="00EC3DA9">
        <w:t>, 2022</w:t>
      </w:r>
      <w:r w:rsidRPr="00EC3DA9" w:rsidR="00EC3DA9">
        <w:t xml:space="preserve">) </w:t>
      </w:r>
      <w:r w:rsidR="004A68E3">
        <w:t xml:space="preserve">(on file in IBFS File No. ISP-PDR-20220610-00004) </w:t>
      </w:r>
      <w:r w:rsidRPr="008D277D" w:rsidR="00EC3DA9">
        <w:t>(</w:t>
      </w:r>
      <w:r w:rsidRPr="00D73A39" w:rsidR="00AD6324">
        <w:t>Ju</w:t>
      </w:r>
      <w:r w:rsidRPr="00D73A39" w:rsidR="008D3EFC">
        <w:t>ly 8</w:t>
      </w:r>
      <w:r w:rsidRPr="00D73A39" w:rsidR="00F93332">
        <w:t>,</w:t>
      </w:r>
      <w:r w:rsidRPr="00D73A39" w:rsidR="00AD6324">
        <w:t xml:space="preserve"> 2022 </w:t>
      </w:r>
      <w:r w:rsidRPr="00D73A39" w:rsidR="00EC3DA9">
        <w:t>Supplement</w:t>
      </w:r>
      <w:r w:rsidRPr="00EC3DA9" w:rsidR="00EC3DA9">
        <w:t>)</w:t>
      </w:r>
      <w:r w:rsidR="00F138BA">
        <w:t xml:space="preserve"> (providing additional </w:t>
      </w:r>
      <w:r w:rsidR="006D5644">
        <w:t>foreign ownership information</w:t>
      </w:r>
      <w:r w:rsidR="00616358">
        <w:t>)</w:t>
      </w:r>
      <w:r w:rsidR="00B3703D">
        <w:t xml:space="preserve">; </w:t>
      </w:r>
      <w:r w:rsidRPr="00EC3DA9" w:rsidR="005D0917">
        <w:t xml:space="preserve">Letter from Stephen E. Coran, </w:t>
      </w:r>
      <w:r w:rsidR="005D0917">
        <w:t>C</w:t>
      </w:r>
      <w:r w:rsidRPr="00EC3DA9" w:rsidR="005D0917">
        <w:t>ounsel to J</w:t>
      </w:r>
      <w:r w:rsidR="000D52DB">
        <w:t>AB</w:t>
      </w:r>
      <w:r w:rsidRPr="00EC3DA9" w:rsidR="005D0917">
        <w:t xml:space="preserve"> Wireless and Licensees, and Andrew D. Lipman, </w:t>
      </w:r>
      <w:r w:rsidR="005D0917">
        <w:t>C</w:t>
      </w:r>
      <w:r w:rsidRPr="00EC3DA9" w:rsidR="005D0917">
        <w:t>ounsel to GI DI Iris Acquisition, to Marlene H. Dortch, Secretary, FCC</w:t>
      </w:r>
      <w:r w:rsidR="00011E0E">
        <w:t xml:space="preserve"> (filed July 29, 2022)</w:t>
      </w:r>
      <w:r w:rsidR="004A68E3">
        <w:t xml:space="preserve"> (on file in IBFS File No. ISP-PDR-20220610-00004) </w:t>
      </w:r>
      <w:r w:rsidR="00F32B20">
        <w:t xml:space="preserve">(July </w:t>
      </w:r>
      <w:r w:rsidR="00F93332">
        <w:t>29, 2022 Supplement) (</w:t>
      </w:r>
      <w:r w:rsidR="00252E55">
        <w:t xml:space="preserve">adding information about insulated </w:t>
      </w:r>
      <w:r w:rsidR="00806795">
        <w:t xml:space="preserve">foreign </w:t>
      </w:r>
      <w:r w:rsidR="00830174">
        <w:t>limited partners</w:t>
      </w:r>
      <w:r w:rsidR="00806795">
        <w:t xml:space="preserve"> and </w:t>
      </w:r>
      <w:r w:rsidR="0013080D">
        <w:t>providing revised corporate ownership structure charts)</w:t>
      </w:r>
      <w:r w:rsidR="004A68E3">
        <w:t>;</w:t>
      </w:r>
      <w:r w:rsidR="00517255">
        <w:t xml:space="preserve"> </w:t>
      </w:r>
      <w:r w:rsidRPr="00EC3DA9" w:rsidR="004A68E3">
        <w:t xml:space="preserve">Letter from Stephen E. Coran, </w:t>
      </w:r>
      <w:r w:rsidR="004A68E3">
        <w:t>C</w:t>
      </w:r>
      <w:r w:rsidRPr="00EC3DA9" w:rsidR="004A68E3">
        <w:t>ounsel to J</w:t>
      </w:r>
      <w:r w:rsidR="00183927">
        <w:t>AB</w:t>
      </w:r>
      <w:r w:rsidRPr="00EC3DA9" w:rsidR="004A68E3">
        <w:t xml:space="preserve"> Wireless and Licensees, and Andrew D. Lipman, </w:t>
      </w:r>
      <w:r w:rsidR="004A68E3">
        <w:t>C</w:t>
      </w:r>
      <w:r w:rsidRPr="00EC3DA9" w:rsidR="004A68E3">
        <w:t>ounsel to GI DI Iris Acquisition, to Marlene H. Dortch, Secretary, FCC</w:t>
      </w:r>
      <w:r w:rsidR="004A68E3">
        <w:t xml:space="preserve"> (filed</w:t>
      </w:r>
      <w:r w:rsidRPr="004A68E3" w:rsidR="004A68E3">
        <w:t xml:space="preserve"> </w:t>
      </w:r>
      <w:r w:rsidR="004A68E3">
        <w:t xml:space="preserve">August 25, 2022) (on file in IBFS File No. ISP-PDR-20220610-00004) (August 25, 2022 Supplement) </w:t>
      </w:r>
      <w:r w:rsidR="00C572D5">
        <w:t>(</w:t>
      </w:r>
      <w:r w:rsidR="00755C90">
        <w:t>stating</w:t>
      </w:r>
      <w:r w:rsidR="00C572D5">
        <w:t xml:space="preserve"> that </w:t>
      </w:r>
      <w:r w:rsidR="00F774EE">
        <w:t>Skybeam</w:t>
      </w:r>
      <w:r w:rsidR="00773812">
        <w:t xml:space="preserve"> LLC</w:t>
      </w:r>
      <w:r w:rsidR="0022394F">
        <w:t xml:space="preserve"> </w:t>
      </w:r>
      <w:r w:rsidR="00C00A15">
        <w:t>holds only Educational Broadcast Service (EBS) and QQ special temporary authority)</w:t>
      </w:r>
      <w:r w:rsidR="00517255">
        <w:t>;</w:t>
      </w:r>
      <w:r w:rsidR="00BE0D95">
        <w:t xml:space="preserve"> </w:t>
      </w:r>
      <w:r w:rsidRPr="00EC3DA9" w:rsidR="00517255">
        <w:t xml:space="preserve">Letter from Stephen E. Coran, </w:t>
      </w:r>
      <w:r w:rsidR="00517255">
        <w:t>C</w:t>
      </w:r>
      <w:r w:rsidRPr="00EC3DA9" w:rsidR="00517255">
        <w:t>ounsel to J</w:t>
      </w:r>
      <w:r w:rsidR="00934DB2">
        <w:t>AB</w:t>
      </w:r>
      <w:r w:rsidRPr="00EC3DA9" w:rsidR="00517255">
        <w:t xml:space="preserve"> Wireless and Licensees, and Andrew D. Lipman, </w:t>
      </w:r>
      <w:r w:rsidR="00517255">
        <w:t>C</w:t>
      </w:r>
      <w:r w:rsidRPr="00EC3DA9" w:rsidR="00517255">
        <w:t>ounsel to GI DI Iris Acquisition, to Marlene H. Dortch, Secretary, FCC</w:t>
      </w:r>
      <w:r w:rsidR="00517255">
        <w:t xml:space="preserve"> (filed</w:t>
      </w:r>
      <w:r w:rsidRPr="004A68E3" w:rsidR="00517255">
        <w:t xml:space="preserve"> </w:t>
      </w:r>
      <w:r w:rsidR="00517255">
        <w:t xml:space="preserve">September 28, 2022) (on file in IBFS File No. ISP-PDR-20220610-00004) (September 28, 2022 Supplement) </w:t>
      </w:r>
      <w:r w:rsidR="001C7FC9">
        <w:t xml:space="preserve">(providing further explanation about </w:t>
      </w:r>
      <w:r w:rsidR="000632B3">
        <w:t xml:space="preserve">the services provided </w:t>
      </w:r>
      <w:r w:rsidR="00874F82">
        <w:t>by the Wireless Licensees)</w:t>
      </w:r>
      <w:r w:rsidR="005C530F">
        <w:t xml:space="preserve">. </w:t>
      </w:r>
    </w:p>
  </w:footnote>
  <w:footnote w:id="5">
    <w:p w:rsidR="00A021BA" w:rsidP="00A021BA" w14:paraId="311F9A63" w14:textId="77777777">
      <w:pPr>
        <w:pStyle w:val="FootnoteText"/>
      </w:pPr>
      <w:r>
        <w:rPr>
          <w:rStyle w:val="FootnoteReference"/>
        </w:rPr>
        <w:footnoteRef/>
      </w:r>
      <w:r>
        <w:t xml:space="preserve"> Application at 11.</w:t>
      </w:r>
    </w:p>
  </w:footnote>
  <w:footnote w:id="6">
    <w:p w:rsidR="00A021BA" w:rsidP="00A021BA" w14:paraId="247293DF" w14:textId="77777777">
      <w:pPr>
        <w:pStyle w:val="FootnoteText"/>
      </w:pPr>
      <w:r>
        <w:rPr>
          <w:rStyle w:val="FootnoteReference"/>
        </w:rPr>
        <w:footnoteRef/>
      </w:r>
      <w:r>
        <w:t xml:space="preserve"> </w:t>
      </w:r>
      <w:r>
        <w:rPr>
          <w:i/>
          <w:iCs/>
        </w:rPr>
        <w:t>Id.</w:t>
      </w:r>
      <w:r>
        <w:t xml:space="preserve"> at 2-3 and 11.</w:t>
      </w:r>
      <w:r w:rsidRPr="008D74A7">
        <w:rPr>
          <w:snapToGrid w:val="0"/>
          <w:kern w:val="28"/>
          <w:sz w:val="22"/>
        </w:rPr>
        <w:t xml:space="preserve"> </w:t>
      </w:r>
    </w:p>
  </w:footnote>
  <w:footnote w:id="7">
    <w:p w:rsidR="00A021BA" w:rsidP="00A021BA" w14:paraId="5A9F8590" w14:textId="77777777">
      <w:pPr>
        <w:pStyle w:val="FootnoteText"/>
      </w:pPr>
      <w:r>
        <w:rPr>
          <w:rStyle w:val="FootnoteReference"/>
        </w:rPr>
        <w:footnoteRef/>
      </w:r>
      <w:r>
        <w:t xml:space="preserve"> </w:t>
      </w:r>
      <w:r>
        <w:rPr>
          <w:i/>
          <w:iCs/>
        </w:rPr>
        <w:t xml:space="preserve">Id. </w:t>
      </w:r>
      <w:r>
        <w:t xml:space="preserve">at 3.  </w:t>
      </w:r>
      <w:r>
        <w:rPr>
          <w:i/>
          <w:iCs/>
        </w:rPr>
        <w:t>See also</w:t>
      </w:r>
      <w:r>
        <w:t xml:space="preserve"> </w:t>
      </w:r>
      <w:r w:rsidRPr="006A1D8E">
        <w:rPr>
          <w:i/>
          <w:iCs/>
        </w:rPr>
        <w:t>Rural Broadband Experiment Support Authorized for Ten Winning Bids for Skybeam, LLC, et al.</w:t>
      </w:r>
      <w:r>
        <w:t xml:space="preserve">, WC Docket Nos. 10-90, 14-259, Public Notice, 30 FCC Rcd 8283 (WCB 2015); </w:t>
      </w:r>
      <w:r w:rsidRPr="006A1D8E">
        <w:rPr>
          <w:i/>
          <w:iCs/>
        </w:rPr>
        <w:t>Rural Broadband Experiment Support Authorized for Skybeam, LLC, et al</w:t>
      </w:r>
      <w:r>
        <w:t xml:space="preserve">., WC Docket Nos. 10-90, 14-259, Public Notice, 30 FCC Rcd 12725 (WCB 2015); </w:t>
      </w:r>
      <w:r w:rsidRPr="008972C8">
        <w:rPr>
          <w:i/>
          <w:iCs/>
        </w:rPr>
        <w:t>Rural Broadband Experiment Support Authorized for Skybeam, LLC</w:t>
      </w:r>
      <w:r>
        <w:t xml:space="preserve">, WC Docket Nos. 10-90, 14-259, Public Notice, 31 FCC Rcd 100 (WCB 2016).   </w:t>
      </w:r>
    </w:p>
  </w:footnote>
  <w:footnote w:id="8">
    <w:p w:rsidR="00E577AE" w:rsidRPr="00752D03" w14:paraId="34D3BDF4" w14:textId="77777777">
      <w:pPr>
        <w:pStyle w:val="FootnoteText"/>
      </w:pPr>
      <w:r>
        <w:rPr>
          <w:rStyle w:val="FootnoteReference"/>
        </w:rPr>
        <w:footnoteRef/>
      </w:r>
      <w:r>
        <w:rPr>
          <w:i/>
          <w:iCs/>
        </w:rPr>
        <w:t xml:space="preserve"> </w:t>
      </w:r>
      <w:r>
        <w:t xml:space="preserve">Application at 7-8.  </w:t>
      </w:r>
      <w:r w:rsidR="0008614D">
        <w:t xml:space="preserve">Entities must be designated as ETCs </w:t>
      </w:r>
      <w:r w:rsidR="00046C11">
        <w:t xml:space="preserve">under section 214(e) of the Act, 47 U.S.C. § 214(e), </w:t>
      </w:r>
      <w:r w:rsidR="0008614D">
        <w:t xml:space="preserve">to receive RBE funding.  </w:t>
      </w:r>
      <w:r w:rsidR="0008614D">
        <w:rPr>
          <w:i/>
          <w:iCs/>
        </w:rPr>
        <w:t>See Connect America</w:t>
      </w:r>
      <w:r w:rsidR="00752D03">
        <w:rPr>
          <w:i/>
          <w:iCs/>
        </w:rPr>
        <w:t xml:space="preserve"> Fund ETC Annual Reports and Certifications</w:t>
      </w:r>
      <w:r w:rsidR="00752D03">
        <w:t>, WC Docket No. 10-90, WT Docket No. 14-58, Report and Order and Notice of Proposed Rulemaking, 29 FCC Rcd 8769, 8778, 8788, paras. 22, 54 (2014)</w:t>
      </w:r>
      <w:r w:rsidR="0008614D">
        <w:rPr>
          <w:i/>
          <w:iCs/>
        </w:rPr>
        <w:t xml:space="preserve"> </w:t>
      </w:r>
      <w:r w:rsidR="0008614D">
        <w:t>(</w:t>
      </w:r>
      <w:r w:rsidRPr="00752D03" w:rsidR="0008614D">
        <w:rPr>
          <w:i/>
          <w:iCs/>
        </w:rPr>
        <w:t>Rural Broadband Experiments Order</w:t>
      </w:r>
      <w:r w:rsidR="00752D03">
        <w:t>).</w:t>
      </w:r>
    </w:p>
  </w:footnote>
  <w:footnote w:id="9">
    <w:p w:rsidR="00991B32" w:rsidP="00991B32" w14:paraId="2439688F" w14:textId="77777777">
      <w:pPr>
        <w:pStyle w:val="FootnoteText"/>
      </w:pPr>
      <w:r>
        <w:rPr>
          <w:rStyle w:val="FootnoteReference"/>
        </w:rPr>
        <w:footnoteRef/>
      </w:r>
      <w:r>
        <w:t xml:space="preserve"> Petition at 3. </w:t>
      </w:r>
    </w:p>
  </w:footnote>
  <w:footnote w:id="10">
    <w:p w:rsidR="00991B32" w:rsidP="00991B32" w14:paraId="496D0CF1" w14:textId="73526501">
      <w:pPr>
        <w:pStyle w:val="FootnoteText"/>
      </w:pPr>
      <w:r>
        <w:rPr>
          <w:rStyle w:val="FootnoteReference"/>
        </w:rPr>
        <w:footnoteRef/>
      </w:r>
      <w:r>
        <w:t xml:space="preserve"> </w:t>
      </w:r>
      <w:r w:rsidRPr="00156A57" w:rsidR="002C5906">
        <w:t>Application at Exh. A (Current and Post-Transaction Corporate Ownership Structure)</w:t>
      </w:r>
      <w:r w:rsidR="002C5906">
        <w:t xml:space="preserve"> at 3 and Exh. A (Post-Transaction Ownership Structure) at 1.  </w:t>
      </w:r>
      <w:r w:rsidRPr="00C8271F" w:rsidR="002C5906">
        <w:t>GI DI Iris Acquisition</w:t>
      </w:r>
      <w:r w:rsidR="0087489B">
        <w:t xml:space="preserve"> </w:t>
      </w:r>
      <w:r w:rsidRPr="00C8271F" w:rsidR="002C5906">
        <w:t>does not provide telecommunications services</w:t>
      </w:r>
      <w:r w:rsidR="003F2062">
        <w:t>.</w:t>
      </w:r>
      <w:r w:rsidR="002C5906">
        <w:t xml:space="preserve">  Application at 2.  </w:t>
      </w:r>
      <w:r w:rsidRPr="00C8271F" w:rsidR="002C5906">
        <w:t xml:space="preserve">Applicants state that GI DI Iris Acquisition is affiliated with the following providers of domestic telecommunications services through persons or entities that own or control a 10% or greater, direct or indirect, interest in GI DI Iris Acquisition, </w:t>
      </w:r>
      <w:r w:rsidR="006F6A94">
        <w:t>all</w:t>
      </w:r>
      <w:r w:rsidRPr="00C8271F" w:rsidR="002C5906">
        <w:t xml:space="preserve"> U.S. entities:  (1) Clarity Telecom, LLC, </w:t>
      </w:r>
      <w:r w:rsidR="002C5906">
        <w:t xml:space="preserve">d/b/a </w:t>
      </w:r>
      <w:r w:rsidRPr="00C8271F" w:rsidR="002C5906">
        <w:t xml:space="preserve">Bluepeak (Bluepeak) provides competitive local exchange carrier (LEC) and/or interexchange services in Minnesota and South Dakota and also serves as an incumbent LEC in South Dakota.  </w:t>
      </w:r>
      <w:r w:rsidRPr="00C8271F" w:rsidR="002C5906">
        <w:rPr>
          <w:i/>
          <w:iCs/>
        </w:rPr>
        <w:t xml:space="preserve">Id. </w:t>
      </w:r>
      <w:r w:rsidRPr="00C8271F" w:rsidR="002C5906">
        <w:t xml:space="preserve">at 11-12.  Applicants state </w:t>
      </w:r>
      <w:r w:rsidR="006F6A94">
        <w:t xml:space="preserve">that </w:t>
      </w:r>
      <w:r w:rsidRPr="00C8271F" w:rsidR="002C5906">
        <w:t xml:space="preserve">although Bluepeak and Rise Broadband have overlapping operations in approximately 40 zip codes in South Dakota, Minnesota and Wyoming, “any overlaps of Bluepeak and Rise Broadband are exclusively in areas where Rise Broadband does not offer common carrier services regulated pursuant to </w:t>
      </w:r>
      <w:r w:rsidR="002C5906">
        <w:t>S</w:t>
      </w:r>
      <w:r w:rsidRPr="00C8271F" w:rsidR="002C5906">
        <w:t>ection 214 of the Communications Act.”  Supplement at 1</w:t>
      </w:r>
      <w:r w:rsidR="00DA79A0">
        <w:t>;</w:t>
      </w:r>
      <w:r w:rsidRPr="00C8271F" w:rsidR="002C5906">
        <w:t xml:space="preserve">  (2) Flexential Corp. provides collocation</w:t>
      </w:r>
      <w:r w:rsidR="002C5906">
        <w:t xml:space="preserve"> and other </w:t>
      </w:r>
      <w:r w:rsidRPr="00C8271F" w:rsidR="002C5906">
        <w:t>services in 15 states.  Application at 12</w:t>
      </w:r>
      <w:r w:rsidR="00DA79A0">
        <w:t>;</w:t>
      </w:r>
      <w:r w:rsidRPr="00C8271F" w:rsidR="002C5906">
        <w:t xml:space="preserve">  (3) Single Digits, Inc. provides interconnected VoIP services in 27 states, the District of Columbia, and Puerto Rico.  </w:t>
      </w:r>
      <w:r w:rsidRPr="00C8271F" w:rsidR="002C5906">
        <w:rPr>
          <w:i/>
          <w:iCs/>
        </w:rPr>
        <w:t>Id</w:t>
      </w:r>
      <w:r w:rsidRPr="00A46F8B" w:rsidR="00DA79A0">
        <w:t>;</w:t>
      </w:r>
      <w:r w:rsidRPr="00C8271F" w:rsidR="002C5906">
        <w:rPr>
          <w:i/>
          <w:iCs/>
        </w:rPr>
        <w:t xml:space="preserve">  </w:t>
      </w:r>
      <w:r w:rsidRPr="00C8271F" w:rsidR="002C5906">
        <w:t xml:space="preserve">(4) Blue Stream Communications LLC provides broadband, video, and interconnected VoIP services in Florida.  </w:t>
      </w:r>
      <w:r w:rsidRPr="00C8271F" w:rsidR="002C5906">
        <w:rPr>
          <w:i/>
          <w:iCs/>
        </w:rPr>
        <w:t>Id</w:t>
      </w:r>
      <w:r w:rsidRPr="00A46F8B" w:rsidR="00DA79A0">
        <w:t>;</w:t>
      </w:r>
      <w:r w:rsidRPr="00C8271F" w:rsidR="002C5906">
        <w:rPr>
          <w:i/>
          <w:iCs/>
        </w:rPr>
        <w:t xml:space="preserve">  </w:t>
      </w:r>
      <w:r w:rsidRPr="00C8271F" w:rsidR="002C5906">
        <w:t xml:space="preserve">(5) ITS Telecommunications Systems, LLC (ITS) provides incumbent LEC services Florida.  Supplement at 1-2.  Applicants state that </w:t>
      </w:r>
      <w:r w:rsidR="006E7C9E">
        <w:t>because</w:t>
      </w:r>
      <w:r w:rsidRPr="00C8271F" w:rsidR="002C5906">
        <w:t xml:space="preserve"> Rise Broadband does not operate in Florida</w:t>
      </w:r>
      <w:r w:rsidR="006E7C9E">
        <w:t>,</w:t>
      </w:r>
      <w:r w:rsidRPr="00C8271F" w:rsidR="002C5906">
        <w:t xml:space="preserve"> there is no overlap of services with ITS.  </w:t>
      </w:r>
      <w:r w:rsidRPr="00C8271F" w:rsidR="002C5906">
        <w:rPr>
          <w:i/>
          <w:iCs/>
        </w:rPr>
        <w:t>Id</w:t>
      </w:r>
      <w:r w:rsidRPr="00A46F8B" w:rsidR="00DA79A0">
        <w:t>;</w:t>
      </w:r>
      <w:r w:rsidRPr="00C8271F" w:rsidR="002C5906">
        <w:rPr>
          <w:i/>
          <w:iCs/>
        </w:rPr>
        <w:t xml:space="preserve">  </w:t>
      </w:r>
      <w:r w:rsidRPr="00A46F8B" w:rsidR="00DA79A0">
        <w:t>and</w:t>
      </w:r>
      <w:r w:rsidR="00DA79A0">
        <w:rPr>
          <w:i/>
          <w:iCs/>
        </w:rPr>
        <w:t xml:space="preserve"> </w:t>
      </w:r>
      <w:r w:rsidRPr="00C8271F" w:rsidR="002C5906">
        <w:t>(6) ITS Fiber, LLC provides competitive LEC services in Marin County, Florida.  Application</w:t>
      </w:r>
      <w:r w:rsidRPr="00C8271F" w:rsidR="002C5906">
        <w:rPr>
          <w:i/>
          <w:iCs/>
        </w:rPr>
        <w:t xml:space="preserve"> </w:t>
      </w:r>
      <w:r w:rsidRPr="00C8271F" w:rsidR="002C5906">
        <w:t>at 12-13.</w:t>
      </w:r>
    </w:p>
  </w:footnote>
  <w:footnote w:id="11">
    <w:p w:rsidR="00991B32" w:rsidP="00991B32" w14:paraId="77964EF7" w14:textId="4C176920">
      <w:pPr>
        <w:pStyle w:val="FootnoteText"/>
      </w:pPr>
      <w:r>
        <w:rPr>
          <w:rStyle w:val="FootnoteReference"/>
        </w:rPr>
        <w:footnoteRef/>
      </w:r>
      <w:r>
        <w:t xml:space="preserve"> </w:t>
      </w:r>
      <w:r w:rsidR="00E85CFA">
        <w:t>Application at Exh. A</w:t>
      </w:r>
      <w:r w:rsidR="00493570">
        <w:t xml:space="preserve"> at 3-4.</w:t>
      </w:r>
    </w:p>
  </w:footnote>
  <w:footnote w:id="12">
    <w:p w:rsidR="00156A57" w14:paraId="20E7CF3F" w14:textId="77777777">
      <w:pPr>
        <w:pStyle w:val="FootnoteText"/>
      </w:pPr>
      <w:r>
        <w:rPr>
          <w:rStyle w:val="FootnoteReference"/>
        </w:rPr>
        <w:footnoteRef/>
      </w:r>
      <w:r>
        <w:t xml:space="preserve"> </w:t>
      </w:r>
      <w:r w:rsidR="00DD3763">
        <w:rPr>
          <w:i/>
          <w:iCs/>
        </w:rPr>
        <w:t>Id.</w:t>
      </w:r>
      <w:r>
        <w:t xml:space="preserve"> at Exh A</w:t>
      </w:r>
      <w:r w:rsidR="00B93E5C">
        <w:t xml:space="preserve"> at 3 and Exh. B at 1-2.</w:t>
      </w:r>
    </w:p>
  </w:footnote>
  <w:footnote w:id="13">
    <w:p w:rsidR="00B93E5C" w:rsidRPr="00DD3763" w14:paraId="78066C1D" w14:textId="77777777">
      <w:pPr>
        <w:pStyle w:val="FootnoteText"/>
      </w:pPr>
      <w:r>
        <w:rPr>
          <w:rStyle w:val="FootnoteReference"/>
        </w:rPr>
        <w:footnoteRef/>
      </w:r>
      <w:r>
        <w:t xml:space="preserve"> </w:t>
      </w:r>
      <w:r w:rsidR="00DD3763">
        <w:rPr>
          <w:i/>
          <w:iCs/>
        </w:rPr>
        <w:t>Id.</w:t>
      </w:r>
      <w:r w:rsidR="00DD3763">
        <w:t xml:space="preserve"> at Exh. A at 3 and Exh. B at 2.</w:t>
      </w:r>
    </w:p>
  </w:footnote>
  <w:footnote w:id="14">
    <w:p w:rsidR="00B93E5C" w:rsidRPr="008B7934" w14:paraId="296E98A3" w14:textId="77777777">
      <w:pPr>
        <w:pStyle w:val="FootnoteText"/>
      </w:pPr>
      <w:r>
        <w:rPr>
          <w:rStyle w:val="FootnoteReference"/>
        </w:rPr>
        <w:footnoteRef/>
      </w:r>
      <w:r>
        <w:t xml:space="preserve"> </w:t>
      </w:r>
      <w:r w:rsidR="008B7934">
        <w:rPr>
          <w:i/>
          <w:iCs/>
        </w:rPr>
        <w:t>Id.</w:t>
      </w:r>
      <w:r w:rsidR="008B7934">
        <w:t xml:space="preserve"> at Exh. A at 4 and Exh. B at 2-3.</w:t>
      </w:r>
    </w:p>
  </w:footnote>
  <w:footnote w:id="15">
    <w:p w:rsidR="00B93E5C" w:rsidRPr="002B3FE4" w14:paraId="12E261AF" w14:textId="77777777">
      <w:pPr>
        <w:pStyle w:val="FootnoteText"/>
      </w:pPr>
      <w:r>
        <w:rPr>
          <w:rStyle w:val="FootnoteReference"/>
        </w:rPr>
        <w:footnoteRef/>
      </w:r>
      <w:r>
        <w:t xml:space="preserve"> </w:t>
      </w:r>
      <w:r w:rsidR="004E4899">
        <w:t>Application</w:t>
      </w:r>
      <w:r w:rsidR="002B3FE4">
        <w:t xml:space="preserve"> at Exh. A at 4 and Exh. B at 3.</w:t>
      </w:r>
    </w:p>
  </w:footnote>
  <w:footnote w:id="16">
    <w:p w:rsidR="00B93E5C" w:rsidRPr="007630A4" w14:paraId="11CA4075" w14:textId="77777777">
      <w:pPr>
        <w:pStyle w:val="FootnoteText"/>
        <w:rPr>
          <w:i/>
          <w:iCs/>
        </w:rPr>
      </w:pPr>
      <w:r>
        <w:rPr>
          <w:rStyle w:val="FootnoteReference"/>
        </w:rPr>
        <w:footnoteRef/>
      </w:r>
      <w:r>
        <w:t xml:space="preserve"> </w:t>
      </w:r>
      <w:r w:rsidR="002B3FE4">
        <w:rPr>
          <w:i/>
          <w:iCs/>
        </w:rPr>
        <w:t>Id.</w:t>
      </w:r>
    </w:p>
  </w:footnote>
  <w:footnote w:id="17">
    <w:p w:rsidR="00B93E5C" w:rsidRPr="007630A4" w14:paraId="17177FBB" w14:textId="77777777">
      <w:pPr>
        <w:pStyle w:val="FootnoteText"/>
        <w:rPr>
          <w:i/>
          <w:iCs/>
        </w:rPr>
      </w:pPr>
      <w:r>
        <w:rPr>
          <w:rStyle w:val="FootnoteReference"/>
        </w:rPr>
        <w:footnoteRef/>
      </w:r>
      <w:r>
        <w:t xml:space="preserve"> </w:t>
      </w:r>
      <w:r w:rsidR="004E4899">
        <w:rPr>
          <w:i/>
          <w:iCs/>
        </w:rPr>
        <w:t>Id.</w:t>
      </w:r>
    </w:p>
  </w:footnote>
  <w:footnote w:id="18">
    <w:p w:rsidR="00B93E5C" w:rsidRPr="007630A4" w14:paraId="7B8BD763" w14:textId="77777777">
      <w:pPr>
        <w:pStyle w:val="FootnoteText"/>
        <w:rPr>
          <w:i/>
          <w:iCs/>
        </w:rPr>
      </w:pPr>
      <w:r>
        <w:rPr>
          <w:rStyle w:val="FootnoteReference"/>
        </w:rPr>
        <w:footnoteRef/>
      </w:r>
      <w:r>
        <w:t xml:space="preserve"> </w:t>
      </w:r>
      <w:r w:rsidR="004E4899">
        <w:rPr>
          <w:i/>
          <w:iCs/>
        </w:rPr>
        <w:t>Id.</w:t>
      </w:r>
    </w:p>
  </w:footnote>
  <w:footnote w:id="19">
    <w:p w:rsidR="00B93E5C" w:rsidRPr="004E4899" w14:paraId="3ED2E27B" w14:textId="77777777">
      <w:pPr>
        <w:pStyle w:val="FootnoteText"/>
      </w:pPr>
      <w:r>
        <w:rPr>
          <w:rStyle w:val="FootnoteReference"/>
        </w:rPr>
        <w:footnoteRef/>
      </w:r>
      <w:r>
        <w:t xml:space="preserve"> </w:t>
      </w:r>
      <w:r w:rsidR="00C8271F">
        <w:t>Application</w:t>
      </w:r>
      <w:r w:rsidR="004E4899">
        <w:rPr>
          <w:i/>
          <w:iCs/>
        </w:rPr>
        <w:t xml:space="preserve"> </w:t>
      </w:r>
      <w:r w:rsidR="004E4899">
        <w:t>at Exh. A at 4 and Exh. B at 4.</w:t>
      </w:r>
    </w:p>
  </w:footnote>
  <w:footnote w:id="20">
    <w:p w:rsidR="00B93E5C" w:rsidRPr="007630A4" w14:paraId="3B4769B7" w14:textId="77777777">
      <w:pPr>
        <w:pStyle w:val="FootnoteText"/>
        <w:rPr>
          <w:i/>
          <w:iCs/>
        </w:rPr>
      </w:pPr>
      <w:r>
        <w:rPr>
          <w:rStyle w:val="FootnoteReference"/>
        </w:rPr>
        <w:footnoteRef/>
      </w:r>
      <w:r>
        <w:t xml:space="preserve"> </w:t>
      </w:r>
      <w:r w:rsidR="004E4899">
        <w:rPr>
          <w:i/>
          <w:iCs/>
        </w:rPr>
        <w:t>Id.</w:t>
      </w:r>
    </w:p>
  </w:footnote>
  <w:footnote w:id="21">
    <w:p w:rsidR="00B93E5C" w:rsidRPr="007630A4" w14:paraId="3DAF73F0" w14:textId="77777777">
      <w:pPr>
        <w:pStyle w:val="FootnoteText"/>
        <w:rPr>
          <w:i/>
          <w:iCs/>
        </w:rPr>
      </w:pPr>
      <w:r>
        <w:rPr>
          <w:rStyle w:val="FootnoteReference"/>
        </w:rPr>
        <w:footnoteRef/>
      </w:r>
      <w:r>
        <w:t xml:space="preserve"> </w:t>
      </w:r>
      <w:r w:rsidR="004E4899">
        <w:rPr>
          <w:i/>
          <w:iCs/>
        </w:rPr>
        <w:t>Id.</w:t>
      </w:r>
    </w:p>
  </w:footnote>
  <w:footnote w:id="22">
    <w:p w:rsidR="00B93E5C" w14:paraId="0EFF8B97" w14:textId="77777777">
      <w:pPr>
        <w:pStyle w:val="FootnoteText"/>
      </w:pPr>
      <w:r>
        <w:rPr>
          <w:rStyle w:val="FootnoteReference"/>
        </w:rPr>
        <w:footnoteRef/>
      </w:r>
      <w:r>
        <w:t xml:space="preserve"> </w:t>
      </w:r>
      <w:r w:rsidR="004E4899">
        <w:t>Application at Exh. B at 4.</w:t>
      </w:r>
    </w:p>
  </w:footnote>
  <w:footnote w:id="23">
    <w:p w:rsidR="00130424" w:rsidRPr="003661DC" w:rsidP="00130424" w14:paraId="4E39AA27" w14:textId="77777777">
      <w:pPr>
        <w:pStyle w:val="FootnoteText"/>
      </w:pPr>
      <w:r w:rsidRPr="003661DC">
        <w:rPr>
          <w:rStyle w:val="FootnoteReference"/>
          <w:sz w:val="20"/>
        </w:rPr>
        <w:footnoteRef/>
      </w:r>
      <w:r w:rsidRPr="003661DC">
        <w:t xml:space="preserve"> </w:t>
      </w:r>
      <w:r w:rsidRPr="006A1D8E" w:rsidR="006A1D8E">
        <w:rPr>
          <w:i/>
          <w:iCs/>
        </w:rPr>
        <w:t>Id</w:t>
      </w:r>
      <w:r w:rsidR="006A1D8E">
        <w:t>.</w:t>
      </w:r>
      <w:r w:rsidR="00A375EE">
        <w:t xml:space="preserve"> at </w:t>
      </w:r>
      <w:r w:rsidR="00480EC7">
        <w:t>4</w:t>
      </w:r>
      <w:r w:rsidR="00CC2B48">
        <w:t>, 6-7</w:t>
      </w:r>
      <w:r w:rsidRPr="003661DC">
        <w:t>.</w:t>
      </w:r>
    </w:p>
  </w:footnote>
  <w:footnote w:id="24">
    <w:p w:rsidR="00066DC7" w14:paraId="6880058F" w14:textId="0BCB2785">
      <w:pPr>
        <w:pStyle w:val="FootnoteText"/>
      </w:pPr>
      <w:r>
        <w:rPr>
          <w:rStyle w:val="FootnoteReference"/>
        </w:rPr>
        <w:footnoteRef/>
      </w:r>
      <w:r>
        <w:t xml:space="preserve"> </w:t>
      </w:r>
      <w:r w:rsidR="00B76FFF">
        <w:t xml:space="preserve">July 8, 2022 Supplement at 2. </w:t>
      </w:r>
    </w:p>
  </w:footnote>
  <w:footnote w:id="25">
    <w:p w:rsidR="00F96818" w14:paraId="2E18B7B8" w14:textId="4509D1B6">
      <w:pPr>
        <w:pStyle w:val="FootnoteText"/>
      </w:pPr>
      <w:r>
        <w:rPr>
          <w:rStyle w:val="FootnoteReference"/>
        </w:rPr>
        <w:footnoteRef/>
      </w:r>
      <w:r>
        <w:t xml:space="preserve"> </w:t>
      </w:r>
      <w:r w:rsidRPr="00E85CFA" w:rsidR="00E85CFA">
        <w:rPr>
          <w:i/>
          <w:iCs/>
        </w:rPr>
        <w:t>Id</w:t>
      </w:r>
      <w:r w:rsidR="00E85CFA">
        <w:t>.</w:t>
      </w:r>
      <w:r w:rsidR="00704023">
        <w:t xml:space="preserve"> at 1. </w:t>
      </w:r>
    </w:p>
  </w:footnote>
  <w:footnote w:id="26">
    <w:p w:rsidR="004D2B83" w14:paraId="4D28E6EC" w14:textId="0F819A1C">
      <w:pPr>
        <w:pStyle w:val="FootnoteText"/>
      </w:pPr>
      <w:r>
        <w:rPr>
          <w:rStyle w:val="FootnoteReference"/>
        </w:rPr>
        <w:footnoteRef/>
      </w:r>
      <w:r>
        <w:t xml:space="preserve"> </w:t>
      </w:r>
      <w:r w:rsidR="00350299">
        <w:t>Petition at 1.</w:t>
      </w:r>
    </w:p>
  </w:footnote>
  <w:footnote w:id="27">
    <w:p w:rsidR="002330A0" w14:paraId="025C1107" w14:textId="691C1A98">
      <w:pPr>
        <w:pStyle w:val="FootnoteText"/>
      </w:pPr>
      <w:r>
        <w:rPr>
          <w:rStyle w:val="FootnoteReference"/>
        </w:rPr>
        <w:footnoteRef/>
      </w:r>
      <w:r>
        <w:t xml:space="preserve"> </w:t>
      </w:r>
      <w:r w:rsidRPr="00E85CFA" w:rsidR="00E85CFA">
        <w:rPr>
          <w:i/>
          <w:iCs/>
        </w:rPr>
        <w:t>Id</w:t>
      </w:r>
      <w:r w:rsidR="00E85CFA">
        <w:t>.</w:t>
      </w:r>
      <w:r w:rsidR="00963560">
        <w:t xml:space="preserve"> at </w:t>
      </w:r>
      <w:r w:rsidR="005E0A7E">
        <w:t xml:space="preserve">8; </w:t>
      </w:r>
      <w:r w:rsidRPr="008253FC" w:rsidR="008253FC">
        <w:rPr>
          <w:bCs/>
        </w:rPr>
        <w:t>47 CFR § 1.5003.</w:t>
      </w:r>
    </w:p>
  </w:footnote>
  <w:footnote w:id="28">
    <w:p w:rsidR="0020443E" w14:paraId="4B283060" w14:textId="2D6FBF50">
      <w:pPr>
        <w:pStyle w:val="FootnoteText"/>
      </w:pPr>
      <w:r>
        <w:rPr>
          <w:rStyle w:val="FootnoteReference"/>
        </w:rPr>
        <w:footnoteRef/>
      </w:r>
      <w:r>
        <w:t xml:space="preserve"> </w:t>
      </w:r>
      <w:r w:rsidRPr="001753B1" w:rsidR="001753B1">
        <w:rPr>
          <w:bCs/>
        </w:rPr>
        <w:t>47 CFR § 1.5001(i); 47 CFR § 1.5001(k)</w:t>
      </w:r>
      <w:r w:rsidR="001753B1">
        <w:rPr>
          <w:bCs/>
        </w:rPr>
        <w:t>.</w:t>
      </w:r>
    </w:p>
  </w:footnote>
  <w:footnote w:id="29">
    <w:p w:rsidR="00890F8A" w:rsidP="00890F8A" w14:paraId="1CCD4318" w14:textId="77777777">
      <w:pPr>
        <w:pStyle w:val="FootnoteText"/>
      </w:pPr>
      <w:r>
        <w:rPr>
          <w:rStyle w:val="FootnoteReference"/>
          <w:sz w:val="20"/>
        </w:rPr>
        <w:footnoteRef/>
      </w:r>
      <w:r>
        <w:t xml:space="preserve"> </w:t>
      </w:r>
      <w:r w:rsidRPr="00BD156B">
        <w:t>47 CFR § 63.03(c)(1)(v)</w:t>
      </w:r>
      <w:r>
        <w:t xml:space="preserve">. </w:t>
      </w:r>
    </w:p>
  </w:footnote>
  <w:footnote w:id="30">
    <w:p w:rsidR="00A477EA" w:rsidRPr="009A07AD" w14:paraId="0B59DEE9" w14:textId="77777777">
      <w:pPr>
        <w:pStyle w:val="FootnoteText"/>
      </w:pPr>
      <w:r>
        <w:rPr>
          <w:rStyle w:val="FootnoteReference"/>
        </w:rPr>
        <w:footnoteRef/>
      </w:r>
      <w:r w:rsidR="009A07AD">
        <w:rPr>
          <w:i/>
          <w:iCs/>
          <w:sz w:val="22"/>
          <w:szCs w:val="22"/>
        </w:rPr>
        <w:t xml:space="preserve"> </w:t>
      </w:r>
      <w:r w:rsidRPr="009A07AD">
        <w:rPr>
          <w:i/>
          <w:iCs/>
        </w:rPr>
        <w:t>Process Reform for Executive Branch Review of Certain FCC Applications and Petitions Involving Foreign Ownership</w:t>
      </w:r>
      <w:r w:rsidRPr="009A07AD">
        <w:t>, IB Docket 16-155, Report and Order, 35 FCC Rcd 10927, 10936, 10939, paras. 25, 30 (2020) (</w:t>
      </w:r>
      <w:r w:rsidRPr="009A07AD">
        <w:rPr>
          <w:i/>
          <w:iCs/>
        </w:rPr>
        <w:t>Executive Branch Review Process Order</w:t>
      </w:r>
      <w:r w:rsidRPr="009A07AD">
        <w:t xml:space="preserve">).   </w:t>
      </w:r>
    </w:p>
  </w:footnote>
  <w:footnote w:id="31">
    <w:p w:rsidR="00A477EA" w:rsidRPr="009A07AD" w14:paraId="11C9477F" w14:textId="77777777">
      <w:pPr>
        <w:pStyle w:val="FootnoteText"/>
      </w:pPr>
      <w:r w:rsidRPr="009A07AD">
        <w:rPr>
          <w:rStyle w:val="FootnoteReference"/>
          <w:sz w:val="20"/>
        </w:rPr>
        <w:footnoteRef/>
      </w:r>
      <w:r w:rsidRPr="009A07AD">
        <w:t xml:space="preserve"> </w:t>
      </w:r>
      <w:r w:rsidRPr="009A07AD">
        <w:rPr>
          <w:i/>
          <w:iCs/>
        </w:rPr>
        <w:t>Id</w:t>
      </w:r>
      <w:r w:rsidRPr="009A07AD">
        <w:t>.</w:t>
      </w:r>
    </w:p>
  </w:footnote>
  <w:footnote w:id="32">
    <w:p w:rsidR="00A477EA" w:rsidRPr="009A07AD" w14:paraId="71C8851C" w14:textId="77777777">
      <w:pPr>
        <w:pStyle w:val="FootnoteText"/>
      </w:pPr>
      <w:r w:rsidRPr="009A07AD">
        <w:rPr>
          <w:rStyle w:val="FootnoteReference"/>
          <w:sz w:val="20"/>
        </w:rPr>
        <w:footnoteRef/>
      </w:r>
      <w:r w:rsidRPr="009A07AD">
        <w:t xml:space="preserve"> Application at 14-15.  </w:t>
      </w:r>
    </w:p>
  </w:footnote>
  <w:footnote w:id="33">
    <w:p w:rsidR="00695528" w:rsidP="00695528" w14:paraId="159AA792" w14:textId="77777777">
      <w:r>
        <w:rPr>
          <w:rStyle w:val="FootnoteReference"/>
        </w:rPr>
        <w:footnoteRef/>
      </w:r>
      <w:r>
        <w:t xml:space="preserve"> </w:t>
      </w:r>
      <w:r w:rsidRPr="009A07AD">
        <w:rPr>
          <w:i/>
          <w:iCs/>
          <w:sz w:val="20"/>
        </w:rPr>
        <w:t>See</w:t>
      </w:r>
      <w:r w:rsidRPr="009A07AD">
        <w:rPr>
          <w:sz w:val="20"/>
        </w:rPr>
        <w:t xml:space="preserve"> </w:t>
      </w:r>
      <w:r w:rsidRPr="009A07AD">
        <w:rPr>
          <w:i/>
          <w:iCs/>
          <w:sz w:val="20"/>
        </w:rPr>
        <w:t>Executive Branch Review Process Order</w:t>
      </w:r>
      <w:r w:rsidRPr="009A07AD">
        <w:rPr>
          <w:sz w:val="20"/>
        </w:rPr>
        <w:t xml:space="preserve"> at 10941, para. 36, n. 99; </w:t>
      </w:r>
      <w:r w:rsidRPr="009A07AD">
        <w:rPr>
          <w:i/>
          <w:iCs/>
          <w:sz w:val="20"/>
        </w:rPr>
        <w:t>see also id</w:t>
      </w:r>
      <w:r w:rsidRPr="009A07AD">
        <w:rPr>
          <w:sz w:val="20"/>
        </w:rPr>
        <w:t>. at 10939, para 30, n. 81.</w:t>
      </w:r>
    </w:p>
  </w:footnote>
  <w:footnote w:id="34">
    <w:p w:rsidR="008014D0" w:rsidRPr="003661DC" w:rsidP="008014D0" w14:paraId="1A4AE17C" w14:textId="77777777">
      <w:pPr>
        <w:pStyle w:val="FootnoteText"/>
        <w:rPr>
          <w:u w:val="single"/>
        </w:rPr>
      </w:pPr>
      <w:r w:rsidRPr="003661DC">
        <w:rPr>
          <w:rStyle w:val="FootnoteReference"/>
          <w:sz w:val="20"/>
        </w:rPr>
        <w:footnoteRef/>
      </w:r>
      <w:r w:rsidRPr="003661DC">
        <w:t xml:space="preserve"> </w:t>
      </w:r>
      <w:r w:rsidRPr="003F0047">
        <w:t>Effective March 19, 2020, and until further notice, the Commission no longer accepts any hand or messenger delivered filings.  This is a temporary measure taken to help protect the health and safety of individuals, and to mitigate the transmission of COVID-19.</w:t>
      </w:r>
      <w:r w:rsidRPr="003F0047" w:rsidR="00264753">
        <w:t xml:space="preserve"> </w:t>
      </w:r>
      <w:r w:rsidRPr="003F0047">
        <w:t xml:space="preserve"> </w:t>
      </w:r>
      <w:r w:rsidRPr="003F0047">
        <w:rPr>
          <w:rFonts w:eastAsia="Calibri"/>
          <w:i/>
          <w:iCs/>
        </w:rPr>
        <w:t>See FCC Announces Closure of FCC Headquarters Open Window and Change in Hand-Delivery Policy</w:t>
      </w:r>
      <w:r w:rsidRPr="003F0047">
        <w:rPr>
          <w:rFonts w:eastAsia="Calibri"/>
        </w:rPr>
        <w:t>, Public Notice, 35 FCC Rcd 2788 (OS 2020).</w:t>
      </w:r>
    </w:p>
  </w:footnote>
  <w:footnote w:id="35">
    <w:p w:rsidR="008014D0" w:rsidRPr="003661DC" w:rsidP="008014D0" w14:paraId="45B9005A" w14:textId="77777777">
      <w:pPr>
        <w:pStyle w:val="FootnoteText"/>
      </w:pPr>
      <w:r w:rsidRPr="003661DC">
        <w:rPr>
          <w:rStyle w:val="FootnoteReference"/>
          <w:sz w:val="20"/>
        </w:rPr>
        <w:footnoteRef/>
      </w:r>
      <w:r w:rsidRPr="003661DC">
        <w:t xml:space="preserve"> </w:t>
      </w:r>
      <w:r w:rsidRPr="003661DC">
        <w:rPr>
          <w:i/>
        </w:rPr>
        <w:t>See</w:t>
      </w:r>
      <w:r w:rsidRPr="003661DC">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2950810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53BA9574" w14:textId="0D964F6A">
    <w:pPr>
      <w:pStyle w:val="Header"/>
    </w:pPr>
    <w:r>
      <w:rPr>
        <w:noProof/>
        <w:snapToGrid/>
      </w:rPr>
      <w:drawing>
        <wp:inline distT="0" distB="0" distL="0" distR="0">
          <wp:extent cx="5949315" cy="1466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9315" cy="1466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1307F"/>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8"/>
  </w:num>
  <w:num w:numId="8">
    <w:abstractNumId w:val="2"/>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4AA"/>
    <w:rsid w:val="0000137E"/>
    <w:rsid w:val="0000494F"/>
    <w:rsid w:val="000067A6"/>
    <w:rsid w:val="00006A4A"/>
    <w:rsid w:val="00007129"/>
    <w:rsid w:val="00011872"/>
    <w:rsid w:val="00011E0E"/>
    <w:rsid w:val="00015CC3"/>
    <w:rsid w:val="00022400"/>
    <w:rsid w:val="00026204"/>
    <w:rsid w:val="00026B34"/>
    <w:rsid w:val="000306F9"/>
    <w:rsid w:val="00030D4B"/>
    <w:rsid w:val="000313DD"/>
    <w:rsid w:val="000326E2"/>
    <w:rsid w:val="000354F0"/>
    <w:rsid w:val="000366FD"/>
    <w:rsid w:val="00037812"/>
    <w:rsid w:val="00037C56"/>
    <w:rsid w:val="00041D70"/>
    <w:rsid w:val="0004237A"/>
    <w:rsid w:val="00044B53"/>
    <w:rsid w:val="0004566F"/>
    <w:rsid w:val="00046C11"/>
    <w:rsid w:val="00050D9A"/>
    <w:rsid w:val="00050E76"/>
    <w:rsid w:val="000563A8"/>
    <w:rsid w:val="00057F58"/>
    <w:rsid w:val="00060E16"/>
    <w:rsid w:val="000615B4"/>
    <w:rsid w:val="000619C1"/>
    <w:rsid w:val="00062708"/>
    <w:rsid w:val="000632B3"/>
    <w:rsid w:val="00064DC7"/>
    <w:rsid w:val="00065A2D"/>
    <w:rsid w:val="00066DC7"/>
    <w:rsid w:val="000732F0"/>
    <w:rsid w:val="0007424D"/>
    <w:rsid w:val="00075595"/>
    <w:rsid w:val="00080D2A"/>
    <w:rsid w:val="00084C89"/>
    <w:rsid w:val="0008514F"/>
    <w:rsid w:val="00085F2E"/>
    <w:rsid w:val="0008614D"/>
    <w:rsid w:val="000873F3"/>
    <w:rsid w:val="00087653"/>
    <w:rsid w:val="000905B1"/>
    <w:rsid w:val="0009206D"/>
    <w:rsid w:val="000933BA"/>
    <w:rsid w:val="000939BF"/>
    <w:rsid w:val="000A3743"/>
    <w:rsid w:val="000A75C7"/>
    <w:rsid w:val="000A7C93"/>
    <w:rsid w:val="000B170B"/>
    <w:rsid w:val="000B3F8D"/>
    <w:rsid w:val="000B6959"/>
    <w:rsid w:val="000B6E77"/>
    <w:rsid w:val="000C32E8"/>
    <w:rsid w:val="000C4A18"/>
    <w:rsid w:val="000C668C"/>
    <w:rsid w:val="000D4272"/>
    <w:rsid w:val="000D52DB"/>
    <w:rsid w:val="000D6DD2"/>
    <w:rsid w:val="000D7128"/>
    <w:rsid w:val="000D7131"/>
    <w:rsid w:val="000D7CAA"/>
    <w:rsid w:val="000E19D6"/>
    <w:rsid w:val="000E29ED"/>
    <w:rsid w:val="000E38F1"/>
    <w:rsid w:val="000E3EE3"/>
    <w:rsid w:val="000E493A"/>
    <w:rsid w:val="000E4A13"/>
    <w:rsid w:val="000E6B64"/>
    <w:rsid w:val="000F02F8"/>
    <w:rsid w:val="000F15DC"/>
    <w:rsid w:val="000F24A8"/>
    <w:rsid w:val="000F2CEA"/>
    <w:rsid w:val="000F5549"/>
    <w:rsid w:val="00100600"/>
    <w:rsid w:val="0010088A"/>
    <w:rsid w:val="0010621E"/>
    <w:rsid w:val="001075C3"/>
    <w:rsid w:val="001075D8"/>
    <w:rsid w:val="0011284D"/>
    <w:rsid w:val="00113860"/>
    <w:rsid w:val="00113D1A"/>
    <w:rsid w:val="00115198"/>
    <w:rsid w:val="00115B95"/>
    <w:rsid w:val="00116137"/>
    <w:rsid w:val="00116148"/>
    <w:rsid w:val="001171CB"/>
    <w:rsid w:val="00117AB7"/>
    <w:rsid w:val="001224BB"/>
    <w:rsid w:val="001232DA"/>
    <w:rsid w:val="001269C7"/>
    <w:rsid w:val="00127CAB"/>
    <w:rsid w:val="00127F87"/>
    <w:rsid w:val="00130424"/>
    <w:rsid w:val="0013080D"/>
    <w:rsid w:val="00130F6A"/>
    <w:rsid w:val="0013532E"/>
    <w:rsid w:val="001354AE"/>
    <w:rsid w:val="001356B7"/>
    <w:rsid w:val="00140953"/>
    <w:rsid w:val="00140D4F"/>
    <w:rsid w:val="001421A0"/>
    <w:rsid w:val="00144635"/>
    <w:rsid w:val="00146791"/>
    <w:rsid w:val="00152B83"/>
    <w:rsid w:val="00155432"/>
    <w:rsid w:val="001567F3"/>
    <w:rsid w:val="00156A57"/>
    <w:rsid w:val="00162B46"/>
    <w:rsid w:val="00164114"/>
    <w:rsid w:val="001643E0"/>
    <w:rsid w:val="00166AAA"/>
    <w:rsid w:val="001677AC"/>
    <w:rsid w:val="0017148C"/>
    <w:rsid w:val="00172169"/>
    <w:rsid w:val="00173F34"/>
    <w:rsid w:val="001753B1"/>
    <w:rsid w:val="00175A27"/>
    <w:rsid w:val="001805F0"/>
    <w:rsid w:val="00181532"/>
    <w:rsid w:val="00183927"/>
    <w:rsid w:val="00186A50"/>
    <w:rsid w:val="00186AEF"/>
    <w:rsid w:val="00190135"/>
    <w:rsid w:val="001906CA"/>
    <w:rsid w:val="001934B4"/>
    <w:rsid w:val="00193B17"/>
    <w:rsid w:val="00194A30"/>
    <w:rsid w:val="00195786"/>
    <w:rsid w:val="0019741E"/>
    <w:rsid w:val="001974D2"/>
    <w:rsid w:val="00197C6A"/>
    <w:rsid w:val="001A0026"/>
    <w:rsid w:val="001A08AA"/>
    <w:rsid w:val="001A0AB9"/>
    <w:rsid w:val="001A3419"/>
    <w:rsid w:val="001A573F"/>
    <w:rsid w:val="001A62AE"/>
    <w:rsid w:val="001B2CB1"/>
    <w:rsid w:val="001B5186"/>
    <w:rsid w:val="001B6A4E"/>
    <w:rsid w:val="001C1595"/>
    <w:rsid w:val="001C194B"/>
    <w:rsid w:val="001C2722"/>
    <w:rsid w:val="001C27D1"/>
    <w:rsid w:val="001C4295"/>
    <w:rsid w:val="001C42FF"/>
    <w:rsid w:val="001C4A7B"/>
    <w:rsid w:val="001C5AEF"/>
    <w:rsid w:val="001C5E50"/>
    <w:rsid w:val="001C7E56"/>
    <w:rsid w:val="001C7FC9"/>
    <w:rsid w:val="001D13D1"/>
    <w:rsid w:val="001D35E7"/>
    <w:rsid w:val="001D4B15"/>
    <w:rsid w:val="001D6710"/>
    <w:rsid w:val="001E2CC9"/>
    <w:rsid w:val="001F209D"/>
    <w:rsid w:val="001F4ACD"/>
    <w:rsid w:val="001F5C78"/>
    <w:rsid w:val="00200AB9"/>
    <w:rsid w:val="0020196E"/>
    <w:rsid w:val="00203B45"/>
    <w:rsid w:val="0020443E"/>
    <w:rsid w:val="00206960"/>
    <w:rsid w:val="002113BF"/>
    <w:rsid w:val="0021307A"/>
    <w:rsid w:val="0021422C"/>
    <w:rsid w:val="00214986"/>
    <w:rsid w:val="00217279"/>
    <w:rsid w:val="002206FA"/>
    <w:rsid w:val="0022394F"/>
    <w:rsid w:val="0023191C"/>
    <w:rsid w:val="00231DC3"/>
    <w:rsid w:val="002330A0"/>
    <w:rsid w:val="00233841"/>
    <w:rsid w:val="00234860"/>
    <w:rsid w:val="00234D0A"/>
    <w:rsid w:val="002351E7"/>
    <w:rsid w:val="0023649E"/>
    <w:rsid w:val="00236890"/>
    <w:rsid w:val="002415CF"/>
    <w:rsid w:val="0024281C"/>
    <w:rsid w:val="0024459C"/>
    <w:rsid w:val="002508B5"/>
    <w:rsid w:val="00252E55"/>
    <w:rsid w:val="00253449"/>
    <w:rsid w:val="002632D4"/>
    <w:rsid w:val="00264753"/>
    <w:rsid w:val="002737D7"/>
    <w:rsid w:val="00273EBC"/>
    <w:rsid w:val="002741B3"/>
    <w:rsid w:val="00275E70"/>
    <w:rsid w:val="00277274"/>
    <w:rsid w:val="00277546"/>
    <w:rsid w:val="0028712B"/>
    <w:rsid w:val="00287688"/>
    <w:rsid w:val="00290F7F"/>
    <w:rsid w:val="00291EB8"/>
    <w:rsid w:val="0029553A"/>
    <w:rsid w:val="002A0A73"/>
    <w:rsid w:val="002A1019"/>
    <w:rsid w:val="002A4770"/>
    <w:rsid w:val="002B2384"/>
    <w:rsid w:val="002B3FE4"/>
    <w:rsid w:val="002B460F"/>
    <w:rsid w:val="002C2876"/>
    <w:rsid w:val="002C33FF"/>
    <w:rsid w:val="002C5906"/>
    <w:rsid w:val="002C693B"/>
    <w:rsid w:val="002D15D9"/>
    <w:rsid w:val="002D20E0"/>
    <w:rsid w:val="002D3500"/>
    <w:rsid w:val="002D5B08"/>
    <w:rsid w:val="002D5BF0"/>
    <w:rsid w:val="002D5F52"/>
    <w:rsid w:val="002D7726"/>
    <w:rsid w:val="002E0FD5"/>
    <w:rsid w:val="002E5156"/>
    <w:rsid w:val="002E58B0"/>
    <w:rsid w:val="002E5EE6"/>
    <w:rsid w:val="002F169B"/>
    <w:rsid w:val="002F2D4B"/>
    <w:rsid w:val="002F3DD4"/>
    <w:rsid w:val="002F56B0"/>
    <w:rsid w:val="002F5A1F"/>
    <w:rsid w:val="003020AF"/>
    <w:rsid w:val="0030587D"/>
    <w:rsid w:val="003122A8"/>
    <w:rsid w:val="003156AB"/>
    <w:rsid w:val="00317B11"/>
    <w:rsid w:val="0032055D"/>
    <w:rsid w:val="00324606"/>
    <w:rsid w:val="00324BEE"/>
    <w:rsid w:val="0033280D"/>
    <w:rsid w:val="00332DC4"/>
    <w:rsid w:val="00334676"/>
    <w:rsid w:val="00335DA3"/>
    <w:rsid w:val="003366EE"/>
    <w:rsid w:val="00341E03"/>
    <w:rsid w:val="0034220A"/>
    <w:rsid w:val="00342CE9"/>
    <w:rsid w:val="003433A8"/>
    <w:rsid w:val="0034682A"/>
    <w:rsid w:val="003474AA"/>
    <w:rsid w:val="00347EAB"/>
    <w:rsid w:val="00350299"/>
    <w:rsid w:val="00350CAB"/>
    <w:rsid w:val="00351578"/>
    <w:rsid w:val="00351689"/>
    <w:rsid w:val="00355A1C"/>
    <w:rsid w:val="00361971"/>
    <w:rsid w:val="00361F93"/>
    <w:rsid w:val="0036208B"/>
    <w:rsid w:val="003656FF"/>
    <w:rsid w:val="003661DC"/>
    <w:rsid w:val="0036752B"/>
    <w:rsid w:val="0037300E"/>
    <w:rsid w:val="00373912"/>
    <w:rsid w:val="00376319"/>
    <w:rsid w:val="00380EC7"/>
    <w:rsid w:val="00381D63"/>
    <w:rsid w:val="00383407"/>
    <w:rsid w:val="003A06D0"/>
    <w:rsid w:val="003A68BD"/>
    <w:rsid w:val="003A7850"/>
    <w:rsid w:val="003B3251"/>
    <w:rsid w:val="003B75AB"/>
    <w:rsid w:val="003C1E72"/>
    <w:rsid w:val="003C3D4A"/>
    <w:rsid w:val="003C5C3C"/>
    <w:rsid w:val="003C7815"/>
    <w:rsid w:val="003C79AB"/>
    <w:rsid w:val="003D18FA"/>
    <w:rsid w:val="003D1C57"/>
    <w:rsid w:val="003D541B"/>
    <w:rsid w:val="003E0AE8"/>
    <w:rsid w:val="003E0D09"/>
    <w:rsid w:val="003E11AC"/>
    <w:rsid w:val="003E21D4"/>
    <w:rsid w:val="003E69CC"/>
    <w:rsid w:val="003E7113"/>
    <w:rsid w:val="003F0047"/>
    <w:rsid w:val="003F2062"/>
    <w:rsid w:val="00400A40"/>
    <w:rsid w:val="0040439D"/>
    <w:rsid w:val="00406FA7"/>
    <w:rsid w:val="00407717"/>
    <w:rsid w:val="00412A27"/>
    <w:rsid w:val="004214F3"/>
    <w:rsid w:val="00421E1D"/>
    <w:rsid w:val="00426056"/>
    <w:rsid w:val="004301FA"/>
    <w:rsid w:val="004314C6"/>
    <w:rsid w:val="00433545"/>
    <w:rsid w:val="00433DFE"/>
    <w:rsid w:val="00434F60"/>
    <w:rsid w:val="00444E34"/>
    <w:rsid w:val="0044599B"/>
    <w:rsid w:val="00446101"/>
    <w:rsid w:val="0044675F"/>
    <w:rsid w:val="00446F0A"/>
    <w:rsid w:val="004519F1"/>
    <w:rsid w:val="00451D3E"/>
    <w:rsid w:val="0045221A"/>
    <w:rsid w:val="00452453"/>
    <w:rsid w:val="00455C72"/>
    <w:rsid w:val="004562BA"/>
    <w:rsid w:val="0046306D"/>
    <w:rsid w:val="0047047F"/>
    <w:rsid w:val="0047570D"/>
    <w:rsid w:val="00477B03"/>
    <w:rsid w:val="00480E3E"/>
    <w:rsid w:val="00480EC7"/>
    <w:rsid w:val="004824BE"/>
    <w:rsid w:val="00484CAF"/>
    <w:rsid w:val="00486853"/>
    <w:rsid w:val="004911BB"/>
    <w:rsid w:val="00492FA9"/>
    <w:rsid w:val="00493570"/>
    <w:rsid w:val="004A5636"/>
    <w:rsid w:val="004A5F0F"/>
    <w:rsid w:val="004A68E3"/>
    <w:rsid w:val="004A75F3"/>
    <w:rsid w:val="004D2B83"/>
    <w:rsid w:val="004D2C30"/>
    <w:rsid w:val="004D37EB"/>
    <w:rsid w:val="004D58FD"/>
    <w:rsid w:val="004D626A"/>
    <w:rsid w:val="004D79C2"/>
    <w:rsid w:val="004E2BE5"/>
    <w:rsid w:val="004E4088"/>
    <w:rsid w:val="004E4899"/>
    <w:rsid w:val="004F0072"/>
    <w:rsid w:val="004F6629"/>
    <w:rsid w:val="00505C11"/>
    <w:rsid w:val="00512616"/>
    <w:rsid w:val="005150E6"/>
    <w:rsid w:val="00517255"/>
    <w:rsid w:val="005221D5"/>
    <w:rsid w:val="00524A39"/>
    <w:rsid w:val="0053173E"/>
    <w:rsid w:val="00535C88"/>
    <w:rsid w:val="0053740B"/>
    <w:rsid w:val="0053744A"/>
    <w:rsid w:val="00545F0A"/>
    <w:rsid w:val="0054766A"/>
    <w:rsid w:val="00550775"/>
    <w:rsid w:val="005522A4"/>
    <w:rsid w:val="00553A76"/>
    <w:rsid w:val="00560DBA"/>
    <w:rsid w:val="00561C16"/>
    <w:rsid w:val="00565ED0"/>
    <w:rsid w:val="005716A9"/>
    <w:rsid w:val="005729EE"/>
    <w:rsid w:val="00574622"/>
    <w:rsid w:val="00574AD7"/>
    <w:rsid w:val="00574F31"/>
    <w:rsid w:val="005767C4"/>
    <w:rsid w:val="00580758"/>
    <w:rsid w:val="00590452"/>
    <w:rsid w:val="0059058F"/>
    <w:rsid w:val="005915B3"/>
    <w:rsid w:val="0059512F"/>
    <w:rsid w:val="00596646"/>
    <w:rsid w:val="005A029F"/>
    <w:rsid w:val="005A06DE"/>
    <w:rsid w:val="005A0866"/>
    <w:rsid w:val="005A0FEC"/>
    <w:rsid w:val="005A3917"/>
    <w:rsid w:val="005A4F2B"/>
    <w:rsid w:val="005B2105"/>
    <w:rsid w:val="005B26BC"/>
    <w:rsid w:val="005B5091"/>
    <w:rsid w:val="005C1959"/>
    <w:rsid w:val="005C38E8"/>
    <w:rsid w:val="005C530F"/>
    <w:rsid w:val="005C58A5"/>
    <w:rsid w:val="005C743D"/>
    <w:rsid w:val="005D023C"/>
    <w:rsid w:val="005D0917"/>
    <w:rsid w:val="005D0BA0"/>
    <w:rsid w:val="005D1BA2"/>
    <w:rsid w:val="005D299C"/>
    <w:rsid w:val="005D2B6A"/>
    <w:rsid w:val="005D376D"/>
    <w:rsid w:val="005D4EA8"/>
    <w:rsid w:val="005D61D7"/>
    <w:rsid w:val="005D6887"/>
    <w:rsid w:val="005D73D9"/>
    <w:rsid w:val="005E0A7E"/>
    <w:rsid w:val="005E18B7"/>
    <w:rsid w:val="005E2C4B"/>
    <w:rsid w:val="005E520F"/>
    <w:rsid w:val="005F21DC"/>
    <w:rsid w:val="005F230B"/>
    <w:rsid w:val="005F7A33"/>
    <w:rsid w:val="00600DD6"/>
    <w:rsid w:val="00603D3C"/>
    <w:rsid w:val="00604645"/>
    <w:rsid w:val="00604B58"/>
    <w:rsid w:val="00606FCC"/>
    <w:rsid w:val="00607DD7"/>
    <w:rsid w:val="00610F36"/>
    <w:rsid w:val="00614C22"/>
    <w:rsid w:val="00614F49"/>
    <w:rsid w:val="00614F63"/>
    <w:rsid w:val="00616358"/>
    <w:rsid w:val="0062243C"/>
    <w:rsid w:val="00624A35"/>
    <w:rsid w:val="006316FF"/>
    <w:rsid w:val="00631D2F"/>
    <w:rsid w:val="00632990"/>
    <w:rsid w:val="00633D78"/>
    <w:rsid w:val="00634B9A"/>
    <w:rsid w:val="0063636A"/>
    <w:rsid w:val="00637C9C"/>
    <w:rsid w:val="00637D81"/>
    <w:rsid w:val="00641839"/>
    <w:rsid w:val="006424FC"/>
    <w:rsid w:val="006431E7"/>
    <w:rsid w:val="00644086"/>
    <w:rsid w:val="00644592"/>
    <w:rsid w:val="00645292"/>
    <w:rsid w:val="00646EF2"/>
    <w:rsid w:val="00647514"/>
    <w:rsid w:val="00647A93"/>
    <w:rsid w:val="006510FA"/>
    <w:rsid w:val="00655B31"/>
    <w:rsid w:val="006573B0"/>
    <w:rsid w:val="00662414"/>
    <w:rsid w:val="00662A46"/>
    <w:rsid w:val="00663614"/>
    <w:rsid w:val="0066553A"/>
    <w:rsid w:val="00670A83"/>
    <w:rsid w:val="0067380C"/>
    <w:rsid w:val="00674F87"/>
    <w:rsid w:val="006769DC"/>
    <w:rsid w:val="00676BDF"/>
    <w:rsid w:val="006775C6"/>
    <w:rsid w:val="0067772C"/>
    <w:rsid w:val="00680326"/>
    <w:rsid w:val="0068075E"/>
    <w:rsid w:val="006924C8"/>
    <w:rsid w:val="00694E21"/>
    <w:rsid w:val="00695528"/>
    <w:rsid w:val="00696223"/>
    <w:rsid w:val="006A0682"/>
    <w:rsid w:val="006A1D8E"/>
    <w:rsid w:val="006B0D5E"/>
    <w:rsid w:val="006B2BD3"/>
    <w:rsid w:val="006B2E2C"/>
    <w:rsid w:val="006B5248"/>
    <w:rsid w:val="006B7AC2"/>
    <w:rsid w:val="006C07E9"/>
    <w:rsid w:val="006C3476"/>
    <w:rsid w:val="006C6CAF"/>
    <w:rsid w:val="006C79F4"/>
    <w:rsid w:val="006D007B"/>
    <w:rsid w:val="006D1DEB"/>
    <w:rsid w:val="006D349F"/>
    <w:rsid w:val="006D3780"/>
    <w:rsid w:val="006D42DB"/>
    <w:rsid w:val="006D5644"/>
    <w:rsid w:val="006D7189"/>
    <w:rsid w:val="006E38D7"/>
    <w:rsid w:val="006E7C9E"/>
    <w:rsid w:val="006F01FF"/>
    <w:rsid w:val="006F2CB7"/>
    <w:rsid w:val="006F5992"/>
    <w:rsid w:val="006F6695"/>
    <w:rsid w:val="006F669F"/>
    <w:rsid w:val="006F6A94"/>
    <w:rsid w:val="007030A1"/>
    <w:rsid w:val="007033DC"/>
    <w:rsid w:val="00704023"/>
    <w:rsid w:val="00706489"/>
    <w:rsid w:val="00711176"/>
    <w:rsid w:val="0071128C"/>
    <w:rsid w:val="007113E0"/>
    <w:rsid w:val="0071499C"/>
    <w:rsid w:val="007149D2"/>
    <w:rsid w:val="00720487"/>
    <w:rsid w:val="00722128"/>
    <w:rsid w:val="007226A3"/>
    <w:rsid w:val="00723D04"/>
    <w:rsid w:val="007259CC"/>
    <w:rsid w:val="0073031F"/>
    <w:rsid w:val="0073268E"/>
    <w:rsid w:val="00734383"/>
    <w:rsid w:val="00735A96"/>
    <w:rsid w:val="0074155B"/>
    <w:rsid w:val="00752D03"/>
    <w:rsid w:val="00754794"/>
    <w:rsid w:val="00754ECB"/>
    <w:rsid w:val="00755C90"/>
    <w:rsid w:val="00762690"/>
    <w:rsid w:val="007630A4"/>
    <w:rsid w:val="00763A02"/>
    <w:rsid w:val="007641A1"/>
    <w:rsid w:val="00765424"/>
    <w:rsid w:val="00770F07"/>
    <w:rsid w:val="0077152F"/>
    <w:rsid w:val="00773812"/>
    <w:rsid w:val="0077557C"/>
    <w:rsid w:val="00780764"/>
    <w:rsid w:val="00781187"/>
    <w:rsid w:val="00785243"/>
    <w:rsid w:val="00796872"/>
    <w:rsid w:val="00796973"/>
    <w:rsid w:val="007A19E3"/>
    <w:rsid w:val="007A4496"/>
    <w:rsid w:val="007A5499"/>
    <w:rsid w:val="007B1CEE"/>
    <w:rsid w:val="007B3604"/>
    <w:rsid w:val="007B44C5"/>
    <w:rsid w:val="007B7A7C"/>
    <w:rsid w:val="007B7DB4"/>
    <w:rsid w:val="007C034A"/>
    <w:rsid w:val="007C117D"/>
    <w:rsid w:val="007C54A4"/>
    <w:rsid w:val="007C6D08"/>
    <w:rsid w:val="007D00BF"/>
    <w:rsid w:val="007D1572"/>
    <w:rsid w:val="007D7102"/>
    <w:rsid w:val="007D73CD"/>
    <w:rsid w:val="007E0597"/>
    <w:rsid w:val="007E3F33"/>
    <w:rsid w:val="007E70C4"/>
    <w:rsid w:val="007E76AD"/>
    <w:rsid w:val="007F1A33"/>
    <w:rsid w:val="007F3034"/>
    <w:rsid w:val="007F41F7"/>
    <w:rsid w:val="007F5423"/>
    <w:rsid w:val="007F6CC2"/>
    <w:rsid w:val="00800521"/>
    <w:rsid w:val="00800E92"/>
    <w:rsid w:val="008014D0"/>
    <w:rsid w:val="0080209E"/>
    <w:rsid w:val="0080390F"/>
    <w:rsid w:val="00804C77"/>
    <w:rsid w:val="00805A48"/>
    <w:rsid w:val="00806795"/>
    <w:rsid w:val="00811EAE"/>
    <w:rsid w:val="00812B2B"/>
    <w:rsid w:val="00813F2E"/>
    <w:rsid w:val="008141F3"/>
    <w:rsid w:val="008149E5"/>
    <w:rsid w:val="00816A4E"/>
    <w:rsid w:val="008202CB"/>
    <w:rsid w:val="0082172A"/>
    <w:rsid w:val="00822853"/>
    <w:rsid w:val="00823E40"/>
    <w:rsid w:val="00824319"/>
    <w:rsid w:val="008253FC"/>
    <w:rsid w:val="00825C3F"/>
    <w:rsid w:val="00830174"/>
    <w:rsid w:val="00841223"/>
    <w:rsid w:val="0084351C"/>
    <w:rsid w:val="008438A5"/>
    <w:rsid w:val="00845850"/>
    <w:rsid w:val="008501F8"/>
    <w:rsid w:val="0085187B"/>
    <w:rsid w:val="00855B06"/>
    <w:rsid w:val="00855B11"/>
    <w:rsid w:val="00861AB3"/>
    <w:rsid w:val="00863155"/>
    <w:rsid w:val="00863398"/>
    <w:rsid w:val="008633AD"/>
    <w:rsid w:val="008638C0"/>
    <w:rsid w:val="00865969"/>
    <w:rsid w:val="00873B0F"/>
    <w:rsid w:val="0087489B"/>
    <w:rsid w:val="00874A41"/>
    <w:rsid w:val="00874F82"/>
    <w:rsid w:val="00881628"/>
    <w:rsid w:val="0088295E"/>
    <w:rsid w:val="008845D1"/>
    <w:rsid w:val="00884C47"/>
    <w:rsid w:val="008854DC"/>
    <w:rsid w:val="00885594"/>
    <w:rsid w:val="00885A98"/>
    <w:rsid w:val="008876B5"/>
    <w:rsid w:val="00890F8A"/>
    <w:rsid w:val="008956A9"/>
    <w:rsid w:val="008972C8"/>
    <w:rsid w:val="00897729"/>
    <w:rsid w:val="008A07B8"/>
    <w:rsid w:val="008A0A00"/>
    <w:rsid w:val="008A1AF2"/>
    <w:rsid w:val="008A1F7C"/>
    <w:rsid w:val="008A58B0"/>
    <w:rsid w:val="008B0339"/>
    <w:rsid w:val="008B077A"/>
    <w:rsid w:val="008B1B4D"/>
    <w:rsid w:val="008B3434"/>
    <w:rsid w:val="008B4143"/>
    <w:rsid w:val="008B49F6"/>
    <w:rsid w:val="008B4C30"/>
    <w:rsid w:val="008B4DD8"/>
    <w:rsid w:val="008B7934"/>
    <w:rsid w:val="008C56C5"/>
    <w:rsid w:val="008D277D"/>
    <w:rsid w:val="008D3210"/>
    <w:rsid w:val="008D3EFC"/>
    <w:rsid w:val="008D4566"/>
    <w:rsid w:val="008D4BBB"/>
    <w:rsid w:val="008D5D15"/>
    <w:rsid w:val="008D62FD"/>
    <w:rsid w:val="008D74A7"/>
    <w:rsid w:val="008E2776"/>
    <w:rsid w:val="008E2BD0"/>
    <w:rsid w:val="008E2C78"/>
    <w:rsid w:val="008F1363"/>
    <w:rsid w:val="008F14D3"/>
    <w:rsid w:val="008F2EBA"/>
    <w:rsid w:val="008F3B09"/>
    <w:rsid w:val="008F536C"/>
    <w:rsid w:val="008F55EC"/>
    <w:rsid w:val="008F5648"/>
    <w:rsid w:val="008F7FF2"/>
    <w:rsid w:val="0090257F"/>
    <w:rsid w:val="00905F78"/>
    <w:rsid w:val="0091104D"/>
    <w:rsid w:val="00914BB8"/>
    <w:rsid w:val="00916B3B"/>
    <w:rsid w:val="00920C8E"/>
    <w:rsid w:val="00920E4D"/>
    <w:rsid w:val="00926402"/>
    <w:rsid w:val="00927053"/>
    <w:rsid w:val="0092723F"/>
    <w:rsid w:val="00927554"/>
    <w:rsid w:val="009308B7"/>
    <w:rsid w:val="0093415E"/>
    <w:rsid w:val="00934509"/>
    <w:rsid w:val="00934DB2"/>
    <w:rsid w:val="00937C48"/>
    <w:rsid w:val="00937C70"/>
    <w:rsid w:val="009407F8"/>
    <w:rsid w:val="00950590"/>
    <w:rsid w:val="009567C0"/>
    <w:rsid w:val="00956A07"/>
    <w:rsid w:val="009605E2"/>
    <w:rsid w:val="009614D3"/>
    <w:rsid w:val="0096199E"/>
    <w:rsid w:val="00963560"/>
    <w:rsid w:val="00963B52"/>
    <w:rsid w:val="009643A9"/>
    <w:rsid w:val="0096783A"/>
    <w:rsid w:val="00967A31"/>
    <w:rsid w:val="00974838"/>
    <w:rsid w:val="009756D8"/>
    <w:rsid w:val="0097691B"/>
    <w:rsid w:val="00984B70"/>
    <w:rsid w:val="009854AD"/>
    <w:rsid w:val="00985602"/>
    <w:rsid w:val="00991B32"/>
    <w:rsid w:val="00996397"/>
    <w:rsid w:val="009976A9"/>
    <w:rsid w:val="00997881"/>
    <w:rsid w:val="009A07AD"/>
    <w:rsid w:val="009A0973"/>
    <w:rsid w:val="009A10C5"/>
    <w:rsid w:val="009A24E5"/>
    <w:rsid w:val="009A296D"/>
    <w:rsid w:val="009A7D2D"/>
    <w:rsid w:val="009B0930"/>
    <w:rsid w:val="009B12AE"/>
    <w:rsid w:val="009C06CC"/>
    <w:rsid w:val="009C08BC"/>
    <w:rsid w:val="009C23D3"/>
    <w:rsid w:val="009D3242"/>
    <w:rsid w:val="009D6FA7"/>
    <w:rsid w:val="009E136B"/>
    <w:rsid w:val="009E1B0B"/>
    <w:rsid w:val="009E66EB"/>
    <w:rsid w:val="009E6C1B"/>
    <w:rsid w:val="009F1A8F"/>
    <w:rsid w:val="009F23D4"/>
    <w:rsid w:val="009F43EB"/>
    <w:rsid w:val="009F4550"/>
    <w:rsid w:val="009F45B4"/>
    <w:rsid w:val="00A01DA2"/>
    <w:rsid w:val="00A021BA"/>
    <w:rsid w:val="00A0380D"/>
    <w:rsid w:val="00A05E35"/>
    <w:rsid w:val="00A06E29"/>
    <w:rsid w:val="00A075FF"/>
    <w:rsid w:val="00A07856"/>
    <w:rsid w:val="00A10BA4"/>
    <w:rsid w:val="00A1390D"/>
    <w:rsid w:val="00A14216"/>
    <w:rsid w:val="00A14A30"/>
    <w:rsid w:val="00A15E44"/>
    <w:rsid w:val="00A16051"/>
    <w:rsid w:val="00A26E92"/>
    <w:rsid w:val="00A30D8F"/>
    <w:rsid w:val="00A3163C"/>
    <w:rsid w:val="00A3243E"/>
    <w:rsid w:val="00A3458C"/>
    <w:rsid w:val="00A375EE"/>
    <w:rsid w:val="00A44902"/>
    <w:rsid w:val="00A46790"/>
    <w:rsid w:val="00A46F8B"/>
    <w:rsid w:val="00A477EA"/>
    <w:rsid w:val="00A533D8"/>
    <w:rsid w:val="00A608C0"/>
    <w:rsid w:val="00A63B05"/>
    <w:rsid w:val="00A65CFD"/>
    <w:rsid w:val="00A66AF3"/>
    <w:rsid w:val="00A70497"/>
    <w:rsid w:val="00A70689"/>
    <w:rsid w:val="00A728DE"/>
    <w:rsid w:val="00A73B60"/>
    <w:rsid w:val="00A74F80"/>
    <w:rsid w:val="00A7568A"/>
    <w:rsid w:val="00A804C7"/>
    <w:rsid w:val="00A808A5"/>
    <w:rsid w:val="00A81DFB"/>
    <w:rsid w:val="00A83E17"/>
    <w:rsid w:val="00A842B7"/>
    <w:rsid w:val="00A87085"/>
    <w:rsid w:val="00A90CF7"/>
    <w:rsid w:val="00A93D31"/>
    <w:rsid w:val="00A95479"/>
    <w:rsid w:val="00A96BB6"/>
    <w:rsid w:val="00AA0192"/>
    <w:rsid w:val="00AA0264"/>
    <w:rsid w:val="00AA05BD"/>
    <w:rsid w:val="00AA07DE"/>
    <w:rsid w:val="00AA0FA1"/>
    <w:rsid w:val="00AA150F"/>
    <w:rsid w:val="00AA16D7"/>
    <w:rsid w:val="00AA262A"/>
    <w:rsid w:val="00AA4D29"/>
    <w:rsid w:val="00AA5EF7"/>
    <w:rsid w:val="00AA6DF7"/>
    <w:rsid w:val="00AB0E18"/>
    <w:rsid w:val="00AB454B"/>
    <w:rsid w:val="00AC1D52"/>
    <w:rsid w:val="00AC32D1"/>
    <w:rsid w:val="00AC439E"/>
    <w:rsid w:val="00AC6A7E"/>
    <w:rsid w:val="00AC7E0F"/>
    <w:rsid w:val="00AD0207"/>
    <w:rsid w:val="00AD1C04"/>
    <w:rsid w:val="00AD6324"/>
    <w:rsid w:val="00AE23CB"/>
    <w:rsid w:val="00AE3763"/>
    <w:rsid w:val="00AE5693"/>
    <w:rsid w:val="00AE673B"/>
    <w:rsid w:val="00AE6F14"/>
    <w:rsid w:val="00AE7688"/>
    <w:rsid w:val="00AF0704"/>
    <w:rsid w:val="00AF459C"/>
    <w:rsid w:val="00AF7F95"/>
    <w:rsid w:val="00AF7FD6"/>
    <w:rsid w:val="00B00747"/>
    <w:rsid w:val="00B02A93"/>
    <w:rsid w:val="00B0649B"/>
    <w:rsid w:val="00B20CC0"/>
    <w:rsid w:val="00B2386B"/>
    <w:rsid w:val="00B2695F"/>
    <w:rsid w:val="00B273A1"/>
    <w:rsid w:val="00B30C59"/>
    <w:rsid w:val="00B311CB"/>
    <w:rsid w:val="00B32103"/>
    <w:rsid w:val="00B33D7C"/>
    <w:rsid w:val="00B3698B"/>
    <w:rsid w:val="00B3703D"/>
    <w:rsid w:val="00B4006C"/>
    <w:rsid w:val="00B40C7F"/>
    <w:rsid w:val="00B45495"/>
    <w:rsid w:val="00B45BDE"/>
    <w:rsid w:val="00B55CE9"/>
    <w:rsid w:val="00B564BA"/>
    <w:rsid w:val="00B5721B"/>
    <w:rsid w:val="00B57427"/>
    <w:rsid w:val="00B57709"/>
    <w:rsid w:val="00B625F9"/>
    <w:rsid w:val="00B62EDB"/>
    <w:rsid w:val="00B65503"/>
    <w:rsid w:val="00B675BE"/>
    <w:rsid w:val="00B709F0"/>
    <w:rsid w:val="00B71209"/>
    <w:rsid w:val="00B72C95"/>
    <w:rsid w:val="00B73452"/>
    <w:rsid w:val="00B76FFF"/>
    <w:rsid w:val="00B7730A"/>
    <w:rsid w:val="00B773BA"/>
    <w:rsid w:val="00B77A60"/>
    <w:rsid w:val="00B80173"/>
    <w:rsid w:val="00B83962"/>
    <w:rsid w:val="00B84D7B"/>
    <w:rsid w:val="00B85B59"/>
    <w:rsid w:val="00B86396"/>
    <w:rsid w:val="00B868F4"/>
    <w:rsid w:val="00B87AF9"/>
    <w:rsid w:val="00B9122A"/>
    <w:rsid w:val="00B91D42"/>
    <w:rsid w:val="00B91E20"/>
    <w:rsid w:val="00B923D1"/>
    <w:rsid w:val="00B93E5C"/>
    <w:rsid w:val="00B95B6A"/>
    <w:rsid w:val="00BA0AD4"/>
    <w:rsid w:val="00BB22EC"/>
    <w:rsid w:val="00BB6C6A"/>
    <w:rsid w:val="00BC02F9"/>
    <w:rsid w:val="00BC63D7"/>
    <w:rsid w:val="00BC6B83"/>
    <w:rsid w:val="00BC720C"/>
    <w:rsid w:val="00BC72B5"/>
    <w:rsid w:val="00BD0253"/>
    <w:rsid w:val="00BD156B"/>
    <w:rsid w:val="00BD186E"/>
    <w:rsid w:val="00BD1C4F"/>
    <w:rsid w:val="00BD233E"/>
    <w:rsid w:val="00BD2680"/>
    <w:rsid w:val="00BD6DD7"/>
    <w:rsid w:val="00BD756B"/>
    <w:rsid w:val="00BE0D6A"/>
    <w:rsid w:val="00BE0D95"/>
    <w:rsid w:val="00BE16AD"/>
    <w:rsid w:val="00BE3C5B"/>
    <w:rsid w:val="00BE3D22"/>
    <w:rsid w:val="00BE4D2B"/>
    <w:rsid w:val="00BF3454"/>
    <w:rsid w:val="00BF3E2D"/>
    <w:rsid w:val="00BF7F98"/>
    <w:rsid w:val="00C00A15"/>
    <w:rsid w:val="00C00B5B"/>
    <w:rsid w:val="00C048FB"/>
    <w:rsid w:val="00C11660"/>
    <w:rsid w:val="00C13481"/>
    <w:rsid w:val="00C15405"/>
    <w:rsid w:val="00C15A53"/>
    <w:rsid w:val="00C2409E"/>
    <w:rsid w:val="00C31FBE"/>
    <w:rsid w:val="00C35895"/>
    <w:rsid w:val="00C35E19"/>
    <w:rsid w:val="00C36DD1"/>
    <w:rsid w:val="00C42323"/>
    <w:rsid w:val="00C457F5"/>
    <w:rsid w:val="00C54394"/>
    <w:rsid w:val="00C55657"/>
    <w:rsid w:val="00C572D5"/>
    <w:rsid w:val="00C57465"/>
    <w:rsid w:val="00C61ADF"/>
    <w:rsid w:val="00C61FCB"/>
    <w:rsid w:val="00C64649"/>
    <w:rsid w:val="00C731AE"/>
    <w:rsid w:val="00C74969"/>
    <w:rsid w:val="00C752F5"/>
    <w:rsid w:val="00C75306"/>
    <w:rsid w:val="00C75B1E"/>
    <w:rsid w:val="00C76E1A"/>
    <w:rsid w:val="00C8014B"/>
    <w:rsid w:val="00C80381"/>
    <w:rsid w:val="00C8271F"/>
    <w:rsid w:val="00C82EBF"/>
    <w:rsid w:val="00C85014"/>
    <w:rsid w:val="00C85A42"/>
    <w:rsid w:val="00C85FE6"/>
    <w:rsid w:val="00C87AF0"/>
    <w:rsid w:val="00C91832"/>
    <w:rsid w:val="00C91DDC"/>
    <w:rsid w:val="00C936F7"/>
    <w:rsid w:val="00C93BC0"/>
    <w:rsid w:val="00C95CC5"/>
    <w:rsid w:val="00C97284"/>
    <w:rsid w:val="00C976EA"/>
    <w:rsid w:val="00CA2971"/>
    <w:rsid w:val="00CA4569"/>
    <w:rsid w:val="00CA4F9E"/>
    <w:rsid w:val="00CC0CD5"/>
    <w:rsid w:val="00CC2B48"/>
    <w:rsid w:val="00CC3C0A"/>
    <w:rsid w:val="00CC4C28"/>
    <w:rsid w:val="00CD0F58"/>
    <w:rsid w:val="00CD2844"/>
    <w:rsid w:val="00CD58BE"/>
    <w:rsid w:val="00CE099E"/>
    <w:rsid w:val="00CE3597"/>
    <w:rsid w:val="00CE3DAB"/>
    <w:rsid w:val="00CE4BA5"/>
    <w:rsid w:val="00CE5D53"/>
    <w:rsid w:val="00CE6AE3"/>
    <w:rsid w:val="00CF0B1A"/>
    <w:rsid w:val="00CF27DD"/>
    <w:rsid w:val="00CF5ACE"/>
    <w:rsid w:val="00CF6AF5"/>
    <w:rsid w:val="00D00796"/>
    <w:rsid w:val="00D02BB8"/>
    <w:rsid w:val="00D05043"/>
    <w:rsid w:val="00D0733D"/>
    <w:rsid w:val="00D127EE"/>
    <w:rsid w:val="00D1683E"/>
    <w:rsid w:val="00D261A4"/>
    <w:rsid w:val="00D27A38"/>
    <w:rsid w:val="00D30B5A"/>
    <w:rsid w:val="00D311C9"/>
    <w:rsid w:val="00D354C2"/>
    <w:rsid w:val="00D3602A"/>
    <w:rsid w:val="00D36C9B"/>
    <w:rsid w:val="00D3720F"/>
    <w:rsid w:val="00D419A3"/>
    <w:rsid w:val="00D41B6F"/>
    <w:rsid w:val="00D42B0F"/>
    <w:rsid w:val="00D43260"/>
    <w:rsid w:val="00D44937"/>
    <w:rsid w:val="00D44E0F"/>
    <w:rsid w:val="00D52386"/>
    <w:rsid w:val="00D52D0D"/>
    <w:rsid w:val="00D53450"/>
    <w:rsid w:val="00D536E6"/>
    <w:rsid w:val="00D5407B"/>
    <w:rsid w:val="00D54E82"/>
    <w:rsid w:val="00D562BF"/>
    <w:rsid w:val="00D601AC"/>
    <w:rsid w:val="00D6187E"/>
    <w:rsid w:val="00D62993"/>
    <w:rsid w:val="00D64518"/>
    <w:rsid w:val="00D66B49"/>
    <w:rsid w:val="00D71519"/>
    <w:rsid w:val="00D71B63"/>
    <w:rsid w:val="00D73A39"/>
    <w:rsid w:val="00D76612"/>
    <w:rsid w:val="00D8111E"/>
    <w:rsid w:val="00D840B7"/>
    <w:rsid w:val="00D86259"/>
    <w:rsid w:val="00D8652D"/>
    <w:rsid w:val="00D93A60"/>
    <w:rsid w:val="00D96C9B"/>
    <w:rsid w:val="00D97E54"/>
    <w:rsid w:val="00DA0F59"/>
    <w:rsid w:val="00DA5AEC"/>
    <w:rsid w:val="00DA5CD9"/>
    <w:rsid w:val="00DA70C5"/>
    <w:rsid w:val="00DA79A0"/>
    <w:rsid w:val="00DB0790"/>
    <w:rsid w:val="00DB1293"/>
    <w:rsid w:val="00DB41A7"/>
    <w:rsid w:val="00DB53DD"/>
    <w:rsid w:val="00DB709D"/>
    <w:rsid w:val="00DC2D93"/>
    <w:rsid w:val="00DD12F6"/>
    <w:rsid w:val="00DD2C78"/>
    <w:rsid w:val="00DD3763"/>
    <w:rsid w:val="00DD3E9E"/>
    <w:rsid w:val="00DD4F5A"/>
    <w:rsid w:val="00DD52FF"/>
    <w:rsid w:val="00DD545E"/>
    <w:rsid w:val="00DE03F5"/>
    <w:rsid w:val="00DE370B"/>
    <w:rsid w:val="00DE4B27"/>
    <w:rsid w:val="00DE7F95"/>
    <w:rsid w:val="00DF03A1"/>
    <w:rsid w:val="00DF291C"/>
    <w:rsid w:val="00DF54B8"/>
    <w:rsid w:val="00E06C4C"/>
    <w:rsid w:val="00E10576"/>
    <w:rsid w:val="00E11D4E"/>
    <w:rsid w:val="00E14B6A"/>
    <w:rsid w:val="00E20B9E"/>
    <w:rsid w:val="00E21E39"/>
    <w:rsid w:val="00E22230"/>
    <w:rsid w:val="00E22968"/>
    <w:rsid w:val="00E27C97"/>
    <w:rsid w:val="00E312DA"/>
    <w:rsid w:val="00E31897"/>
    <w:rsid w:val="00E3339B"/>
    <w:rsid w:val="00E36B37"/>
    <w:rsid w:val="00E40CB5"/>
    <w:rsid w:val="00E42354"/>
    <w:rsid w:val="00E4329B"/>
    <w:rsid w:val="00E4652F"/>
    <w:rsid w:val="00E50C42"/>
    <w:rsid w:val="00E52495"/>
    <w:rsid w:val="00E549B1"/>
    <w:rsid w:val="00E554BA"/>
    <w:rsid w:val="00E571DB"/>
    <w:rsid w:val="00E57208"/>
    <w:rsid w:val="00E577AE"/>
    <w:rsid w:val="00E612F3"/>
    <w:rsid w:val="00E62893"/>
    <w:rsid w:val="00E63DEF"/>
    <w:rsid w:val="00E651F6"/>
    <w:rsid w:val="00E70FDC"/>
    <w:rsid w:val="00E73337"/>
    <w:rsid w:val="00E73F37"/>
    <w:rsid w:val="00E754B9"/>
    <w:rsid w:val="00E82844"/>
    <w:rsid w:val="00E84325"/>
    <w:rsid w:val="00E85BB6"/>
    <w:rsid w:val="00E85CFA"/>
    <w:rsid w:val="00E86630"/>
    <w:rsid w:val="00E91B0A"/>
    <w:rsid w:val="00E91C5F"/>
    <w:rsid w:val="00E91E34"/>
    <w:rsid w:val="00E92139"/>
    <w:rsid w:val="00E9389E"/>
    <w:rsid w:val="00E96300"/>
    <w:rsid w:val="00EB6A5F"/>
    <w:rsid w:val="00EC2190"/>
    <w:rsid w:val="00EC3DA9"/>
    <w:rsid w:val="00EC4A98"/>
    <w:rsid w:val="00EC6394"/>
    <w:rsid w:val="00ED18C0"/>
    <w:rsid w:val="00ED298E"/>
    <w:rsid w:val="00ED5B2E"/>
    <w:rsid w:val="00ED6BCF"/>
    <w:rsid w:val="00ED707E"/>
    <w:rsid w:val="00EE04BD"/>
    <w:rsid w:val="00EE4C7C"/>
    <w:rsid w:val="00EE55A6"/>
    <w:rsid w:val="00EE58FE"/>
    <w:rsid w:val="00EE6E9F"/>
    <w:rsid w:val="00EE736C"/>
    <w:rsid w:val="00EF0C96"/>
    <w:rsid w:val="00EF13B1"/>
    <w:rsid w:val="00EF1563"/>
    <w:rsid w:val="00EF5013"/>
    <w:rsid w:val="00EF5734"/>
    <w:rsid w:val="00EF6903"/>
    <w:rsid w:val="00EF6B17"/>
    <w:rsid w:val="00EF7C05"/>
    <w:rsid w:val="00F0032D"/>
    <w:rsid w:val="00F03414"/>
    <w:rsid w:val="00F034E1"/>
    <w:rsid w:val="00F043DD"/>
    <w:rsid w:val="00F0754B"/>
    <w:rsid w:val="00F11243"/>
    <w:rsid w:val="00F11675"/>
    <w:rsid w:val="00F11929"/>
    <w:rsid w:val="00F138BA"/>
    <w:rsid w:val="00F14671"/>
    <w:rsid w:val="00F1658C"/>
    <w:rsid w:val="00F16A3D"/>
    <w:rsid w:val="00F16DF1"/>
    <w:rsid w:val="00F218EB"/>
    <w:rsid w:val="00F23BF9"/>
    <w:rsid w:val="00F24E1A"/>
    <w:rsid w:val="00F266E4"/>
    <w:rsid w:val="00F27737"/>
    <w:rsid w:val="00F32B20"/>
    <w:rsid w:val="00F32ED2"/>
    <w:rsid w:val="00F3772D"/>
    <w:rsid w:val="00F42389"/>
    <w:rsid w:val="00F51F23"/>
    <w:rsid w:val="00F523EA"/>
    <w:rsid w:val="00F554DF"/>
    <w:rsid w:val="00F56CF7"/>
    <w:rsid w:val="00F57C05"/>
    <w:rsid w:val="00F60288"/>
    <w:rsid w:val="00F60AC8"/>
    <w:rsid w:val="00F61323"/>
    <w:rsid w:val="00F62A68"/>
    <w:rsid w:val="00F62AF6"/>
    <w:rsid w:val="00F62CBA"/>
    <w:rsid w:val="00F645D1"/>
    <w:rsid w:val="00F66B9A"/>
    <w:rsid w:val="00F6769E"/>
    <w:rsid w:val="00F71244"/>
    <w:rsid w:val="00F74D7E"/>
    <w:rsid w:val="00F7646F"/>
    <w:rsid w:val="00F7684D"/>
    <w:rsid w:val="00F76A6F"/>
    <w:rsid w:val="00F77378"/>
    <w:rsid w:val="00F774EE"/>
    <w:rsid w:val="00F77F50"/>
    <w:rsid w:val="00F81D38"/>
    <w:rsid w:val="00F830C9"/>
    <w:rsid w:val="00F84A85"/>
    <w:rsid w:val="00F85CAF"/>
    <w:rsid w:val="00F92078"/>
    <w:rsid w:val="00F93332"/>
    <w:rsid w:val="00F96303"/>
    <w:rsid w:val="00F96818"/>
    <w:rsid w:val="00FA1443"/>
    <w:rsid w:val="00FA4B90"/>
    <w:rsid w:val="00FA72DC"/>
    <w:rsid w:val="00FB1957"/>
    <w:rsid w:val="00FB269F"/>
    <w:rsid w:val="00FB2CC4"/>
    <w:rsid w:val="00FB3540"/>
    <w:rsid w:val="00FB5EE8"/>
    <w:rsid w:val="00FB5FD0"/>
    <w:rsid w:val="00FC1166"/>
    <w:rsid w:val="00FC11C8"/>
    <w:rsid w:val="00FC657C"/>
    <w:rsid w:val="00FD1A59"/>
    <w:rsid w:val="00FD1ACC"/>
    <w:rsid w:val="00FD3506"/>
    <w:rsid w:val="00FD54F2"/>
    <w:rsid w:val="00FE11C3"/>
    <w:rsid w:val="00FE7393"/>
    <w:rsid w:val="00FF0B2B"/>
    <w:rsid w:val="00FF135C"/>
    <w:rsid w:val="00FF5AB4"/>
    <w:rsid w:val="00FF635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0FB693A"/>
  <w15:docId w15:val="{19A22977-D8D4-4F56-BE44-468AE3FC6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474AA"/>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outlineLvl w:val="6"/>
    </w:pPr>
    <w:rPr>
      <w:b/>
    </w:rPr>
  </w:style>
  <w:style w:type="paragraph" w:styleId="Heading8">
    <w:name w:val="heading 8"/>
    <w:basedOn w:val="Normal"/>
    <w:next w:val="ParaNum"/>
    <w:qFormat/>
    <w:pPr>
      <w:numPr>
        <w:ilvl w:val="7"/>
        <w:numId w:val="3"/>
      </w:numPr>
      <w:tabs>
        <w:tab w:val="clear" w:pos="5400"/>
        <w:tab w:val="left" w:pos="5760"/>
      </w:tabs>
      <w:spacing w:after="120"/>
      <w:outlineLvl w:val="7"/>
    </w:pPr>
    <w:rPr>
      <w:b/>
    </w:rPr>
  </w:style>
  <w:style w:type="paragraph" w:styleId="Heading9">
    <w:name w:val="heading 9"/>
    <w:basedOn w:val="Normal"/>
    <w:next w:val="ParaNum"/>
    <w:qFormat/>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474AA"/>
  </w:style>
  <w:style w:type="paragraph" w:styleId="NoSpacing">
    <w:name w:val="No Spacing"/>
    <w:uiPriority w:val="1"/>
    <w:qFormat/>
    <w:rsid w:val="003474AA"/>
    <w:rPr>
      <w:sz w:val="22"/>
    </w:rPr>
  </w:style>
  <w:style w:type="character" w:styleId="CommentReference">
    <w:name w:val="annotation reference"/>
    <w:uiPriority w:val="99"/>
    <w:semiHidden/>
    <w:unhideWhenUsed/>
    <w:rsid w:val="00885A98"/>
    <w:rPr>
      <w:sz w:val="16"/>
      <w:szCs w:val="16"/>
    </w:rPr>
  </w:style>
  <w:style w:type="paragraph" w:styleId="CommentText">
    <w:name w:val="annotation text"/>
    <w:basedOn w:val="Normal"/>
    <w:link w:val="CommentTextChar"/>
    <w:uiPriority w:val="99"/>
    <w:unhideWhenUsed/>
    <w:rsid w:val="00885A98"/>
    <w:rPr>
      <w:sz w:val="20"/>
    </w:rPr>
  </w:style>
  <w:style w:type="character" w:customStyle="1" w:styleId="CommentTextChar">
    <w:name w:val="Comment Text Char"/>
    <w:link w:val="CommentText"/>
    <w:uiPriority w:val="99"/>
    <w:rsid w:val="00885A98"/>
    <w:rPr>
      <w:snapToGrid w:val="0"/>
      <w:kern w:val="28"/>
    </w:rPr>
  </w:style>
  <w:style w:type="paragraph" w:styleId="CommentSubject">
    <w:name w:val="annotation subject"/>
    <w:basedOn w:val="CommentText"/>
    <w:next w:val="CommentText"/>
    <w:link w:val="CommentSubjectChar"/>
    <w:uiPriority w:val="99"/>
    <w:semiHidden/>
    <w:unhideWhenUsed/>
    <w:rsid w:val="00885A98"/>
    <w:rPr>
      <w:b/>
      <w:bCs/>
    </w:rPr>
  </w:style>
  <w:style w:type="character" w:customStyle="1" w:styleId="CommentSubjectChar">
    <w:name w:val="Comment Subject Char"/>
    <w:link w:val="CommentSubject"/>
    <w:uiPriority w:val="99"/>
    <w:semiHidden/>
    <w:rsid w:val="00885A98"/>
    <w:rPr>
      <w:b/>
      <w:bCs/>
      <w:snapToGrid w:val="0"/>
      <w:kern w:val="28"/>
    </w:rPr>
  </w:style>
  <w:style w:type="character" w:customStyle="1" w:styleId="UnresolvedMention2">
    <w:name w:val="Unresolved Mention2"/>
    <w:uiPriority w:val="99"/>
    <w:rsid w:val="00C457F5"/>
    <w:rPr>
      <w:color w:val="605E5C"/>
      <w:shd w:val="clear" w:color="auto" w:fill="E1DFDD"/>
    </w:rPr>
  </w:style>
  <w:style w:type="character" w:customStyle="1" w:styleId="markedcontent">
    <w:name w:val="markedcontent"/>
    <w:basedOn w:val="DefaultParagraphFont"/>
    <w:rsid w:val="002A0A73"/>
  </w:style>
  <w:style w:type="character" w:customStyle="1" w:styleId="UnresolvedMention3">
    <w:name w:val="Unresolved Mention3"/>
    <w:uiPriority w:val="99"/>
    <w:rsid w:val="000B6959"/>
    <w:rPr>
      <w:color w:val="605E5C"/>
      <w:shd w:val="clear" w:color="auto" w:fill="E1DFDD"/>
    </w:rPr>
  </w:style>
  <w:style w:type="character" w:customStyle="1" w:styleId="UnresolvedMention4">
    <w:name w:val="Unresolved Mention4"/>
    <w:uiPriority w:val="99"/>
    <w:rsid w:val="00816A4E"/>
    <w:rPr>
      <w:color w:val="605E5C"/>
      <w:shd w:val="clear" w:color="auto" w:fill="E1DFDD"/>
    </w:rPr>
  </w:style>
  <w:style w:type="paragraph" w:styleId="Revision">
    <w:name w:val="Revision"/>
    <w:hidden/>
    <w:uiPriority w:val="99"/>
    <w:semiHidden/>
    <w:rsid w:val="005A0866"/>
    <w:rPr>
      <w:snapToGrid w:val="0"/>
      <w:kern w:val="28"/>
      <w:sz w:val="22"/>
    </w:rPr>
  </w:style>
  <w:style w:type="character" w:styleId="UnresolvedMention">
    <w:name w:val="Unresolved Mention"/>
    <w:uiPriority w:val="99"/>
    <w:rsid w:val="00B84D7B"/>
    <w:rPr>
      <w:color w:val="605E5C"/>
      <w:shd w:val="clear" w:color="auto" w:fill="E1DFDD"/>
    </w:rPr>
  </w:style>
  <w:style w:type="character" w:customStyle="1" w:styleId="normaltextrun">
    <w:name w:val="normaltextrun"/>
    <w:basedOn w:val="DefaultParagraphFont"/>
    <w:rsid w:val="00AA6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gregory.kwan@fcc.gov" TargetMode="External" /><Relationship Id="rId8" Type="http://schemas.openxmlformats.org/officeDocument/2006/relationships/hyperlink" Target="mailto:" TargetMode="External" /><Relationship Id="rId9" Type="http://schemas.openxmlformats.org/officeDocument/2006/relationships/hyperlink" Target="mailto:Fara.Mohsenikolour@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