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0A7A2B" w:rsidP="006D7F60" w14:paraId="50EA6057" w14:textId="77777777">
      <w:pPr>
        <w:widowControl w:val="0"/>
        <w:spacing w:after="0"/>
        <w:jc w:val="center"/>
        <w:rPr>
          <w:rFonts w:ascii="Times New Roman" w:eastAsia="Times New Roman" w:hAnsi="Times New Roman" w:cs="Times New Roman"/>
          <w:b/>
          <w:snapToGrid w:val="0"/>
          <w:color w:val="000000" w:themeColor="text1"/>
          <w:kern w:val="28"/>
          <w:szCs w:val="20"/>
        </w:rPr>
      </w:pPr>
    </w:p>
    <w:p w:rsidR="00665D7F" w:rsidRPr="00665D7F" w:rsidP="006D7F60" w14:paraId="077B29B1" w14:textId="2255CEC7">
      <w:pPr>
        <w:widowControl w:val="0"/>
        <w:spacing w:after="0"/>
        <w:jc w:val="center"/>
        <w:rPr>
          <w:rFonts w:ascii="Times New Roman" w:eastAsia="Times New Roman" w:hAnsi="Times New Roman" w:cs="Times New Roman"/>
          <w:b/>
          <w:snapToGrid w:val="0"/>
          <w:color w:val="000000"/>
          <w:kern w:val="28"/>
          <w:szCs w:val="20"/>
        </w:rPr>
      </w:pPr>
      <w:r w:rsidRPr="00665D7F">
        <w:rPr>
          <w:rFonts w:ascii="Times New Roman" w:eastAsia="Times New Roman" w:hAnsi="Times New Roman" w:cs="Times New Roman"/>
          <w:b/>
          <w:snapToGrid w:val="0"/>
          <w:color w:val="000000" w:themeColor="text1"/>
          <w:kern w:val="28"/>
          <w:szCs w:val="20"/>
        </w:rPr>
        <w:t>Before the</w:t>
      </w:r>
    </w:p>
    <w:p w:rsidR="00665D7F" w:rsidRPr="00665D7F" w:rsidP="006D7F60" w14:paraId="1AFB3256" w14:textId="77777777">
      <w:pPr>
        <w:widowControl w:val="0"/>
        <w:spacing w:after="0"/>
        <w:jc w:val="center"/>
        <w:rPr>
          <w:rFonts w:ascii="Times New Roman" w:eastAsia="Times New Roman" w:hAnsi="Times New Roman" w:cs="Times New Roman"/>
          <w:b/>
          <w:bCs/>
          <w:caps/>
          <w:snapToGrid w:val="0"/>
          <w:color w:val="000000"/>
          <w:kern w:val="28"/>
          <w:szCs w:val="20"/>
        </w:rPr>
      </w:pPr>
      <w:r w:rsidRPr="00665D7F">
        <w:rPr>
          <w:rFonts w:ascii="Times New Roman" w:eastAsia="Times New Roman" w:hAnsi="Times New Roman" w:cs="Times New Roman"/>
          <w:b/>
          <w:bCs/>
          <w:caps/>
          <w:snapToGrid w:val="0"/>
          <w:color w:val="000000" w:themeColor="text1"/>
          <w:kern w:val="28"/>
          <w:szCs w:val="20"/>
        </w:rPr>
        <w:t>F</w:t>
      </w:r>
      <w:r w:rsidRPr="00665D7F">
        <w:rPr>
          <w:rFonts w:ascii="Times New Roman" w:eastAsia="Times New Roman" w:hAnsi="Times New Roman" w:cs="Times New Roman"/>
          <w:b/>
          <w:bCs/>
          <w:snapToGrid w:val="0"/>
          <w:color w:val="000000" w:themeColor="text1"/>
          <w:kern w:val="28"/>
          <w:szCs w:val="20"/>
        </w:rPr>
        <w:t>ederal Communications Commission</w:t>
      </w:r>
    </w:p>
    <w:p w:rsidR="00665D7F" w:rsidP="006D7F60" w14:paraId="31C6C836" w14:textId="0A5B7533">
      <w:pPr>
        <w:widowControl w:val="0"/>
        <w:spacing w:after="0"/>
        <w:jc w:val="center"/>
        <w:rPr>
          <w:rFonts w:ascii="Times New Roman" w:eastAsia="Times New Roman" w:hAnsi="Times New Roman" w:cs="Times New Roman"/>
          <w:b/>
          <w:snapToGrid w:val="0"/>
          <w:color w:val="000000" w:themeColor="text1"/>
          <w:kern w:val="28"/>
          <w:szCs w:val="20"/>
        </w:rPr>
      </w:pPr>
      <w:r w:rsidRPr="00665D7F">
        <w:rPr>
          <w:rFonts w:ascii="Times New Roman" w:eastAsia="Times New Roman" w:hAnsi="Times New Roman" w:cs="Times New Roman"/>
          <w:b/>
          <w:snapToGrid w:val="0"/>
          <w:color w:val="000000" w:themeColor="text1"/>
          <w:kern w:val="28"/>
          <w:szCs w:val="20"/>
        </w:rPr>
        <w:t>Washington, D</w:t>
      </w:r>
      <w:r w:rsidR="000A30EB">
        <w:rPr>
          <w:rFonts w:ascii="Times New Roman" w:eastAsia="Times New Roman" w:hAnsi="Times New Roman" w:cs="Times New Roman"/>
          <w:b/>
          <w:snapToGrid w:val="0"/>
          <w:color w:val="000000" w:themeColor="text1"/>
          <w:kern w:val="28"/>
          <w:szCs w:val="20"/>
        </w:rPr>
        <w:t>.</w:t>
      </w:r>
      <w:r w:rsidRPr="00665D7F">
        <w:rPr>
          <w:rFonts w:ascii="Times New Roman" w:eastAsia="Times New Roman" w:hAnsi="Times New Roman" w:cs="Times New Roman"/>
          <w:b/>
          <w:snapToGrid w:val="0"/>
          <w:color w:val="000000" w:themeColor="text1"/>
          <w:kern w:val="28"/>
          <w:szCs w:val="20"/>
        </w:rPr>
        <w:t>C</w:t>
      </w:r>
      <w:r w:rsidR="000A30EB">
        <w:rPr>
          <w:rFonts w:ascii="Times New Roman" w:eastAsia="Times New Roman" w:hAnsi="Times New Roman" w:cs="Times New Roman"/>
          <w:b/>
          <w:snapToGrid w:val="0"/>
          <w:color w:val="000000" w:themeColor="text1"/>
          <w:kern w:val="28"/>
          <w:szCs w:val="20"/>
        </w:rPr>
        <w:t>.</w:t>
      </w:r>
      <w:r w:rsidRPr="00665D7F">
        <w:rPr>
          <w:rFonts w:ascii="Times New Roman" w:eastAsia="Times New Roman" w:hAnsi="Times New Roman" w:cs="Times New Roman"/>
          <w:b/>
          <w:snapToGrid w:val="0"/>
          <w:color w:val="000000" w:themeColor="text1"/>
          <w:kern w:val="28"/>
          <w:szCs w:val="20"/>
        </w:rPr>
        <w:t xml:space="preserve"> 20554</w:t>
      </w:r>
      <w:r w:rsidR="003B605D">
        <w:rPr>
          <w:rFonts w:ascii="Times New Roman" w:eastAsia="Times New Roman" w:hAnsi="Times New Roman" w:cs="Times New Roman"/>
          <w:b/>
          <w:snapToGrid w:val="0"/>
          <w:color w:val="000000" w:themeColor="text1"/>
          <w:kern w:val="28"/>
          <w:szCs w:val="20"/>
        </w:rPr>
        <w:t xml:space="preserve"> </w:t>
      </w:r>
    </w:p>
    <w:p w:rsidR="00F43CCB" w:rsidP="006D7F60" w14:paraId="30748ACF" w14:textId="77777777">
      <w:pPr>
        <w:widowControl w:val="0"/>
        <w:spacing w:after="0"/>
        <w:ind w:firstLine="0"/>
        <w:rPr>
          <w:rFonts w:ascii="Times New Roman" w:eastAsia="Times New Roman" w:hAnsi="Times New Roman" w:cs="Times New Roman"/>
          <w:b/>
          <w:bCs/>
          <w:caps/>
          <w:snapToGrid w:val="0"/>
          <w:color w:val="000000" w:themeColor="text1"/>
          <w:kern w:val="28"/>
          <w:szCs w:val="20"/>
        </w:rPr>
      </w:pPr>
    </w:p>
    <w:tbl>
      <w:tblPr>
        <w:tblW w:w="10477" w:type="dxa"/>
        <w:tblLayout w:type="fixed"/>
        <w:tblLook w:val="0000"/>
      </w:tblPr>
      <w:tblGrid>
        <w:gridCol w:w="5038"/>
        <w:gridCol w:w="702"/>
        <w:gridCol w:w="4737"/>
      </w:tblGrid>
      <w:tr w14:paraId="68BEEC35" w14:textId="77777777" w:rsidTr="006D7F60">
        <w:tblPrEx>
          <w:tblW w:w="10477" w:type="dxa"/>
          <w:tblLayout w:type="fixed"/>
          <w:tblLook w:val="0000"/>
        </w:tblPrEx>
        <w:trPr>
          <w:trHeight w:val="2070"/>
        </w:trPr>
        <w:tc>
          <w:tcPr>
            <w:tcW w:w="5038" w:type="dxa"/>
          </w:tcPr>
          <w:p w:rsidR="00F43CCB" w:rsidRPr="00F43CCB" w:rsidP="00F43CCB" w14:paraId="0D1C0B66" w14:textId="77777777">
            <w:pPr>
              <w:widowControl w:val="0"/>
              <w:tabs>
                <w:tab w:val="center" w:pos="4680"/>
              </w:tabs>
              <w:suppressAutoHyphens/>
              <w:spacing w:after="0"/>
              <w:ind w:firstLine="0"/>
              <w:rPr>
                <w:rFonts w:ascii="Times New Roman" w:eastAsia="Times New Roman" w:hAnsi="Times New Roman" w:cs="Times New Roman"/>
                <w:snapToGrid w:val="0"/>
                <w:color w:val="000000"/>
                <w:spacing w:val="-2"/>
                <w:kern w:val="28"/>
                <w:szCs w:val="20"/>
              </w:rPr>
            </w:pPr>
          </w:p>
          <w:p w:rsidR="00F43CCB" w:rsidRPr="00F43CCB" w:rsidP="00F43CCB" w14:paraId="07EDFE72" w14:textId="77777777">
            <w:pPr>
              <w:widowControl w:val="0"/>
              <w:tabs>
                <w:tab w:val="center" w:pos="4680"/>
              </w:tabs>
              <w:suppressAutoHyphens/>
              <w:spacing w:after="0"/>
              <w:ind w:firstLine="0"/>
              <w:rPr>
                <w:rFonts w:ascii="Times New Roman" w:eastAsia="Times New Roman" w:hAnsi="Times New Roman" w:cs="Times New Roman"/>
                <w:snapToGrid w:val="0"/>
                <w:color w:val="000000"/>
                <w:spacing w:val="-2"/>
                <w:kern w:val="28"/>
                <w:szCs w:val="20"/>
              </w:rPr>
            </w:pPr>
            <w:r w:rsidRPr="00F43CCB">
              <w:rPr>
                <w:rFonts w:ascii="Times New Roman" w:eastAsia="Times New Roman" w:hAnsi="Times New Roman" w:cs="Times New Roman"/>
                <w:snapToGrid w:val="0"/>
                <w:color w:val="000000"/>
                <w:spacing w:val="-2"/>
                <w:kern w:val="28"/>
                <w:szCs w:val="20"/>
              </w:rPr>
              <w:t>In the Matter of</w:t>
            </w:r>
          </w:p>
          <w:p w:rsidR="00F43CCB" w:rsidRPr="00F43CCB" w:rsidP="00F43CCB" w14:paraId="5047210D" w14:textId="77777777">
            <w:pPr>
              <w:widowControl w:val="0"/>
              <w:tabs>
                <w:tab w:val="center" w:pos="4680"/>
              </w:tabs>
              <w:suppressAutoHyphens/>
              <w:spacing w:after="0"/>
              <w:ind w:firstLine="0"/>
              <w:rPr>
                <w:rFonts w:ascii="Times New Roman" w:eastAsia="Times New Roman" w:hAnsi="Times New Roman" w:cs="Times New Roman"/>
                <w:snapToGrid w:val="0"/>
                <w:color w:val="000000"/>
                <w:spacing w:val="-2"/>
                <w:kern w:val="28"/>
                <w:szCs w:val="20"/>
              </w:rPr>
            </w:pPr>
          </w:p>
          <w:p w:rsidR="00F43CCB" w:rsidRPr="00F43CCB" w:rsidP="00F43CCB" w14:paraId="53CBC727" w14:textId="2848FDA0">
            <w:pPr>
              <w:widowControl w:val="0"/>
              <w:tabs>
                <w:tab w:val="center" w:pos="4680"/>
              </w:tabs>
              <w:suppressAutoHyphens/>
              <w:spacing w:after="0"/>
              <w:ind w:firstLine="0"/>
              <w:rPr>
                <w:rFonts w:ascii="Times New Roman" w:eastAsia="Times New Roman" w:hAnsi="Times New Roman" w:cs="Times New Roman"/>
                <w:snapToGrid w:val="0"/>
                <w:color w:val="000000" w:themeColor="text1"/>
                <w:kern w:val="28"/>
                <w:szCs w:val="20"/>
              </w:rPr>
            </w:pPr>
            <w:r>
              <w:rPr>
                <w:rFonts w:ascii="Times New Roman" w:eastAsia="Times New Roman" w:hAnsi="Times New Roman" w:cs="Times New Roman"/>
                <w:snapToGrid w:val="0"/>
                <w:color w:val="000000"/>
                <w:spacing w:val="-2"/>
                <w:kern w:val="28"/>
                <w:szCs w:val="20"/>
              </w:rPr>
              <w:t>VoxNet</w:t>
            </w:r>
            <w:r w:rsidR="0063027D">
              <w:rPr>
                <w:rFonts w:ascii="Times New Roman" w:eastAsia="Times New Roman" w:hAnsi="Times New Roman" w:cs="Times New Roman"/>
                <w:snapToGrid w:val="0"/>
                <w:color w:val="000000"/>
                <w:spacing w:val="-2"/>
                <w:kern w:val="28"/>
                <w:szCs w:val="20"/>
              </w:rPr>
              <w:t>, LLC</w:t>
            </w:r>
          </w:p>
          <w:p w:rsidR="00F43CCB" w:rsidRPr="00F43CCB" w:rsidP="00F43CCB" w14:paraId="4BA4131C" w14:textId="77777777">
            <w:pPr>
              <w:widowControl w:val="0"/>
              <w:tabs>
                <w:tab w:val="center" w:pos="4680"/>
              </w:tabs>
              <w:suppressAutoHyphens/>
              <w:spacing w:after="0"/>
              <w:ind w:firstLine="0"/>
              <w:rPr>
                <w:rFonts w:ascii="Times New Roman" w:eastAsia="Times New Roman" w:hAnsi="Times New Roman" w:cs="Times New Roman"/>
                <w:snapToGrid w:val="0"/>
                <w:color w:val="000000" w:themeColor="text1"/>
                <w:kern w:val="28"/>
                <w:szCs w:val="20"/>
              </w:rPr>
            </w:pPr>
          </w:p>
          <w:p w:rsidR="00F43CCB" w:rsidRPr="00F43CCB" w:rsidP="00F43CCB" w14:paraId="2D02B331" w14:textId="77777777">
            <w:pPr>
              <w:widowControl w:val="0"/>
              <w:tabs>
                <w:tab w:val="center" w:pos="4680"/>
              </w:tabs>
              <w:suppressAutoHyphens/>
              <w:spacing w:after="0"/>
              <w:ind w:firstLine="0"/>
              <w:rPr>
                <w:rFonts w:ascii="Times New Roman" w:eastAsia="Times New Roman" w:hAnsi="Times New Roman" w:cs="Times New Roman"/>
                <w:snapToGrid w:val="0"/>
                <w:color w:val="000000"/>
                <w:spacing w:val="-2"/>
                <w:kern w:val="28"/>
                <w:szCs w:val="20"/>
              </w:rPr>
            </w:pPr>
          </w:p>
          <w:p w:rsidR="00F43CCB" w:rsidRPr="00F43CCB" w:rsidP="00F43CCB" w14:paraId="5BA12874" w14:textId="77777777">
            <w:pPr>
              <w:widowControl w:val="0"/>
              <w:tabs>
                <w:tab w:val="center" w:pos="4680"/>
              </w:tabs>
              <w:suppressAutoHyphens/>
              <w:spacing w:after="0"/>
              <w:ind w:firstLine="0"/>
              <w:rPr>
                <w:rFonts w:ascii="Times New Roman" w:eastAsia="Times New Roman" w:hAnsi="Times New Roman" w:cs="Times New Roman"/>
                <w:snapToGrid w:val="0"/>
                <w:color w:val="000000"/>
                <w:spacing w:val="-2"/>
                <w:kern w:val="28"/>
                <w:szCs w:val="20"/>
              </w:rPr>
            </w:pPr>
          </w:p>
        </w:tc>
        <w:tc>
          <w:tcPr>
            <w:tcW w:w="702" w:type="dxa"/>
          </w:tcPr>
          <w:p w:rsidR="00F43CCB" w:rsidRPr="00F43CCB" w:rsidP="00F43CCB" w14:paraId="5099D92F" w14:textId="77777777">
            <w:pPr>
              <w:widowControl w:val="0"/>
              <w:tabs>
                <w:tab w:val="center" w:pos="4680"/>
              </w:tabs>
              <w:suppressAutoHyphens/>
              <w:spacing w:after="0"/>
              <w:ind w:firstLine="0"/>
              <w:rPr>
                <w:rFonts w:ascii="Times New Roman" w:eastAsia="Times New Roman" w:hAnsi="Times New Roman" w:cs="Times New Roman"/>
                <w:b/>
                <w:snapToGrid w:val="0"/>
                <w:color w:val="000000"/>
                <w:spacing w:val="-2"/>
                <w:kern w:val="28"/>
                <w:szCs w:val="20"/>
              </w:rPr>
            </w:pPr>
          </w:p>
          <w:p w:rsidR="00F43CCB" w:rsidRPr="00795D5E" w:rsidP="00F43CCB" w14:paraId="392DC142" w14:textId="77777777">
            <w:pPr>
              <w:widowControl w:val="0"/>
              <w:tabs>
                <w:tab w:val="center" w:pos="4680"/>
              </w:tabs>
              <w:suppressAutoHyphens/>
              <w:spacing w:after="0"/>
              <w:ind w:firstLine="0"/>
              <w:rPr>
                <w:rFonts w:ascii="Times New Roman" w:eastAsia="Times New Roman" w:hAnsi="Times New Roman" w:cs="Times New Roman"/>
                <w:b/>
                <w:bCs/>
                <w:snapToGrid w:val="0"/>
                <w:color w:val="000000"/>
                <w:spacing w:val="-2"/>
                <w:kern w:val="28"/>
                <w:szCs w:val="20"/>
              </w:rPr>
            </w:pPr>
            <w:r w:rsidRPr="00795D5E">
              <w:rPr>
                <w:rFonts w:ascii="Times New Roman" w:eastAsia="Times New Roman" w:hAnsi="Times New Roman" w:cs="Times New Roman"/>
                <w:b/>
                <w:bCs/>
                <w:snapToGrid w:val="0"/>
                <w:color w:val="000000"/>
                <w:spacing w:val="-2"/>
                <w:kern w:val="28"/>
                <w:szCs w:val="20"/>
              </w:rPr>
              <w:t>)</w:t>
            </w:r>
          </w:p>
          <w:p w:rsidR="00F43CCB" w:rsidRPr="00795D5E" w:rsidP="00F43CCB" w14:paraId="2B5BCB02" w14:textId="77777777">
            <w:pPr>
              <w:widowControl w:val="0"/>
              <w:tabs>
                <w:tab w:val="center" w:pos="4680"/>
              </w:tabs>
              <w:suppressAutoHyphens/>
              <w:spacing w:after="0"/>
              <w:ind w:firstLine="0"/>
              <w:rPr>
                <w:rFonts w:ascii="Times New Roman" w:eastAsia="Times New Roman" w:hAnsi="Times New Roman" w:cs="Times New Roman"/>
                <w:b/>
                <w:bCs/>
                <w:snapToGrid w:val="0"/>
                <w:color w:val="000000"/>
                <w:spacing w:val="-2"/>
                <w:kern w:val="28"/>
                <w:szCs w:val="20"/>
              </w:rPr>
            </w:pPr>
            <w:r w:rsidRPr="00795D5E">
              <w:rPr>
                <w:rFonts w:ascii="Times New Roman" w:eastAsia="Times New Roman" w:hAnsi="Times New Roman" w:cs="Times New Roman"/>
                <w:b/>
                <w:bCs/>
                <w:snapToGrid w:val="0"/>
                <w:color w:val="000000"/>
                <w:spacing w:val="-2"/>
                <w:kern w:val="28"/>
                <w:szCs w:val="20"/>
              </w:rPr>
              <w:t>)</w:t>
            </w:r>
          </w:p>
          <w:p w:rsidR="00F43CCB" w:rsidRPr="00795D5E" w:rsidP="00F43CCB" w14:paraId="7B87D0E2" w14:textId="77777777">
            <w:pPr>
              <w:widowControl w:val="0"/>
              <w:tabs>
                <w:tab w:val="center" w:pos="4680"/>
              </w:tabs>
              <w:suppressAutoHyphens/>
              <w:spacing w:after="0"/>
              <w:ind w:firstLine="0"/>
              <w:rPr>
                <w:rFonts w:ascii="Times New Roman" w:eastAsia="Times New Roman" w:hAnsi="Times New Roman" w:cs="Times New Roman"/>
                <w:b/>
                <w:bCs/>
                <w:snapToGrid w:val="0"/>
                <w:color w:val="000000"/>
                <w:spacing w:val="-2"/>
                <w:kern w:val="28"/>
                <w:szCs w:val="20"/>
              </w:rPr>
            </w:pPr>
            <w:r w:rsidRPr="00795D5E">
              <w:rPr>
                <w:rFonts w:ascii="Times New Roman" w:eastAsia="Times New Roman" w:hAnsi="Times New Roman" w:cs="Times New Roman"/>
                <w:b/>
                <w:bCs/>
                <w:snapToGrid w:val="0"/>
                <w:color w:val="000000"/>
                <w:spacing w:val="-2"/>
                <w:kern w:val="28"/>
                <w:szCs w:val="20"/>
              </w:rPr>
              <w:t>)</w:t>
            </w:r>
          </w:p>
          <w:p w:rsidR="00F43CCB" w:rsidRPr="00795D5E" w:rsidP="00F43CCB" w14:paraId="2465610B" w14:textId="77777777">
            <w:pPr>
              <w:widowControl w:val="0"/>
              <w:tabs>
                <w:tab w:val="center" w:pos="4680"/>
              </w:tabs>
              <w:suppressAutoHyphens/>
              <w:spacing w:after="0"/>
              <w:ind w:firstLine="0"/>
              <w:rPr>
                <w:rFonts w:ascii="Times New Roman" w:eastAsia="Times New Roman" w:hAnsi="Times New Roman" w:cs="Times New Roman"/>
                <w:b/>
                <w:bCs/>
                <w:snapToGrid w:val="0"/>
                <w:color w:val="000000"/>
                <w:spacing w:val="-2"/>
                <w:kern w:val="28"/>
                <w:szCs w:val="20"/>
              </w:rPr>
            </w:pPr>
            <w:r w:rsidRPr="00795D5E">
              <w:rPr>
                <w:rFonts w:ascii="Times New Roman" w:eastAsia="Times New Roman" w:hAnsi="Times New Roman" w:cs="Times New Roman"/>
                <w:b/>
                <w:bCs/>
                <w:snapToGrid w:val="0"/>
                <w:color w:val="000000"/>
                <w:spacing w:val="-2"/>
                <w:kern w:val="28"/>
                <w:szCs w:val="20"/>
              </w:rPr>
              <w:t>)</w:t>
            </w:r>
          </w:p>
          <w:p w:rsidR="00F43CCB" w:rsidRPr="00795D5E" w:rsidP="00F43CCB" w14:paraId="6048AF0C" w14:textId="77777777">
            <w:pPr>
              <w:widowControl w:val="0"/>
              <w:tabs>
                <w:tab w:val="center" w:pos="4680"/>
              </w:tabs>
              <w:suppressAutoHyphens/>
              <w:spacing w:after="0"/>
              <w:ind w:firstLine="0"/>
              <w:rPr>
                <w:rFonts w:ascii="Times New Roman" w:eastAsia="Times New Roman" w:hAnsi="Times New Roman" w:cs="Times New Roman"/>
                <w:b/>
                <w:bCs/>
                <w:snapToGrid w:val="0"/>
                <w:color w:val="000000"/>
                <w:spacing w:val="-2"/>
                <w:kern w:val="28"/>
                <w:szCs w:val="20"/>
              </w:rPr>
            </w:pPr>
            <w:r w:rsidRPr="00795D5E">
              <w:rPr>
                <w:rFonts w:ascii="Times New Roman" w:eastAsia="Times New Roman" w:hAnsi="Times New Roman" w:cs="Times New Roman"/>
                <w:b/>
                <w:bCs/>
                <w:snapToGrid w:val="0"/>
                <w:color w:val="000000"/>
                <w:spacing w:val="-2"/>
                <w:kern w:val="28"/>
                <w:szCs w:val="20"/>
              </w:rPr>
              <w:t>)</w:t>
            </w:r>
          </w:p>
          <w:p w:rsidR="00F43CCB" w:rsidP="00F43CCB" w14:paraId="5F704735" w14:textId="15C1DDEF">
            <w:pPr>
              <w:widowControl w:val="0"/>
              <w:tabs>
                <w:tab w:val="center" w:pos="4680"/>
              </w:tabs>
              <w:suppressAutoHyphens/>
              <w:spacing w:after="0"/>
              <w:ind w:firstLine="0"/>
              <w:rPr>
                <w:rFonts w:ascii="Times New Roman" w:eastAsia="Times New Roman" w:hAnsi="Times New Roman" w:cs="Times New Roman"/>
                <w:b/>
                <w:snapToGrid w:val="0"/>
                <w:color w:val="000000"/>
                <w:spacing w:val="-2"/>
                <w:kern w:val="28"/>
                <w:szCs w:val="20"/>
              </w:rPr>
            </w:pPr>
            <w:r>
              <w:rPr>
                <w:rFonts w:ascii="Times New Roman" w:eastAsia="Times New Roman" w:hAnsi="Times New Roman" w:cs="Times New Roman"/>
                <w:b/>
                <w:snapToGrid w:val="0"/>
                <w:color w:val="000000"/>
                <w:spacing w:val="-2"/>
                <w:kern w:val="28"/>
                <w:szCs w:val="20"/>
              </w:rPr>
              <w:t>)</w:t>
            </w:r>
          </w:p>
          <w:p w:rsidR="00731A6E" w:rsidP="00F43CCB" w14:paraId="496BC92E" w14:textId="0E5CD759">
            <w:pPr>
              <w:widowControl w:val="0"/>
              <w:tabs>
                <w:tab w:val="center" w:pos="4680"/>
              </w:tabs>
              <w:suppressAutoHyphens/>
              <w:spacing w:after="0"/>
              <w:ind w:firstLine="0"/>
              <w:rPr>
                <w:rFonts w:ascii="Times New Roman" w:eastAsia="Times New Roman" w:hAnsi="Times New Roman" w:cs="Times New Roman"/>
                <w:b/>
                <w:snapToGrid w:val="0"/>
                <w:color w:val="000000"/>
                <w:spacing w:val="-2"/>
                <w:kern w:val="28"/>
                <w:szCs w:val="20"/>
              </w:rPr>
            </w:pPr>
            <w:r>
              <w:rPr>
                <w:rFonts w:ascii="Times New Roman" w:eastAsia="Times New Roman" w:hAnsi="Times New Roman" w:cs="Times New Roman"/>
                <w:b/>
                <w:snapToGrid w:val="0"/>
                <w:color w:val="000000"/>
                <w:spacing w:val="-2"/>
                <w:kern w:val="28"/>
                <w:szCs w:val="20"/>
              </w:rPr>
              <w:t>)</w:t>
            </w:r>
          </w:p>
          <w:p w:rsidR="00731A6E" w:rsidP="00F43CCB" w14:paraId="1ABE2AF4" w14:textId="0A4B3170">
            <w:pPr>
              <w:widowControl w:val="0"/>
              <w:tabs>
                <w:tab w:val="center" w:pos="4680"/>
              </w:tabs>
              <w:suppressAutoHyphens/>
              <w:spacing w:after="0"/>
              <w:ind w:firstLine="0"/>
              <w:rPr>
                <w:rFonts w:ascii="Times New Roman" w:eastAsia="Times New Roman" w:hAnsi="Times New Roman" w:cs="Times New Roman"/>
                <w:b/>
                <w:snapToGrid w:val="0"/>
                <w:color w:val="000000"/>
                <w:spacing w:val="-2"/>
                <w:kern w:val="28"/>
                <w:szCs w:val="20"/>
              </w:rPr>
            </w:pPr>
            <w:r>
              <w:rPr>
                <w:rFonts w:ascii="Times New Roman" w:eastAsia="Times New Roman" w:hAnsi="Times New Roman" w:cs="Times New Roman"/>
                <w:b/>
                <w:snapToGrid w:val="0"/>
                <w:color w:val="000000"/>
                <w:spacing w:val="-2"/>
                <w:kern w:val="28"/>
                <w:szCs w:val="20"/>
              </w:rPr>
              <w:t>)</w:t>
            </w:r>
          </w:p>
          <w:p w:rsidR="00731A6E" w:rsidRPr="00F43CCB" w:rsidP="00F43CCB" w14:paraId="01B45C46" w14:textId="7F44A0F3">
            <w:pPr>
              <w:widowControl w:val="0"/>
              <w:tabs>
                <w:tab w:val="center" w:pos="4680"/>
              </w:tabs>
              <w:suppressAutoHyphens/>
              <w:spacing w:after="0"/>
              <w:ind w:firstLine="0"/>
              <w:rPr>
                <w:rFonts w:ascii="Times New Roman" w:eastAsia="Times New Roman" w:hAnsi="Times New Roman" w:cs="Times New Roman"/>
                <w:b/>
                <w:snapToGrid w:val="0"/>
                <w:color w:val="000000"/>
                <w:spacing w:val="-2"/>
                <w:kern w:val="28"/>
                <w:szCs w:val="20"/>
              </w:rPr>
            </w:pPr>
            <w:r>
              <w:rPr>
                <w:rFonts w:ascii="Times New Roman" w:eastAsia="Times New Roman" w:hAnsi="Times New Roman" w:cs="Times New Roman"/>
                <w:b/>
                <w:snapToGrid w:val="0"/>
                <w:color w:val="000000"/>
                <w:spacing w:val="-2"/>
                <w:kern w:val="28"/>
                <w:szCs w:val="20"/>
              </w:rPr>
              <w:t>)</w:t>
            </w:r>
          </w:p>
          <w:p w:rsidR="00F43CCB" w:rsidRPr="00F43CCB" w:rsidP="00F43CCB" w14:paraId="7168B303" w14:textId="79492078">
            <w:pPr>
              <w:widowControl w:val="0"/>
              <w:tabs>
                <w:tab w:val="center" w:pos="4680"/>
              </w:tabs>
              <w:suppressAutoHyphens/>
              <w:spacing w:after="0"/>
              <w:ind w:firstLine="0"/>
              <w:rPr>
                <w:rFonts w:ascii="Times New Roman" w:eastAsia="Times New Roman" w:hAnsi="Times New Roman" w:cs="Times New Roman"/>
                <w:b/>
                <w:snapToGrid w:val="0"/>
                <w:color w:val="000000"/>
                <w:spacing w:val="-2"/>
                <w:kern w:val="28"/>
                <w:szCs w:val="20"/>
              </w:rPr>
            </w:pPr>
          </w:p>
        </w:tc>
        <w:tc>
          <w:tcPr>
            <w:tcW w:w="4737" w:type="dxa"/>
          </w:tcPr>
          <w:p w:rsidR="00F43CCB" w:rsidRPr="00F43CCB" w:rsidP="00F43CCB" w14:paraId="58A87678" w14:textId="77777777">
            <w:pPr>
              <w:widowControl w:val="0"/>
              <w:spacing w:after="0"/>
              <w:ind w:firstLine="0"/>
              <w:rPr>
                <w:rFonts w:ascii="Times New Roman" w:eastAsia="Times New Roman" w:hAnsi="Times New Roman" w:cs="Times New Roman"/>
                <w:snapToGrid w:val="0"/>
                <w:color w:val="000000" w:themeColor="text1"/>
                <w:kern w:val="28"/>
                <w:szCs w:val="20"/>
              </w:rPr>
            </w:pPr>
          </w:p>
          <w:p w:rsidR="000A7A2B" w:rsidP="00F43CCB" w14:paraId="4CFCD998" w14:textId="77777777">
            <w:pPr>
              <w:widowControl w:val="0"/>
              <w:spacing w:after="0" w:line="480" w:lineRule="auto"/>
              <w:ind w:firstLine="0"/>
              <w:rPr>
                <w:rFonts w:ascii="Times New Roman" w:eastAsia="Times New Roman" w:hAnsi="Times New Roman" w:cs="Times New Roman"/>
                <w:snapToGrid w:val="0"/>
                <w:color w:val="000000"/>
                <w:spacing w:val="-2"/>
                <w:kern w:val="28"/>
              </w:rPr>
            </w:pPr>
          </w:p>
          <w:p w:rsidR="00DA47F1" w:rsidRPr="00DA47F1" w:rsidP="000A7A2B" w14:paraId="1FF9ABC3" w14:textId="5E493139">
            <w:pPr>
              <w:widowControl w:val="0"/>
              <w:spacing w:after="0"/>
              <w:ind w:firstLine="0"/>
              <w:rPr>
                <w:rFonts w:ascii="Times New Roman" w:eastAsia="Times New Roman" w:hAnsi="Times New Roman" w:cs="Times New Roman"/>
                <w:snapToGrid w:val="0"/>
                <w:kern w:val="28"/>
                <w:shd w:val="clear" w:color="auto" w:fill="FFFFFF"/>
              </w:rPr>
            </w:pPr>
            <w:r w:rsidRPr="00F43CCB">
              <w:rPr>
                <w:rFonts w:ascii="Times New Roman" w:eastAsia="Times New Roman" w:hAnsi="Times New Roman" w:cs="Times New Roman"/>
                <w:snapToGrid w:val="0"/>
                <w:color w:val="000000"/>
                <w:spacing w:val="-2"/>
                <w:kern w:val="28"/>
              </w:rPr>
              <w:t>File No</w:t>
            </w:r>
            <w:r w:rsidRPr="00F43CCB">
              <w:rPr>
                <w:rFonts w:ascii="Times New Roman" w:eastAsia="Times New Roman" w:hAnsi="Times New Roman" w:cs="Times New Roman"/>
                <w:snapToGrid w:val="0"/>
                <w:spacing w:val="-2"/>
                <w:kern w:val="28"/>
              </w:rPr>
              <w:t xml:space="preserve">.:  </w:t>
            </w:r>
            <w:r w:rsidRPr="007A4F2A" w:rsidR="007A4F2A">
              <w:rPr>
                <w:rFonts w:ascii="Times New Roman" w:eastAsia="Times New Roman" w:hAnsi="Times New Roman" w:cs="Times New Roman"/>
                <w:snapToGrid w:val="0"/>
                <w:kern w:val="28"/>
                <w:shd w:val="clear" w:color="auto" w:fill="FFFFFF"/>
              </w:rPr>
              <w:t>EB-IHD-21-00033087</w:t>
            </w:r>
          </w:p>
          <w:p w:rsidR="00F43CCB" w:rsidRPr="00F43CCB" w:rsidP="000A7A2B" w14:paraId="1153D857" w14:textId="2A68B4BA">
            <w:pPr>
              <w:widowControl w:val="0"/>
              <w:spacing w:after="0"/>
              <w:ind w:firstLine="0"/>
              <w:rPr>
                <w:rFonts w:ascii="Times New Roman" w:eastAsia="Times New Roman" w:hAnsi="Times New Roman" w:cs="Times New Roman"/>
                <w:snapToGrid w:val="0"/>
                <w:color w:val="000000"/>
                <w:spacing w:val="-2"/>
                <w:kern w:val="28"/>
              </w:rPr>
            </w:pPr>
            <w:r w:rsidRPr="00F43CCB">
              <w:rPr>
                <w:rFonts w:ascii="Times New Roman" w:eastAsia="Times New Roman" w:hAnsi="Times New Roman" w:cs="Times New Roman"/>
                <w:snapToGrid w:val="0"/>
                <w:color w:val="000000"/>
                <w:spacing w:val="-2"/>
                <w:kern w:val="28"/>
              </w:rPr>
              <w:t>NAL/Acct. No.:</w:t>
            </w:r>
            <w:r w:rsidR="0063027D">
              <w:rPr>
                <w:rFonts w:ascii="Times New Roman" w:eastAsia="Times New Roman" w:hAnsi="Times New Roman" w:cs="Times New Roman"/>
                <w:snapToGrid w:val="0"/>
                <w:color w:val="000000"/>
                <w:spacing w:val="-2"/>
                <w:kern w:val="28"/>
              </w:rPr>
              <w:t xml:space="preserve"> </w:t>
            </w:r>
            <w:r w:rsidRPr="007B0FF7" w:rsidR="007B0FF7">
              <w:rPr>
                <w:rFonts w:ascii="Times New Roman" w:eastAsia="Times New Roman" w:hAnsi="Times New Roman" w:cs="Times New Roman"/>
                <w:snapToGrid w:val="0"/>
                <w:color w:val="000000"/>
                <w:spacing w:val="-2"/>
                <w:kern w:val="28"/>
              </w:rPr>
              <w:t>202232080090</w:t>
            </w:r>
          </w:p>
          <w:p w:rsidR="00F43CCB" w:rsidP="000A7A2B" w14:paraId="589F3CB9" w14:textId="34B005B0">
            <w:pPr>
              <w:widowControl w:val="0"/>
              <w:spacing w:after="0"/>
              <w:ind w:firstLine="0"/>
              <w:rPr>
                <w:rFonts w:ascii="Times New Roman" w:eastAsia="Times New Roman" w:hAnsi="Times New Roman" w:cs="Times New Roman"/>
                <w:snapToGrid w:val="0"/>
                <w:spacing w:val="-2"/>
                <w:kern w:val="28"/>
                <w:szCs w:val="20"/>
              </w:rPr>
            </w:pPr>
            <w:r w:rsidRPr="00F43CCB">
              <w:rPr>
                <w:rFonts w:ascii="Times New Roman" w:eastAsia="Times New Roman" w:hAnsi="Times New Roman" w:cs="Times New Roman"/>
                <w:snapToGrid w:val="0"/>
                <w:spacing w:val="-2"/>
                <w:kern w:val="28"/>
                <w:szCs w:val="20"/>
              </w:rPr>
              <w:t xml:space="preserve">FRN:  </w:t>
            </w:r>
            <w:r w:rsidRPr="00937802" w:rsidR="00937802">
              <w:rPr>
                <w:rFonts w:ascii="Times New Roman" w:eastAsia="Times New Roman" w:hAnsi="Times New Roman" w:cs="Times New Roman"/>
                <w:snapToGrid w:val="0"/>
                <w:spacing w:val="-2"/>
                <w:kern w:val="28"/>
                <w:szCs w:val="20"/>
              </w:rPr>
              <w:t>0013691332</w:t>
            </w:r>
          </w:p>
          <w:p w:rsidR="00731A6E" w:rsidRPr="00F43CCB" w:rsidP="00F43CCB" w14:paraId="54D53852" w14:textId="77777777">
            <w:pPr>
              <w:widowControl w:val="0"/>
              <w:spacing w:after="0" w:line="480" w:lineRule="auto"/>
              <w:ind w:firstLine="0"/>
              <w:rPr>
                <w:rFonts w:ascii="Times New Roman" w:eastAsia="Times New Roman" w:hAnsi="Times New Roman" w:cs="Times New Roman"/>
                <w:snapToGrid w:val="0"/>
                <w:spacing w:val="-2"/>
                <w:kern w:val="28"/>
                <w:szCs w:val="20"/>
              </w:rPr>
            </w:pPr>
          </w:p>
          <w:p w:rsidR="00F43CCB" w:rsidRPr="00F43CCB" w:rsidP="00F43CCB" w14:paraId="6FE96B1B" w14:textId="77777777">
            <w:pPr>
              <w:widowControl w:val="0"/>
              <w:spacing w:after="0"/>
              <w:ind w:firstLine="0"/>
              <w:rPr>
                <w:rFonts w:ascii="Times New Roman" w:eastAsia="Times New Roman" w:hAnsi="Times New Roman" w:cs="Times New Roman"/>
                <w:snapToGrid w:val="0"/>
                <w:color w:val="000000"/>
                <w:kern w:val="28"/>
                <w:szCs w:val="20"/>
              </w:rPr>
            </w:pPr>
          </w:p>
        </w:tc>
      </w:tr>
    </w:tbl>
    <w:p w:rsidR="006D7F60" w:rsidP="006D7F60" w14:paraId="3682EFC1" w14:textId="77777777">
      <w:pPr>
        <w:widowControl w:val="0"/>
        <w:spacing w:after="0"/>
        <w:jc w:val="center"/>
        <w:rPr>
          <w:rFonts w:ascii="Times New Roman" w:eastAsia="Times New Roman" w:hAnsi="Times New Roman" w:cs="Times New Roman"/>
          <w:b/>
          <w:bCs/>
          <w:caps/>
          <w:snapToGrid w:val="0"/>
          <w:color w:val="000000" w:themeColor="text1"/>
          <w:kern w:val="28"/>
          <w:szCs w:val="20"/>
        </w:rPr>
      </w:pPr>
      <w:r w:rsidRPr="00665D7F">
        <w:rPr>
          <w:rFonts w:ascii="Times New Roman" w:eastAsia="Times New Roman" w:hAnsi="Times New Roman" w:cs="Times New Roman"/>
          <w:b/>
          <w:bCs/>
          <w:caps/>
          <w:snapToGrid w:val="0"/>
          <w:color w:val="000000" w:themeColor="text1"/>
          <w:kern w:val="28"/>
          <w:szCs w:val="20"/>
        </w:rPr>
        <w:t>NOTICE OF APPARENT LIABILITY FOR FORFEITURE</w:t>
      </w:r>
    </w:p>
    <w:p w:rsidR="00665D7F" w:rsidRPr="00665D7F" w:rsidP="006D7F60" w14:paraId="3A0BE409" w14:textId="77777777">
      <w:pPr>
        <w:widowControl w:val="0"/>
        <w:spacing w:after="0"/>
        <w:ind w:firstLine="0"/>
        <w:rPr>
          <w:rFonts w:ascii="Times New Roman" w:eastAsia="Times New Roman" w:hAnsi="Times New Roman" w:cs="Times New Roman"/>
          <w:b/>
          <w:bCs/>
          <w:caps/>
          <w:snapToGrid w:val="0"/>
          <w:color w:val="000000" w:themeColor="text1"/>
          <w:kern w:val="28"/>
          <w:szCs w:val="20"/>
        </w:rPr>
      </w:pPr>
    </w:p>
    <w:p w:rsidR="000F4602" w:rsidP="0063027D" w14:paraId="61CD46BB" w14:textId="2AD27B51">
      <w:pPr>
        <w:widowControl w:val="0"/>
        <w:tabs>
          <w:tab w:val="left" w:pos="720"/>
          <w:tab w:val="right" w:pos="9360"/>
        </w:tabs>
        <w:suppressAutoHyphens/>
        <w:spacing w:after="0"/>
        <w:ind w:firstLine="0"/>
        <w:rPr>
          <w:rFonts w:ascii="Times New Roman" w:eastAsia="Times New Roman" w:hAnsi="Times New Roman" w:cs="Times New Roman"/>
          <w:b/>
          <w:bCs/>
          <w:snapToGrid w:val="0"/>
          <w:spacing w:val="-2"/>
          <w:kern w:val="28"/>
          <w:szCs w:val="20"/>
        </w:rPr>
      </w:pPr>
      <w:r w:rsidRPr="00665D7F">
        <w:rPr>
          <w:rFonts w:ascii="Times New Roman" w:eastAsia="Times New Roman" w:hAnsi="Times New Roman" w:cs="Times New Roman"/>
          <w:b/>
          <w:bCs/>
          <w:snapToGrid w:val="0"/>
          <w:spacing w:val="-2"/>
          <w:kern w:val="28"/>
          <w:szCs w:val="20"/>
        </w:rPr>
        <w:t xml:space="preserve">Adopted:  </w:t>
      </w:r>
      <w:r w:rsidR="005B3FF0">
        <w:rPr>
          <w:rFonts w:ascii="Times New Roman" w:eastAsia="Times New Roman" w:hAnsi="Times New Roman" w:cs="Times New Roman"/>
          <w:b/>
          <w:bCs/>
          <w:snapToGrid w:val="0"/>
          <w:spacing w:val="-2"/>
          <w:kern w:val="28"/>
          <w:szCs w:val="20"/>
        </w:rPr>
        <w:t>October</w:t>
      </w:r>
      <w:r w:rsidRPr="00665D7F">
        <w:rPr>
          <w:rFonts w:ascii="Times New Roman" w:eastAsia="Times New Roman" w:hAnsi="Times New Roman" w:cs="Times New Roman"/>
          <w:b/>
          <w:bCs/>
          <w:snapToGrid w:val="0"/>
          <w:spacing w:val="-2"/>
          <w:kern w:val="28"/>
          <w:szCs w:val="20"/>
        </w:rPr>
        <w:t xml:space="preserve"> </w:t>
      </w:r>
      <w:r w:rsidR="004E25ED">
        <w:rPr>
          <w:rFonts w:ascii="Times New Roman" w:eastAsia="Times New Roman" w:hAnsi="Times New Roman" w:cs="Times New Roman"/>
          <w:b/>
          <w:bCs/>
          <w:snapToGrid w:val="0"/>
          <w:spacing w:val="-2"/>
          <w:kern w:val="28"/>
          <w:szCs w:val="20"/>
        </w:rPr>
        <w:t>6</w:t>
      </w:r>
      <w:r w:rsidRPr="00665D7F">
        <w:rPr>
          <w:rFonts w:ascii="Times New Roman" w:eastAsia="Times New Roman" w:hAnsi="Times New Roman" w:cs="Times New Roman"/>
          <w:b/>
          <w:bCs/>
          <w:snapToGrid w:val="0"/>
          <w:spacing w:val="-2"/>
          <w:kern w:val="28"/>
          <w:szCs w:val="20"/>
        </w:rPr>
        <w:t>, 202</w:t>
      </w:r>
      <w:r w:rsidR="00924EBD">
        <w:rPr>
          <w:rFonts w:ascii="Times New Roman" w:eastAsia="Times New Roman" w:hAnsi="Times New Roman" w:cs="Times New Roman"/>
          <w:b/>
          <w:bCs/>
          <w:snapToGrid w:val="0"/>
          <w:spacing w:val="-2"/>
          <w:kern w:val="28"/>
          <w:szCs w:val="20"/>
        </w:rPr>
        <w:t>2</w:t>
      </w:r>
      <w:r w:rsidRPr="00665D7F">
        <w:rPr>
          <w:rFonts w:ascii="Times New Roman" w:eastAsia="Times New Roman" w:hAnsi="Times New Roman" w:cs="Times New Roman"/>
          <w:b/>
          <w:bCs/>
          <w:snapToGrid w:val="0"/>
          <w:spacing w:val="-2"/>
          <w:kern w:val="28"/>
          <w:szCs w:val="20"/>
        </w:rPr>
        <w:t xml:space="preserve">                                                              Released:  </w:t>
      </w:r>
      <w:bookmarkStart w:id="0" w:name="_Hlk56780665"/>
      <w:r w:rsidR="005B3FF0">
        <w:rPr>
          <w:rFonts w:ascii="Times New Roman" w:eastAsia="Times New Roman" w:hAnsi="Times New Roman" w:cs="Times New Roman"/>
          <w:b/>
          <w:bCs/>
          <w:snapToGrid w:val="0"/>
          <w:spacing w:val="-2"/>
          <w:kern w:val="28"/>
          <w:szCs w:val="20"/>
        </w:rPr>
        <w:t>October</w:t>
      </w:r>
      <w:r>
        <w:rPr>
          <w:rFonts w:ascii="Times New Roman" w:eastAsia="Times New Roman" w:hAnsi="Times New Roman" w:cs="Times New Roman"/>
          <w:b/>
          <w:bCs/>
          <w:snapToGrid w:val="0"/>
          <w:spacing w:val="-2"/>
          <w:kern w:val="28"/>
          <w:szCs w:val="20"/>
        </w:rPr>
        <w:t xml:space="preserve"> </w:t>
      </w:r>
      <w:r w:rsidR="004E25ED">
        <w:rPr>
          <w:rFonts w:ascii="Times New Roman" w:eastAsia="Times New Roman" w:hAnsi="Times New Roman" w:cs="Times New Roman"/>
          <w:b/>
          <w:bCs/>
          <w:snapToGrid w:val="0"/>
          <w:spacing w:val="-2"/>
          <w:kern w:val="28"/>
          <w:szCs w:val="20"/>
        </w:rPr>
        <w:t>6</w:t>
      </w:r>
      <w:r w:rsidRPr="00665D7F">
        <w:rPr>
          <w:rFonts w:ascii="Times New Roman" w:eastAsia="Times New Roman" w:hAnsi="Times New Roman" w:cs="Times New Roman"/>
          <w:b/>
          <w:bCs/>
          <w:snapToGrid w:val="0"/>
          <w:spacing w:val="-2"/>
          <w:kern w:val="28"/>
          <w:szCs w:val="20"/>
        </w:rPr>
        <w:t>, 202</w:t>
      </w:r>
      <w:bookmarkEnd w:id="0"/>
      <w:r w:rsidR="00924EBD">
        <w:rPr>
          <w:rFonts w:ascii="Times New Roman" w:eastAsia="Times New Roman" w:hAnsi="Times New Roman" w:cs="Times New Roman"/>
          <w:b/>
          <w:bCs/>
          <w:snapToGrid w:val="0"/>
          <w:spacing w:val="-2"/>
          <w:kern w:val="28"/>
          <w:szCs w:val="20"/>
        </w:rPr>
        <w:t>2</w:t>
      </w:r>
    </w:p>
    <w:p w:rsidR="00731A6E" w:rsidP="0063027D" w14:paraId="467D7434" w14:textId="55DFCF3F">
      <w:pPr>
        <w:widowControl w:val="0"/>
        <w:tabs>
          <w:tab w:val="left" w:pos="720"/>
          <w:tab w:val="right" w:pos="9360"/>
        </w:tabs>
        <w:suppressAutoHyphens/>
        <w:spacing w:after="0"/>
        <w:ind w:firstLine="0"/>
        <w:rPr>
          <w:rFonts w:ascii="Times New Roman" w:eastAsia="Times New Roman" w:hAnsi="Times New Roman" w:cs="Times New Roman"/>
          <w:b/>
          <w:bCs/>
          <w:snapToGrid w:val="0"/>
          <w:spacing w:val="-2"/>
          <w:kern w:val="28"/>
          <w:szCs w:val="20"/>
        </w:rPr>
      </w:pPr>
    </w:p>
    <w:p w:rsidR="00731A6E" w:rsidRPr="00731A6E" w:rsidP="0063027D" w14:paraId="061E945C" w14:textId="5BE83B21">
      <w:pPr>
        <w:widowControl w:val="0"/>
        <w:tabs>
          <w:tab w:val="left" w:pos="720"/>
          <w:tab w:val="right" w:pos="9360"/>
        </w:tabs>
        <w:suppressAutoHyphens/>
        <w:spacing w:after="0"/>
        <w:ind w:firstLine="0"/>
        <w:rPr>
          <w:rFonts w:ascii="Times New Roman" w:eastAsia="Times New Roman" w:hAnsi="Times New Roman" w:cs="Times New Roman"/>
          <w:snapToGrid w:val="0"/>
          <w:kern w:val="28"/>
          <w:szCs w:val="20"/>
        </w:rPr>
      </w:pPr>
      <w:r>
        <w:rPr>
          <w:rFonts w:ascii="Times New Roman" w:eastAsia="Times New Roman" w:hAnsi="Times New Roman" w:cs="Times New Roman"/>
          <w:snapToGrid w:val="0"/>
          <w:spacing w:val="-2"/>
          <w:kern w:val="28"/>
          <w:szCs w:val="20"/>
        </w:rPr>
        <w:t xml:space="preserve">By the </w:t>
      </w:r>
      <w:r w:rsidR="00C60135">
        <w:rPr>
          <w:rFonts w:ascii="Times New Roman" w:eastAsia="Times New Roman" w:hAnsi="Times New Roman" w:cs="Times New Roman"/>
          <w:snapToGrid w:val="0"/>
          <w:spacing w:val="-2"/>
          <w:kern w:val="28"/>
          <w:szCs w:val="20"/>
        </w:rPr>
        <w:t xml:space="preserve">Acting </w:t>
      </w:r>
      <w:r>
        <w:rPr>
          <w:rFonts w:ascii="Times New Roman" w:eastAsia="Times New Roman" w:hAnsi="Times New Roman" w:cs="Times New Roman"/>
          <w:snapToGrid w:val="0"/>
          <w:spacing w:val="-2"/>
          <w:kern w:val="28"/>
          <w:szCs w:val="20"/>
        </w:rPr>
        <w:t>Chief, Enforcement Bureau:</w:t>
      </w:r>
    </w:p>
    <w:p w:rsidR="6F932122" w:rsidP="000A2815" w14:paraId="28C7E500" w14:textId="063650FF">
      <w:pPr>
        <w:pStyle w:val="Heading1"/>
        <w:numPr>
          <w:ilvl w:val="0"/>
          <w:numId w:val="14"/>
        </w:numPr>
        <w:tabs>
          <w:tab w:val="num" w:pos="720"/>
        </w:tabs>
        <w:spacing w:after="120"/>
        <w:ind w:left="720" w:hanging="720"/>
        <w:rPr>
          <w:b/>
          <w:bCs/>
          <w:caps/>
          <w:color w:val="000000" w:themeColor="text1"/>
          <w:sz w:val="22"/>
          <w:szCs w:val="22"/>
        </w:rPr>
      </w:pPr>
      <w:r w:rsidRPr="4B7CF40C">
        <w:rPr>
          <w:rFonts w:ascii="Times New Roman" w:eastAsia="Times New Roman" w:hAnsi="Times New Roman" w:cs="Times New Roman"/>
          <w:b/>
          <w:bCs/>
          <w:caps/>
          <w:color w:val="000000" w:themeColor="text1"/>
          <w:sz w:val="22"/>
          <w:szCs w:val="22"/>
        </w:rPr>
        <w:t>INTRODUCTION</w:t>
      </w:r>
    </w:p>
    <w:p w:rsidR="2A9D0F05" w:rsidRPr="00CD42D6" w:rsidP="000A2815" w14:paraId="27DD12E7" w14:textId="6735BDA9">
      <w:pPr>
        <w:pStyle w:val="ListParagraph"/>
        <w:numPr>
          <w:ilvl w:val="0"/>
          <w:numId w:val="38"/>
        </w:numPr>
        <w:tabs>
          <w:tab w:val="left" w:pos="1440"/>
        </w:tabs>
        <w:ind w:left="0" w:firstLine="720"/>
        <w:rPr>
          <w:rFonts w:ascii="Times New Roman" w:hAnsi="Times New Roman" w:cs="Times New Roman"/>
        </w:rPr>
      </w:pPr>
      <w:r w:rsidRPr="00883ADB">
        <w:rPr>
          <w:rFonts w:ascii="Times New Roman" w:hAnsi="Times New Roman" w:cs="Times New Roman"/>
        </w:rPr>
        <w:t>In</w:t>
      </w:r>
      <w:r w:rsidRPr="00CD42D6">
        <w:rPr>
          <w:rFonts w:ascii="Times New Roman" w:hAnsi="Times New Roman" w:cs="Times New Roman"/>
        </w:rPr>
        <w:t xml:space="preserve"> this Notice of Apparent Liability for Forfeiture (NAL), we find that </w:t>
      </w:r>
      <w:r w:rsidR="0062693D">
        <w:rPr>
          <w:rFonts w:ascii="Times New Roman" w:hAnsi="Times New Roman" w:cs="Times New Roman"/>
        </w:rPr>
        <w:t>VoxNet</w:t>
      </w:r>
      <w:r w:rsidR="0062693D">
        <w:rPr>
          <w:rFonts w:ascii="Times New Roman" w:hAnsi="Times New Roman" w:cs="Times New Roman"/>
        </w:rPr>
        <w:t>, LLC (</w:t>
      </w:r>
      <w:r w:rsidR="0062693D">
        <w:rPr>
          <w:rFonts w:ascii="Times New Roman" w:hAnsi="Times New Roman" w:cs="Times New Roman"/>
        </w:rPr>
        <w:t>VoxNet</w:t>
      </w:r>
      <w:r w:rsidR="0062693D">
        <w:rPr>
          <w:rFonts w:ascii="Times New Roman" w:hAnsi="Times New Roman" w:cs="Times New Roman"/>
        </w:rPr>
        <w:t>)</w:t>
      </w:r>
      <w:r w:rsidRPr="00CD42D6" w:rsidR="00F12B41">
        <w:rPr>
          <w:rFonts w:ascii="Times New Roman" w:hAnsi="Times New Roman" w:cs="Times New Roman"/>
        </w:rPr>
        <w:t xml:space="preserve"> </w:t>
      </w:r>
      <w:r w:rsidRPr="00CD42D6">
        <w:rPr>
          <w:rFonts w:ascii="Times New Roman" w:hAnsi="Times New Roman" w:cs="Times New Roman"/>
        </w:rPr>
        <w:t xml:space="preserve">apparently </w:t>
      </w:r>
      <w:r w:rsidRPr="00CD42D6">
        <w:rPr>
          <w:rFonts w:ascii="Times New Roman" w:hAnsi="Times New Roman" w:cs="Times New Roman"/>
        </w:rPr>
        <w:t>violated section 214 of the Communications Act of 1934, as amended (Act)</w:t>
      </w:r>
      <w:r>
        <w:rPr>
          <w:rStyle w:val="FootnoteReference"/>
          <w:rFonts w:ascii="Times New Roman" w:hAnsi="Times New Roman" w:cs="Times New Roman"/>
          <w:sz w:val="20"/>
          <w:szCs w:val="20"/>
        </w:rPr>
        <w:footnoteReference w:id="3"/>
      </w:r>
      <w:r w:rsidRPr="00793F97">
        <w:rPr>
          <w:rFonts w:ascii="Times New Roman" w:hAnsi="Times New Roman" w:cs="Times New Roman"/>
          <w:sz w:val="20"/>
          <w:szCs w:val="20"/>
        </w:rPr>
        <w:t xml:space="preserve"> </w:t>
      </w:r>
      <w:r w:rsidRPr="00CD42D6">
        <w:rPr>
          <w:rFonts w:ascii="Times New Roman" w:hAnsi="Times New Roman" w:cs="Times New Roman"/>
        </w:rPr>
        <w:t xml:space="preserve">and </w:t>
      </w:r>
      <w:bookmarkStart w:id="1" w:name="_Hlk86666251"/>
      <w:r w:rsidRPr="00CD42D6">
        <w:rPr>
          <w:rFonts w:ascii="Times New Roman" w:hAnsi="Times New Roman" w:cs="Times New Roman"/>
        </w:rPr>
        <w:t>section</w:t>
      </w:r>
      <w:r w:rsidRPr="00CD42D6" w:rsidR="002135EB">
        <w:rPr>
          <w:rFonts w:ascii="Times New Roman" w:hAnsi="Times New Roman" w:cs="Times New Roman"/>
        </w:rPr>
        <w:t>s</w:t>
      </w:r>
      <w:r w:rsidRPr="00CD42D6">
        <w:rPr>
          <w:rFonts w:ascii="Times New Roman" w:hAnsi="Times New Roman" w:cs="Times New Roman"/>
        </w:rPr>
        <w:t xml:space="preserve"> </w:t>
      </w:r>
      <w:r w:rsidRPr="007E3BAE" w:rsidR="009E6732">
        <w:rPr>
          <w:rFonts w:ascii="Times New Roman" w:hAnsi="Times New Roman" w:cs="Times New Roman"/>
        </w:rPr>
        <w:t>63.03</w:t>
      </w:r>
      <w:r w:rsidRPr="007E3BAE" w:rsidR="007E3BAE">
        <w:rPr>
          <w:rFonts w:ascii="Times New Roman" w:hAnsi="Times New Roman" w:cs="Times New Roman"/>
        </w:rPr>
        <w:t xml:space="preserve"> and </w:t>
      </w:r>
      <w:r w:rsidRPr="007E3BAE" w:rsidR="002135EB">
        <w:rPr>
          <w:rFonts w:ascii="Times New Roman" w:hAnsi="Times New Roman" w:cs="Times New Roman"/>
        </w:rPr>
        <w:t>63.04</w:t>
      </w:r>
      <w:r w:rsidRPr="007E3BAE" w:rsidR="007E3BAE">
        <w:rPr>
          <w:rFonts w:ascii="Times New Roman" w:hAnsi="Times New Roman" w:cs="Times New Roman"/>
        </w:rPr>
        <w:t xml:space="preserve"> </w:t>
      </w:r>
      <w:bookmarkEnd w:id="1"/>
      <w:r w:rsidRPr="007E3BAE" w:rsidR="002135EB">
        <w:rPr>
          <w:rFonts w:ascii="Times New Roman" w:hAnsi="Times New Roman" w:cs="Times New Roman"/>
        </w:rPr>
        <w:t>of</w:t>
      </w:r>
      <w:r w:rsidRPr="00CD42D6" w:rsidR="002135EB">
        <w:rPr>
          <w:rFonts w:ascii="Times New Roman" w:hAnsi="Times New Roman" w:cs="Times New Roman"/>
        </w:rPr>
        <w:t xml:space="preserve"> the Commission’s rules by willfully </w:t>
      </w:r>
      <w:r w:rsidRPr="00CD42D6" w:rsidR="003A341F">
        <w:rPr>
          <w:rFonts w:ascii="Times New Roman" w:hAnsi="Times New Roman" w:cs="Times New Roman"/>
        </w:rPr>
        <w:t>failing to obtain Commission</w:t>
      </w:r>
      <w:r w:rsidR="00746B24">
        <w:rPr>
          <w:rFonts w:ascii="Times New Roman" w:hAnsi="Times New Roman" w:cs="Times New Roman"/>
        </w:rPr>
        <w:t xml:space="preserve"> </w:t>
      </w:r>
      <w:r w:rsidRPr="00CD42D6" w:rsidR="003A341F">
        <w:rPr>
          <w:rFonts w:ascii="Times New Roman" w:hAnsi="Times New Roman" w:cs="Times New Roman"/>
        </w:rPr>
        <w:t>approval</w:t>
      </w:r>
      <w:r w:rsidR="00463876">
        <w:rPr>
          <w:rFonts w:ascii="Times New Roman" w:hAnsi="Times New Roman" w:cs="Times New Roman"/>
        </w:rPr>
        <w:t xml:space="preserve"> before </w:t>
      </w:r>
      <w:r w:rsidR="00746B24">
        <w:rPr>
          <w:rFonts w:ascii="Times New Roman" w:hAnsi="Times New Roman" w:cs="Times New Roman"/>
        </w:rPr>
        <w:t xml:space="preserve">transferring its </w:t>
      </w:r>
      <w:r w:rsidR="00463876">
        <w:rPr>
          <w:rFonts w:ascii="Times New Roman" w:hAnsi="Times New Roman" w:cs="Times New Roman"/>
        </w:rPr>
        <w:t xml:space="preserve">domestic section 214 authorization </w:t>
      </w:r>
      <w:r w:rsidR="00746B24">
        <w:rPr>
          <w:rFonts w:ascii="Times New Roman" w:hAnsi="Times New Roman" w:cs="Times New Roman"/>
        </w:rPr>
        <w:t xml:space="preserve">to </w:t>
      </w:r>
      <w:r w:rsidR="005F7EC1">
        <w:rPr>
          <w:rFonts w:ascii="Times New Roman" w:hAnsi="Times New Roman" w:cs="Times New Roman"/>
        </w:rPr>
        <w:t>Block Line Systems, L</w:t>
      </w:r>
      <w:r w:rsidR="00A44B08">
        <w:rPr>
          <w:rFonts w:ascii="Times New Roman" w:hAnsi="Times New Roman" w:cs="Times New Roman"/>
        </w:rPr>
        <w:t>L</w:t>
      </w:r>
      <w:r w:rsidR="005F7EC1">
        <w:rPr>
          <w:rFonts w:ascii="Times New Roman" w:hAnsi="Times New Roman" w:cs="Times New Roman"/>
        </w:rPr>
        <w:t>C (Block Line)</w:t>
      </w:r>
      <w:r w:rsidRPr="00CD42D6" w:rsidR="003A341F">
        <w:rPr>
          <w:rFonts w:ascii="Times New Roman" w:hAnsi="Times New Roman" w:cs="Times New Roman"/>
        </w:rPr>
        <w:t>.</w:t>
      </w:r>
      <w:r>
        <w:rPr>
          <w:rStyle w:val="FootnoteReference"/>
          <w:rFonts w:ascii="Times New Roman" w:hAnsi="Times New Roman" w:cs="Times New Roman"/>
          <w:sz w:val="20"/>
          <w:szCs w:val="20"/>
        </w:rPr>
        <w:footnoteReference w:id="4"/>
      </w:r>
      <w:r w:rsidRPr="00CD42D6">
        <w:rPr>
          <w:rFonts w:ascii="Times New Roman" w:hAnsi="Times New Roman" w:cs="Times New Roman"/>
        </w:rPr>
        <w:t xml:space="preserve">  </w:t>
      </w:r>
      <w:r w:rsidRPr="00CD42D6" w:rsidR="002135EB">
        <w:rPr>
          <w:rFonts w:ascii="Times New Roman" w:hAnsi="Times New Roman" w:cs="Times New Roman"/>
        </w:rPr>
        <w:t>Based on our review of the facts and circumstances surrounding this matter, and for the reasons discussed below, w</w:t>
      </w:r>
      <w:r w:rsidRPr="00CD42D6">
        <w:rPr>
          <w:rFonts w:ascii="Times New Roman" w:hAnsi="Times New Roman" w:cs="Times New Roman"/>
        </w:rPr>
        <w:t xml:space="preserve">e </w:t>
      </w:r>
      <w:r w:rsidRPr="00CD42D6" w:rsidR="002135EB">
        <w:rPr>
          <w:rFonts w:ascii="Times New Roman" w:hAnsi="Times New Roman" w:cs="Times New Roman"/>
        </w:rPr>
        <w:t xml:space="preserve">find that </w:t>
      </w:r>
      <w:r w:rsidR="005F7EC1">
        <w:rPr>
          <w:rFonts w:ascii="Times New Roman" w:hAnsi="Times New Roman" w:cs="Times New Roman"/>
        </w:rPr>
        <w:t>VoxNet</w:t>
      </w:r>
      <w:r w:rsidRPr="00CD42D6" w:rsidR="005F7EC1">
        <w:rPr>
          <w:rFonts w:ascii="Times New Roman" w:hAnsi="Times New Roman" w:cs="Times New Roman"/>
        </w:rPr>
        <w:t xml:space="preserve"> </w:t>
      </w:r>
      <w:r w:rsidRPr="00CD42D6" w:rsidR="002135EB">
        <w:rPr>
          <w:rFonts w:ascii="Times New Roman" w:hAnsi="Times New Roman" w:cs="Times New Roman"/>
        </w:rPr>
        <w:t xml:space="preserve">is apparently liable for a total forfeiture of </w:t>
      </w:r>
      <w:r w:rsidRPr="00CD42D6">
        <w:rPr>
          <w:rFonts w:ascii="Times New Roman" w:hAnsi="Times New Roman" w:cs="Times New Roman"/>
        </w:rPr>
        <w:t>$</w:t>
      </w:r>
      <w:r w:rsidR="005F7EC1">
        <w:rPr>
          <w:rFonts w:ascii="Times New Roman" w:hAnsi="Times New Roman" w:cs="Times New Roman"/>
        </w:rPr>
        <w:t>8</w:t>
      </w:r>
      <w:r w:rsidRPr="00CD42D6">
        <w:rPr>
          <w:rFonts w:ascii="Times New Roman" w:hAnsi="Times New Roman" w:cs="Times New Roman"/>
        </w:rPr>
        <w:t>,000</w:t>
      </w:r>
      <w:r w:rsidRPr="00CD42D6" w:rsidR="002135EB">
        <w:rPr>
          <w:rFonts w:ascii="Times New Roman" w:hAnsi="Times New Roman" w:cs="Times New Roman"/>
        </w:rPr>
        <w:t>.</w:t>
      </w:r>
      <w:r w:rsidRPr="00CD42D6" w:rsidR="59CCCAEB">
        <w:rPr>
          <w:rFonts w:ascii="Times New Roman" w:hAnsi="Times New Roman" w:cs="Times New Roman"/>
        </w:rPr>
        <w:t xml:space="preserve"> </w:t>
      </w:r>
    </w:p>
    <w:p w:rsidR="59CCCAEB" w:rsidP="000A2815" w14:paraId="3B9C09AE" w14:textId="17D0B7E1">
      <w:pPr>
        <w:pStyle w:val="ParaNum"/>
        <w:numPr>
          <w:ilvl w:val="0"/>
          <w:numId w:val="14"/>
        </w:numPr>
        <w:tabs>
          <w:tab w:val="num" w:pos="1080"/>
          <w:tab w:val="num" w:pos="1440"/>
        </w:tabs>
        <w:ind w:left="720" w:hanging="720"/>
        <w:rPr>
          <w:rFonts w:eastAsiaTheme="minorEastAsia"/>
          <w:b/>
          <w:bCs/>
          <w:color w:val="000000" w:themeColor="text1"/>
        </w:rPr>
      </w:pPr>
      <w:r w:rsidRPr="4B7CF40C">
        <w:rPr>
          <w:rFonts w:ascii="Times New Roman" w:eastAsia="Times New Roman" w:hAnsi="Times New Roman" w:cs="Times New Roman"/>
          <w:b/>
          <w:bCs/>
          <w:color w:val="000000" w:themeColor="text1"/>
        </w:rPr>
        <w:t>BACKGROUND</w:t>
      </w:r>
    </w:p>
    <w:p w:rsidR="005A0D0D" w:rsidRPr="00DC7FF4" w:rsidP="00DC7FF4" w14:paraId="601FC58A" w14:textId="2C6A0A08">
      <w:pPr>
        <w:pStyle w:val="ListParagraph"/>
        <w:numPr>
          <w:ilvl w:val="0"/>
          <w:numId w:val="38"/>
        </w:numPr>
        <w:ind w:left="0" w:firstLine="720"/>
        <w:contextualSpacing w:val="0"/>
        <w:rPr>
          <w:rFonts w:ascii="Times New Roman" w:hAnsi="Times New Roman" w:cs="Times New Roman"/>
        </w:rPr>
      </w:pPr>
      <w:r w:rsidRPr="00DC7FF4">
        <w:rPr>
          <w:rFonts w:ascii="Times New Roman" w:hAnsi="Times New Roman" w:cs="Times New Roman"/>
        </w:rPr>
        <w:t>Section 214</w:t>
      </w:r>
      <w:r w:rsidRPr="00DC7FF4" w:rsidR="0083143A">
        <w:rPr>
          <w:rFonts w:ascii="Times New Roman" w:hAnsi="Times New Roman" w:cs="Times New Roman"/>
        </w:rPr>
        <w:t>(a)</w:t>
      </w:r>
      <w:r w:rsidRPr="00DC7FF4">
        <w:rPr>
          <w:rFonts w:ascii="Times New Roman" w:hAnsi="Times New Roman" w:cs="Times New Roman"/>
        </w:rPr>
        <w:t xml:space="preserve"> of the Act requires telecommunications carriers to obtain a certificate of public convenience and necessity from the </w:t>
      </w:r>
      <w:r w:rsidRPr="00DC7FF4" w:rsidR="00287D8A">
        <w:rPr>
          <w:rFonts w:ascii="Times New Roman" w:hAnsi="Times New Roman" w:cs="Times New Roman"/>
        </w:rPr>
        <w:t>Federal Communications Commission (Commission o</w:t>
      </w:r>
      <w:r w:rsidR="001D06BA">
        <w:rPr>
          <w:rFonts w:ascii="Times New Roman" w:hAnsi="Times New Roman" w:cs="Times New Roman"/>
        </w:rPr>
        <w:t>r</w:t>
      </w:r>
      <w:r w:rsidRPr="00DC7FF4" w:rsidR="00287D8A">
        <w:rPr>
          <w:rFonts w:ascii="Times New Roman" w:hAnsi="Times New Roman" w:cs="Times New Roman"/>
        </w:rPr>
        <w:t xml:space="preserve"> FCC)</w:t>
      </w:r>
      <w:r w:rsidRPr="00DC7FF4">
        <w:rPr>
          <w:rFonts w:ascii="Times New Roman" w:hAnsi="Times New Roman" w:cs="Times New Roman"/>
        </w:rPr>
        <w:t xml:space="preserve"> before constructing,</w:t>
      </w:r>
      <w:r w:rsidR="001D06BA">
        <w:rPr>
          <w:rFonts w:ascii="Times New Roman" w:hAnsi="Times New Roman" w:cs="Times New Roman"/>
        </w:rPr>
        <w:t xml:space="preserve"> extending</w:t>
      </w:r>
      <w:r w:rsidR="00E64DF7">
        <w:rPr>
          <w:rFonts w:ascii="Times New Roman" w:hAnsi="Times New Roman" w:cs="Times New Roman"/>
        </w:rPr>
        <w:t>,</w:t>
      </w:r>
      <w:r w:rsidRPr="00DC7FF4">
        <w:rPr>
          <w:rFonts w:ascii="Times New Roman" w:hAnsi="Times New Roman" w:cs="Times New Roman"/>
        </w:rPr>
        <w:t xml:space="preserve"> acquiring,</w:t>
      </w:r>
      <w:r w:rsidR="001D06BA">
        <w:rPr>
          <w:rFonts w:ascii="Times New Roman" w:hAnsi="Times New Roman" w:cs="Times New Roman"/>
        </w:rPr>
        <w:t xml:space="preserve"> or</w:t>
      </w:r>
      <w:r w:rsidRPr="00DC7FF4">
        <w:rPr>
          <w:rFonts w:ascii="Times New Roman" w:hAnsi="Times New Roman" w:cs="Times New Roman"/>
        </w:rPr>
        <w:t xml:space="preserve"> operatin</w:t>
      </w:r>
      <w:r w:rsidR="001D06BA">
        <w:rPr>
          <w:rFonts w:ascii="Times New Roman" w:hAnsi="Times New Roman" w:cs="Times New Roman"/>
        </w:rPr>
        <w:t>g</w:t>
      </w:r>
      <w:r w:rsidRPr="00DC7FF4">
        <w:rPr>
          <w:rFonts w:ascii="Times New Roman" w:hAnsi="Times New Roman" w:cs="Times New Roman"/>
        </w:rPr>
        <w:t xml:space="preserve"> </w:t>
      </w:r>
      <w:r w:rsidR="001D06BA">
        <w:rPr>
          <w:rFonts w:ascii="Times New Roman" w:hAnsi="Times New Roman" w:cs="Times New Roman"/>
        </w:rPr>
        <w:t xml:space="preserve">any line, </w:t>
      </w:r>
      <w:r w:rsidRPr="00DC7FF4">
        <w:rPr>
          <w:rFonts w:ascii="Times New Roman" w:hAnsi="Times New Roman" w:cs="Times New Roman"/>
        </w:rPr>
        <w:t xml:space="preserve">or engaging in transmission over </w:t>
      </w:r>
      <w:r w:rsidR="001D06BA">
        <w:rPr>
          <w:rFonts w:ascii="Times New Roman" w:hAnsi="Times New Roman" w:cs="Times New Roman"/>
        </w:rPr>
        <w:t>that line.</w:t>
      </w:r>
      <w:r>
        <w:rPr>
          <w:rStyle w:val="FootnoteReference"/>
          <w:rFonts w:ascii="Times New Roman" w:hAnsi="Times New Roman" w:cs="Times New Roman"/>
          <w:sz w:val="20"/>
          <w:szCs w:val="20"/>
        </w:rPr>
        <w:footnoteReference w:id="5"/>
      </w:r>
      <w:r w:rsidRPr="00793F97" w:rsidR="001D06BA">
        <w:rPr>
          <w:rFonts w:ascii="Times New Roman" w:hAnsi="Times New Roman" w:cs="Times New Roman"/>
          <w:sz w:val="20"/>
          <w:szCs w:val="20"/>
        </w:rPr>
        <w:t xml:space="preserve"> </w:t>
      </w:r>
      <w:r w:rsidR="001D06BA">
        <w:rPr>
          <w:rFonts w:ascii="Times New Roman" w:hAnsi="Times New Roman" w:cs="Times New Roman"/>
        </w:rPr>
        <w:t xml:space="preserve"> Carriers also must obtain a certificate from the Commission </w:t>
      </w:r>
      <w:r w:rsidRPr="00DC7FF4">
        <w:rPr>
          <w:rFonts w:ascii="Times New Roman" w:hAnsi="Times New Roman" w:cs="Times New Roman"/>
        </w:rPr>
        <w:t>before discontinuing, reducing</w:t>
      </w:r>
      <w:r w:rsidR="00A16624">
        <w:rPr>
          <w:rFonts w:ascii="Times New Roman" w:hAnsi="Times New Roman" w:cs="Times New Roman"/>
        </w:rPr>
        <w:t>,</w:t>
      </w:r>
      <w:r w:rsidRPr="00DC7FF4">
        <w:rPr>
          <w:rFonts w:ascii="Times New Roman" w:hAnsi="Times New Roman" w:cs="Times New Roman"/>
        </w:rPr>
        <w:t xml:space="preserve"> or impairing service to a community.</w:t>
      </w:r>
      <w:r>
        <w:rPr>
          <w:rStyle w:val="FootnoteReference"/>
          <w:rFonts w:ascii="Times New Roman" w:hAnsi="Times New Roman" w:cs="Times New Roman"/>
          <w:sz w:val="20"/>
          <w:szCs w:val="20"/>
        </w:rPr>
        <w:footnoteReference w:id="6"/>
      </w:r>
      <w:r w:rsidRPr="00793F97" w:rsidR="1AA3B398">
        <w:rPr>
          <w:rFonts w:ascii="Times New Roman" w:hAnsi="Times New Roman" w:cs="Times New Roman"/>
          <w:sz w:val="20"/>
          <w:szCs w:val="20"/>
        </w:rPr>
        <w:t xml:space="preserve"> </w:t>
      </w:r>
      <w:r w:rsidRPr="00DC7FF4" w:rsidR="1AA3B398">
        <w:rPr>
          <w:rFonts w:ascii="Times New Roman" w:hAnsi="Times New Roman" w:cs="Times New Roman"/>
        </w:rPr>
        <w:t xml:space="preserve"> </w:t>
      </w:r>
      <w:r w:rsidRPr="00DC7FF4" w:rsidR="0083143A">
        <w:rPr>
          <w:rFonts w:ascii="Times New Roman" w:hAnsi="Times New Roman" w:cs="Times New Roman"/>
        </w:rPr>
        <w:t>The Commission granted all domestic carriers blanket</w:t>
      </w:r>
      <w:r w:rsidR="00261D60">
        <w:rPr>
          <w:rFonts w:ascii="Times New Roman" w:hAnsi="Times New Roman" w:cs="Times New Roman"/>
        </w:rPr>
        <w:t xml:space="preserve"> authority</w:t>
      </w:r>
      <w:r w:rsidRPr="00DC7FF4" w:rsidR="0083143A">
        <w:rPr>
          <w:rFonts w:ascii="Times New Roman" w:hAnsi="Times New Roman" w:cs="Times New Roman"/>
        </w:rPr>
        <w:t xml:space="preserve"> under section 214 to provide domestic interstate services and construct, acquire, and operate any domestic transmission line.</w:t>
      </w:r>
      <w:r>
        <w:rPr>
          <w:rStyle w:val="FootnoteReference"/>
          <w:rFonts w:ascii="Times New Roman" w:hAnsi="Times New Roman" w:cs="Times New Roman"/>
          <w:sz w:val="20"/>
          <w:szCs w:val="20"/>
        </w:rPr>
        <w:footnoteReference w:id="7"/>
      </w:r>
      <w:r w:rsidRPr="006A21A7" w:rsidR="0083143A">
        <w:rPr>
          <w:rFonts w:ascii="Times New Roman" w:hAnsi="Times New Roman" w:cs="Times New Roman"/>
          <w:sz w:val="20"/>
          <w:szCs w:val="20"/>
        </w:rPr>
        <w:t xml:space="preserve"> </w:t>
      </w:r>
      <w:r w:rsidRPr="00DC7FF4" w:rsidR="0083143A">
        <w:rPr>
          <w:rFonts w:ascii="Times New Roman" w:hAnsi="Times New Roman" w:cs="Times New Roman"/>
        </w:rPr>
        <w:t xml:space="preserve"> However, section 63.03 of the Commission’s rules requires that any domestic carrier seeking to transfer control of its </w:t>
      </w:r>
      <w:r w:rsidRPr="00DC7FF4">
        <w:rPr>
          <w:rFonts w:ascii="Times New Roman" w:hAnsi="Times New Roman" w:cs="Times New Roman"/>
        </w:rPr>
        <w:t xml:space="preserve">lines or </w:t>
      </w:r>
      <w:r w:rsidRPr="00DC7FF4" w:rsidR="0083143A">
        <w:rPr>
          <w:rFonts w:ascii="Times New Roman" w:hAnsi="Times New Roman" w:cs="Times New Roman"/>
        </w:rPr>
        <w:t xml:space="preserve">authorization to operate under </w:t>
      </w:r>
      <w:r w:rsidRPr="00DC7FF4">
        <w:rPr>
          <w:rFonts w:ascii="Times New Roman" w:hAnsi="Times New Roman" w:cs="Times New Roman"/>
        </w:rPr>
        <w:t xml:space="preserve">section 214 of the Act resulting from an acquisition of corporate control </w:t>
      </w:r>
      <w:r w:rsidR="00D52F4E">
        <w:rPr>
          <w:rFonts w:ascii="Times New Roman" w:hAnsi="Times New Roman" w:cs="Times New Roman"/>
        </w:rPr>
        <w:t xml:space="preserve">or acquisition of assets </w:t>
      </w:r>
      <w:r w:rsidRPr="00DC7FF4">
        <w:rPr>
          <w:rFonts w:ascii="Times New Roman" w:hAnsi="Times New Roman" w:cs="Times New Roman"/>
        </w:rPr>
        <w:t xml:space="preserve">must obtain prior approval from the </w:t>
      </w:r>
      <w:r w:rsidRPr="00DC7FF4">
        <w:rPr>
          <w:rFonts w:ascii="Times New Roman" w:hAnsi="Times New Roman" w:cs="Times New Roman"/>
        </w:rPr>
        <w:t>Commission.</w:t>
      </w:r>
      <w:r>
        <w:rPr>
          <w:rStyle w:val="FootnoteReference"/>
          <w:rFonts w:ascii="Times New Roman" w:hAnsi="Times New Roman" w:cs="Times New Roman"/>
          <w:sz w:val="20"/>
          <w:szCs w:val="20"/>
        </w:rPr>
        <w:footnoteReference w:id="8"/>
      </w:r>
      <w:r w:rsidRPr="006A21A7">
        <w:rPr>
          <w:rFonts w:ascii="Times New Roman" w:hAnsi="Times New Roman" w:cs="Times New Roman"/>
          <w:sz w:val="20"/>
          <w:szCs w:val="20"/>
        </w:rPr>
        <w:t xml:space="preserve"> </w:t>
      </w:r>
      <w:r w:rsidRPr="00DC7FF4">
        <w:rPr>
          <w:rFonts w:ascii="Times New Roman" w:hAnsi="Times New Roman" w:cs="Times New Roman"/>
        </w:rPr>
        <w:t xml:space="preserve"> </w:t>
      </w:r>
      <w:r w:rsidR="00D765BB">
        <w:rPr>
          <w:rFonts w:ascii="Times New Roman" w:hAnsi="Times New Roman" w:cs="Times New Roman"/>
        </w:rPr>
        <w:t xml:space="preserve">Asset acquisitions where customers will not lose service or have their service impaired as a result of the transaction are treated as transfers of control under </w:t>
      </w:r>
      <w:r w:rsidR="003A19AC">
        <w:rPr>
          <w:rFonts w:ascii="Times New Roman" w:hAnsi="Times New Roman" w:cs="Times New Roman"/>
        </w:rPr>
        <w:t>s</w:t>
      </w:r>
      <w:r w:rsidR="00D765BB">
        <w:rPr>
          <w:rFonts w:ascii="Times New Roman" w:hAnsi="Times New Roman" w:cs="Times New Roman"/>
        </w:rPr>
        <w:t xml:space="preserve">ections 63.01, 63.03, and 63.04 of the </w:t>
      </w:r>
      <w:r w:rsidR="003A19AC">
        <w:rPr>
          <w:rFonts w:ascii="Times New Roman" w:hAnsi="Times New Roman" w:cs="Times New Roman"/>
        </w:rPr>
        <w:t xml:space="preserve">Commission’s </w:t>
      </w:r>
      <w:r w:rsidR="00D765BB">
        <w:rPr>
          <w:rFonts w:ascii="Times New Roman" w:hAnsi="Times New Roman" w:cs="Times New Roman"/>
        </w:rPr>
        <w:t>rules.</w:t>
      </w:r>
      <w:r>
        <w:rPr>
          <w:rStyle w:val="FootnoteReference"/>
          <w:rFonts w:ascii="Times New Roman" w:hAnsi="Times New Roman" w:cs="Times New Roman"/>
          <w:sz w:val="20"/>
          <w:szCs w:val="20"/>
        </w:rPr>
        <w:footnoteReference w:id="9"/>
      </w:r>
      <w:r w:rsidR="00D765BB">
        <w:rPr>
          <w:rFonts w:ascii="Times New Roman" w:hAnsi="Times New Roman" w:cs="Times New Roman"/>
        </w:rPr>
        <w:t xml:space="preserve">  </w:t>
      </w:r>
      <w:r w:rsidRPr="00DC7FF4">
        <w:rPr>
          <w:rFonts w:ascii="Times New Roman" w:hAnsi="Times New Roman" w:cs="Times New Roman"/>
        </w:rPr>
        <w:t>Section 63.04 sets forth the requirements for domestic transfer of control applications.</w:t>
      </w:r>
      <w:r>
        <w:rPr>
          <w:rStyle w:val="FootnoteReference"/>
          <w:rFonts w:ascii="Times New Roman" w:hAnsi="Times New Roman" w:cs="Times New Roman"/>
          <w:sz w:val="20"/>
          <w:szCs w:val="20"/>
        </w:rPr>
        <w:footnoteReference w:id="10"/>
      </w:r>
      <w:r w:rsidRPr="006A21A7" w:rsidR="00D765BB">
        <w:rPr>
          <w:rFonts w:ascii="Times New Roman" w:hAnsi="Times New Roman" w:cs="Times New Roman"/>
          <w:sz w:val="20"/>
          <w:szCs w:val="20"/>
        </w:rPr>
        <w:t xml:space="preserve"> </w:t>
      </w:r>
      <w:r w:rsidR="00D765BB">
        <w:rPr>
          <w:rFonts w:ascii="Times New Roman" w:hAnsi="Times New Roman" w:cs="Times New Roman"/>
        </w:rPr>
        <w:t xml:space="preserve"> </w:t>
      </w:r>
    </w:p>
    <w:p w:rsidR="001D4F98" w:rsidRPr="00F147CE" w:rsidP="001D094E" w14:paraId="69986F3F" w14:textId="77BCA39C">
      <w:pPr>
        <w:pStyle w:val="ListParagraph"/>
        <w:numPr>
          <w:ilvl w:val="0"/>
          <w:numId w:val="38"/>
        </w:numPr>
        <w:ind w:left="0" w:firstLine="720"/>
        <w:contextualSpacing w:val="0"/>
        <w:rPr>
          <w:rFonts w:ascii="Times New Roman" w:hAnsi="Times New Roman" w:cs="Times New Roman"/>
        </w:rPr>
      </w:pPr>
      <w:r>
        <w:rPr>
          <w:rFonts w:ascii="Times New Roman" w:hAnsi="Times New Roman" w:cs="Times New Roman"/>
        </w:rPr>
        <w:t>VoxNet is a Delaware limited liability company with headquarters in Pennsylvania.</w:t>
      </w:r>
      <w:r>
        <w:rPr>
          <w:rStyle w:val="FootnoteReference"/>
          <w:rFonts w:ascii="Times New Roman" w:hAnsi="Times New Roman" w:cs="Times New Roman"/>
          <w:sz w:val="20"/>
          <w:szCs w:val="20"/>
        </w:rPr>
        <w:footnoteReference w:id="11"/>
      </w:r>
      <w:r w:rsidRPr="006A21A7">
        <w:rPr>
          <w:rFonts w:ascii="Times New Roman" w:hAnsi="Times New Roman" w:cs="Times New Roman"/>
          <w:sz w:val="20"/>
          <w:szCs w:val="20"/>
        </w:rPr>
        <w:t xml:space="preserve">  </w:t>
      </w:r>
      <w:r w:rsidR="0066599B">
        <w:rPr>
          <w:rFonts w:ascii="Times New Roman" w:hAnsi="Times New Roman" w:cs="Times New Roman"/>
        </w:rPr>
        <w:t>VoxNet provides competitive local exchange carr</w:t>
      </w:r>
      <w:r>
        <w:rPr>
          <w:rFonts w:ascii="Times New Roman" w:hAnsi="Times New Roman" w:cs="Times New Roman"/>
        </w:rPr>
        <w:t>i</w:t>
      </w:r>
      <w:r w:rsidR="0066599B">
        <w:rPr>
          <w:rFonts w:ascii="Times New Roman" w:hAnsi="Times New Roman" w:cs="Times New Roman"/>
        </w:rPr>
        <w:t>er (LEC) and interexchange services to customers in Delaware, New Jersey, and Pennsylvania.</w:t>
      </w:r>
      <w:r>
        <w:rPr>
          <w:rStyle w:val="FootnoteReference"/>
          <w:rFonts w:ascii="Times New Roman" w:hAnsi="Times New Roman" w:cs="Times New Roman"/>
          <w:sz w:val="20"/>
          <w:szCs w:val="20"/>
        </w:rPr>
        <w:footnoteReference w:id="12"/>
      </w:r>
      <w:r w:rsidRPr="006A21A7" w:rsidR="001D094E">
        <w:rPr>
          <w:rFonts w:ascii="Times New Roman" w:hAnsi="Times New Roman" w:cs="Times New Roman"/>
          <w:sz w:val="20"/>
          <w:szCs w:val="20"/>
        </w:rPr>
        <w:t xml:space="preserve"> </w:t>
      </w:r>
      <w:r w:rsidR="001D094E">
        <w:rPr>
          <w:rFonts w:ascii="Times New Roman" w:hAnsi="Times New Roman" w:cs="Times New Roman"/>
        </w:rPr>
        <w:t xml:space="preserve"> </w:t>
      </w:r>
      <w:r w:rsidRPr="00F147CE" w:rsidR="00B80CDC">
        <w:rPr>
          <w:rFonts w:ascii="Times New Roman" w:hAnsi="Times New Roman" w:cs="Times New Roman"/>
        </w:rPr>
        <w:t xml:space="preserve">VoxNet is wholly owned by The Apella Group, LLC, a Pennsylvania </w:t>
      </w:r>
      <w:r w:rsidR="003A19AC">
        <w:rPr>
          <w:rFonts w:ascii="Times New Roman" w:hAnsi="Times New Roman" w:cs="Times New Roman"/>
        </w:rPr>
        <w:t>l</w:t>
      </w:r>
      <w:r w:rsidRPr="00F147CE" w:rsidR="003A19AC">
        <w:rPr>
          <w:rFonts w:ascii="Times New Roman" w:hAnsi="Times New Roman" w:cs="Times New Roman"/>
        </w:rPr>
        <w:t xml:space="preserve">imited </w:t>
      </w:r>
      <w:r w:rsidR="003A19AC">
        <w:rPr>
          <w:rFonts w:ascii="Times New Roman" w:hAnsi="Times New Roman" w:cs="Times New Roman"/>
        </w:rPr>
        <w:t>l</w:t>
      </w:r>
      <w:r w:rsidRPr="00F147CE" w:rsidR="00B80CDC">
        <w:rPr>
          <w:rFonts w:ascii="Times New Roman" w:hAnsi="Times New Roman" w:cs="Times New Roman"/>
        </w:rPr>
        <w:t>iability company organized on May 5, 2020.</w:t>
      </w:r>
      <w:r>
        <w:rPr>
          <w:rStyle w:val="FootnoteReference"/>
          <w:rFonts w:ascii="Times New Roman" w:hAnsi="Times New Roman" w:cs="Times New Roman"/>
          <w:sz w:val="20"/>
          <w:szCs w:val="20"/>
        </w:rPr>
        <w:footnoteReference w:id="13"/>
      </w:r>
    </w:p>
    <w:p w:rsidR="00746B24" w:rsidP="006A1697" w14:paraId="08332B0F" w14:textId="17B70441">
      <w:pPr>
        <w:pStyle w:val="ListParagraph"/>
        <w:numPr>
          <w:ilvl w:val="0"/>
          <w:numId w:val="38"/>
        </w:numPr>
        <w:ind w:left="0" w:firstLine="720"/>
        <w:contextualSpacing w:val="0"/>
        <w:rPr>
          <w:rFonts w:ascii="Times New Roman" w:hAnsi="Times New Roman" w:cs="Times New Roman"/>
        </w:rPr>
      </w:pPr>
      <w:r>
        <w:rPr>
          <w:rFonts w:ascii="Times New Roman" w:hAnsi="Times New Roman" w:cs="Times New Roman"/>
        </w:rPr>
        <w:t xml:space="preserve">  Block Line is an Ohio limited liability company that provides competitive LEC services, interexchange services, and </w:t>
      </w:r>
      <w:r w:rsidR="00CC2145">
        <w:rPr>
          <w:rFonts w:ascii="Times New Roman" w:hAnsi="Times New Roman" w:cs="Times New Roman"/>
        </w:rPr>
        <w:t>voice over Internet Protocol (</w:t>
      </w:r>
      <w:r>
        <w:rPr>
          <w:rFonts w:ascii="Times New Roman" w:hAnsi="Times New Roman" w:cs="Times New Roman"/>
        </w:rPr>
        <w:t>VoIP</w:t>
      </w:r>
      <w:r w:rsidR="00CC2145">
        <w:rPr>
          <w:rFonts w:ascii="Times New Roman" w:hAnsi="Times New Roman" w:cs="Times New Roman"/>
        </w:rPr>
        <w:t>)</w:t>
      </w:r>
      <w:r>
        <w:rPr>
          <w:rFonts w:ascii="Times New Roman" w:hAnsi="Times New Roman" w:cs="Times New Roman"/>
        </w:rPr>
        <w:t xml:space="preserve"> services in multiple jurisdictions across the United States.</w:t>
      </w:r>
      <w:r>
        <w:rPr>
          <w:rStyle w:val="FootnoteReference"/>
          <w:rFonts w:ascii="Times New Roman" w:hAnsi="Times New Roman" w:cs="Times New Roman"/>
          <w:sz w:val="20"/>
          <w:szCs w:val="20"/>
        </w:rPr>
        <w:footnoteReference w:id="14"/>
      </w:r>
      <w:r w:rsidRPr="000D450D" w:rsidR="009D4EF3">
        <w:rPr>
          <w:rFonts w:ascii="Times New Roman" w:hAnsi="Times New Roman" w:cs="Times New Roman"/>
          <w:sz w:val="20"/>
          <w:szCs w:val="20"/>
        </w:rPr>
        <w:t xml:space="preserve"> </w:t>
      </w:r>
      <w:r w:rsidR="009D4EF3">
        <w:rPr>
          <w:rFonts w:ascii="Times New Roman" w:hAnsi="Times New Roman" w:cs="Times New Roman"/>
        </w:rPr>
        <w:t xml:space="preserve"> </w:t>
      </w:r>
      <w:r w:rsidR="00C06D5A">
        <w:rPr>
          <w:rFonts w:ascii="Times New Roman" w:hAnsi="Times New Roman" w:cs="Times New Roman"/>
        </w:rPr>
        <w:t>Block Line is a wholly</w:t>
      </w:r>
      <w:r w:rsidR="000E5F64">
        <w:rPr>
          <w:rFonts w:ascii="Times New Roman" w:hAnsi="Times New Roman" w:cs="Times New Roman"/>
        </w:rPr>
        <w:t xml:space="preserve"> </w:t>
      </w:r>
      <w:r w:rsidR="00C06D5A">
        <w:rPr>
          <w:rFonts w:ascii="Times New Roman" w:hAnsi="Times New Roman" w:cs="Times New Roman"/>
        </w:rPr>
        <w:t>owned subsidiary of Block Communications, Inc., an Ohio corporation.</w:t>
      </w:r>
      <w:r>
        <w:rPr>
          <w:rStyle w:val="FootnoteReference"/>
          <w:rFonts w:ascii="Times New Roman" w:hAnsi="Times New Roman" w:cs="Times New Roman"/>
          <w:sz w:val="20"/>
          <w:szCs w:val="20"/>
        </w:rPr>
        <w:footnoteReference w:id="15"/>
      </w:r>
      <w:r w:rsidRPr="000D450D" w:rsidR="006A1697">
        <w:rPr>
          <w:rFonts w:ascii="Times New Roman" w:hAnsi="Times New Roman" w:cs="Times New Roman"/>
          <w:sz w:val="20"/>
          <w:szCs w:val="20"/>
        </w:rPr>
        <w:t xml:space="preserve"> </w:t>
      </w:r>
      <w:r w:rsidR="006A1697">
        <w:rPr>
          <w:rFonts w:ascii="Times New Roman" w:hAnsi="Times New Roman" w:cs="Times New Roman"/>
        </w:rPr>
        <w:t xml:space="preserve"> </w:t>
      </w:r>
    </w:p>
    <w:p w:rsidR="00F6098E" w:rsidRPr="00F147CE" w:rsidP="006A1697" w14:paraId="3C919C2E" w14:textId="580D4AF9">
      <w:pPr>
        <w:pStyle w:val="ListParagraph"/>
        <w:numPr>
          <w:ilvl w:val="0"/>
          <w:numId w:val="38"/>
        </w:numPr>
        <w:ind w:left="0" w:firstLine="720"/>
        <w:contextualSpacing w:val="0"/>
        <w:rPr>
          <w:rFonts w:ascii="Times New Roman" w:hAnsi="Times New Roman" w:cs="Times New Roman"/>
        </w:rPr>
      </w:pPr>
      <w:r>
        <w:rPr>
          <w:rFonts w:ascii="Times New Roman" w:hAnsi="Times New Roman" w:cs="Times New Roman"/>
        </w:rPr>
        <w:t xml:space="preserve">On July 14, 2021, </w:t>
      </w:r>
      <w:r w:rsidRPr="001D6797">
        <w:rPr>
          <w:rFonts w:ascii="Times New Roman" w:hAnsi="Times New Roman" w:cs="Times New Roman"/>
        </w:rPr>
        <w:t xml:space="preserve">VoxNet entered into an Asset Purchase Agreement </w:t>
      </w:r>
      <w:r>
        <w:rPr>
          <w:rFonts w:ascii="Times New Roman" w:hAnsi="Times New Roman" w:cs="Times New Roman"/>
        </w:rPr>
        <w:t>with Block Line.</w:t>
      </w:r>
      <w:r>
        <w:rPr>
          <w:rStyle w:val="FootnoteReference"/>
          <w:rFonts w:ascii="Times New Roman" w:hAnsi="Times New Roman" w:cs="Times New Roman"/>
          <w:sz w:val="20"/>
          <w:szCs w:val="20"/>
        </w:rPr>
        <w:footnoteReference w:id="16"/>
      </w:r>
      <w:r w:rsidRPr="000D450D" w:rsidR="00512FB1">
        <w:rPr>
          <w:rFonts w:ascii="Times New Roman" w:hAnsi="Times New Roman" w:cs="Times New Roman"/>
          <w:sz w:val="20"/>
          <w:szCs w:val="20"/>
        </w:rPr>
        <w:t xml:space="preserve">  </w:t>
      </w:r>
      <w:r w:rsidR="00030C6A">
        <w:rPr>
          <w:rFonts w:ascii="Times New Roman" w:hAnsi="Times New Roman" w:cs="Times New Roman"/>
        </w:rPr>
        <w:t xml:space="preserve">Between </w:t>
      </w:r>
      <w:r w:rsidR="00E31B76">
        <w:rPr>
          <w:rFonts w:ascii="Times New Roman" w:hAnsi="Times New Roman" w:cs="Times New Roman"/>
        </w:rPr>
        <w:t>July 14, 2021</w:t>
      </w:r>
      <w:r>
        <w:rPr>
          <w:rFonts w:ascii="Times New Roman" w:hAnsi="Times New Roman" w:cs="Times New Roman"/>
        </w:rPr>
        <w:t>,</w:t>
      </w:r>
      <w:r w:rsidR="00E31B76">
        <w:rPr>
          <w:rFonts w:ascii="Times New Roman" w:hAnsi="Times New Roman" w:cs="Times New Roman"/>
        </w:rPr>
        <w:t xml:space="preserve"> </w:t>
      </w:r>
      <w:r w:rsidR="00030C6A">
        <w:rPr>
          <w:rFonts w:ascii="Times New Roman" w:hAnsi="Times New Roman" w:cs="Times New Roman"/>
        </w:rPr>
        <w:t xml:space="preserve">and </w:t>
      </w:r>
      <w:r w:rsidR="00E31B76">
        <w:rPr>
          <w:rFonts w:ascii="Times New Roman" w:hAnsi="Times New Roman" w:cs="Times New Roman"/>
        </w:rPr>
        <w:t>September 1, 2021</w:t>
      </w:r>
      <w:r>
        <w:rPr>
          <w:rFonts w:ascii="Times New Roman" w:hAnsi="Times New Roman" w:cs="Times New Roman"/>
        </w:rPr>
        <w:t>,</w:t>
      </w:r>
      <w:r w:rsidR="00E31B76">
        <w:rPr>
          <w:rFonts w:ascii="Times New Roman" w:hAnsi="Times New Roman" w:cs="Times New Roman"/>
        </w:rPr>
        <w:t xml:space="preserve"> VoxNet maintained its business while transitioning</w:t>
      </w:r>
      <w:r w:rsidR="008D6C65">
        <w:rPr>
          <w:rFonts w:ascii="Times New Roman" w:hAnsi="Times New Roman" w:cs="Times New Roman"/>
        </w:rPr>
        <w:t xml:space="preserve"> the customer base </w:t>
      </w:r>
      <w:r w:rsidR="005A0341">
        <w:rPr>
          <w:rFonts w:ascii="Times New Roman" w:hAnsi="Times New Roman" w:cs="Times New Roman"/>
        </w:rPr>
        <w:t>it served under its domestic 214 authorization</w:t>
      </w:r>
      <w:r w:rsidR="00E31B76">
        <w:rPr>
          <w:rFonts w:ascii="Times New Roman" w:hAnsi="Times New Roman" w:cs="Times New Roman"/>
        </w:rPr>
        <w:t xml:space="preserve"> to Block Line.</w:t>
      </w:r>
      <w:r>
        <w:rPr>
          <w:rStyle w:val="FootnoteReference"/>
          <w:rFonts w:ascii="Times New Roman" w:hAnsi="Times New Roman" w:cs="Times New Roman"/>
        </w:rPr>
        <w:footnoteReference w:id="17"/>
      </w:r>
      <w:r w:rsidR="00E31B76">
        <w:rPr>
          <w:rFonts w:ascii="Times New Roman" w:hAnsi="Times New Roman" w:cs="Times New Roman"/>
        </w:rPr>
        <w:t xml:space="preserve">  </w:t>
      </w:r>
      <w:r w:rsidRPr="00F147CE" w:rsidR="009D4EF3">
        <w:rPr>
          <w:rFonts w:ascii="Times New Roman" w:hAnsi="Times New Roman" w:cs="Times New Roman"/>
        </w:rPr>
        <w:t xml:space="preserve">Under the terms of the Asset Purchase Agreement, </w:t>
      </w:r>
      <w:r w:rsidRPr="00F147CE" w:rsidR="001D6797">
        <w:rPr>
          <w:rFonts w:ascii="Times New Roman" w:hAnsi="Times New Roman" w:cs="Times New Roman"/>
        </w:rPr>
        <w:t>VoxNet’s customer base</w:t>
      </w:r>
      <w:r w:rsidR="00504285">
        <w:rPr>
          <w:rFonts w:ascii="Times New Roman" w:hAnsi="Times New Roman" w:cs="Times New Roman"/>
        </w:rPr>
        <w:t xml:space="preserve"> and </w:t>
      </w:r>
      <w:r w:rsidRPr="00F147CE" w:rsidR="00A322E3">
        <w:rPr>
          <w:rFonts w:ascii="Times New Roman" w:hAnsi="Times New Roman" w:cs="Times New Roman"/>
        </w:rPr>
        <w:t>contracts</w:t>
      </w:r>
      <w:r w:rsidRPr="00F147CE" w:rsidR="001D6797">
        <w:rPr>
          <w:rFonts w:ascii="Times New Roman" w:hAnsi="Times New Roman" w:cs="Times New Roman"/>
        </w:rPr>
        <w:t xml:space="preserve"> </w:t>
      </w:r>
      <w:r w:rsidRPr="00F147CE" w:rsidR="00A322E3">
        <w:rPr>
          <w:rFonts w:ascii="Times New Roman" w:hAnsi="Times New Roman" w:cs="Times New Roman"/>
        </w:rPr>
        <w:t>were</w:t>
      </w:r>
      <w:r w:rsidRPr="00F147CE" w:rsidR="001D6797">
        <w:rPr>
          <w:rFonts w:ascii="Times New Roman" w:hAnsi="Times New Roman" w:cs="Times New Roman"/>
        </w:rPr>
        <w:t xml:space="preserve"> transferred to Block Line on </w:t>
      </w:r>
      <w:r w:rsidRPr="00F147CE" w:rsidR="001D6797">
        <w:rPr>
          <w:rFonts w:ascii="Times New Roman" w:hAnsi="Times New Roman" w:cs="Times New Roman"/>
        </w:rPr>
        <w:t>September 1, 2021</w:t>
      </w:r>
      <w:r w:rsidR="006D43DE">
        <w:rPr>
          <w:rFonts w:ascii="Times New Roman" w:hAnsi="Times New Roman" w:cs="Times New Roman"/>
        </w:rPr>
        <w:t>,</w:t>
      </w:r>
      <w:r>
        <w:rPr>
          <w:rStyle w:val="FootnoteReference"/>
          <w:rFonts w:ascii="Times New Roman" w:hAnsi="Times New Roman" w:cs="Times New Roman"/>
          <w:sz w:val="20"/>
          <w:szCs w:val="20"/>
        </w:rPr>
        <w:footnoteReference w:id="18"/>
      </w:r>
      <w:r w:rsidRPr="000D450D" w:rsidR="00A322E3">
        <w:rPr>
          <w:rFonts w:ascii="Times New Roman" w:hAnsi="Times New Roman" w:cs="Times New Roman"/>
          <w:sz w:val="20"/>
          <w:szCs w:val="20"/>
        </w:rPr>
        <w:t xml:space="preserve"> </w:t>
      </w:r>
      <w:r w:rsidR="006D43DE">
        <w:rPr>
          <w:rFonts w:ascii="Times New Roman" w:hAnsi="Times New Roman" w:cs="Times New Roman"/>
        </w:rPr>
        <w:t>whereupon</w:t>
      </w:r>
      <w:r w:rsidR="00CF5F99">
        <w:rPr>
          <w:rFonts w:ascii="Times New Roman" w:hAnsi="Times New Roman" w:cs="Times New Roman"/>
        </w:rPr>
        <w:t xml:space="preserve">, Block Line </w:t>
      </w:r>
      <w:r w:rsidR="006D43DE">
        <w:rPr>
          <w:rFonts w:ascii="Times New Roman" w:hAnsi="Times New Roman" w:cs="Times New Roman"/>
        </w:rPr>
        <w:t xml:space="preserve">started </w:t>
      </w:r>
      <w:r w:rsidR="00CF5F99">
        <w:rPr>
          <w:rFonts w:ascii="Times New Roman" w:hAnsi="Times New Roman" w:cs="Times New Roman"/>
        </w:rPr>
        <w:t>serving a</w:t>
      </w:r>
      <w:r w:rsidR="006A1697">
        <w:rPr>
          <w:rFonts w:ascii="Times New Roman" w:hAnsi="Times New Roman" w:cs="Times New Roman"/>
        </w:rPr>
        <w:t xml:space="preserve">ll of </w:t>
      </w:r>
      <w:r w:rsidR="006D43DE">
        <w:rPr>
          <w:rFonts w:ascii="Times New Roman" w:hAnsi="Times New Roman" w:cs="Times New Roman"/>
        </w:rPr>
        <w:t xml:space="preserve">VoxNet’s </w:t>
      </w:r>
      <w:r w:rsidR="006A1697">
        <w:rPr>
          <w:rFonts w:ascii="Times New Roman" w:hAnsi="Times New Roman" w:cs="Times New Roman"/>
        </w:rPr>
        <w:t>customers</w:t>
      </w:r>
      <w:r w:rsidR="005611F5">
        <w:rPr>
          <w:rFonts w:ascii="Times New Roman" w:hAnsi="Times New Roman" w:cs="Times New Roman"/>
        </w:rPr>
        <w:t>,</w:t>
      </w:r>
      <w:r w:rsidR="006A1697">
        <w:rPr>
          <w:rFonts w:ascii="Times New Roman" w:hAnsi="Times New Roman" w:cs="Times New Roman"/>
        </w:rPr>
        <w:t xml:space="preserve"> and VoxNet </w:t>
      </w:r>
      <w:r w:rsidR="00CF5F99">
        <w:rPr>
          <w:rFonts w:ascii="Times New Roman" w:hAnsi="Times New Roman" w:cs="Times New Roman"/>
        </w:rPr>
        <w:t>ceased providing</w:t>
      </w:r>
      <w:r w:rsidR="00117095">
        <w:rPr>
          <w:rFonts w:ascii="Times New Roman" w:hAnsi="Times New Roman" w:cs="Times New Roman"/>
        </w:rPr>
        <w:t xml:space="preserve"> </w:t>
      </w:r>
      <w:r w:rsidR="00CF5F99">
        <w:rPr>
          <w:rFonts w:ascii="Times New Roman" w:hAnsi="Times New Roman" w:cs="Times New Roman"/>
        </w:rPr>
        <w:t>telecommunications services.</w:t>
      </w:r>
      <w:r>
        <w:rPr>
          <w:rStyle w:val="FootnoteReference"/>
          <w:rFonts w:ascii="Times New Roman" w:hAnsi="Times New Roman" w:cs="Times New Roman"/>
          <w:sz w:val="20"/>
          <w:szCs w:val="20"/>
        </w:rPr>
        <w:footnoteReference w:id="19"/>
      </w:r>
    </w:p>
    <w:p w:rsidR="00DB69C0" w:rsidRPr="00E67B37" w:rsidP="000D17CF" w14:paraId="658CF183" w14:textId="4CD0CD71">
      <w:pPr>
        <w:pStyle w:val="ListParagraph"/>
        <w:numPr>
          <w:ilvl w:val="0"/>
          <w:numId w:val="38"/>
        </w:numPr>
        <w:ind w:left="0" w:firstLine="720"/>
        <w:contextualSpacing w:val="0"/>
        <w:rPr>
          <w:rFonts w:ascii="Times New Roman" w:hAnsi="Times New Roman" w:cs="Times New Roman"/>
        </w:rPr>
      </w:pPr>
      <w:r>
        <w:rPr>
          <w:rFonts w:ascii="Times New Roman" w:hAnsi="Times New Roman" w:cs="Times New Roman"/>
        </w:rPr>
        <w:t xml:space="preserve">Neither </w:t>
      </w:r>
      <w:r w:rsidR="00A80A62">
        <w:rPr>
          <w:rFonts w:ascii="Times New Roman" w:hAnsi="Times New Roman" w:cs="Times New Roman"/>
        </w:rPr>
        <w:t>VoxNet</w:t>
      </w:r>
      <w:r w:rsidRPr="00DC7FF4" w:rsidR="7DE0C2CE">
        <w:rPr>
          <w:rFonts w:ascii="Times New Roman" w:hAnsi="Times New Roman" w:cs="Times New Roman"/>
        </w:rPr>
        <w:t xml:space="preserve"> </w:t>
      </w:r>
      <w:r w:rsidR="00603A85">
        <w:rPr>
          <w:rFonts w:ascii="Times New Roman" w:hAnsi="Times New Roman" w:cs="Times New Roman"/>
        </w:rPr>
        <w:t>n</w:t>
      </w:r>
      <w:r>
        <w:rPr>
          <w:rFonts w:ascii="Times New Roman" w:hAnsi="Times New Roman" w:cs="Times New Roman"/>
        </w:rPr>
        <w:t xml:space="preserve">or Block Line sought </w:t>
      </w:r>
      <w:r w:rsidRPr="00DC7FF4" w:rsidR="7DE0C2CE">
        <w:rPr>
          <w:rFonts w:ascii="Times New Roman" w:hAnsi="Times New Roman" w:cs="Times New Roman"/>
        </w:rPr>
        <w:t xml:space="preserve">Commission approval </w:t>
      </w:r>
      <w:r>
        <w:rPr>
          <w:rFonts w:ascii="Times New Roman" w:hAnsi="Times New Roman" w:cs="Times New Roman"/>
        </w:rPr>
        <w:t xml:space="preserve">before VoxNet </w:t>
      </w:r>
      <w:r w:rsidRPr="00DC7FF4" w:rsidR="4FA13D40">
        <w:rPr>
          <w:rFonts w:ascii="Times New Roman" w:hAnsi="Times New Roman" w:cs="Times New Roman"/>
        </w:rPr>
        <w:t>trans</w:t>
      </w:r>
      <w:r w:rsidRPr="00DC7FF4" w:rsidR="000D696F">
        <w:rPr>
          <w:rFonts w:ascii="Times New Roman" w:hAnsi="Times New Roman" w:cs="Times New Roman"/>
        </w:rPr>
        <w:t>fer</w:t>
      </w:r>
      <w:r>
        <w:rPr>
          <w:rFonts w:ascii="Times New Roman" w:hAnsi="Times New Roman" w:cs="Times New Roman"/>
        </w:rPr>
        <w:t>red</w:t>
      </w:r>
      <w:r w:rsidRPr="00DC7FF4" w:rsidR="000D696F">
        <w:rPr>
          <w:rFonts w:ascii="Times New Roman" w:hAnsi="Times New Roman" w:cs="Times New Roman"/>
        </w:rPr>
        <w:t xml:space="preserve"> </w:t>
      </w:r>
      <w:r w:rsidR="00F60643">
        <w:rPr>
          <w:rFonts w:ascii="Times New Roman" w:hAnsi="Times New Roman" w:cs="Times New Roman"/>
        </w:rPr>
        <w:t xml:space="preserve">telecommunications assets </w:t>
      </w:r>
      <w:r w:rsidR="007279B7">
        <w:rPr>
          <w:rFonts w:ascii="Times New Roman" w:hAnsi="Times New Roman" w:cs="Times New Roman"/>
        </w:rPr>
        <w:t>that are</w:t>
      </w:r>
      <w:r w:rsidR="00986068">
        <w:rPr>
          <w:rFonts w:ascii="Times New Roman" w:hAnsi="Times New Roman" w:cs="Times New Roman"/>
        </w:rPr>
        <w:t xml:space="preserve"> necessary to provide domestic telecommunications service to the former VoxNet customers and</w:t>
      </w:r>
      <w:r w:rsidR="007279B7">
        <w:rPr>
          <w:rFonts w:ascii="Times New Roman" w:hAnsi="Times New Roman" w:cs="Times New Roman"/>
        </w:rPr>
        <w:t xml:space="preserve"> </w:t>
      </w:r>
      <w:r w:rsidR="00F60643">
        <w:rPr>
          <w:rFonts w:ascii="Times New Roman" w:hAnsi="Times New Roman" w:cs="Times New Roman"/>
        </w:rPr>
        <w:t>subject to its</w:t>
      </w:r>
      <w:r>
        <w:rPr>
          <w:rFonts w:ascii="Times New Roman" w:hAnsi="Times New Roman" w:cs="Times New Roman"/>
        </w:rPr>
        <w:t xml:space="preserve"> domestic </w:t>
      </w:r>
      <w:r w:rsidR="00F60643">
        <w:rPr>
          <w:rFonts w:ascii="Times New Roman" w:hAnsi="Times New Roman" w:cs="Times New Roman"/>
        </w:rPr>
        <w:t xml:space="preserve">section </w:t>
      </w:r>
      <w:r>
        <w:rPr>
          <w:rFonts w:ascii="Times New Roman" w:hAnsi="Times New Roman" w:cs="Times New Roman"/>
        </w:rPr>
        <w:t>214 authorization</w:t>
      </w:r>
      <w:r w:rsidRPr="00DC7FF4" w:rsidR="4FA13D40">
        <w:rPr>
          <w:rFonts w:ascii="Times New Roman" w:hAnsi="Times New Roman" w:cs="Times New Roman"/>
        </w:rPr>
        <w:t>.</w:t>
      </w:r>
      <w:r w:rsidR="00056781">
        <w:rPr>
          <w:rFonts w:ascii="Times New Roman" w:hAnsi="Times New Roman" w:cs="Times New Roman"/>
        </w:rPr>
        <w:t xml:space="preserve">  </w:t>
      </w:r>
      <w:r w:rsidRPr="001C4B04" w:rsidR="00ED570A">
        <w:rPr>
          <w:rFonts w:ascii="Times New Roman" w:hAnsi="Times New Roman" w:cs="Times New Roman"/>
        </w:rPr>
        <w:t xml:space="preserve">On September 23, 2021, </w:t>
      </w:r>
      <w:r w:rsidRPr="001C4B04" w:rsidR="00294942">
        <w:rPr>
          <w:rFonts w:ascii="Times New Roman" w:hAnsi="Times New Roman" w:cs="Times New Roman"/>
        </w:rPr>
        <w:t>Block Line and VoxNet submitted a</w:t>
      </w:r>
      <w:r w:rsidRPr="001C4B04" w:rsidR="004B2BC7">
        <w:rPr>
          <w:rFonts w:ascii="Times New Roman" w:hAnsi="Times New Roman" w:cs="Times New Roman"/>
        </w:rPr>
        <w:t xml:space="preserve"> joint</w:t>
      </w:r>
      <w:r w:rsidRPr="001C4B04" w:rsidR="00294942">
        <w:rPr>
          <w:rFonts w:ascii="Times New Roman" w:hAnsi="Times New Roman" w:cs="Times New Roman"/>
        </w:rPr>
        <w:t xml:space="preserve"> </w:t>
      </w:r>
      <w:r w:rsidRPr="001C4B04" w:rsidR="00A66785">
        <w:rPr>
          <w:rFonts w:ascii="Times New Roman" w:hAnsi="Times New Roman" w:cs="Times New Roman"/>
        </w:rPr>
        <w:t xml:space="preserve">application for authorization of the </w:t>
      </w:r>
      <w:r w:rsidR="007279B7">
        <w:rPr>
          <w:rFonts w:ascii="Times New Roman" w:hAnsi="Times New Roman" w:cs="Times New Roman"/>
        </w:rPr>
        <w:t>transfer</w:t>
      </w:r>
      <w:r w:rsidRPr="001C4B04" w:rsidR="00A66785">
        <w:rPr>
          <w:rFonts w:ascii="Times New Roman" w:hAnsi="Times New Roman" w:cs="Times New Roman"/>
        </w:rPr>
        <w:t xml:space="preserve"> of VoxNet’s assets.</w:t>
      </w:r>
      <w:r>
        <w:rPr>
          <w:rStyle w:val="FootnoteReference"/>
          <w:rFonts w:ascii="Times New Roman" w:hAnsi="Times New Roman" w:cs="Times New Roman"/>
          <w:sz w:val="20"/>
          <w:szCs w:val="20"/>
        </w:rPr>
        <w:footnoteReference w:id="20"/>
      </w:r>
      <w:r w:rsidRPr="000D450D" w:rsidR="00A66785">
        <w:rPr>
          <w:rFonts w:ascii="Times New Roman" w:hAnsi="Times New Roman" w:cs="Times New Roman"/>
          <w:sz w:val="20"/>
          <w:szCs w:val="20"/>
        </w:rPr>
        <w:t xml:space="preserve"> </w:t>
      </w:r>
      <w:r w:rsidRPr="001C4B04" w:rsidR="00294942">
        <w:rPr>
          <w:rFonts w:ascii="Times New Roman" w:hAnsi="Times New Roman" w:cs="Times New Roman"/>
        </w:rPr>
        <w:t xml:space="preserve"> </w:t>
      </w:r>
      <w:r w:rsidR="00CF206C">
        <w:rPr>
          <w:rFonts w:ascii="Times New Roman" w:hAnsi="Times New Roman" w:cs="Times New Roman"/>
        </w:rPr>
        <w:t xml:space="preserve">Concurrently, </w:t>
      </w:r>
      <w:r w:rsidR="009550C6">
        <w:rPr>
          <w:rFonts w:ascii="Times New Roman" w:hAnsi="Times New Roman" w:cs="Times New Roman"/>
        </w:rPr>
        <w:t>a request for Special Temporary Authority (STA)</w:t>
      </w:r>
      <w:r>
        <w:rPr>
          <w:rStyle w:val="FootnoteReference"/>
          <w:rFonts w:ascii="Times New Roman" w:hAnsi="Times New Roman" w:cs="Times New Roman"/>
          <w:sz w:val="20"/>
          <w:szCs w:val="20"/>
        </w:rPr>
        <w:footnoteReference w:id="21"/>
      </w:r>
      <w:r w:rsidRPr="000D450D" w:rsidR="00C36886">
        <w:rPr>
          <w:rFonts w:ascii="Times New Roman" w:hAnsi="Times New Roman" w:cs="Times New Roman"/>
          <w:sz w:val="20"/>
          <w:szCs w:val="20"/>
        </w:rPr>
        <w:t xml:space="preserve"> </w:t>
      </w:r>
      <w:r w:rsidR="00C36886">
        <w:rPr>
          <w:rFonts w:ascii="Times New Roman" w:hAnsi="Times New Roman" w:cs="Times New Roman"/>
        </w:rPr>
        <w:t>to allow Block Line to continue to provide service to the acquired customers pending Commission approval of the application</w:t>
      </w:r>
      <w:r w:rsidR="0027685B">
        <w:rPr>
          <w:rFonts w:ascii="Times New Roman" w:hAnsi="Times New Roman" w:cs="Times New Roman"/>
        </w:rPr>
        <w:t xml:space="preserve"> </w:t>
      </w:r>
      <w:r w:rsidR="00C36886">
        <w:rPr>
          <w:rFonts w:ascii="Times New Roman" w:hAnsi="Times New Roman" w:cs="Times New Roman"/>
        </w:rPr>
        <w:t xml:space="preserve">was also submitted, acknowledging that the customer base transfer occurred prior to </w:t>
      </w:r>
      <w:r w:rsidR="0051409E">
        <w:rPr>
          <w:rFonts w:ascii="Times New Roman" w:hAnsi="Times New Roman" w:cs="Times New Roman"/>
        </w:rPr>
        <w:t>C</w:t>
      </w:r>
      <w:r w:rsidR="00C36886">
        <w:rPr>
          <w:rFonts w:ascii="Times New Roman" w:hAnsi="Times New Roman" w:cs="Times New Roman"/>
        </w:rPr>
        <w:t>ommission approval of the transaction.</w:t>
      </w:r>
      <w:r>
        <w:rPr>
          <w:rStyle w:val="FootnoteReference"/>
          <w:rFonts w:ascii="Times New Roman" w:hAnsi="Times New Roman" w:cs="Times New Roman"/>
          <w:sz w:val="20"/>
          <w:szCs w:val="20"/>
        </w:rPr>
        <w:footnoteReference w:id="22"/>
      </w:r>
      <w:r w:rsidRPr="000D450D" w:rsidR="000D17CF">
        <w:rPr>
          <w:rFonts w:ascii="Times New Roman" w:hAnsi="Times New Roman" w:cs="Times New Roman"/>
          <w:sz w:val="20"/>
          <w:szCs w:val="20"/>
        </w:rPr>
        <w:t xml:space="preserve"> </w:t>
      </w:r>
      <w:r w:rsidR="000D17CF">
        <w:rPr>
          <w:rFonts w:ascii="Times New Roman" w:hAnsi="Times New Roman" w:cs="Times New Roman"/>
        </w:rPr>
        <w:t xml:space="preserve"> </w:t>
      </w:r>
      <w:r w:rsidRPr="00FE0DD1" w:rsidR="00231EEA">
        <w:rPr>
          <w:rFonts w:ascii="Times New Roman" w:hAnsi="Times New Roman" w:cs="Times New Roman"/>
        </w:rPr>
        <w:t xml:space="preserve">On </w:t>
      </w:r>
      <w:r w:rsidRPr="00FE0DD1" w:rsidR="00CF206C">
        <w:rPr>
          <w:rFonts w:ascii="Times New Roman" w:hAnsi="Times New Roman" w:cs="Times New Roman"/>
        </w:rPr>
        <w:t>October 8</w:t>
      </w:r>
      <w:r w:rsidRPr="00FE0DD1" w:rsidR="00231EEA">
        <w:rPr>
          <w:rFonts w:ascii="Times New Roman" w:hAnsi="Times New Roman" w:cs="Times New Roman"/>
        </w:rPr>
        <w:t>, 2021, the Wireline Competition Bureau granted the STA</w:t>
      </w:r>
      <w:r w:rsidRPr="00FE0DD1" w:rsidR="00510033">
        <w:rPr>
          <w:rFonts w:ascii="Times New Roman" w:hAnsi="Times New Roman" w:cs="Times New Roman"/>
        </w:rPr>
        <w:t xml:space="preserve"> to allow </w:t>
      </w:r>
      <w:r w:rsidRPr="00FE0DD1" w:rsidR="000D17CF">
        <w:rPr>
          <w:rFonts w:ascii="Times New Roman" w:hAnsi="Times New Roman" w:cs="Times New Roman"/>
        </w:rPr>
        <w:t xml:space="preserve">Block </w:t>
      </w:r>
      <w:r w:rsidR="006B1B16">
        <w:rPr>
          <w:rFonts w:ascii="Times New Roman" w:hAnsi="Times New Roman" w:cs="Times New Roman"/>
        </w:rPr>
        <w:t>L</w:t>
      </w:r>
      <w:r w:rsidRPr="00FE0DD1" w:rsidR="000D17CF">
        <w:rPr>
          <w:rFonts w:ascii="Times New Roman" w:hAnsi="Times New Roman" w:cs="Times New Roman"/>
        </w:rPr>
        <w:t xml:space="preserve">ine </w:t>
      </w:r>
      <w:r w:rsidRPr="00FE0DD1" w:rsidR="00510033">
        <w:rPr>
          <w:rFonts w:ascii="Times New Roman" w:hAnsi="Times New Roman" w:cs="Times New Roman"/>
        </w:rPr>
        <w:t>to provide domestic service</w:t>
      </w:r>
      <w:r w:rsidRPr="00FE0DD1" w:rsidR="00231EEA">
        <w:rPr>
          <w:rFonts w:ascii="Times New Roman" w:hAnsi="Times New Roman" w:cs="Times New Roman"/>
        </w:rPr>
        <w:t xml:space="preserve"> for a period of 60 days</w:t>
      </w:r>
      <w:r w:rsidRPr="00FE0DD1" w:rsidR="00CF206C">
        <w:rPr>
          <w:rFonts w:ascii="Times New Roman" w:hAnsi="Times New Roman" w:cs="Times New Roman"/>
        </w:rPr>
        <w:t>.</w:t>
      </w:r>
      <w:r>
        <w:rPr>
          <w:rStyle w:val="FootnoteReference"/>
          <w:rFonts w:ascii="Times New Roman" w:hAnsi="Times New Roman" w:cs="Times New Roman"/>
          <w:sz w:val="20"/>
          <w:szCs w:val="20"/>
        </w:rPr>
        <w:footnoteReference w:id="23"/>
      </w:r>
      <w:r w:rsidRPr="000D450D" w:rsidR="00CF206C">
        <w:rPr>
          <w:rFonts w:ascii="Times New Roman" w:hAnsi="Times New Roman" w:cs="Times New Roman"/>
          <w:sz w:val="20"/>
          <w:szCs w:val="20"/>
        </w:rPr>
        <w:t xml:space="preserve"> </w:t>
      </w:r>
      <w:r w:rsidRPr="001C4B04" w:rsidR="00CF206C">
        <w:rPr>
          <w:rFonts w:ascii="Times New Roman" w:hAnsi="Times New Roman" w:cs="Times New Roman"/>
        </w:rPr>
        <w:t xml:space="preserve"> </w:t>
      </w:r>
      <w:r w:rsidR="008E72EC">
        <w:rPr>
          <w:rFonts w:ascii="Times New Roman" w:hAnsi="Times New Roman" w:cs="Times New Roman"/>
        </w:rPr>
        <w:t>O</w:t>
      </w:r>
      <w:r w:rsidRPr="002A4A4D" w:rsidR="000D696F">
        <w:rPr>
          <w:rFonts w:ascii="Times New Roman" w:hAnsi="Times New Roman" w:cs="Times New Roman"/>
        </w:rPr>
        <w:t xml:space="preserve">n </w:t>
      </w:r>
      <w:r w:rsidR="008E72EC">
        <w:rPr>
          <w:rFonts w:ascii="Times New Roman" w:hAnsi="Times New Roman" w:cs="Times New Roman"/>
        </w:rPr>
        <w:t>November 8</w:t>
      </w:r>
      <w:r w:rsidRPr="002A4A4D" w:rsidR="000D696F">
        <w:rPr>
          <w:rFonts w:ascii="Times New Roman" w:hAnsi="Times New Roman" w:cs="Times New Roman"/>
        </w:rPr>
        <w:t xml:space="preserve">, 2021, </w:t>
      </w:r>
      <w:r w:rsidR="002354A1">
        <w:rPr>
          <w:rFonts w:ascii="Times New Roman" w:hAnsi="Times New Roman" w:cs="Times New Roman"/>
        </w:rPr>
        <w:t xml:space="preserve">sixty-eight days following </w:t>
      </w:r>
      <w:r w:rsidR="007279B7">
        <w:rPr>
          <w:rFonts w:ascii="Times New Roman" w:hAnsi="Times New Roman" w:cs="Times New Roman"/>
        </w:rPr>
        <w:t xml:space="preserve">the </w:t>
      </w:r>
      <w:r w:rsidR="00DF07EE">
        <w:rPr>
          <w:rFonts w:ascii="Times New Roman" w:hAnsi="Times New Roman" w:cs="Times New Roman"/>
        </w:rPr>
        <w:t xml:space="preserve">September 1, 2021 </w:t>
      </w:r>
      <w:r w:rsidR="007279B7">
        <w:rPr>
          <w:rFonts w:ascii="Times New Roman" w:hAnsi="Times New Roman" w:cs="Times New Roman"/>
        </w:rPr>
        <w:t xml:space="preserve">completion of </w:t>
      </w:r>
      <w:r w:rsidR="00254777">
        <w:rPr>
          <w:rFonts w:ascii="Times New Roman" w:hAnsi="Times New Roman" w:cs="Times New Roman"/>
        </w:rPr>
        <w:t xml:space="preserve">VoxNet’s </w:t>
      </w:r>
      <w:r w:rsidR="00DF07EE">
        <w:rPr>
          <w:rFonts w:ascii="Times New Roman" w:hAnsi="Times New Roman" w:cs="Times New Roman"/>
        </w:rPr>
        <w:t xml:space="preserve">asset </w:t>
      </w:r>
      <w:r w:rsidR="007279B7">
        <w:rPr>
          <w:rFonts w:ascii="Times New Roman" w:hAnsi="Times New Roman" w:cs="Times New Roman"/>
        </w:rPr>
        <w:t>transfer</w:t>
      </w:r>
      <w:r w:rsidR="00254777">
        <w:rPr>
          <w:rFonts w:ascii="Times New Roman" w:hAnsi="Times New Roman" w:cs="Times New Roman"/>
        </w:rPr>
        <w:t xml:space="preserve"> to B</w:t>
      </w:r>
      <w:r w:rsidR="002354A1">
        <w:rPr>
          <w:rFonts w:ascii="Times New Roman" w:hAnsi="Times New Roman" w:cs="Times New Roman"/>
        </w:rPr>
        <w:t>lock Line</w:t>
      </w:r>
      <w:r w:rsidR="00254777">
        <w:rPr>
          <w:rFonts w:ascii="Times New Roman" w:hAnsi="Times New Roman" w:cs="Times New Roman"/>
        </w:rPr>
        <w:t>,</w:t>
      </w:r>
      <w:r w:rsidR="002354A1">
        <w:rPr>
          <w:rFonts w:ascii="Times New Roman" w:hAnsi="Times New Roman" w:cs="Times New Roman"/>
        </w:rPr>
        <w:t xml:space="preserve"> </w:t>
      </w:r>
      <w:r w:rsidRPr="002A4A4D" w:rsidR="000D696F">
        <w:rPr>
          <w:rFonts w:ascii="Times New Roman" w:hAnsi="Times New Roman" w:cs="Times New Roman"/>
        </w:rPr>
        <w:t>the Wireline Competition Bureau granted the application</w:t>
      </w:r>
      <w:r w:rsidRPr="002A4A4D" w:rsidR="000D22B7">
        <w:rPr>
          <w:rFonts w:ascii="Times New Roman" w:hAnsi="Times New Roman" w:cs="Times New Roman"/>
        </w:rPr>
        <w:t xml:space="preserve"> for a domestic section 214 authorization</w:t>
      </w:r>
      <w:r w:rsidRPr="002A4A4D" w:rsidR="000D696F">
        <w:rPr>
          <w:rFonts w:ascii="Times New Roman" w:hAnsi="Times New Roman" w:cs="Times New Roman"/>
        </w:rPr>
        <w:t>.</w:t>
      </w:r>
      <w:r>
        <w:rPr>
          <w:rStyle w:val="FootnoteReference"/>
          <w:rFonts w:ascii="Times New Roman" w:hAnsi="Times New Roman" w:cs="Times New Roman"/>
          <w:sz w:val="20"/>
          <w:szCs w:val="20"/>
        </w:rPr>
        <w:footnoteReference w:id="24"/>
      </w:r>
      <w:r w:rsidRPr="000D450D" w:rsidR="004A76F7">
        <w:rPr>
          <w:rFonts w:ascii="Times New Roman" w:hAnsi="Times New Roman" w:cs="Times New Roman"/>
          <w:sz w:val="20"/>
          <w:szCs w:val="20"/>
        </w:rPr>
        <w:t xml:space="preserve"> </w:t>
      </w:r>
      <w:r w:rsidRPr="002A4A4D" w:rsidR="004A76F7">
        <w:rPr>
          <w:rFonts w:ascii="Times New Roman" w:hAnsi="Times New Roman" w:cs="Times New Roman"/>
        </w:rPr>
        <w:t xml:space="preserve"> </w:t>
      </w:r>
    </w:p>
    <w:p w:rsidR="006B1B16" w:rsidRPr="00E67B37" w:rsidP="00E67B37" w14:paraId="21F1B5C4" w14:textId="6584ED05">
      <w:pPr>
        <w:pStyle w:val="ListParagraph"/>
        <w:numPr>
          <w:ilvl w:val="0"/>
          <w:numId w:val="38"/>
        </w:numPr>
        <w:ind w:left="0" w:firstLine="720"/>
        <w:contextualSpacing w:val="0"/>
        <w:rPr>
          <w:rFonts w:ascii="Times New Roman" w:hAnsi="Times New Roman" w:cs="Times New Roman"/>
        </w:rPr>
      </w:pPr>
      <w:r>
        <w:rPr>
          <w:rFonts w:ascii="Times New Roman" w:hAnsi="Times New Roman" w:cs="Times New Roman"/>
        </w:rPr>
        <w:t>T</w:t>
      </w:r>
      <w:r w:rsidRPr="00DC7FF4" w:rsidR="5B79F6E9">
        <w:rPr>
          <w:rFonts w:ascii="Times New Roman" w:hAnsi="Times New Roman" w:cs="Times New Roman"/>
        </w:rPr>
        <w:t xml:space="preserve">he </w:t>
      </w:r>
      <w:r w:rsidRPr="00DC7FF4" w:rsidR="00AB48DF">
        <w:rPr>
          <w:rFonts w:ascii="Times New Roman" w:hAnsi="Times New Roman" w:cs="Times New Roman"/>
        </w:rPr>
        <w:t xml:space="preserve">Commission’s </w:t>
      </w:r>
      <w:r w:rsidRPr="00DC7FF4" w:rsidR="5B79F6E9">
        <w:rPr>
          <w:rFonts w:ascii="Times New Roman" w:hAnsi="Times New Roman" w:cs="Times New Roman"/>
        </w:rPr>
        <w:t xml:space="preserve">Enforcement Bureau </w:t>
      </w:r>
      <w:r w:rsidRPr="00DC7FF4" w:rsidR="00AB48DF">
        <w:rPr>
          <w:rFonts w:ascii="Times New Roman" w:hAnsi="Times New Roman" w:cs="Times New Roman"/>
        </w:rPr>
        <w:t xml:space="preserve">(Bureau) issued a letter of inquiry (LOI), initiating an investigation into whether </w:t>
      </w:r>
      <w:r w:rsidR="00894E53">
        <w:rPr>
          <w:rFonts w:ascii="Times New Roman" w:hAnsi="Times New Roman" w:cs="Times New Roman"/>
        </w:rPr>
        <w:t>VoxNet</w:t>
      </w:r>
      <w:r w:rsidRPr="00DC7FF4" w:rsidR="00894E53">
        <w:rPr>
          <w:rFonts w:ascii="Times New Roman" w:hAnsi="Times New Roman" w:cs="Times New Roman"/>
        </w:rPr>
        <w:t xml:space="preserve"> </w:t>
      </w:r>
      <w:r w:rsidRPr="00DC7FF4" w:rsidR="00AB48DF">
        <w:rPr>
          <w:rFonts w:ascii="Times New Roman" w:hAnsi="Times New Roman" w:cs="Times New Roman"/>
        </w:rPr>
        <w:t>may have violated section 214 of the Act and the Commission’s rules pertaining to the ownership and operation of domestic telecommunications service.</w:t>
      </w:r>
      <w:r>
        <w:rPr>
          <w:rStyle w:val="FootnoteReference"/>
          <w:rFonts w:ascii="Times New Roman" w:hAnsi="Times New Roman" w:cs="Times New Roman"/>
          <w:sz w:val="20"/>
          <w:szCs w:val="20"/>
        </w:rPr>
        <w:footnoteReference w:id="25"/>
      </w:r>
      <w:r w:rsidRPr="000D450D" w:rsidR="00AB48DF">
        <w:rPr>
          <w:rFonts w:ascii="Times New Roman" w:hAnsi="Times New Roman" w:cs="Times New Roman"/>
          <w:sz w:val="20"/>
          <w:szCs w:val="20"/>
        </w:rPr>
        <w:t xml:space="preserve">  </w:t>
      </w:r>
      <w:r w:rsidR="00894E53">
        <w:rPr>
          <w:rFonts w:ascii="Times New Roman" w:hAnsi="Times New Roman" w:cs="Times New Roman"/>
        </w:rPr>
        <w:t>VoxNet</w:t>
      </w:r>
      <w:r w:rsidRPr="00DC7FF4" w:rsidR="00894E53">
        <w:rPr>
          <w:rFonts w:ascii="Times New Roman" w:hAnsi="Times New Roman" w:cs="Times New Roman"/>
        </w:rPr>
        <w:t xml:space="preserve"> </w:t>
      </w:r>
      <w:r w:rsidRPr="00DC7FF4" w:rsidR="00AB48DF">
        <w:rPr>
          <w:rFonts w:ascii="Times New Roman" w:hAnsi="Times New Roman" w:cs="Times New Roman"/>
        </w:rPr>
        <w:t>responded to the LOI on</w:t>
      </w:r>
      <w:r w:rsidR="00894E53">
        <w:rPr>
          <w:rFonts w:ascii="Times New Roman" w:hAnsi="Times New Roman" w:cs="Times New Roman"/>
        </w:rPr>
        <w:t xml:space="preserve"> February 15, 2022</w:t>
      </w:r>
      <w:r w:rsidRPr="00DC7FF4" w:rsidR="00AB48DF">
        <w:rPr>
          <w:rFonts w:ascii="Times New Roman" w:hAnsi="Times New Roman" w:cs="Times New Roman"/>
        </w:rPr>
        <w:t>.</w:t>
      </w:r>
      <w:r>
        <w:rPr>
          <w:rStyle w:val="FootnoteReference"/>
          <w:rFonts w:ascii="Times New Roman" w:hAnsi="Times New Roman" w:cs="Times New Roman"/>
          <w:sz w:val="20"/>
          <w:szCs w:val="20"/>
        </w:rPr>
        <w:footnoteReference w:id="26"/>
      </w:r>
    </w:p>
    <w:p w:rsidR="5EAEE9E5" w:rsidRPr="00CD42D6" w:rsidP="000A2815" w14:paraId="5DC6CCE0" w14:textId="5F945999">
      <w:pPr>
        <w:pStyle w:val="ParaNum"/>
        <w:numPr>
          <w:ilvl w:val="0"/>
          <w:numId w:val="14"/>
        </w:numPr>
        <w:tabs>
          <w:tab w:val="left" w:pos="720"/>
        </w:tabs>
        <w:ind w:left="720" w:hanging="720"/>
        <w:rPr>
          <w:rFonts w:ascii="Times New Roman" w:hAnsi="Times New Roman" w:eastAsiaTheme="minorEastAsia" w:cs="Times New Roman"/>
          <w:b/>
          <w:bCs/>
          <w:color w:val="000000" w:themeColor="text1"/>
        </w:rPr>
      </w:pPr>
      <w:r w:rsidRPr="00CD42D6">
        <w:rPr>
          <w:rFonts w:ascii="Times New Roman" w:eastAsia="Times New Roman" w:hAnsi="Times New Roman" w:cs="Times New Roman"/>
          <w:b/>
          <w:bCs/>
          <w:color w:val="000000" w:themeColor="text1"/>
        </w:rPr>
        <w:t>DISCUSSION</w:t>
      </w:r>
    </w:p>
    <w:p w:rsidR="002D3082" w:rsidRPr="00CD42D6" w:rsidP="00CD42D6" w14:paraId="74BA32DC" w14:textId="3512F8BB">
      <w:pPr>
        <w:pStyle w:val="ListParagraph"/>
        <w:numPr>
          <w:ilvl w:val="0"/>
          <w:numId w:val="38"/>
        </w:numPr>
        <w:ind w:left="0" w:firstLine="720"/>
        <w:rPr>
          <w:rFonts w:ascii="Times New Roman" w:hAnsi="Times New Roman" w:cs="Times New Roman"/>
        </w:rPr>
      </w:pPr>
      <w:r w:rsidRPr="00CD42D6">
        <w:rPr>
          <w:rFonts w:ascii="Times New Roman" w:hAnsi="Times New Roman" w:cs="Times New Roman"/>
        </w:rPr>
        <w:t>Under section 503(b)(1) of the Act, any person who is determined by the Commission to have failed</w:t>
      </w:r>
      <w:r w:rsidR="006B1B16">
        <w:rPr>
          <w:rFonts w:ascii="Times New Roman" w:hAnsi="Times New Roman" w:cs="Times New Roman"/>
        </w:rPr>
        <w:t xml:space="preserve"> </w:t>
      </w:r>
      <w:r w:rsidRPr="00CD42D6" w:rsidR="006B1B16">
        <w:rPr>
          <w:rFonts w:ascii="Times New Roman" w:hAnsi="Times New Roman" w:cs="Times New Roman"/>
        </w:rPr>
        <w:t>willfully or repeatedly</w:t>
      </w:r>
      <w:r w:rsidRPr="00CD42D6">
        <w:rPr>
          <w:rFonts w:ascii="Times New Roman" w:hAnsi="Times New Roman" w:cs="Times New Roman"/>
        </w:rPr>
        <w:t xml:space="preserve"> to comply with any provision of the Act or any rule, regulation, or order issued by the Commission shall be liable to the United States for a forfeiture penalty.</w:t>
      </w:r>
      <w:r>
        <w:rPr>
          <w:rStyle w:val="FootnoteReference"/>
          <w:rFonts w:ascii="Times New Roman" w:hAnsi="Times New Roman" w:eastAsiaTheme="majorEastAsia" w:cs="Times New Roman"/>
          <w:sz w:val="20"/>
          <w:szCs w:val="20"/>
        </w:rPr>
        <w:footnoteReference w:id="27"/>
      </w:r>
      <w:r w:rsidRPr="000D450D">
        <w:rPr>
          <w:rFonts w:ascii="Times New Roman" w:hAnsi="Times New Roman" w:cs="Times New Roman"/>
          <w:sz w:val="20"/>
          <w:szCs w:val="20"/>
        </w:rPr>
        <w:t xml:space="preserve"> </w:t>
      </w:r>
      <w:r w:rsidRPr="00CD42D6">
        <w:rPr>
          <w:rFonts w:ascii="Times New Roman" w:hAnsi="Times New Roman" w:cs="Times New Roman"/>
        </w:rPr>
        <w:t xml:space="preserve"> Section 312(f)(1) of the Act defines willful as “the conscious and deliberate commission or omission of [any] act, </w:t>
      </w:r>
      <w:r w:rsidRPr="00CD42D6">
        <w:rPr>
          <w:rFonts w:ascii="Times New Roman" w:hAnsi="Times New Roman" w:cs="Times New Roman"/>
        </w:rPr>
        <w:t>irrespective of any intent to violate” the law.</w:t>
      </w:r>
      <w:r>
        <w:rPr>
          <w:rStyle w:val="FootnoteReference"/>
          <w:rFonts w:ascii="Times New Roman" w:hAnsi="Times New Roman" w:eastAsiaTheme="majorEastAsia" w:cs="Times New Roman"/>
          <w:sz w:val="20"/>
          <w:szCs w:val="20"/>
        </w:rPr>
        <w:footnoteReference w:id="28"/>
      </w:r>
      <w:r w:rsidRPr="00CD42D6">
        <w:rPr>
          <w:rFonts w:ascii="Times New Roman" w:hAnsi="Times New Roman" w:cs="Times New Roman"/>
        </w:rPr>
        <w:t xml:space="preserve">  The legislative history of section 312(f)(1) of the Act clarifies that this definition applies to both sections 312 and 503(b) of the Act</w:t>
      </w:r>
      <w:r>
        <w:rPr>
          <w:rStyle w:val="FootnoteReference"/>
          <w:rFonts w:ascii="Times New Roman" w:hAnsi="Times New Roman" w:eastAsiaTheme="majorEastAsia" w:cs="Times New Roman"/>
          <w:sz w:val="20"/>
          <w:szCs w:val="20"/>
        </w:rPr>
        <w:footnoteReference w:id="29"/>
      </w:r>
      <w:r w:rsidRPr="000D450D">
        <w:rPr>
          <w:rFonts w:ascii="Times New Roman" w:hAnsi="Times New Roman" w:cs="Times New Roman"/>
          <w:sz w:val="20"/>
          <w:szCs w:val="20"/>
        </w:rPr>
        <w:t xml:space="preserve"> </w:t>
      </w:r>
      <w:r w:rsidRPr="00CD42D6">
        <w:rPr>
          <w:rFonts w:ascii="Times New Roman" w:hAnsi="Times New Roman" w:cs="Times New Roman"/>
        </w:rPr>
        <w:t>and the Commission has so interpreted the term in the section 503(b) context.</w:t>
      </w:r>
      <w:r>
        <w:rPr>
          <w:rStyle w:val="FootnoteReference"/>
          <w:rFonts w:ascii="Times New Roman" w:hAnsi="Times New Roman" w:eastAsiaTheme="majorEastAsia" w:cs="Times New Roman"/>
          <w:sz w:val="20"/>
          <w:szCs w:val="20"/>
        </w:rPr>
        <w:footnoteReference w:id="30"/>
      </w:r>
      <w:r w:rsidRPr="00CD42D6">
        <w:rPr>
          <w:rFonts w:ascii="Times New Roman" w:hAnsi="Times New Roman" w:cs="Times New Roman"/>
        </w:rPr>
        <w:t xml:space="preserve">  The Commission may also assess a forfeiture for violations that are merely repeated, and not willful.</w:t>
      </w:r>
      <w:r>
        <w:rPr>
          <w:rStyle w:val="FootnoteReference"/>
          <w:rFonts w:ascii="Times New Roman" w:hAnsi="Times New Roman" w:eastAsiaTheme="majorEastAsia" w:cs="Times New Roman"/>
          <w:sz w:val="20"/>
          <w:szCs w:val="20"/>
        </w:rPr>
        <w:footnoteReference w:id="31"/>
      </w:r>
      <w:r w:rsidRPr="00CD42D6">
        <w:rPr>
          <w:rFonts w:ascii="Times New Roman" w:hAnsi="Times New Roman" w:cs="Times New Roman"/>
        </w:rPr>
        <w:t xml:space="preserve"> </w:t>
      </w:r>
      <w:r w:rsidRPr="00CD42D6">
        <w:rPr>
          <w:rFonts w:ascii="Times New Roman" w:hAnsi="Times New Roman" w:cs="Times New Roman"/>
          <w:i/>
        </w:rPr>
        <w:t xml:space="preserve"> </w:t>
      </w:r>
      <w:r w:rsidRPr="00CD42D6">
        <w:rPr>
          <w:rFonts w:ascii="Times New Roman" w:hAnsi="Times New Roman" w:cs="Times New Roman"/>
        </w:rPr>
        <w:t>“Repeated” means that the act was committed or omitted more than once, or lasts more than one day.</w:t>
      </w:r>
      <w:r>
        <w:rPr>
          <w:rStyle w:val="FootnoteReference"/>
          <w:rFonts w:ascii="Times New Roman" w:hAnsi="Times New Roman" w:eastAsiaTheme="majorEastAsia" w:cs="Times New Roman"/>
          <w:sz w:val="20"/>
          <w:szCs w:val="20"/>
        </w:rPr>
        <w:footnoteReference w:id="32"/>
      </w:r>
      <w:r w:rsidRPr="000D450D">
        <w:rPr>
          <w:rFonts w:ascii="Times New Roman" w:hAnsi="Times New Roman" w:cs="Times New Roman"/>
          <w:sz w:val="20"/>
          <w:szCs w:val="20"/>
        </w:rPr>
        <w:t xml:space="preserve"> </w:t>
      </w:r>
      <w:r w:rsidRPr="00CD42D6">
        <w:rPr>
          <w:rFonts w:ascii="Times New Roman" w:hAnsi="Times New Roman" w:cs="Times New Roman"/>
        </w:rPr>
        <w:t xml:space="preserve"> To impose such a forfeiture penalty, the Commission must issue a notice of apparent liability</w:t>
      </w:r>
      <w:r w:rsidR="0046556E">
        <w:rPr>
          <w:rFonts w:ascii="Times New Roman" w:hAnsi="Times New Roman" w:cs="Times New Roman"/>
        </w:rPr>
        <w:t>,</w:t>
      </w:r>
      <w:r w:rsidRPr="00CD42D6">
        <w:rPr>
          <w:rFonts w:ascii="Times New Roman" w:hAnsi="Times New Roman" w:cs="Times New Roman"/>
        </w:rPr>
        <w:t xml:space="preserve"> and the person against whom the notice has been issued must have an opportunity to show, in writing, why no such forfeiture penalty should be imposed.</w:t>
      </w:r>
      <w:r>
        <w:rPr>
          <w:rStyle w:val="FootnoteReference"/>
          <w:rFonts w:ascii="Times New Roman" w:hAnsi="Times New Roman" w:eastAsiaTheme="majorEastAsia" w:cs="Times New Roman"/>
          <w:sz w:val="20"/>
          <w:szCs w:val="20"/>
        </w:rPr>
        <w:footnoteReference w:id="33"/>
      </w:r>
      <w:r w:rsidRPr="00CD42D6">
        <w:rPr>
          <w:rFonts w:ascii="Times New Roman" w:hAnsi="Times New Roman" w:cs="Times New Roman"/>
        </w:rPr>
        <w:t xml:space="preserve">  The Commission will then issue a forfeiture if it finds by a preponderance of the evidence that the person has violated the Act or a Commission rule.</w:t>
      </w:r>
      <w:r>
        <w:rPr>
          <w:rStyle w:val="FootnoteReference"/>
          <w:rFonts w:ascii="Times New Roman" w:hAnsi="Times New Roman" w:eastAsiaTheme="majorEastAsia" w:cs="Times New Roman"/>
          <w:sz w:val="20"/>
          <w:szCs w:val="20"/>
        </w:rPr>
        <w:footnoteReference w:id="34"/>
      </w:r>
      <w:r w:rsidRPr="000D450D">
        <w:rPr>
          <w:rFonts w:ascii="Times New Roman" w:hAnsi="Times New Roman" w:cs="Times New Roman"/>
          <w:sz w:val="20"/>
          <w:szCs w:val="20"/>
        </w:rPr>
        <w:t xml:space="preserve">  </w:t>
      </w:r>
    </w:p>
    <w:p w:rsidR="00597F0E" w:rsidP="000A2815" w14:paraId="0FCCFF35" w14:textId="34A4799C">
      <w:pPr>
        <w:pStyle w:val="ParaNum"/>
        <w:numPr>
          <w:ilvl w:val="0"/>
          <w:numId w:val="19"/>
        </w:numPr>
        <w:tabs>
          <w:tab w:val="clear" w:pos="1080"/>
          <w:tab w:val="left" w:pos="1440"/>
        </w:tabs>
        <w:ind w:left="1440" w:hanging="720"/>
        <w:rPr>
          <w:rFonts w:ascii="Times New Roman" w:eastAsia="Times New Roman" w:hAnsi="Times New Roman" w:cs="Times New Roman"/>
          <w:b/>
          <w:bCs/>
          <w:color w:val="000000" w:themeColor="text1"/>
        </w:rPr>
      </w:pPr>
      <w:r>
        <w:rPr>
          <w:rFonts w:ascii="Times New Roman" w:eastAsia="Times New Roman" w:hAnsi="Times New Roman" w:cs="Times New Roman"/>
          <w:b/>
          <w:bCs/>
          <w:color w:val="000000" w:themeColor="text1"/>
        </w:rPr>
        <w:t xml:space="preserve">VoxNet </w:t>
      </w:r>
      <w:r>
        <w:rPr>
          <w:rFonts w:ascii="Times New Roman" w:eastAsia="Times New Roman" w:hAnsi="Times New Roman" w:cs="Times New Roman"/>
          <w:b/>
          <w:bCs/>
          <w:color w:val="000000" w:themeColor="text1"/>
        </w:rPr>
        <w:t>Apparently Violated</w:t>
      </w:r>
      <w:r w:rsidR="00065BF9">
        <w:rPr>
          <w:rFonts w:ascii="Times New Roman" w:eastAsia="Times New Roman" w:hAnsi="Times New Roman" w:cs="Times New Roman"/>
          <w:b/>
          <w:bCs/>
          <w:color w:val="000000" w:themeColor="text1"/>
        </w:rPr>
        <w:t xml:space="preserve"> Section 214 of the Act and</w:t>
      </w:r>
      <w:r>
        <w:rPr>
          <w:rFonts w:ascii="Times New Roman" w:eastAsia="Times New Roman" w:hAnsi="Times New Roman" w:cs="Times New Roman"/>
          <w:b/>
          <w:bCs/>
          <w:color w:val="000000" w:themeColor="text1"/>
        </w:rPr>
        <w:t xml:space="preserve"> Sections 63.03</w:t>
      </w:r>
      <w:r w:rsidR="00CE7134">
        <w:rPr>
          <w:rFonts w:ascii="Times New Roman" w:eastAsia="Times New Roman" w:hAnsi="Times New Roman" w:cs="Times New Roman"/>
          <w:b/>
          <w:bCs/>
          <w:color w:val="000000" w:themeColor="text1"/>
        </w:rPr>
        <w:t xml:space="preserve"> and</w:t>
      </w:r>
      <w:r>
        <w:rPr>
          <w:rFonts w:ascii="Times New Roman" w:eastAsia="Times New Roman" w:hAnsi="Times New Roman" w:cs="Times New Roman"/>
          <w:b/>
          <w:bCs/>
          <w:color w:val="000000" w:themeColor="text1"/>
        </w:rPr>
        <w:t xml:space="preserve"> 63.04 of the Commission’s Rules </w:t>
      </w:r>
    </w:p>
    <w:p w:rsidR="002D3082" w:rsidRPr="00DC7FF4" w:rsidP="00DC7FF4" w14:paraId="0A42EA80" w14:textId="027D340A">
      <w:pPr>
        <w:pStyle w:val="ListParagraph"/>
        <w:numPr>
          <w:ilvl w:val="0"/>
          <w:numId w:val="38"/>
        </w:numPr>
        <w:ind w:left="0" w:firstLine="720"/>
        <w:contextualSpacing w:val="0"/>
        <w:rPr>
          <w:rFonts w:ascii="Times New Roman" w:hAnsi="Times New Roman" w:cs="Times New Roman"/>
        </w:rPr>
      </w:pPr>
      <w:r w:rsidRPr="00DC7FF4">
        <w:rPr>
          <w:rFonts w:ascii="Times New Roman" w:hAnsi="Times New Roman" w:cs="Times New Roman"/>
        </w:rPr>
        <w:t xml:space="preserve">The Commission’s rules require telecommunications carriers </w:t>
      </w:r>
      <w:r w:rsidR="0046556E">
        <w:rPr>
          <w:rFonts w:ascii="Times New Roman" w:hAnsi="Times New Roman" w:cs="Times New Roman"/>
        </w:rPr>
        <w:t>that</w:t>
      </w:r>
      <w:r w:rsidRPr="00DC7FF4">
        <w:rPr>
          <w:rFonts w:ascii="Times New Roman" w:hAnsi="Times New Roman" w:cs="Times New Roman"/>
        </w:rPr>
        <w:t xml:space="preserve"> hold a section 214 authorization to obtain Commission approval prior to any substantial transfer of control</w:t>
      </w:r>
      <w:r w:rsidR="0027365D">
        <w:rPr>
          <w:rFonts w:ascii="Times New Roman" w:hAnsi="Times New Roman" w:cs="Times New Roman"/>
        </w:rPr>
        <w:t xml:space="preserve"> or acquisitions of assets</w:t>
      </w:r>
      <w:r w:rsidRPr="00DC7FF4">
        <w:rPr>
          <w:rFonts w:ascii="Times New Roman" w:hAnsi="Times New Roman" w:cs="Times New Roman"/>
        </w:rPr>
        <w:t>.</w:t>
      </w:r>
      <w:r>
        <w:rPr>
          <w:rStyle w:val="FootnoteReference"/>
          <w:rFonts w:ascii="Times New Roman" w:hAnsi="Times New Roman" w:cs="Times New Roman"/>
          <w:sz w:val="20"/>
          <w:szCs w:val="20"/>
        </w:rPr>
        <w:footnoteReference w:id="35"/>
      </w:r>
      <w:r w:rsidRPr="00DC7FF4">
        <w:rPr>
          <w:rFonts w:ascii="Times New Roman" w:hAnsi="Times New Roman" w:cs="Times New Roman"/>
        </w:rPr>
        <w:t xml:space="preserve">  When a telecommunications provider </w:t>
      </w:r>
      <w:r w:rsidR="00A54675">
        <w:rPr>
          <w:rFonts w:ascii="Times New Roman" w:hAnsi="Times New Roman" w:cs="Times New Roman"/>
        </w:rPr>
        <w:t xml:space="preserve">fails to </w:t>
      </w:r>
      <w:r w:rsidR="00F36018">
        <w:rPr>
          <w:rFonts w:ascii="Times New Roman" w:hAnsi="Times New Roman" w:cs="Times New Roman"/>
        </w:rPr>
        <w:t>seek approval from</w:t>
      </w:r>
      <w:r w:rsidRPr="00DC7FF4" w:rsidR="00F36018">
        <w:rPr>
          <w:rFonts w:ascii="Times New Roman" w:hAnsi="Times New Roman" w:cs="Times New Roman"/>
        </w:rPr>
        <w:t xml:space="preserve"> </w:t>
      </w:r>
      <w:r w:rsidRPr="00DC7FF4">
        <w:rPr>
          <w:rFonts w:ascii="Times New Roman" w:hAnsi="Times New Roman" w:cs="Times New Roman"/>
        </w:rPr>
        <w:t xml:space="preserve">the Commission </w:t>
      </w:r>
      <w:r w:rsidR="00F36018">
        <w:rPr>
          <w:rFonts w:ascii="Times New Roman" w:hAnsi="Times New Roman" w:cs="Times New Roman"/>
        </w:rPr>
        <w:t>for</w:t>
      </w:r>
      <w:r w:rsidRPr="00DC7FF4" w:rsidR="00F36018">
        <w:rPr>
          <w:rFonts w:ascii="Times New Roman" w:hAnsi="Times New Roman" w:cs="Times New Roman"/>
        </w:rPr>
        <w:t xml:space="preserve"> </w:t>
      </w:r>
      <w:r w:rsidRPr="00DC7FF4">
        <w:rPr>
          <w:rFonts w:ascii="Times New Roman" w:hAnsi="Times New Roman" w:cs="Times New Roman"/>
        </w:rPr>
        <w:t xml:space="preserve">a substantial transfer of control, the Commission might not have </w:t>
      </w:r>
      <w:r w:rsidR="004F1672">
        <w:rPr>
          <w:rFonts w:ascii="Times New Roman" w:hAnsi="Times New Roman" w:cs="Times New Roman"/>
        </w:rPr>
        <w:t xml:space="preserve">a </w:t>
      </w:r>
      <w:r w:rsidRPr="00DC7FF4">
        <w:rPr>
          <w:rFonts w:ascii="Times New Roman" w:hAnsi="Times New Roman" w:cs="Times New Roman"/>
        </w:rPr>
        <w:t xml:space="preserve">proper record of all carriers.  Violations of these transfer of control notification requirements are significant because </w:t>
      </w:r>
      <w:r w:rsidR="001C0640">
        <w:rPr>
          <w:rFonts w:ascii="Times New Roman" w:hAnsi="Times New Roman" w:cs="Times New Roman"/>
        </w:rPr>
        <w:t>they</w:t>
      </w:r>
      <w:r w:rsidRPr="00DC7FF4">
        <w:rPr>
          <w:rFonts w:ascii="Times New Roman" w:hAnsi="Times New Roman" w:cs="Times New Roman"/>
        </w:rPr>
        <w:t xml:space="preserve"> impede the Commission’s ability to</w:t>
      </w:r>
      <w:r w:rsidR="00AC0960">
        <w:rPr>
          <w:rFonts w:ascii="Times New Roman" w:hAnsi="Times New Roman" w:cs="Times New Roman"/>
        </w:rPr>
        <w:t xml:space="preserve"> regulate telecommunications carriers by</w:t>
      </w:r>
      <w:r w:rsidRPr="00DC7FF4">
        <w:rPr>
          <w:rFonts w:ascii="Times New Roman" w:hAnsi="Times New Roman" w:cs="Times New Roman"/>
        </w:rPr>
        <w:t xml:space="preserve"> keep</w:t>
      </w:r>
      <w:r w:rsidR="00AC0960">
        <w:rPr>
          <w:rFonts w:ascii="Times New Roman" w:hAnsi="Times New Roman" w:cs="Times New Roman"/>
        </w:rPr>
        <w:t>ing</w:t>
      </w:r>
      <w:r w:rsidRPr="00DC7FF4">
        <w:rPr>
          <w:rFonts w:ascii="Times New Roman" w:hAnsi="Times New Roman" w:cs="Times New Roman"/>
        </w:rPr>
        <w:t xml:space="preserve"> track of </w:t>
      </w:r>
      <w:r w:rsidR="003A3989">
        <w:rPr>
          <w:rFonts w:ascii="Times New Roman" w:hAnsi="Times New Roman" w:cs="Times New Roman"/>
        </w:rPr>
        <w:t>ownership of authorizations</w:t>
      </w:r>
      <w:r w:rsidR="002608DD">
        <w:rPr>
          <w:rFonts w:ascii="Times New Roman" w:hAnsi="Times New Roman" w:cs="Times New Roman"/>
        </w:rPr>
        <w:t>, as well as</w:t>
      </w:r>
      <w:r w:rsidR="00AC0960">
        <w:rPr>
          <w:rFonts w:ascii="Times New Roman" w:hAnsi="Times New Roman" w:cs="Times New Roman"/>
        </w:rPr>
        <w:t xml:space="preserve"> ascertaining whether to refer the </w:t>
      </w:r>
      <w:r w:rsidR="002608DD">
        <w:rPr>
          <w:rFonts w:ascii="Times New Roman" w:hAnsi="Times New Roman" w:cs="Times New Roman"/>
        </w:rPr>
        <w:t xml:space="preserve">transaction that results in a </w:t>
      </w:r>
      <w:r w:rsidR="00AC0960">
        <w:rPr>
          <w:rFonts w:ascii="Times New Roman" w:hAnsi="Times New Roman" w:cs="Times New Roman"/>
        </w:rPr>
        <w:t>transfer of control to the Executive Branch for further review to assess any national security, law enforcement, foreign policy, or trade policy concerns.</w:t>
      </w:r>
      <w:r w:rsidRPr="00DC7FF4">
        <w:rPr>
          <w:rFonts w:ascii="Times New Roman" w:hAnsi="Times New Roman" w:cs="Times New Roman"/>
        </w:rPr>
        <w:t xml:space="preserve">  </w:t>
      </w:r>
    </w:p>
    <w:p w:rsidR="003F1E47" w:rsidRPr="00DC7FF4" w:rsidP="00F71042" w14:paraId="0DE2594C" w14:textId="1847CB74">
      <w:pPr>
        <w:pStyle w:val="ListParagraph"/>
        <w:numPr>
          <w:ilvl w:val="0"/>
          <w:numId w:val="38"/>
        </w:numPr>
        <w:ind w:left="0" w:firstLine="720"/>
        <w:contextualSpacing w:val="0"/>
        <w:rPr>
          <w:rFonts w:ascii="Times New Roman" w:hAnsi="Times New Roman" w:cs="Times New Roman"/>
        </w:rPr>
      </w:pPr>
      <w:r>
        <w:rPr>
          <w:rFonts w:ascii="Times New Roman" w:hAnsi="Times New Roman" w:cs="Times New Roman"/>
        </w:rPr>
        <w:t>VoxNet</w:t>
      </w:r>
      <w:r w:rsidR="00A54675">
        <w:rPr>
          <w:rFonts w:ascii="Times New Roman" w:hAnsi="Times New Roman" w:cs="Times New Roman"/>
        </w:rPr>
        <w:t>’s</w:t>
      </w:r>
      <w:r>
        <w:rPr>
          <w:rFonts w:ascii="Times New Roman" w:hAnsi="Times New Roman" w:cs="Times New Roman"/>
        </w:rPr>
        <w:t xml:space="preserve"> </w:t>
      </w:r>
      <w:r w:rsidR="008C7721">
        <w:rPr>
          <w:rFonts w:ascii="Times New Roman" w:hAnsi="Times New Roman" w:cs="Times New Roman"/>
        </w:rPr>
        <w:t>transfer</w:t>
      </w:r>
      <w:r w:rsidR="00A54675">
        <w:rPr>
          <w:rFonts w:ascii="Times New Roman" w:hAnsi="Times New Roman" w:cs="Times New Roman"/>
        </w:rPr>
        <w:t xml:space="preserve"> of</w:t>
      </w:r>
      <w:r>
        <w:rPr>
          <w:rFonts w:ascii="Times New Roman" w:hAnsi="Times New Roman" w:cs="Times New Roman"/>
        </w:rPr>
        <w:t xml:space="preserve"> its </w:t>
      </w:r>
      <w:r w:rsidRPr="00F51CFB">
        <w:rPr>
          <w:rFonts w:ascii="Times New Roman" w:hAnsi="Times New Roman" w:cs="Times New Roman"/>
        </w:rPr>
        <w:t>customer base, contracts, and vendor contracts to Block Line</w:t>
      </w:r>
      <w:r>
        <w:rPr>
          <w:rFonts w:ascii="Times New Roman" w:hAnsi="Times New Roman" w:cs="Times New Roman"/>
        </w:rPr>
        <w:t xml:space="preserve"> as part of </w:t>
      </w:r>
      <w:r w:rsidR="001522C8">
        <w:rPr>
          <w:rFonts w:ascii="Times New Roman" w:hAnsi="Times New Roman" w:cs="Times New Roman"/>
        </w:rPr>
        <w:t xml:space="preserve">their </w:t>
      </w:r>
      <w:r>
        <w:rPr>
          <w:rFonts w:ascii="Times New Roman" w:hAnsi="Times New Roman" w:cs="Times New Roman"/>
        </w:rPr>
        <w:t xml:space="preserve">Asset Purchase Agreement constituted a transfer of control of VoxNet’s </w:t>
      </w:r>
      <w:r w:rsidR="00A44B08">
        <w:rPr>
          <w:rFonts w:ascii="Times New Roman" w:hAnsi="Times New Roman" w:cs="Times New Roman"/>
        </w:rPr>
        <w:t xml:space="preserve">telecommunications </w:t>
      </w:r>
      <w:r w:rsidR="008C7721">
        <w:rPr>
          <w:rFonts w:ascii="Times New Roman" w:hAnsi="Times New Roman" w:cs="Times New Roman"/>
        </w:rPr>
        <w:t xml:space="preserve">assets that are subject to its </w:t>
      </w:r>
      <w:r>
        <w:rPr>
          <w:rFonts w:ascii="Times New Roman" w:hAnsi="Times New Roman" w:cs="Times New Roman"/>
        </w:rPr>
        <w:t>domestic section 214 authori</w:t>
      </w:r>
      <w:r w:rsidR="001522C8">
        <w:rPr>
          <w:rFonts w:ascii="Times New Roman" w:hAnsi="Times New Roman" w:cs="Times New Roman"/>
        </w:rPr>
        <w:t>zation</w:t>
      </w:r>
      <w:r>
        <w:rPr>
          <w:rFonts w:ascii="Times New Roman" w:hAnsi="Times New Roman" w:cs="Times New Roman"/>
        </w:rPr>
        <w:t xml:space="preserve"> to provide service to its customer base.</w:t>
      </w:r>
      <w:r>
        <w:rPr>
          <w:rStyle w:val="FootnoteReference"/>
          <w:rFonts w:ascii="Times New Roman" w:hAnsi="Times New Roman" w:cs="Times New Roman"/>
          <w:sz w:val="20"/>
          <w:szCs w:val="20"/>
        </w:rPr>
        <w:footnoteReference w:id="36"/>
      </w:r>
      <w:r w:rsidRPr="000D450D" w:rsidR="00F71042">
        <w:rPr>
          <w:rFonts w:ascii="Times New Roman" w:hAnsi="Times New Roman" w:cs="Times New Roman"/>
          <w:sz w:val="20"/>
          <w:szCs w:val="20"/>
        </w:rPr>
        <w:t xml:space="preserve"> </w:t>
      </w:r>
      <w:r w:rsidR="00F71042">
        <w:rPr>
          <w:rFonts w:ascii="Times New Roman" w:hAnsi="Times New Roman" w:cs="Times New Roman"/>
        </w:rPr>
        <w:t xml:space="preserve"> VoxNet and Block Line </w:t>
      </w:r>
      <w:r w:rsidR="001522C8">
        <w:rPr>
          <w:rFonts w:ascii="Times New Roman" w:hAnsi="Times New Roman" w:cs="Times New Roman"/>
        </w:rPr>
        <w:t xml:space="preserve">acknowledged </w:t>
      </w:r>
      <w:r w:rsidR="000D0A57">
        <w:rPr>
          <w:rFonts w:ascii="Times New Roman" w:hAnsi="Times New Roman" w:cs="Times New Roman"/>
        </w:rPr>
        <w:t xml:space="preserve">their </w:t>
      </w:r>
      <w:r w:rsidR="001522C8">
        <w:rPr>
          <w:rFonts w:ascii="Times New Roman" w:hAnsi="Times New Roman" w:cs="Times New Roman"/>
        </w:rPr>
        <w:t xml:space="preserve">non-compliance with the Commission’s requirements for approval prior to </w:t>
      </w:r>
      <w:r w:rsidR="000D0A57">
        <w:rPr>
          <w:rFonts w:ascii="Times New Roman" w:hAnsi="Times New Roman" w:cs="Times New Roman"/>
        </w:rPr>
        <w:t>their transaction</w:t>
      </w:r>
      <w:r w:rsidR="001522C8">
        <w:rPr>
          <w:rFonts w:ascii="Times New Roman" w:hAnsi="Times New Roman" w:cs="Times New Roman"/>
        </w:rPr>
        <w:t xml:space="preserve"> in their</w:t>
      </w:r>
      <w:r w:rsidRPr="00DC7FF4" w:rsidR="002D3082">
        <w:rPr>
          <w:rFonts w:ascii="Times New Roman" w:hAnsi="Times New Roman" w:cs="Times New Roman"/>
        </w:rPr>
        <w:t xml:space="preserve"> joint application for the transfer of control and STA, notifying the Commission of the transaction</w:t>
      </w:r>
      <w:r w:rsidR="00F71042">
        <w:rPr>
          <w:rFonts w:ascii="Times New Roman" w:hAnsi="Times New Roman" w:cs="Times New Roman"/>
        </w:rPr>
        <w:t xml:space="preserve"> within 30 days of the </w:t>
      </w:r>
      <w:r w:rsidR="008C7721">
        <w:rPr>
          <w:rFonts w:ascii="Times New Roman" w:hAnsi="Times New Roman" w:cs="Times New Roman"/>
        </w:rPr>
        <w:t>transfer</w:t>
      </w:r>
      <w:r w:rsidRPr="00DC7FF4" w:rsidR="002D3082">
        <w:rPr>
          <w:rFonts w:ascii="Times New Roman" w:hAnsi="Times New Roman" w:cs="Times New Roman"/>
        </w:rPr>
        <w:t>.</w:t>
      </w:r>
      <w:r>
        <w:rPr>
          <w:rStyle w:val="FootnoteReference"/>
          <w:rFonts w:ascii="Times New Roman" w:hAnsi="Times New Roman" w:cs="Times New Roman"/>
          <w:sz w:val="20"/>
          <w:szCs w:val="20"/>
        </w:rPr>
        <w:footnoteReference w:id="37"/>
      </w:r>
      <w:r w:rsidRPr="000D450D" w:rsidR="002D3082">
        <w:rPr>
          <w:rFonts w:ascii="Times New Roman" w:hAnsi="Times New Roman" w:cs="Times New Roman"/>
          <w:sz w:val="20"/>
          <w:szCs w:val="20"/>
        </w:rPr>
        <w:t xml:space="preserve"> </w:t>
      </w:r>
      <w:r w:rsidRPr="00DC7FF4" w:rsidR="002D3082">
        <w:rPr>
          <w:rFonts w:ascii="Times New Roman" w:hAnsi="Times New Roman" w:cs="Times New Roman"/>
        </w:rPr>
        <w:t xml:space="preserve"> </w:t>
      </w:r>
      <w:r w:rsidR="000F7B77">
        <w:rPr>
          <w:rFonts w:ascii="Times New Roman" w:hAnsi="Times New Roman" w:cs="Times New Roman"/>
        </w:rPr>
        <w:t>T</w:t>
      </w:r>
      <w:r w:rsidR="001522C8">
        <w:rPr>
          <w:rFonts w:ascii="Times New Roman" w:hAnsi="Times New Roman" w:cs="Times New Roman"/>
        </w:rPr>
        <w:t xml:space="preserve">he </w:t>
      </w:r>
      <w:r w:rsidR="00A97BD8">
        <w:rPr>
          <w:rFonts w:ascii="Times New Roman" w:hAnsi="Times New Roman" w:cs="Times New Roman"/>
        </w:rPr>
        <w:t xml:space="preserve">Wireline Competition Bureau granted the STA </w:t>
      </w:r>
      <w:r w:rsidR="00F71042">
        <w:rPr>
          <w:rFonts w:ascii="Times New Roman" w:hAnsi="Times New Roman" w:cs="Times New Roman"/>
        </w:rPr>
        <w:t>on October 8</w:t>
      </w:r>
      <w:r w:rsidR="005A7B7A">
        <w:rPr>
          <w:rFonts w:ascii="Times New Roman" w:hAnsi="Times New Roman" w:cs="Times New Roman"/>
        </w:rPr>
        <w:t>,</w:t>
      </w:r>
      <w:r w:rsidR="00F71042">
        <w:rPr>
          <w:rFonts w:ascii="Times New Roman" w:hAnsi="Times New Roman" w:cs="Times New Roman"/>
        </w:rPr>
        <w:t xml:space="preserve"> </w:t>
      </w:r>
      <w:r w:rsidR="00A97BD8">
        <w:rPr>
          <w:rFonts w:ascii="Times New Roman" w:hAnsi="Times New Roman" w:cs="Times New Roman"/>
        </w:rPr>
        <w:t>2021</w:t>
      </w:r>
      <w:r w:rsidR="00F71042">
        <w:rPr>
          <w:rFonts w:ascii="Times New Roman" w:hAnsi="Times New Roman" w:cs="Times New Roman"/>
        </w:rPr>
        <w:t>.</w:t>
      </w:r>
    </w:p>
    <w:p w:rsidR="003F1E47" w:rsidRPr="00DC7FF4" w:rsidP="003F1E47" w14:paraId="30A162BD" w14:textId="4118748E">
      <w:pPr>
        <w:pStyle w:val="ListParagraph"/>
        <w:numPr>
          <w:ilvl w:val="0"/>
          <w:numId w:val="38"/>
        </w:numPr>
        <w:ind w:left="0" w:firstLine="720"/>
        <w:contextualSpacing w:val="0"/>
      </w:pPr>
      <w:r w:rsidRPr="0011057A">
        <w:rPr>
          <w:rFonts w:ascii="Times New Roman" w:hAnsi="Times New Roman" w:cs="Times New Roman"/>
        </w:rPr>
        <w:t>Pursuant to section</w:t>
      </w:r>
      <w:r w:rsidRPr="0011057A" w:rsidR="00607716">
        <w:rPr>
          <w:rFonts w:ascii="Times New Roman" w:hAnsi="Times New Roman" w:cs="Times New Roman"/>
        </w:rPr>
        <w:t>s 63.03 and</w:t>
      </w:r>
      <w:r w:rsidRPr="0011057A">
        <w:rPr>
          <w:rFonts w:ascii="Times New Roman" w:hAnsi="Times New Roman" w:cs="Times New Roman"/>
        </w:rPr>
        <w:t xml:space="preserve"> 63.0</w:t>
      </w:r>
      <w:r w:rsidRPr="0011057A" w:rsidR="00607716">
        <w:rPr>
          <w:rFonts w:ascii="Times New Roman" w:hAnsi="Times New Roman" w:cs="Times New Roman"/>
        </w:rPr>
        <w:t>4</w:t>
      </w:r>
      <w:r w:rsidRPr="0011057A">
        <w:rPr>
          <w:rFonts w:ascii="Times New Roman" w:hAnsi="Times New Roman" w:cs="Times New Roman"/>
        </w:rPr>
        <w:t xml:space="preserve"> of the </w:t>
      </w:r>
      <w:r w:rsidRPr="0011057A" w:rsidR="00607716">
        <w:rPr>
          <w:rFonts w:ascii="Times New Roman" w:hAnsi="Times New Roman" w:cs="Times New Roman"/>
        </w:rPr>
        <w:t>Commission’s rules,</w:t>
      </w:r>
      <w:r>
        <w:rPr>
          <w:rStyle w:val="FootnoteReference"/>
          <w:rFonts w:ascii="Times New Roman" w:hAnsi="Times New Roman" w:cs="Times New Roman"/>
          <w:sz w:val="20"/>
          <w:szCs w:val="20"/>
        </w:rPr>
        <w:footnoteReference w:id="38"/>
      </w:r>
      <w:r w:rsidRPr="000D450D" w:rsidR="00607716">
        <w:rPr>
          <w:rFonts w:ascii="Times New Roman" w:hAnsi="Times New Roman" w:cs="Times New Roman"/>
          <w:sz w:val="20"/>
          <w:szCs w:val="20"/>
        </w:rPr>
        <w:t xml:space="preserve"> </w:t>
      </w:r>
      <w:r w:rsidRPr="0011057A" w:rsidR="00607716">
        <w:rPr>
          <w:rFonts w:ascii="Times New Roman" w:hAnsi="Times New Roman" w:cs="Times New Roman"/>
        </w:rPr>
        <w:t>a domestic carrier seeking to transfer control of its 214 authorization</w:t>
      </w:r>
      <w:r w:rsidR="002C30FC">
        <w:rPr>
          <w:rFonts w:ascii="Times New Roman" w:hAnsi="Times New Roman" w:cs="Times New Roman"/>
        </w:rPr>
        <w:t>, or to acquire assets not resulting in loss of service,</w:t>
      </w:r>
      <w:r w:rsidRPr="0011057A" w:rsidR="00607716">
        <w:rPr>
          <w:rFonts w:ascii="Times New Roman" w:hAnsi="Times New Roman" w:cs="Times New Roman"/>
        </w:rPr>
        <w:t xml:space="preserve"> must file a domestic transfer of control application prior to the transaction.</w:t>
      </w:r>
      <w:r w:rsidRPr="0011057A">
        <w:rPr>
          <w:rFonts w:ascii="Times New Roman" w:hAnsi="Times New Roman" w:cs="Times New Roman"/>
        </w:rPr>
        <w:t xml:space="preserve"> </w:t>
      </w:r>
      <w:r w:rsidRPr="0011057A" w:rsidR="00607716">
        <w:rPr>
          <w:rFonts w:ascii="Times New Roman" w:hAnsi="Times New Roman" w:cs="Times New Roman"/>
        </w:rPr>
        <w:t xml:space="preserve"> </w:t>
      </w:r>
      <w:r w:rsidRPr="0011057A" w:rsidR="008309FB">
        <w:rPr>
          <w:rFonts w:ascii="Times New Roman" w:hAnsi="Times New Roman" w:cs="Times New Roman"/>
        </w:rPr>
        <w:t xml:space="preserve">VoxNet </w:t>
      </w:r>
      <w:r w:rsidRPr="0011057A" w:rsidR="00BC6212">
        <w:rPr>
          <w:rFonts w:ascii="Times New Roman" w:hAnsi="Times New Roman" w:cs="Times New Roman"/>
        </w:rPr>
        <w:t xml:space="preserve">did not submit an application and request for STA until after the transaction between </w:t>
      </w:r>
      <w:r w:rsidRPr="0011057A" w:rsidR="008309FB">
        <w:rPr>
          <w:rFonts w:ascii="Times New Roman" w:hAnsi="Times New Roman" w:cs="Times New Roman"/>
        </w:rPr>
        <w:t>VoxNet and Block Line</w:t>
      </w:r>
      <w:r w:rsidR="000D0A57">
        <w:rPr>
          <w:rFonts w:ascii="Times New Roman" w:hAnsi="Times New Roman" w:cs="Times New Roman"/>
        </w:rPr>
        <w:t xml:space="preserve"> had been consummated</w:t>
      </w:r>
      <w:r w:rsidRPr="0011057A" w:rsidR="00BC6212">
        <w:rPr>
          <w:rFonts w:ascii="Times New Roman" w:hAnsi="Times New Roman" w:cs="Times New Roman"/>
        </w:rPr>
        <w:t xml:space="preserve">.  We therefore conclude that </w:t>
      </w:r>
      <w:r w:rsidRPr="0011057A" w:rsidR="008309FB">
        <w:rPr>
          <w:rFonts w:ascii="Times New Roman" w:hAnsi="Times New Roman" w:cs="Times New Roman"/>
        </w:rPr>
        <w:t xml:space="preserve">VoxNet </w:t>
      </w:r>
      <w:r w:rsidRPr="0011057A" w:rsidR="00BC6212">
        <w:rPr>
          <w:rFonts w:ascii="Times New Roman" w:hAnsi="Times New Roman" w:cs="Times New Roman"/>
        </w:rPr>
        <w:t>apparently violat</w:t>
      </w:r>
      <w:r w:rsidRPr="0011057A" w:rsidR="00CA5AB6">
        <w:rPr>
          <w:rFonts w:ascii="Times New Roman" w:hAnsi="Times New Roman" w:cs="Times New Roman"/>
        </w:rPr>
        <w:t>ed</w:t>
      </w:r>
      <w:r w:rsidRPr="0011057A" w:rsidR="00BC6212">
        <w:rPr>
          <w:rFonts w:ascii="Times New Roman" w:hAnsi="Times New Roman" w:cs="Times New Roman"/>
        </w:rPr>
        <w:t xml:space="preserve"> section 214 of the Act and sections 63.03 and 63.04 of the Commission’s rules by transfer</w:t>
      </w:r>
      <w:r w:rsidRPr="0011057A" w:rsidR="001522C8">
        <w:rPr>
          <w:rFonts w:ascii="Times New Roman" w:hAnsi="Times New Roman" w:cs="Times New Roman"/>
        </w:rPr>
        <w:t>ring</w:t>
      </w:r>
      <w:r w:rsidRPr="0011057A" w:rsidR="00BC6212">
        <w:rPr>
          <w:rFonts w:ascii="Times New Roman" w:hAnsi="Times New Roman" w:cs="Times New Roman"/>
        </w:rPr>
        <w:t xml:space="preserve"> control of </w:t>
      </w:r>
      <w:r w:rsidR="008C7721">
        <w:rPr>
          <w:rFonts w:ascii="Times New Roman" w:hAnsi="Times New Roman" w:cs="Times New Roman"/>
        </w:rPr>
        <w:t xml:space="preserve">telecommunications assets that are subject to </w:t>
      </w:r>
      <w:r w:rsidRPr="0011057A" w:rsidR="00BC6212">
        <w:rPr>
          <w:rFonts w:ascii="Times New Roman" w:hAnsi="Times New Roman" w:cs="Times New Roman"/>
        </w:rPr>
        <w:t>its domestic section 214 authorization</w:t>
      </w:r>
      <w:r w:rsidRPr="0011057A" w:rsidR="001522C8">
        <w:rPr>
          <w:rFonts w:ascii="Times New Roman" w:hAnsi="Times New Roman" w:cs="Times New Roman"/>
        </w:rPr>
        <w:t xml:space="preserve"> to Block Line before requesting </w:t>
      </w:r>
      <w:r w:rsidR="008C7721">
        <w:rPr>
          <w:rFonts w:ascii="Times New Roman" w:hAnsi="Times New Roman" w:cs="Times New Roman"/>
        </w:rPr>
        <w:t xml:space="preserve">and receiving Commission </w:t>
      </w:r>
      <w:r w:rsidRPr="0011057A" w:rsidR="001522C8">
        <w:rPr>
          <w:rFonts w:ascii="Times New Roman" w:hAnsi="Times New Roman" w:cs="Times New Roman"/>
        </w:rPr>
        <w:t>approval to do so</w:t>
      </w:r>
      <w:r w:rsidRPr="0011057A" w:rsidR="00BC6212">
        <w:rPr>
          <w:rFonts w:ascii="Times New Roman" w:hAnsi="Times New Roman" w:cs="Times New Roman"/>
        </w:rPr>
        <w:t>.</w:t>
      </w:r>
      <w:r>
        <w:rPr>
          <w:rStyle w:val="FootnoteReference"/>
          <w:rFonts w:ascii="Times New Roman" w:hAnsi="Times New Roman" w:cs="Times New Roman"/>
          <w:sz w:val="20"/>
          <w:szCs w:val="20"/>
        </w:rPr>
        <w:footnoteReference w:id="39"/>
      </w:r>
      <w:r w:rsidRPr="000D450D" w:rsidR="00BC6212">
        <w:rPr>
          <w:rFonts w:ascii="Times New Roman" w:hAnsi="Times New Roman" w:cs="Times New Roman"/>
          <w:sz w:val="20"/>
          <w:szCs w:val="20"/>
        </w:rPr>
        <w:t xml:space="preserve"> </w:t>
      </w:r>
    </w:p>
    <w:p w:rsidR="00DB27B6" w:rsidRPr="00DC7FF4" w:rsidP="000A2815" w14:paraId="6415BA96" w14:textId="589442AB">
      <w:pPr>
        <w:pStyle w:val="ListParagraph"/>
        <w:numPr>
          <w:ilvl w:val="0"/>
          <w:numId w:val="19"/>
        </w:numPr>
        <w:ind w:left="1440" w:hanging="720"/>
        <w:contextualSpacing w:val="0"/>
        <w:rPr>
          <w:rFonts w:ascii="Times New Roman" w:hAnsi="Times New Roman" w:cs="Times New Roman"/>
          <w:b/>
          <w:bCs/>
        </w:rPr>
      </w:pPr>
      <w:r w:rsidRPr="00DC7FF4">
        <w:rPr>
          <w:rFonts w:ascii="Times New Roman" w:hAnsi="Times New Roman" w:cs="Times New Roman"/>
          <w:b/>
          <w:bCs/>
        </w:rPr>
        <w:t xml:space="preserve">Proposed Forfeiture </w:t>
      </w:r>
    </w:p>
    <w:p w:rsidR="00B15A22" w:rsidRPr="00DC7FF4" w:rsidP="00DC7FF4" w14:paraId="32FAFB57" w14:textId="4B9829C1">
      <w:pPr>
        <w:pStyle w:val="ListParagraph"/>
        <w:numPr>
          <w:ilvl w:val="0"/>
          <w:numId w:val="38"/>
        </w:numPr>
        <w:ind w:left="0" w:firstLine="720"/>
        <w:contextualSpacing w:val="0"/>
        <w:rPr>
          <w:rFonts w:ascii="Times New Roman" w:hAnsi="Times New Roman" w:cs="Times New Roman"/>
        </w:rPr>
      </w:pPr>
      <w:r w:rsidRPr="00DC7FF4">
        <w:rPr>
          <w:rFonts w:ascii="Times New Roman" w:hAnsi="Times New Roman" w:cs="Times New Roman"/>
        </w:rPr>
        <w:t>Section 503(b)</w:t>
      </w:r>
      <w:r w:rsidRPr="00DC7FF4">
        <w:rPr>
          <w:rFonts w:ascii="Times New Roman" w:hAnsi="Times New Roman" w:cs="Times New Roman"/>
        </w:rPr>
        <w:t>(1)</w:t>
      </w:r>
      <w:r w:rsidRPr="00DC7FF4">
        <w:rPr>
          <w:rFonts w:ascii="Times New Roman" w:hAnsi="Times New Roman" w:cs="Times New Roman"/>
        </w:rPr>
        <w:t xml:space="preserve"> of the Act authorizes the Commission to impose a forfeiture against any entity that “willfully or repeatedly fail[s] to comply </w:t>
      </w:r>
      <w:r w:rsidRPr="00DC7FF4">
        <w:rPr>
          <w:rFonts w:ascii="Times New Roman" w:hAnsi="Times New Roman" w:cs="Times New Roman"/>
        </w:rPr>
        <w:t xml:space="preserve">substantially with the terms and conditions of any license, permit, certificate or other instrument or authorization issued by the Commission” as well as or against an entity that “willfully or repeatedly fail[s] to comply </w:t>
      </w:r>
      <w:r w:rsidRPr="00DC7FF4">
        <w:rPr>
          <w:rFonts w:ascii="Times New Roman" w:hAnsi="Times New Roman" w:cs="Times New Roman"/>
        </w:rPr>
        <w:t>with any of the provisions of the [Act] or of any rule, regulation, or order issued by the Commission.</w:t>
      </w:r>
      <w:r w:rsidRPr="00DC7FF4">
        <w:rPr>
          <w:rFonts w:ascii="Times New Roman" w:hAnsi="Times New Roman" w:cs="Times New Roman"/>
        </w:rPr>
        <w:t>”</w:t>
      </w:r>
      <w:r>
        <w:rPr>
          <w:rStyle w:val="FootnoteReference"/>
          <w:rFonts w:ascii="Times New Roman" w:hAnsi="Times New Roman" w:cs="Times New Roman"/>
          <w:sz w:val="20"/>
          <w:szCs w:val="20"/>
        </w:rPr>
        <w:footnoteReference w:id="40"/>
      </w:r>
      <w:r w:rsidRPr="000D450D" w:rsidR="00B5494F">
        <w:rPr>
          <w:rFonts w:ascii="Times New Roman" w:hAnsi="Times New Roman" w:cs="Times New Roman"/>
          <w:sz w:val="20"/>
          <w:szCs w:val="20"/>
        </w:rPr>
        <w:t xml:space="preserve"> </w:t>
      </w:r>
      <w:r w:rsidRPr="00DC7FF4" w:rsidR="00B5494F">
        <w:rPr>
          <w:rFonts w:ascii="Times New Roman" w:hAnsi="Times New Roman" w:cs="Times New Roman"/>
        </w:rPr>
        <w:t xml:space="preserve"> </w:t>
      </w:r>
      <w:r w:rsidRPr="00DC7FF4">
        <w:rPr>
          <w:rFonts w:ascii="Times New Roman" w:hAnsi="Times New Roman" w:cs="Times New Roman"/>
        </w:rPr>
        <w:t>In exercising the Commission’s forfeiture authority, we must consider the “the nature, circumstances, extent and gravity of the violation, and, with respect to the violator, the degree of culpability, any history of prior offenses, ability to pay, and such other matters as justice may require.”</w:t>
      </w:r>
      <w:r>
        <w:rPr>
          <w:rStyle w:val="FootnoteReference"/>
          <w:rFonts w:ascii="Times New Roman" w:hAnsi="Times New Roman" w:eastAsiaTheme="majorEastAsia" w:cs="Times New Roman"/>
          <w:sz w:val="20"/>
          <w:szCs w:val="20"/>
        </w:rPr>
        <w:footnoteReference w:id="41"/>
      </w:r>
      <w:r w:rsidRPr="00DC7FF4">
        <w:rPr>
          <w:rFonts w:ascii="Times New Roman" w:hAnsi="Times New Roman" w:cs="Times New Roman"/>
        </w:rPr>
        <w:t xml:space="preserve">  </w:t>
      </w:r>
      <w:r w:rsidR="00597F0E">
        <w:rPr>
          <w:rFonts w:ascii="Times New Roman" w:hAnsi="Times New Roman" w:cs="Times New Roman"/>
        </w:rPr>
        <w:t>In addition, t</w:t>
      </w:r>
      <w:r w:rsidRPr="00F705C7" w:rsidR="00597F0E">
        <w:rPr>
          <w:rFonts w:ascii="Times New Roman" w:hAnsi="Times New Roman" w:cs="Times New Roman"/>
        </w:rPr>
        <w:t>he Commission has established forfeiture guidelines</w:t>
      </w:r>
      <w:r w:rsidR="00597F0E">
        <w:rPr>
          <w:rFonts w:ascii="Times New Roman" w:hAnsi="Times New Roman" w:cs="Times New Roman"/>
        </w:rPr>
        <w:t>;</w:t>
      </w:r>
      <w:r w:rsidRPr="00F705C7" w:rsidR="00597F0E">
        <w:rPr>
          <w:rFonts w:ascii="Times New Roman" w:hAnsi="Times New Roman" w:cs="Times New Roman"/>
        </w:rPr>
        <w:t xml:space="preserve"> </w:t>
      </w:r>
      <w:r w:rsidR="00597F0E">
        <w:rPr>
          <w:rFonts w:ascii="Times New Roman" w:hAnsi="Times New Roman" w:cs="Times New Roman"/>
        </w:rPr>
        <w:t>they</w:t>
      </w:r>
      <w:r w:rsidRPr="00F705C7" w:rsidR="00597F0E">
        <w:rPr>
          <w:rFonts w:ascii="Times New Roman" w:hAnsi="Times New Roman" w:cs="Times New Roman"/>
        </w:rPr>
        <w:t xml:space="preserve"> establish base penalties for certain violations and identify criteria that we consider when determining the appropriate penalty in any given case.</w:t>
      </w:r>
      <w:r>
        <w:rPr>
          <w:rStyle w:val="FootnoteReference"/>
          <w:rFonts w:ascii="Times New Roman" w:hAnsi="Times New Roman" w:cs="Times New Roman"/>
          <w:sz w:val="20"/>
          <w:szCs w:val="20"/>
        </w:rPr>
        <w:footnoteReference w:id="42"/>
      </w:r>
      <w:r w:rsidRPr="005D4219" w:rsidR="00597F0E">
        <w:rPr>
          <w:rFonts w:ascii="Times New Roman" w:hAnsi="Times New Roman" w:cs="Times New Roman"/>
          <w:sz w:val="20"/>
          <w:szCs w:val="20"/>
        </w:rPr>
        <w:t xml:space="preserve"> </w:t>
      </w:r>
      <w:r w:rsidR="00597F0E">
        <w:rPr>
          <w:rFonts w:ascii="Times New Roman" w:hAnsi="Times New Roman" w:cs="Times New Roman"/>
        </w:rPr>
        <w:t xml:space="preserve"> Under these guidelines, we may adjust a forfeiture upward for violations that are egregious, intentional, or repeated, or that cause substantial harm or generate </w:t>
      </w:r>
      <w:r w:rsidR="00CB2959">
        <w:rPr>
          <w:rFonts w:ascii="Times New Roman" w:hAnsi="Times New Roman" w:cs="Times New Roman"/>
        </w:rPr>
        <w:t>substantial</w:t>
      </w:r>
      <w:r w:rsidR="00597F0E">
        <w:rPr>
          <w:rFonts w:ascii="Times New Roman" w:hAnsi="Times New Roman" w:cs="Times New Roman"/>
        </w:rPr>
        <w:t xml:space="preserve"> economic gain for the violat</w:t>
      </w:r>
      <w:r w:rsidR="00CB2959">
        <w:rPr>
          <w:rFonts w:ascii="Times New Roman" w:hAnsi="Times New Roman" w:cs="Times New Roman"/>
        </w:rPr>
        <w:t>or.</w:t>
      </w:r>
      <w:r>
        <w:rPr>
          <w:rStyle w:val="FootnoteReference"/>
          <w:rFonts w:ascii="Times New Roman" w:hAnsi="Times New Roman" w:cs="Times New Roman"/>
          <w:sz w:val="20"/>
          <w:szCs w:val="20"/>
        </w:rPr>
        <w:footnoteReference w:id="43"/>
      </w:r>
      <w:r w:rsidRPr="005D4219" w:rsidR="00597F0E">
        <w:rPr>
          <w:rFonts w:ascii="Times New Roman" w:hAnsi="Times New Roman" w:cs="Times New Roman"/>
          <w:sz w:val="20"/>
          <w:szCs w:val="20"/>
        </w:rPr>
        <w:t xml:space="preserve"> </w:t>
      </w:r>
      <w:r w:rsidRPr="00F705C7" w:rsidR="00597F0E">
        <w:rPr>
          <w:rFonts w:ascii="Times New Roman" w:hAnsi="Times New Roman" w:cs="Times New Roman"/>
        </w:rPr>
        <w:t xml:space="preserve"> </w:t>
      </w:r>
    </w:p>
    <w:p w:rsidR="00A467CC" w:rsidRPr="00F705C7" w:rsidP="00DC7FF4" w14:paraId="676E2429" w14:textId="7C0601BD">
      <w:pPr>
        <w:pStyle w:val="ListParagraph"/>
        <w:numPr>
          <w:ilvl w:val="0"/>
          <w:numId w:val="38"/>
        </w:numPr>
        <w:ind w:left="0" w:firstLine="720"/>
        <w:contextualSpacing w:val="0"/>
        <w:rPr>
          <w:rFonts w:ascii="Times New Roman" w:hAnsi="Times New Roman" w:cs="Times New Roman"/>
        </w:rPr>
      </w:pPr>
      <w:r w:rsidRPr="00F705C7">
        <w:rPr>
          <w:rFonts w:ascii="Times New Roman" w:hAnsi="Times New Roman" w:cs="Times New Roman"/>
        </w:rPr>
        <w:t xml:space="preserve">We conclude that </w:t>
      </w:r>
      <w:r w:rsidR="00EC5EA9">
        <w:rPr>
          <w:rFonts w:ascii="Times New Roman" w:hAnsi="Times New Roman" w:cs="Times New Roman"/>
        </w:rPr>
        <w:t>VoxNet</w:t>
      </w:r>
      <w:r w:rsidRPr="00F705C7" w:rsidR="00EC5EA9">
        <w:rPr>
          <w:rFonts w:ascii="Times New Roman" w:hAnsi="Times New Roman" w:cs="Times New Roman"/>
        </w:rPr>
        <w:t xml:space="preserve"> </w:t>
      </w:r>
      <w:r w:rsidRPr="00F705C7">
        <w:rPr>
          <w:rFonts w:ascii="Times New Roman" w:hAnsi="Times New Roman" w:cs="Times New Roman"/>
        </w:rPr>
        <w:t>apparently failed to obtain Commission authorization</w:t>
      </w:r>
      <w:r w:rsidR="00F4297F">
        <w:rPr>
          <w:rFonts w:ascii="Times New Roman" w:hAnsi="Times New Roman" w:cs="Times New Roman"/>
        </w:rPr>
        <w:t xml:space="preserve"> prior to transferring</w:t>
      </w:r>
      <w:r w:rsidRPr="00F705C7">
        <w:rPr>
          <w:rFonts w:ascii="Times New Roman" w:hAnsi="Times New Roman" w:cs="Times New Roman"/>
        </w:rPr>
        <w:t xml:space="preserve"> </w:t>
      </w:r>
      <w:r w:rsidR="00F4297F">
        <w:rPr>
          <w:rFonts w:ascii="Times New Roman" w:hAnsi="Times New Roman" w:cs="Times New Roman"/>
        </w:rPr>
        <w:t xml:space="preserve">its </w:t>
      </w:r>
      <w:r w:rsidR="001B1BE7">
        <w:rPr>
          <w:rFonts w:ascii="Times New Roman" w:hAnsi="Times New Roman" w:cs="Times New Roman"/>
        </w:rPr>
        <w:t>assets</w:t>
      </w:r>
      <w:r w:rsidRPr="00F705C7" w:rsidR="001B1BE7">
        <w:rPr>
          <w:rFonts w:ascii="Times New Roman" w:hAnsi="Times New Roman" w:cs="Times New Roman"/>
        </w:rPr>
        <w:t xml:space="preserve"> </w:t>
      </w:r>
      <w:r w:rsidRPr="00F705C7">
        <w:rPr>
          <w:rFonts w:ascii="Times New Roman" w:hAnsi="Times New Roman" w:cs="Times New Roman"/>
        </w:rPr>
        <w:t xml:space="preserve">to </w:t>
      </w:r>
      <w:r w:rsidR="001522C8">
        <w:rPr>
          <w:rFonts w:ascii="Times New Roman" w:hAnsi="Times New Roman" w:cs="Times New Roman"/>
        </w:rPr>
        <w:t>Block Line</w:t>
      </w:r>
      <w:r w:rsidRPr="00F705C7">
        <w:rPr>
          <w:rFonts w:ascii="Times New Roman" w:hAnsi="Times New Roman" w:cs="Times New Roman"/>
        </w:rPr>
        <w:t xml:space="preserve">.  </w:t>
      </w:r>
      <w:r w:rsidRPr="00F705C7" w:rsidR="00A06868">
        <w:rPr>
          <w:rFonts w:ascii="Times New Roman" w:hAnsi="Times New Roman" w:cs="Times New Roman"/>
        </w:rPr>
        <w:t>Section 1.80(b) of the Commission’s rules establishes a base forfeiture of $8,000 for an unauthorized substantial transfer of control.</w:t>
      </w:r>
      <w:r>
        <w:rPr>
          <w:rStyle w:val="FootnoteReference"/>
          <w:rFonts w:ascii="Times New Roman" w:hAnsi="Times New Roman" w:cs="Times New Roman"/>
          <w:sz w:val="20"/>
          <w:szCs w:val="20"/>
        </w:rPr>
        <w:footnoteReference w:id="44"/>
      </w:r>
      <w:r w:rsidRPr="005D4219" w:rsidR="00A06868">
        <w:rPr>
          <w:rFonts w:ascii="Times New Roman" w:hAnsi="Times New Roman" w:cs="Times New Roman"/>
          <w:sz w:val="20"/>
          <w:szCs w:val="20"/>
        </w:rPr>
        <w:t xml:space="preserve">  </w:t>
      </w:r>
      <w:r w:rsidRPr="00F705C7" w:rsidR="00A06868">
        <w:rPr>
          <w:rFonts w:ascii="Times New Roman" w:hAnsi="Times New Roman" w:cs="Times New Roman"/>
        </w:rPr>
        <w:t>We have discretion, however, to depart from these guidelines, taking into account the particular facts of each individual case.</w:t>
      </w:r>
      <w:r>
        <w:rPr>
          <w:rStyle w:val="FootnoteReference"/>
          <w:rFonts w:ascii="Times New Roman" w:hAnsi="Times New Roman" w:cs="Times New Roman"/>
          <w:sz w:val="20"/>
          <w:szCs w:val="20"/>
        </w:rPr>
        <w:footnoteReference w:id="45"/>
      </w:r>
      <w:r w:rsidRPr="00F705C7" w:rsidR="00F705C7">
        <w:rPr>
          <w:rFonts w:ascii="Times New Roman" w:hAnsi="Times New Roman" w:cs="Times New Roman"/>
        </w:rPr>
        <w:t xml:space="preserve">  </w:t>
      </w:r>
      <w:bookmarkStart w:id="7" w:name="_Toc50544942"/>
      <w:bookmarkEnd w:id="7"/>
      <w:r w:rsidRPr="009E5DB4" w:rsidR="00F705C7">
        <w:rPr>
          <w:rFonts w:ascii="Times New Roman" w:hAnsi="Times New Roman" w:cs="Times New Roman"/>
        </w:rPr>
        <w:t xml:space="preserve">Based on the totality of the facts in the record, we have determined </w:t>
      </w:r>
      <w:r w:rsidR="000D0A57">
        <w:rPr>
          <w:rFonts w:ascii="Times New Roman" w:hAnsi="Times New Roman" w:cs="Times New Roman"/>
        </w:rPr>
        <w:t xml:space="preserve">that no adjustment is warranted in this case, </w:t>
      </w:r>
      <w:r w:rsidRPr="009E5DB4" w:rsidR="00F705C7">
        <w:rPr>
          <w:rFonts w:ascii="Times New Roman" w:hAnsi="Times New Roman" w:cs="Times New Roman"/>
        </w:rPr>
        <w:t>upwards or downwards.</w:t>
      </w:r>
    </w:p>
    <w:p w:rsidR="00245249" w:rsidRPr="00E512DA" w:rsidP="00DC7FF4" w14:paraId="5D779F32" w14:textId="2424C09A">
      <w:pPr>
        <w:pStyle w:val="ListParagraph"/>
        <w:numPr>
          <w:ilvl w:val="0"/>
          <w:numId w:val="38"/>
        </w:numPr>
        <w:ind w:left="0" w:firstLine="720"/>
        <w:contextualSpacing w:val="0"/>
        <w:rPr>
          <w:rFonts w:ascii="Times New Roman" w:hAnsi="Times New Roman" w:cs="Times New Roman"/>
        </w:rPr>
      </w:pPr>
      <w:r w:rsidRPr="00E512DA">
        <w:rPr>
          <w:rFonts w:ascii="Times New Roman" w:hAnsi="Times New Roman" w:cs="Times New Roman"/>
        </w:rPr>
        <w:t xml:space="preserve">Here, </w:t>
      </w:r>
      <w:r w:rsidRPr="00E512DA" w:rsidR="00EC5EA9">
        <w:rPr>
          <w:rFonts w:ascii="Times New Roman" w:hAnsi="Times New Roman" w:cs="Times New Roman"/>
        </w:rPr>
        <w:t xml:space="preserve">VoxNet </w:t>
      </w:r>
      <w:r w:rsidRPr="00E512DA">
        <w:rPr>
          <w:rFonts w:ascii="Times New Roman" w:hAnsi="Times New Roman" w:cs="Times New Roman"/>
        </w:rPr>
        <w:t>failed to</w:t>
      </w:r>
      <w:r w:rsidRPr="00E512DA" w:rsidR="00A83556">
        <w:rPr>
          <w:rFonts w:ascii="Times New Roman" w:hAnsi="Times New Roman" w:cs="Times New Roman"/>
        </w:rPr>
        <w:t xml:space="preserve"> </w:t>
      </w:r>
      <w:r w:rsidRPr="00E512DA" w:rsidR="005F1922">
        <w:rPr>
          <w:rFonts w:ascii="Times New Roman" w:hAnsi="Times New Roman" w:cs="Times New Roman"/>
        </w:rPr>
        <w:t xml:space="preserve">file an application </w:t>
      </w:r>
      <w:r w:rsidRPr="00E512DA" w:rsidR="00E66E12">
        <w:rPr>
          <w:rFonts w:ascii="Times New Roman" w:hAnsi="Times New Roman" w:cs="Times New Roman"/>
        </w:rPr>
        <w:t xml:space="preserve">and seek </w:t>
      </w:r>
      <w:r w:rsidRPr="00E512DA" w:rsidR="001F6BF9">
        <w:rPr>
          <w:rFonts w:ascii="Times New Roman" w:hAnsi="Times New Roman" w:cs="Times New Roman"/>
        </w:rPr>
        <w:t xml:space="preserve">Commission approval </w:t>
      </w:r>
      <w:r w:rsidRPr="00E512DA" w:rsidR="004D3DA5">
        <w:rPr>
          <w:rFonts w:ascii="Times New Roman" w:hAnsi="Times New Roman" w:cs="Times New Roman"/>
        </w:rPr>
        <w:t xml:space="preserve">before it </w:t>
      </w:r>
      <w:r w:rsidRPr="00E512DA" w:rsidR="003E665F">
        <w:rPr>
          <w:rFonts w:ascii="Times New Roman" w:hAnsi="Times New Roman" w:cs="Times New Roman"/>
        </w:rPr>
        <w:t>transferred its customer base</w:t>
      </w:r>
      <w:r w:rsidR="00C41AB3">
        <w:rPr>
          <w:rFonts w:ascii="Times New Roman" w:hAnsi="Times New Roman" w:cs="Times New Roman"/>
        </w:rPr>
        <w:t xml:space="preserve"> and contracts </w:t>
      </w:r>
      <w:r w:rsidRPr="00E512DA" w:rsidR="00DA4502">
        <w:rPr>
          <w:rFonts w:ascii="Times New Roman" w:hAnsi="Times New Roman" w:cs="Times New Roman"/>
        </w:rPr>
        <w:t xml:space="preserve">to </w:t>
      </w:r>
      <w:r w:rsidRPr="00E512DA" w:rsidR="00EC5EA9">
        <w:rPr>
          <w:rFonts w:ascii="Times New Roman" w:hAnsi="Times New Roman" w:cs="Times New Roman"/>
        </w:rPr>
        <w:t>Block Line</w:t>
      </w:r>
      <w:r w:rsidRPr="00E512DA" w:rsidR="00DA4502">
        <w:rPr>
          <w:rFonts w:ascii="Times New Roman" w:hAnsi="Times New Roman" w:cs="Times New Roman"/>
        </w:rPr>
        <w:t xml:space="preserve">, </w:t>
      </w:r>
      <w:r w:rsidRPr="00E512DA" w:rsidR="00A06868">
        <w:rPr>
          <w:rFonts w:ascii="Times New Roman" w:hAnsi="Times New Roman" w:cs="Times New Roman"/>
        </w:rPr>
        <w:t xml:space="preserve">resulting in </w:t>
      </w:r>
      <w:r w:rsidRPr="00E512DA" w:rsidR="00EC5EA9">
        <w:rPr>
          <w:rFonts w:ascii="Times New Roman" w:hAnsi="Times New Roman" w:cs="Times New Roman"/>
        </w:rPr>
        <w:t xml:space="preserve">an </w:t>
      </w:r>
      <w:r w:rsidRPr="00E512DA" w:rsidR="000E4D23">
        <w:rPr>
          <w:rFonts w:ascii="Times New Roman" w:hAnsi="Times New Roman" w:cs="Times New Roman"/>
        </w:rPr>
        <w:t xml:space="preserve">apparent </w:t>
      </w:r>
      <w:r w:rsidRPr="00E512DA" w:rsidR="00A06868">
        <w:rPr>
          <w:rFonts w:ascii="Times New Roman" w:hAnsi="Times New Roman" w:cs="Times New Roman"/>
        </w:rPr>
        <w:t xml:space="preserve">unauthorized transfer of </w:t>
      </w:r>
      <w:r w:rsidRPr="00E512DA" w:rsidR="00A06868">
        <w:rPr>
          <w:rFonts w:ascii="Times New Roman" w:hAnsi="Times New Roman" w:cs="Times New Roman"/>
        </w:rPr>
        <w:t>control</w:t>
      </w:r>
      <w:r w:rsidRPr="00E512DA" w:rsidR="004465B4">
        <w:rPr>
          <w:rFonts w:ascii="Times New Roman" w:hAnsi="Times New Roman" w:cs="Times New Roman"/>
        </w:rPr>
        <w:t>.</w:t>
      </w:r>
      <w:r w:rsidRPr="00E512DA" w:rsidR="00527802">
        <w:rPr>
          <w:rFonts w:ascii="Times New Roman" w:hAnsi="Times New Roman" w:cs="Times New Roman"/>
        </w:rPr>
        <w:t xml:space="preserve">  </w:t>
      </w:r>
      <w:r w:rsidR="008F75A2">
        <w:rPr>
          <w:rFonts w:ascii="Times New Roman" w:hAnsi="Times New Roman" w:cs="Times New Roman"/>
        </w:rPr>
        <w:t>VoxNet’s</w:t>
      </w:r>
      <w:r w:rsidRPr="00E512DA" w:rsidR="008F75A2">
        <w:rPr>
          <w:rFonts w:ascii="Times New Roman" w:hAnsi="Times New Roman" w:cs="Times New Roman"/>
        </w:rPr>
        <w:t xml:space="preserve"> </w:t>
      </w:r>
      <w:r w:rsidRPr="00E512DA" w:rsidR="000E4D23">
        <w:rPr>
          <w:rFonts w:ascii="Times New Roman" w:hAnsi="Times New Roman" w:cs="Times New Roman"/>
        </w:rPr>
        <w:t xml:space="preserve">apparent violations continued for </w:t>
      </w:r>
      <w:r w:rsidRPr="00E512DA" w:rsidR="00E512DA">
        <w:rPr>
          <w:rFonts w:ascii="Times New Roman" w:hAnsi="Times New Roman" w:cs="Times New Roman"/>
        </w:rPr>
        <w:t>over a</w:t>
      </w:r>
      <w:r w:rsidRPr="00E512DA" w:rsidR="00EC5EA9">
        <w:rPr>
          <w:rFonts w:ascii="Times New Roman" w:hAnsi="Times New Roman" w:cs="Times New Roman"/>
        </w:rPr>
        <w:t xml:space="preserve"> </w:t>
      </w:r>
      <w:r w:rsidRPr="00E512DA" w:rsidR="000E4D23">
        <w:rPr>
          <w:rFonts w:ascii="Times New Roman" w:hAnsi="Times New Roman" w:cs="Times New Roman"/>
        </w:rPr>
        <w:t>month</w:t>
      </w:r>
      <w:r w:rsidRPr="00E512DA" w:rsidR="009213F7">
        <w:rPr>
          <w:rFonts w:ascii="Times New Roman" w:hAnsi="Times New Roman" w:cs="Times New Roman"/>
        </w:rPr>
        <w:t xml:space="preserve">, from </w:t>
      </w:r>
      <w:r w:rsidRPr="00B3597A" w:rsidR="003E665F">
        <w:rPr>
          <w:rFonts w:ascii="Times New Roman" w:hAnsi="Times New Roman" w:cs="Times New Roman"/>
        </w:rPr>
        <w:t xml:space="preserve">September </w:t>
      </w:r>
      <w:r w:rsidRPr="00E512DA" w:rsidR="009213F7">
        <w:rPr>
          <w:rFonts w:ascii="Times New Roman" w:hAnsi="Times New Roman" w:cs="Times New Roman"/>
        </w:rPr>
        <w:t xml:space="preserve">1, </w:t>
      </w:r>
      <w:r w:rsidRPr="00E512DA" w:rsidR="00E27D21">
        <w:rPr>
          <w:rFonts w:ascii="Times New Roman" w:hAnsi="Times New Roman" w:cs="Times New Roman"/>
        </w:rPr>
        <w:t>202</w:t>
      </w:r>
      <w:r w:rsidR="00E27D21">
        <w:rPr>
          <w:rFonts w:ascii="Times New Roman" w:hAnsi="Times New Roman" w:cs="Times New Roman"/>
        </w:rPr>
        <w:t>1</w:t>
      </w:r>
      <w:r w:rsidRPr="00E512DA" w:rsidR="00545437">
        <w:rPr>
          <w:rFonts w:ascii="Times New Roman" w:hAnsi="Times New Roman" w:cs="Times New Roman"/>
        </w:rPr>
        <w:t>,</w:t>
      </w:r>
      <w:r w:rsidRPr="00E512DA" w:rsidR="009213F7">
        <w:rPr>
          <w:rFonts w:ascii="Times New Roman" w:hAnsi="Times New Roman" w:cs="Times New Roman"/>
        </w:rPr>
        <w:t xml:space="preserve"> </w:t>
      </w:r>
      <w:r w:rsidRPr="00E512DA" w:rsidR="00A81953">
        <w:rPr>
          <w:rFonts w:ascii="Times New Roman" w:hAnsi="Times New Roman" w:cs="Times New Roman"/>
        </w:rPr>
        <w:t>until</w:t>
      </w:r>
      <w:r w:rsidRPr="00E512DA" w:rsidR="000E4D23">
        <w:rPr>
          <w:rFonts w:ascii="Times New Roman" w:hAnsi="Times New Roman" w:cs="Times New Roman"/>
        </w:rPr>
        <w:t xml:space="preserve"> </w:t>
      </w:r>
      <w:r w:rsidR="008F75A2">
        <w:rPr>
          <w:rFonts w:ascii="Times New Roman" w:hAnsi="Times New Roman" w:cs="Times New Roman"/>
        </w:rPr>
        <w:t>the</w:t>
      </w:r>
      <w:r w:rsidRPr="00E512DA" w:rsidR="000E4D23">
        <w:rPr>
          <w:rFonts w:ascii="Times New Roman" w:hAnsi="Times New Roman" w:cs="Times New Roman"/>
        </w:rPr>
        <w:t xml:space="preserve"> domestic STA</w:t>
      </w:r>
      <w:r w:rsidR="008F75A2">
        <w:rPr>
          <w:rFonts w:ascii="Times New Roman" w:hAnsi="Times New Roman" w:cs="Times New Roman"/>
        </w:rPr>
        <w:t xml:space="preserve"> was granted</w:t>
      </w:r>
      <w:r w:rsidRPr="00E512DA" w:rsidR="000E4D23">
        <w:rPr>
          <w:rFonts w:ascii="Times New Roman" w:hAnsi="Times New Roman" w:cs="Times New Roman"/>
        </w:rPr>
        <w:t xml:space="preserve"> </w:t>
      </w:r>
      <w:r w:rsidRPr="00B3597A" w:rsidR="00E512DA">
        <w:rPr>
          <w:rFonts w:ascii="Times New Roman" w:hAnsi="Times New Roman" w:cs="Times New Roman"/>
        </w:rPr>
        <w:t>on October 8,</w:t>
      </w:r>
      <w:r w:rsidRPr="00E512DA" w:rsidR="000E4D23">
        <w:rPr>
          <w:rFonts w:ascii="Times New Roman" w:hAnsi="Times New Roman" w:cs="Times New Roman"/>
        </w:rPr>
        <w:t xml:space="preserve"> </w:t>
      </w:r>
      <w:r w:rsidRPr="00E512DA" w:rsidR="00E27D21">
        <w:rPr>
          <w:rFonts w:ascii="Times New Roman" w:hAnsi="Times New Roman" w:cs="Times New Roman"/>
        </w:rPr>
        <w:t>202</w:t>
      </w:r>
      <w:r w:rsidR="00E27D21">
        <w:rPr>
          <w:rFonts w:ascii="Times New Roman" w:hAnsi="Times New Roman" w:cs="Times New Roman"/>
        </w:rPr>
        <w:t>1</w:t>
      </w:r>
      <w:r w:rsidRPr="00E512DA" w:rsidR="000E4D23">
        <w:rPr>
          <w:rFonts w:ascii="Times New Roman" w:hAnsi="Times New Roman" w:cs="Times New Roman"/>
        </w:rPr>
        <w:t xml:space="preserve">.  </w:t>
      </w:r>
      <w:r w:rsidRPr="00E512DA" w:rsidR="00955C4E">
        <w:rPr>
          <w:rFonts w:ascii="Times New Roman" w:hAnsi="Times New Roman" w:cs="Times New Roman"/>
        </w:rPr>
        <w:t>Accordingly</w:t>
      </w:r>
      <w:r w:rsidRPr="00E512DA" w:rsidR="000E4D23">
        <w:rPr>
          <w:rFonts w:ascii="Times New Roman" w:hAnsi="Times New Roman" w:cs="Times New Roman"/>
        </w:rPr>
        <w:t>,</w:t>
      </w:r>
      <w:r w:rsidRPr="00E512DA" w:rsidR="00955C4E">
        <w:rPr>
          <w:rFonts w:ascii="Times New Roman" w:hAnsi="Times New Roman" w:cs="Times New Roman"/>
        </w:rPr>
        <w:t xml:space="preserve"> we propose a total base forfeiture of </w:t>
      </w:r>
      <w:r w:rsidRPr="00E512DA" w:rsidR="00417400">
        <w:rPr>
          <w:rFonts w:ascii="Times New Roman" w:hAnsi="Times New Roman" w:cs="Times New Roman"/>
        </w:rPr>
        <w:t>$8,000</w:t>
      </w:r>
      <w:r w:rsidRPr="00E512DA" w:rsidR="00DC515D">
        <w:rPr>
          <w:rFonts w:ascii="Times New Roman" w:hAnsi="Times New Roman" w:cs="Times New Roman"/>
        </w:rPr>
        <w:t xml:space="preserve"> for the </w:t>
      </w:r>
      <w:r w:rsidRPr="00E512DA" w:rsidR="003740E7">
        <w:rPr>
          <w:rFonts w:ascii="Times New Roman" w:hAnsi="Times New Roman" w:cs="Times New Roman"/>
        </w:rPr>
        <w:t xml:space="preserve">Company’s </w:t>
      </w:r>
      <w:r w:rsidRPr="00E512DA" w:rsidR="00DC515D">
        <w:rPr>
          <w:rFonts w:ascii="Times New Roman" w:hAnsi="Times New Roman" w:cs="Times New Roman"/>
        </w:rPr>
        <w:t xml:space="preserve">apparent unauthorized transfer of </w:t>
      </w:r>
      <w:r w:rsidRPr="00E512DA" w:rsidR="00417400">
        <w:rPr>
          <w:rFonts w:ascii="Times New Roman" w:hAnsi="Times New Roman" w:cs="Times New Roman"/>
        </w:rPr>
        <w:t>its domestic section 214 authorization</w:t>
      </w:r>
      <w:r w:rsidRPr="00E512DA" w:rsidR="00EC5EA9">
        <w:rPr>
          <w:rFonts w:ascii="Times New Roman" w:hAnsi="Times New Roman" w:cs="Times New Roman"/>
        </w:rPr>
        <w:t>.</w:t>
      </w:r>
      <w:r>
        <w:rPr>
          <w:rStyle w:val="FootnoteReference"/>
          <w:rFonts w:ascii="Times New Roman" w:hAnsi="Times New Roman" w:cs="Times New Roman"/>
          <w:sz w:val="20"/>
          <w:szCs w:val="20"/>
        </w:rPr>
        <w:footnoteReference w:id="46"/>
      </w:r>
      <w:r w:rsidRPr="005D4219" w:rsidR="00417400">
        <w:rPr>
          <w:rFonts w:ascii="Times New Roman" w:hAnsi="Times New Roman" w:cs="Times New Roman"/>
          <w:sz w:val="20"/>
          <w:szCs w:val="20"/>
        </w:rPr>
        <w:t xml:space="preserve"> </w:t>
      </w:r>
    </w:p>
    <w:p w:rsidR="004376F1" w:rsidRPr="00DC7FF4" w:rsidP="00DC7FF4" w14:paraId="0EE57F27" w14:textId="4D73C7F8">
      <w:pPr>
        <w:pStyle w:val="ListParagraph"/>
        <w:numPr>
          <w:ilvl w:val="0"/>
          <w:numId w:val="38"/>
        </w:numPr>
        <w:ind w:left="0" w:firstLine="720"/>
        <w:contextualSpacing w:val="0"/>
        <w:rPr>
          <w:rFonts w:ascii="Times New Roman" w:hAnsi="Times New Roman" w:cs="Times New Roman"/>
        </w:rPr>
      </w:pPr>
      <w:r w:rsidRPr="00DC7FF4">
        <w:rPr>
          <w:rFonts w:ascii="Times New Roman" w:hAnsi="Times New Roman" w:cs="Times New Roman"/>
        </w:rPr>
        <w:t xml:space="preserve">Therefore, after applying </w:t>
      </w:r>
      <w:r w:rsidRPr="00DC7FF4" w:rsidR="00955C4E">
        <w:rPr>
          <w:rFonts w:ascii="Times New Roman" w:hAnsi="Times New Roman" w:cs="Times New Roman"/>
        </w:rPr>
        <w:t xml:space="preserve">the </w:t>
      </w:r>
      <w:r w:rsidRPr="000A7A2B" w:rsidR="00955C4E">
        <w:rPr>
          <w:rFonts w:ascii="Times New Roman" w:hAnsi="Times New Roman" w:cs="Times New Roman"/>
          <w:i/>
          <w:iCs/>
        </w:rPr>
        <w:t>Forfeiture Policy Statement</w:t>
      </w:r>
      <w:r w:rsidRPr="00DC7FF4" w:rsidR="00955C4E">
        <w:rPr>
          <w:rFonts w:ascii="Times New Roman" w:hAnsi="Times New Roman" w:cs="Times New Roman"/>
        </w:rPr>
        <w:t>, section 1.80 of the Commission’s rules, and the statutory factors, we propose</w:t>
      </w:r>
      <w:r w:rsidR="00082B74">
        <w:rPr>
          <w:rFonts w:ascii="Times New Roman" w:hAnsi="Times New Roman" w:cs="Times New Roman"/>
        </w:rPr>
        <w:t xml:space="preserve"> the total base</w:t>
      </w:r>
      <w:r w:rsidRPr="00DC7FF4" w:rsidR="00955C4E">
        <w:rPr>
          <w:rFonts w:ascii="Times New Roman" w:hAnsi="Times New Roman" w:cs="Times New Roman"/>
        </w:rPr>
        <w:t xml:space="preserve"> forfeiture of $</w:t>
      </w:r>
      <w:r w:rsidR="00EC5EA9">
        <w:rPr>
          <w:rFonts w:ascii="Times New Roman" w:hAnsi="Times New Roman" w:cs="Times New Roman"/>
        </w:rPr>
        <w:t>8</w:t>
      </w:r>
      <w:r w:rsidRPr="00DC7FF4" w:rsidR="00955C4E">
        <w:rPr>
          <w:rFonts w:ascii="Times New Roman" w:hAnsi="Times New Roman" w:cs="Times New Roman"/>
        </w:rPr>
        <w:t>,000,</w:t>
      </w:r>
      <w:r>
        <w:rPr>
          <w:rStyle w:val="FootnoteReference"/>
          <w:rFonts w:ascii="Times New Roman" w:hAnsi="Times New Roman" w:cs="Times New Roman"/>
          <w:sz w:val="20"/>
          <w:szCs w:val="20"/>
        </w:rPr>
        <w:footnoteReference w:id="47"/>
      </w:r>
      <w:r w:rsidRPr="005D4219" w:rsidR="00955C4E">
        <w:rPr>
          <w:rFonts w:ascii="Times New Roman" w:hAnsi="Times New Roman" w:cs="Times New Roman"/>
          <w:sz w:val="20"/>
          <w:szCs w:val="20"/>
        </w:rPr>
        <w:t xml:space="preserve"> </w:t>
      </w:r>
      <w:r w:rsidRPr="00DC7FF4" w:rsidR="00955C4E">
        <w:rPr>
          <w:rFonts w:ascii="Times New Roman" w:hAnsi="Times New Roman" w:cs="Times New Roman"/>
        </w:rPr>
        <w:t xml:space="preserve">for which </w:t>
      </w:r>
      <w:r w:rsidR="00EC5EA9">
        <w:rPr>
          <w:rFonts w:ascii="Times New Roman" w:hAnsi="Times New Roman" w:cs="Times New Roman"/>
        </w:rPr>
        <w:t>VoxNet</w:t>
      </w:r>
      <w:r w:rsidRPr="00DC7FF4" w:rsidR="00EC5EA9">
        <w:rPr>
          <w:rFonts w:ascii="Times New Roman" w:hAnsi="Times New Roman" w:cs="Times New Roman"/>
        </w:rPr>
        <w:t xml:space="preserve"> </w:t>
      </w:r>
      <w:r w:rsidRPr="00DC7FF4" w:rsidR="00955C4E">
        <w:rPr>
          <w:rFonts w:ascii="Times New Roman" w:hAnsi="Times New Roman" w:cs="Times New Roman"/>
        </w:rPr>
        <w:t xml:space="preserve">is apparently </w:t>
      </w:r>
      <w:r w:rsidRPr="00DC7FF4" w:rsidR="00413BA1">
        <w:rPr>
          <w:rFonts w:ascii="Times New Roman" w:hAnsi="Times New Roman" w:cs="Times New Roman"/>
        </w:rPr>
        <w:t>liable.</w:t>
      </w:r>
      <w:r>
        <w:rPr>
          <w:rStyle w:val="FootnoteReference"/>
          <w:rFonts w:ascii="Times New Roman" w:hAnsi="Times New Roman" w:cs="Times New Roman"/>
          <w:sz w:val="20"/>
          <w:szCs w:val="20"/>
        </w:rPr>
        <w:footnoteReference w:id="48"/>
      </w:r>
    </w:p>
    <w:p w:rsidR="00DB27B6" w:rsidP="000A2815" w14:paraId="2FFC52EA" w14:textId="77777777">
      <w:pPr>
        <w:pStyle w:val="ListParagraph"/>
        <w:numPr>
          <w:ilvl w:val="0"/>
          <w:numId w:val="14"/>
        </w:numPr>
        <w:ind w:left="720" w:hanging="720"/>
        <w:contextualSpacing w:val="0"/>
        <w:rPr>
          <w:rFonts w:ascii="Times New Roman" w:hAnsi="Times New Roman" w:cs="Times New Roman"/>
          <w:b/>
          <w:bCs/>
        </w:rPr>
      </w:pPr>
      <w:r w:rsidRPr="00772CA3">
        <w:rPr>
          <w:rFonts w:ascii="Times New Roman" w:hAnsi="Times New Roman" w:cs="Times New Roman"/>
          <w:b/>
          <w:bCs/>
        </w:rPr>
        <w:t>CONCLUSION</w:t>
      </w:r>
    </w:p>
    <w:p w:rsidR="003D3C9C" w:rsidRPr="00CD42D6" w:rsidP="00DC7FF4" w14:paraId="396AD1EC" w14:textId="3347076A">
      <w:pPr>
        <w:pStyle w:val="ListParagraph"/>
        <w:numPr>
          <w:ilvl w:val="0"/>
          <w:numId w:val="38"/>
        </w:numPr>
        <w:ind w:left="0" w:firstLine="720"/>
        <w:contextualSpacing w:val="0"/>
        <w:rPr>
          <w:rFonts w:ascii="Times New Roman" w:hAnsi="Times New Roman" w:cs="Times New Roman"/>
        </w:rPr>
      </w:pPr>
      <w:r w:rsidRPr="00CD42D6">
        <w:rPr>
          <w:rFonts w:ascii="Times New Roman" w:hAnsi="Times New Roman" w:cs="Times New Roman"/>
        </w:rPr>
        <w:t xml:space="preserve">We have determined that </w:t>
      </w:r>
      <w:r w:rsidR="00274E13">
        <w:rPr>
          <w:rFonts w:ascii="Times New Roman" w:hAnsi="Times New Roman" w:cs="Times New Roman"/>
        </w:rPr>
        <w:t>VoxNet</w:t>
      </w:r>
      <w:r w:rsidRPr="00CD42D6" w:rsidR="00274E13">
        <w:rPr>
          <w:rFonts w:ascii="Times New Roman" w:hAnsi="Times New Roman" w:cs="Times New Roman"/>
        </w:rPr>
        <w:t xml:space="preserve"> </w:t>
      </w:r>
      <w:r w:rsidRPr="00CD42D6">
        <w:rPr>
          <w:rFonts w:ascii="Times New Roman" w:hAnsi="Times New Roman" w:cs="Times New Roman"/>
        </w:rPr>
        <w:t>apparently willfully or repeatedly violated section</w:t>
      </w:r>
      <w:r w:rsidRPr="00CD42D6" w:rsidR="00C85A57">
        <w:rPr>
          <w:rFonts w:ascii="Times New Roman" w:hAnsi="Times New Roman" w:cs="Times New Roman"/>
        </w:rPr>
        <w:t xml:space="preserve"> 214 of the Act and sections 63.03</w:t>
      </w:r>
      <w:r w:rsidR="004F0A5E">
        <w:rPr>
          <w:rFonts w:ascii="Times New Roman" w:hAnsi="Times New Roman" w:cs="Times New Roman"/>
        </w:rPr>
        <w:t xml:space="preserve"> and </w:t>
      </w:r>
      <w:r w:rsidRPr="00CD42D6" w:rsidR="00C85A57">
        <w:rPr>
          <w:rFonts w:ascii="Times New Roman" w:hAnsi="Times New Roman" w:cs="Times New Roman"/>
        </w:rPr>
        <w:t>63.04</w:t>
      </w:r>
      <w:r w:rsidR="004F0A5E">
        <w:rPr>
          <w:rFonts w:ascii="Times New Roman" w:hAnsi="Times New Roman" w:cs="Times New Roman"/>
        </w:rPr>
        <w:t xml:space="preserve"> </w:t>
      </w:r>
      <w:r w:rsidRPr="00CD42D6" w:rsidR="00C85A57">
        <w:rPr>
          <w:rFonts w:ascii="Times New Roman" w:hAnsi="Times New Roman" w:cs="Times New Roman"/>
        </w:rPr>
        <w:t>of the Commission’s rules.  Accordingly</w:t>
      </w:r>
      <w:r w:rsidRPr="00CD42D6" w:rsidR="00A06868">
        <w:rPr>
          <w:rFonts w:ascii="Times New Roman" w:hAnsi="Times New Roman" w:cs="Times New Roman"/>
        </w:rPr>
        <w:t>,</w:t>
      </w:r>
      <w:r w:rsidRPr="00CD42D6" w:rsidR="00C85A57">
        <w:rPr>
          <w:rFonts w:ascii="Times New Roman" w:hAnsi="Times New Roman" w:cs="Times New Roman"/>
        </w:rPr>
        <w:t xml:space="preserve"> </w:t>
      </w:r>
      <w:r w:rsidR="00274E13">
        <w:rPr>
          <w:rFonts w:ascii="Times New Roman" w:hAnsi="Times New Roman" w:cs="Times New Roman"/>
        </w:rPr>
        <w:t>VoxNet</w:t>
      </w:r>
      <w:r w:rsidRPr="00CD42D6" w:rsidR="00274E13">
        <w:rPr>
          <w:rFonts w:ascii="Times New Roman" w:hAnsi="Times New Roman" w:cs="Times New Roman"/>
        </w:rPr>
        <w:t xml:space="preserve"> </w:t>
      </w:r>
      <w:r w:rsidRPr="00CD42D6" w:rsidR="00C85A57">
        <w:rPr>
          <w:rFonts w:ascii="Times New Roman" w:hAnsi="Times New Roman" w:cs="Times New Roman"/>
        </w:rPr>
        <w:t>is apparently liable for a</w:t>
      </w:r>
      <w:r w:rsidR="00F4297F">
        <w:rPr>
          <w:rFonts w:ascii="Times New Roman" w:hAnsi="Times New Roman" w:cs="Times New Roman"/>
        </w:rPr>
        <w:t>n</w:t>
      </w:r>
      <w:r w:rsidRPr="00CD42D6" w:rsidR="00C85A57">
        <w:rPr>
          <w:rFonts w:ascii="Times New Roman" w:hAnsi="Times New Roman" w:cs="Times New Roman"/>
        </w:rPr>
        <w:t xml:space="preserve"> $</w:t>
      </w:r>
      <w:r w:rsidR="00274E13">
        <w:rPr>
          <w:rFonts w:ascii="Times New Roman" w:hAnsi="Times New Roman" w:cs="Times New Roman"/>
        </w:rPr>
        <w:t>8</w:t>
      </w:r>
      <w:r w:rsidRPr="00CD42D6" w:rsidR="00C85A57">
        <w:rPr>
          <w:rFonts w:ascii="Times New Roman" w:hAnsi="Times New Roman" w:cs="Times New Roman"/>
        </w:rPr>
        <w:t xml:space="preserve">,000 forfeiture. </w:t>
      </w:r>
    </w:p>
    <w:p w:rsidR="00DB27B6" w:rsidRPr="00DC7FF4" w:rsidP="000A2815" w14:paraId="6D5C3DD0" w14:textId="02909D08">
      <w:pPr>
        <w:pStyle w:val="ListParagraph"/>
        <w:keepNext/>
        <w:numPr>
          <w:ilvl w:val="0"/>
          <w:numId w:val="14"/>
        </w:numPr>
        <w:tabs>
          <w:tab w:val="left" w:pos="720"/>
        </w:tabs>
        <w:suppressAutoHyphens/>
        <w:ind w:left="720" w:hanging="720"/>
        <w:contextualSpacing w:val="0"/>
        <w:outlineLvl w:val="0"/>
        <w:rPr>
          <w:rFonts w:ascii="Times New Roman" w:eastAsia="Times New Roman" w:hAnsi="Times New Roman" w:cs="Times New Roman"/>
          <w:b/>
          <w:caps/>
          <w:snapToGrid w:val="0"/>
          <w:kern w:val="28"/>
        </w:rPr>
      </w:pPr>
      <w:r w:rsidRPr="00DC7FF4">
        <w:rPr>
          <w:rFonts w:ascii="Times New Roman" w:eastAsia="Times New Roman" w:hAnsi="Times New Roman" w:cs="Times New Roman"/>
          <w:b/>
          <w:caps/>
          <w:snapToGrid w:val="0"/>
          <w:kern w:val="28"/>
        </w:rPr>
        <w:t>orDERING CLAUSES</w:t>
      </w:r>
    </w:p>
    <w:p w:rsidR="00772CA3" w:rsidRPr="00DC7FF4" w:rsidP="00DC7FF4" w14:paraId="1421509D" w14:textId="201BEE13">
      <w:pPr>
        <w:pStyle w:val="ListParagraph"/>
        <w:numPr>
          <w:ilvl w:val="0"/>
          <w:numId w:val="38"/>
        </w:numPr>
        <w:ind w:left="0" w:firstLine="720"/>
        <w:contextualSpacing w:val="0"/>
        <w:rPr>
          <w:rFonts w:ascii="Times New Roman" w:hAnsi="Times New Roman" w:cs="Times New Roman"/>
          <w:bCs/>
          <w:caps/>
          <w:snapToGrid w:val="0"/>
        </w:rPr>
      </w:pPr>
      <w:r w:rsidRPr="00DC7FF4">
        <w:rPr>
          <w:rFonts w:ascii="Times New Roman" w:hAnsi="Times New Roman" w:cs="Times New Roman"/>
          <w:bCs/>
          <w:snapToGrid w:val="0"/>
        </w:rPr>
        <w:t xml:space="preserve">Accordingly, </w:t>
      </w:r>
      <w:r w:rsidRPr="00480001">
        <w:rPr>
          <w:rFonts w:ascii="Times New Roman" w:hAnsi="Times New Roman" w:cs="Times New Roman"/>
          <w:b/>
          <w:snapToGrid w:val="0"/>
        </w:rPr>
        <w:t>IT IS ORDERED</w:t>
      </w:r>
      <w:r w:rsidRPr="00DC7FF4">
        <w:rPr>
          <w:rFonts w:ascii="Times New Roman" w:hAnsi="Times New Roman" w:cs="Times New Roman"/>
          <w:bCs/>
          <w:snapToGrid w:val="0"/>
        </w:rPr>
        <w:t xml:space="preserve"> that, pursuant to section 503(b) of the </w:t>
      </w:r>
      <w:r w:rsidRPr="00BE10DE" w:rsidR="00BE10DE">
        <w:rPr>
          <w:rFonts w:ascii="Times New Roman" w:hAnsi="Times New Roman" w:cs="Times New Roman"/>
          <w:bCs/>
          <w:snapToGrid w:val="0"/>
        </w:rPr>
        <w:t>Act</w:t>
      </w:r>
      <w:r>
        <w:rPr>
          <w:rFonts w:ascii="Times New Roman" w:hAnsi="Times New Roman" w:cs="Times New Roman"/>
          <w:bCs/>
          <w:snapToGrid w:val="0"/>
          <w:sz w:val="20"/>
          <w:szCs w:val="20"/>
          <w:vertAlign w:val="superscript"/>
        </w:rPr>
        <w:footnoteReference w:id="49"/>
      </w:r>
      <w:r w:rsidRPr="005D4219" w:rsidR="00BE10DE">
        <w:rPr>
          <w:rFonts w:ascii="Times New Roman" w:hAnsi="Times New Roman" w:cs="Times New Roman"/>
          <w:bCs/>
          <w:snapToGrid w:val="0"/>
          <w:sz w:val="20"/>
          <w:szCs w:val="20"/>
        </w:rPr>
        <w:t xml:space="preserve"> </w:t>
      </w:r>
      <w:r w:rsidRPr="00BE10DE" w:rsidR="00BE10DE">
        <w:rPr>
          <w:rFonts w:ascii="Times New Roman" w:hAnsi="Times New Roman" w:cs="Times New Roman"/>
          <w:bCs/>
          <w:snapToGrid w:val="0"/>
        </w:rPr>
        <w:t xml:space="preserve">and </w:t>
      </w:r>
      <w:r w:rsidRPr="00DC7FF4">
        <w:rPr>
          <w:rFonts w:ascii="Times New Roman" w:hAnsi="Times New Roman" w:cs="Times New Roman"/>
          <w:bCs/>
          <w:snapToGrid w:val="0"/>
        </w:rPr>
        <w:t xml:space="preserve">section 1.80 of the </w:t>
      </w:r>
      <w:r w:rsidR="00F11F09">
        <w:rPr>
          <w:rFonts w:ascii="Times New Roman" w:hAnsi="Times New Roman" w:cs="Times New Roman"/>
          <w:bCs/>
          <w:snapToGrid w:val="0"/>
        </w:rPr>
        <w:t>Commission’s r</w:t>
      </w:r>
      <w:r w:rsidRPr="00DC7FF4">
        <w:rPr>
          <w:rFonts w:ascii="Times New Roman" w:hAnsi="Times New Roman" w:cs="Times New Roman"/>
          <w:bCs/>
          <w:snapToGrid w:val="0"/>
        </w:rPr>
        <w:t>ules,</w:t>
      </w:r>
      <w:r>
        <w:rPr>
          <w:rFonts w:ascii="Times New Roman" w:hAnsi="Times New Roman" w:cs="Times New Roman"/>
          <w:bCs/>
          <w:snapToGrid w:val="0"/>
          <w:sz w:val="20"/>
          <w:szCs w:val="20"/>
          <w:vertAlign w:val="superscript"/>
        </w:rPr>
        <w:footnoteReference w:id="50"/>
      </w:r>
      <w:r w:rsidRPr="00DC7FF4">
        <w:rPr>
          <w:rFonts w:ascii="Times New Roman" w:hAnsi="Times New Roman" w:cs="Times New Roman"/>
          <w:bCs/>
          <w:snapToGrid w:val="0"/>
        </w:rPr>
        <w:t xml:space="preserve"> </w:t>
      </w:r>
      <w:r w:rsidR="00274E13">
        <w:rPr>
          <w:rFonts w:ascii="Times New Roman" w:hAnsi="Times New Roman" w:cs="Times New Roman"/>
          <w:bCs/>
          <w:snapToGrid w:val="0"/>
        </w:rPr>
        <w:t>VoxNet</w:t>
      </w:r>
      <w:r w:rsidRPr="00DC7FF4">
        <w:rPr>
          <w:rFonts w:ascii="Times New Roman" w:hAnsi="Times New Roman" w:cs="Times New Roman"/>
          <w:bCs/>
          <w:snapToGrid w:val="0"/>
        </w:rPr>
        <w:t xml:space="preserve">, LLC is </w:t>
      </w:r>
      <w:r w:rsidRPr="00C47019" w:rsidR="000A30EB">
        <w:rPr>
          <w:rFonts w:ascii="Times New Roman" w:hAnsi="Times New Roman" w:cs="Times New Roman"/>
          <w:b/>
          <w:snapToGrid w:val="0"/>
        </w:rPr>
        <w:t>HEREBY</w:t>
      </w:r>
      <w:r w:rsidRPr="00DC7FF4" w:rsidR="000A30EB">
        <w:rPr>
          <w:rFonts w:ascii="Times New Roman" w:hAnsi="Times New Roman" w:cs="Times New Roman"/>
          <w:bCs/>
          <w:snapToGrid w:val="0"/>
        </w:rPr>
        <w:t xml:space="preserve"> </w:t>
      </w:r>
      <w:r w:rsidRPr="00480001">
        <w:rPr>
          <w:rFonts w:ascii="Times New Roman" w:hAnsi="Times New Roman" w:cs="Times New Roman"/>
          <w:b/>
          <w:snapToGrid w:val="0"/>
        </w:rPr>
        <w:t>NOTIFED</w:t>
      </w:r>
      <w:r w:rsidRPr="00DC7FF4">
        <w:rPr>
          <w:rFonts w:ascii="Times New Roman" w:hAnsi="Times New Roman" w:cs="Times New Roman"/>
          <w:bCs/>
          <w:snapToGrid w:val="0"/>
        </w:rPr>
        <w:t xml:space="preserve"> of this </w:t>
      </w:r>
      <w:r w:rsidRPr="00480001">
        <w:rPr>
          <w:rFonts w:ascii="Times New Roman" w:hAnsi="Times New Roman" w:cs="Times New Roman"/>
          <w:b/>
          <w:snapToGrid w:val="0"/>
        </w:rPr>
        <w:t xml:space="preserve">APPARENT LIABILITY FOR </w:t>
      </w:r>
      <w:r w:rsidR="00BE10DE">
        <w:rPr>
          <w:rFonts w:ascii="Times New Roman" w:hAnsi="Times New Roman" w:cs="Times New Roman"/>
          <w:b/>
          <w:snapToGrid w:val="0"/>
        </w:rPr>
        <w:t xml:space="preserve">A </w:t>
      </w:r>
      <w:r w:rsidRPr="00480001">
        <w:rPr>
          <w:rFonts w:ascii="Times New Roman" w:hAnsi="Times New Roman" w:cs="Times New Roman"/>
          <w:b/>
          <w:snapToGrid w:val="0"/>
        </w:rPr>
        <w:t>FORFEITURE</w:t>
      </w:r>
      <w:r w:rsidRPr="00DC7FF4">
        <w:rPr>
          <w:rFonts w:ascii="Times New Roman" w:hAnsi="Times New Roman" w:cs="Times New Roman"/>
          <w:bCs/>
          <w:snapToGrid w:val="0"/>
        </w:rPr>
        <w:t xml:space="preserve"> in the amount of </w:t>
      </w:r>
      <w:r w:rsidR="00274E13">
        <w:rPr>
          <w:rFonts w:ascii="Times New Roman" w:hAnsi="Times New Roman" w:cs="Times New Roman"/>
          <w:bCs/>
          <w:snapToGrid w:val="0"/>
        </w:rPr>
        <w:t>eight</w:t>
      </w:r>
      <w:r w:rsidRPr="00DC7FF4" w:rsidR="00274E13">
        <w:rPr>
          <w:rFonts w:ascii="Times New Roman" w:hAnsi="Times New Roman" w:cs="Times New Roman"/>
          <w:bCs/>
          <w:snapToGrid w:val="0"/>
        </w:rPr>
        <w:t xml:space="preserve"> </w:t>
      </w:r>
      <w:r w:rsidRPr="00DC7FF4">
        <w:rPr>
          <w:rFonts w:ascii="Times New Roman" w:hAnsi="Times New Roman" w:cs="Times New Roman"/>
          <w:bCs/>
          <w:snapToGrid w:val="0"/>
        </w:rPr>
        <w:t>thousand dollars ($</w:t>
      </w:r>
      <w:r w:rsidR="00274E13">
        <w:rPr>
          <w:rFonts w:ascii="Times New Roman" w:hAnsi="Times New Roman" w:cs="Times New Roman"/>
          <w:bCs/>
          <w:snapToGrid w:val="0"/>
        </w:rPr>
        <w:t>8</w:t>
      </w:r>
      <w:r w:rsidRPr="00DC7FF4">
        <w:rPr>
          <w:rFonts w:ascii="Times New Roman" w:hAnsi="Times New Roman" w:cs="Times New Roman"/>
          <w:bCs/>
          <w:snapToGrid w:val="0"/>
        </w:rPr>
        <w:t xml:space="preserve">,000) for </w:t>
      </w:r>
      <w:r w:rsidR="00BE10DE">
        <w:rPr>
          <w:rFonts w:ascii="Times New Roman" w:hAnsi="Times New Roman" w:cs="Times New Roman"/>
          <w:bCs/>
          <w:snapToGrid w:val="0"/>
        </w:rPr>
        <w:t xml:space="preserve">willful and repeated violations of </w:t>
      </w:r>
      <w:r w:rsidRPr="00DC7FF4">
        <w:rPr>
          <w:rFonts w:ascii="Times New Roman" w:hAnsi="Times New Roman" w:cs="Times New Roman"/>
          <w:bCs/>
          <w:snapToGrid w:val="0"/>
        </w:rPr>
        <w:t>section 214 of the Act and sections 63.03</w:t>
      </w:r>
      <w:r w:rsidR="00AB680E">
        <w:rPr>
          <w:rFonts w:ascii="Times New Roman" w:hAnsi="Times New Roman" w:cs="Times New Roman"/>
          <w:bCs/>
          <w:snapToGrid w:val="0"/>
        </w:rPr>
        <w:t xml:space="preserve"> and </w:t>
      </w:r>
      <w:r w:rsidRPr="00DC7FF4">
        <w:rPr>
          <w:rFonts w:ascii="Times New Roman" w:hAnsi="Times New Roman" w:cs="Times New Roman"/>
          <w:bCs/>
          <w:snapToGrid w:val="0"/>
        </w:rPr>
        <w:t>63.0</w:t>
      </w:r>
      <w:r w:rsidRPr="00DC7FF4" w:rsidR="00265073">
        <w:rPr>
          <w:rFonts w:ascii="Times New Roman" w:hAnsi="Times New Roman" w:cs="Times New Roman"/>
          <w:bCs/>
          <w:snapToGrid w:val="0"/>
        </w:rPr>
        <w:t xml:space="preserve">4 </w:t>
      </w:r>
      <w:r w:rsidRPr="00DC7FF4">
        <w:rPr>
          <w:rFonts w:ascii="Times New Roman" w:hAnsi="Times New Roman" w:cs="Times New Roman"/>
          <w:bCs/>
          <w:snapToGrid w:val="0"/>
        </w:rPr>
        <w:t>of the Commission’s rules.</w:t>
      </w:r>
      <w:r>
        <w:rPr>
          <w:rFonts w:ascii="Times New Roman" w:hAnsi="Times New Roman" w:cs="Times New Roman"/>
          <w:bCs/>
          <w:snapToGrid w:val="0"/>
          <w:sz w:val="20"/>
          <w:szCs w:val="20"/>
          <w:vertAlign w:val="superscript"/>
        </w:rPr>
        <w:footnoteReference w:id="51"/>
      </w:r>
    </w:p>
    <w:p w:rsidR="00772CA3" w:rsidRPr="00DC7FF4" w:rsidP="00DC7FF4" w14:paraId="5D1E40EB" w14:textId="78590CCA">
      <w:pPr>
        <w:pStyle w:val="ListParagraph"/>
        <w:numPr>
          <w:ilvl w:val="0"/>
          <w:numId w:val="38"/>
        </w:numPr>
        <w:ind w:left="0" w:firstLine="720"/>
        <w:contextualSpacing w:val="0"/>
        <w:rPr>
          <w:rFonts w:ascii="Times New Roman" w:hAnsi="Times New Roman" w:cs="Times New Roman"/>
          <w:bCs/>
          <w:caps/>
          <w:snapToGrid w:val="0"/>
        </w:rPr>
      </w:pPr>
      <w:r w:rsidRPr="00DC7FF4">
        <w:rPr>
          <w:rFonts w:ascii="Times New Roman" w:hAnsi="Times New Roman" w:cs="Times New Roman"/>
          <w:b/>
          <w:bCs/>
          <w:snapToGrid w:val="0"/>
          <w:kern w:val="28"/>
        </w:rPr>
        <w:t>IT IS FURTHER ORDERED</w:t>
      </w:r>
      <w:r w:rsidRPr="00DC7FF4">
        <w:rPr>
          <w:rFonts w:ascii="Times New Roman" w:hAnsi="Times New Roman" w:cs="Times New Roman"/>
          <w:snapToGrid w:val="0"/>
          <w:kern w:val="28"/>
        </w:rPr>
        <w:t xml:space="preserve"> that, pursuant to section 1.80 of the Commission’s rules,</w:t>
      </w:r>
      <w:r>
        <w:rPr>
          <w:rFonts w:ascii="Times New Roman" w:hAnsi="Times New Roman" w:cs="Times New Roman"/>
          <w:snapToGrid w:val="0"/>
          <w:sz w:val="20"/>
          <w:szCs w:val="20"/>
          <w:vertAlign w:val="superscript"/>
        </w:rPr>
        <w:footnoteReference w:id="52"/>
      </w:r>
      <w:r w:rsidRPr="005D4219">
        <w:rPr>
          <w:rFonts w:ascii="Times New Roman" w:hAnsi="Times New Roman" w:cs="Times New Roman"/>
          <w:snapToGrid w:val="0"/>
          <w:kern w:val="28"/>
          <w:sz w:val="20"/>
          <w:szCs w:val="20"/>
        </w:rPr>
        <w:t xml:space="preserve"> </w:t>
      </w:r>
      <w:r w:rsidRPr="00DC7FF4">
        <w:rPr>
          <w:rFonts w:ascii="Times New Roman" w:hAnsi="Times New Roman" w:cs="Times New Roman"/>
          <w:snapToGrid w:val="0"/>
          <w:kern w:val="28"/>
        </w:rPr>
        <w:t xml:space="preserve">within thirty (30) calendar days of the release date of this Notice of Apparent Liability for Forfeiture, </w:t>
      </w:r>
      <w:r w:rsidR="00274E13">
        <w:rPr>
          <w:rFonts w:ascii="Times New Roman" w:hAnsi="Times New Roman" w:cs="Times New Roman"/>
          <w:snapToGrid w:val="0"/>
          <w:kern w:val="28"/>
        </w:rPr>
        <w:t>VoxNet</w:t>
      </w:r>
      <w:r w:rsidRPr="00DC7FF4">
        <w:rPr>
          <w:rFonts w:ascii="Times New Roman" w:hAnsi="Times New Roman" w:cs="Times New Roman"/>
          <w:snapToGrid w:val="0"/>
          <w:kern w:val="28"/>
        </w:rPr>
        <w:t xml:space="preserve">, LLC </w:t>
      </w:r>
      <w:r w:rsidRPr="00DC7FF4">
        <w:rPr>
          <w:rFonts w:ascii="Times New Roman" w:hAnsi="Times New Roman" w:cs="Times New Roman"/>
          <w:b/>
          <w:bCs/>
          <w:snapToGrid w:val="0"/>
          <w:kern w:val="28"/>
        </w:rPr>
        <w:t>SHALL PAY</w:t>
      </w:r>
      <w:r w:rsidRPr="00DC7FF4">
        <w:rPr>
          <w:rFonts w:ascii="Times New Roman" w:hAnsi="Times New Roman" w:cs="Times New Roman"/>
          <w:snapToGrid w:val="0"/>
          <w:kern w:val="28"/>
        </w:rPr>
        <w:t xml:space="preserve"> the full amount of the proposed forfeiture or </w:t>
      </w:r>
      <w:r w:rsidRPr="00DC7FF4">
        <w:rPr>
          <w:rFonts w:ascii="Times New Roman" w:hAnsi="Times New Roman" w:cs="Times New Roman"/>
          <w:b/>
          <w:bCs/>
          <w:snapToGrid w:val="0"/>
          <w:kern w:val="28"/>
        </w:rPr>
        <w:t>SHALL FILE</w:t>
      </w:r>
      <w:r w:rsidRPr="00DC7FF4">
        <w:rPr>
          <w:rFonts w:ascii="Times New Roman" w:hAnsi="Times New Roman" w:cs="Times New Roman"/>
          <w:snapToGrid w:val="0"/>
          <w:kern w:val="28"/>
        </w:rPr>
        <w:t xml:space="preserve"> a written statement seeking reduction or cancellation of the proposed forfeiture consistent with </w:t>
      </w:r>
      <w:r w:rsidRPr="00276873">
        <w:rPr>
          <w:rFonts w:ascii="Times New Roman" w:hAnsi="Times New Roman" w:cs="Times New Roman"/>
          <w:snapToGrid w:val="0"/>
          <w:kern w:val="28"/>
        </w:rPr>
        <w:t xml:space="preserve">paragraph </w:t>
      </w:r>
      <w:r w:rsidRPr="00276873" w:rsidR="00BE09F5">
        <w:rPr>
          <w:rFonts w:ascii="Times New Roman" w:hAnsi="Times New Roman" w:cs="Times New Roman"/>
          <w:snapToGrid w:val="0"/>
          <w:kern w:val="28"/>
        </w:rPr>
        <w:t>2</w:t>
      </w:r>
      <w:r w:rsidRPr="00276873" w:rsidR="00271FC4">
        <w:rPr>
          <w:rFonts w:ascii="Times New Roman" w:hAnsi="Times New Roman" w:cs="Times New Roman"/>
          <w:snapToGrid w:val="0"/>
          <w:kern w:val="28"/>
        </w:rPr>
        <w:t>1</w:t>
      </w:r>
      <w:r w:rsidRPr="00DC7FF4">
        <w:rPr>
          <w:rFonts w:ascii="Times New Roman" w:hAnsi="Times New Roman" w:cs="Times New Roman"/>
          <w:snapToGrid w:val="0"/>
          <w:kern w:val="28"/>
        </w:rPr>
        <w:t xml:space="preserve"> below.  </w:t>
      </w:r>
    </w:p>
    <w:p w:rsidR="00772CA3" w:rsidRPr="00120C5E" w:rsidP="00E438CF" w14:paraId="6CAD65D0" w14:textId="43CF7774">
      <w:pPr>
        <w:pStyle w:val="ListParagraph"/>
        <w:numPr>
          <w:ilvl w:val="0"/>
          <w:numId w:val="38"/>
        </w:numPr>
        <w:ind w:left="0" w:firstLine="720"/>
        <w:rPr>
          <w:rFonts w:ascii="Times New Roman" w:hAnsi="Times New Roman" w:cs="Times New Roman"/>
          <w:snapToGrid w:val="0"/>
          <w:kern w:val="28"/>
        </w:rPr>
      </w:pPr>
      <w:r>
        <w:rPr>
          <w:rFonts w:ascii="Times New Roman" w:hAnsi="Times New Roman" w:cs="Times New Roman"/>
          <w:snapToGrid w:val="0"/>
          <w:kern w:val="28"/>
        </w:rPr>
        <w:t>VoxNet</w:t>
      </w:r>
      <w:r w:rsidRPr="00DC7FF4">
        <w:rPr>
          <w:rFonts w:ascii="Times New Roman" w:hAnsi="Times New Roman" w:cs="Times New Roman"/>
          <w:snapToGrid w:val="0"/>
          <w:kern w:val="28"/>
        </w:rPr>
        <w:t xml:space="preserve">, LLC, shall send electronic notification of payment to </w:t>
      </w:r>
      <w:r>
        <w:rPr>
          <w:rFonts w:ascii="Times New Roman" w:hAnsi="Times New Roman" w:cs="Times New Roman"/>
          <w:snapToGrid w:val="0"/>
          <w:kern w:val="28"/>
        </w:rPr>
        <w:t>Jeffrey Brown</w:t>
      </w:r>
      <w:r w:rsidRPr="00DC7FF4">
        <w:rPr>
          <w:rFonts w:ascii="Times New Roman" w:hAnsi="Times New Roman" w:cs="Times New Roman"/>
          <w:snapToGrid w:val="0"/>
          <w:kern w:val="28"/>
        </w:rPr>
        <w:t xml:space="preserve">, Enforcement Bureau, Federal Communications Commission, at </w:t>
      </w:r>
      <w:hyperlink r:id="rId5" w:history="1">
        <w:r>
          <w:rPr>
            <w:rFonts w:ascii="Times New Roman" w:hAnsi="Times New Roman" w:cs="Times New Roman"/>
            <w:snapToGrid w:val="0"/>
            <w:color w:val="0000FF"/>
            <w:kern w:val="28"/>
            <w:u w:val="single"/>
          </w:rPr>
          <w:t>Jeffrey.Brown@fcc.gov</w:t>
        </w:r>
      </w:hyperlink>
      <w:r w:rsidRPr="00DC7FF4">
        <w:rPr>
          <w:rFonts w:ascii="Times New Roman" w:hAnsi="Times New Roman" w:cs="Times New Roman"/>
          <w:snapToGrid w:val="0"/>
          <w:kern w:val="28"/>
        </w:rPr>
        <w:t xml:space="preserve"> on the date said payment is made.  </w:t>
      </w:r>
      <w:bookmarkStart w:id="8" w:name="_Hlk112070125"/>
      <w:bookmarkStart w:id="9" w:name="_Hlk112070161"/>
      <w:r w:rsidRPr="00120C5E" w:rsidR="00120C5E">
        <w:rPr>
          <w:rFonts w:ascii="Times New Roman" w:hAnsi="Times New Roman" w:cs="Times New Roman"/>
          <w:snapToGrid w:val="0"/>
          <w:kern w:val="28"/>
        </w:rPr>
        <w:t xml:space="preserve">Payment of the forfeiture must be made by credit card using the Commission’s Registration System (CORES) at </w:t>
      </w:r>
      <w:hyperlink r:id="rId6" w:history="1">
        <w:r w:rsidRPr="00120C5E" w:rsidR="00120C5E">
          <w:rPr>
            <w:rStyle w:val="Hyperlink"/>
            <w:rFonts w:ascii="Times New Roman" w:hAnsi="Times New Roman" w:cs="Times New Roman"/>
            <w:snapToGrid w:val="0"/>
            <w:kern w:val="28"/>
          </w:rPr>
          <w:t>https://apps.fcc.gov/cores/userLogin.do</w:t>
        </w:r>
      </w:hyperlink>
      <w:r w:rsidRPr="00120C5E" w:rsidR="00120C5E">
        <w:rPr>
          <w:rFonts w:ascii="Times New Roman" w:hAnsi="Times New Roman" w:cs="Times New Roman"/>
          <w:snapToGrid w:val="0"/>
          <w:kern w:val="28"/>
        </w:rPr>
        <w:t xml:space="preserve">, ACH (Automated Clearing House) debit from a bank account, or by wire transfer from a bank account.  </w:t>
      </w:r>
      <w:bookmarkEnd w:id="8"/>
      <w:r w:rsidRPr="00120C5E" w:rsidR="00120C5E">
        <w:rPr>
          <w:rFonts w:ascii="Times New Roman" w:hAnsi="Times New Roman" w:cs="Times New Roman"/>
          <w:snapToGrid w:val="0"/>
          <w:kern w:val="28"/>
        </w:rPr>
        <w:t>The Commission no longer accepts Civil Penalty payments by check or money order.  Below are instructions that payors should follow based on the form of payment selected:</w:t>
      </w:r>
      <w:r>
        <w:rPr>
          <w:rFonts w:ascii="Times New Roman" w:hAnsi="Times New Roman" w:cs="Times New Roman"/>
          <w:snapToGrid w:val="0"/>
          <w:kern w:val="28"/>
          <w:sz w:val="20"/>
          <w:szCs w:val="20"/>
          <w:vertAlign w:val="superscript"/>
        </w:rPr>
        <w:footnoteReference w:id="53"/>
      </w:r>
      <w:bookmarkEnd w:id="9"/>
    </w:p>
    <w:p w:rsidR="00120C5E" w:rsidRPr="00120C5E" w:rsidP="00120C5E" w14:paraId="17D15278" w14:textId="77777777">
      <w:pPr>
        <w:numPr>
          <w:ilvl w:val="0"/>
          <w:numId w:val="41"/>
        </w:numPr>
        <w:snapToGrid w:val="0"/>
        <w:ind w:left="720"/>
        <w:rPr>
          <w:rFonts w:ascii="Times New Roman" w:hAnsi="Times New Roman" w:cs="Times New Roman"/>
        </w:rPr>
      </w:pPr>
      <w:r w:rsidRPr="00E438CF">
        <w:rPr>
          <w:rFonts w:ascii="Times New Roman" w:hAnsi="Times New Roman" w:cs="Times New Roman"/>
        </w:rPr>
        <w:t xml:space="preserve">Payment by wire transfer must be made to ABA Number 021030004, receiving bank TREAS/NYC, and Account Number 27000001.  In the OBI field, enter the FRN(s) captioned </w:t>
      </w:r>
      <w:r w:rsidRPr="00120C5E">
        <w:rPr>
          <w:rFonts w:ascii="Times New Roman" w:hAnsi="Times New Roman" w:cs="Times New Roman"/>
        </w:rPr>
        <w:t>above and the letters “FORF”.  In addition, a completed Form 159</w:t>
      </w:r>
      <w:r>
        <w:rPr>
          <w:rStyle w:val="FootnoteReference"/>
          <w:rFonts w:ascii="Times New Roman" w:hAnsi="Times New Roman" w:cs="Times New Roman"/>
          <w:sz w:val="20"/>
          <w:szCs w:val="20"/>
        </w:rPr>
        <w:footnoteReference w:id="54"/>
      </w:r>
      <w:r w:rsidRPr="00B31506">
        <w:rPr>
          <w:rFonts w:ascii="Times New Roman" w:hAnsi="Times New Roman" w:cs="Times New Roman"/>
          <w:sz w:val="20"/>
          <w:szCs w:val="20"/>
        </w:rPr>
        <w:t xml:space="preserve"> </w:t>
      </w:r>
      <w:r w:rsidRPr="00120C5E">
        <w:rPr>
          <w:rFonts w:ascii="Times New Roman" w:hAnsi="Times New Roman" w:cs="Times New Roman"/>
        </w:rPr>
        <w:t>or printed CORES form</w:t>
      </w:r>
      <w:r>
        <w:rPr>
          <w:rStyle w:val="FootnoteReference"/>
          <w:rFonts w:ascii="Times New Roman" w:hAnsi="Times New Roman" w:cs="Times New Roman"/>
          <w:sz w:val="20"/>
          <w:szCs w:val="20"/>
        </w:rPr>
        <w:footnoteReference w:id="55"/>
      </w:r>
      <w:r w:rsidRPr="00B31506">
        <w:rPr>
          <w:rFonts w:ascii="Times New Roman" w:hAnsi="Times New Roman" w:cs="Times New Roman"/>
          <w:sz w:val="20"/>
          <w:szCs w:val="20"/>
        </w:rPr>
        <w:t xml:space="preserve"> </w:t>
      </w:r>
      <w:r w:rsidRPr="00120C5E">
        <w:rPr>
          <w:rFonts w:ascii="Times New Roman" w:hAnsi="Times New Roman" w:cs="Times New Roman"/>
        </w:rPr>
        <w:t xml:space="preserve">must be faxed to the Federal Communications Commission at 202-418-2843 or e-mailed to </w:t>
      </w:r>
      <w:hyperlink r:id="rId7" w:history="1">
        <w:r w:rsidRPr="00120C5E">
          <w:rPr>
            <w:rStyle w:val="Hyperlink"/>
            <w:rFonts w:ascii="Times New Roman" w:hAnsi="Times New Roman" w:cs="Times New Roman"/>
          </w:rPr>
          <w:t>RROGWireFaxes@fcc.gov</w:t>
        </w:r>
      </w:hyperlink>
      <w:r w:rsidRPr="00120C5E">
        <w:rPr>
          <w:rFonts w:ascii="Times New Roman" w:hAnsi="Times New Roman" w:cs="Times New Roman"/>
        </w:rPr>
        <w:t xml:space="preserve"> on the same business day the wire transfer is initiated.  Failure to provide all required information in Form 159 or CORES may result in payment not being recognized as having been received.  When completing FCC Form 159 or CORES, enter the Account Number in block number 23A (call sign/other ID), enter the letters “FORF” in block number 24A (payment type code), and enter in block number 11 the FRN(s) captioned above (Payor FRN).</w:t>
      </w:r>
      <w:r>
        <w:rPr>
          <w:rStyle w:val="FootnoteReference"/>
          <w:rFonts w:ascii="Times New Roman" w:hAnsi="Times New Roman" w:cs="Times New Roman"/>
          <w:sz w:val="20"/>
          <w:szCs w:val="20"/>
        </w:rPr>
        <w:footnoteReference w:id="56"/>
      </w:r>
      <w:r w:rsidRPr="00B31506">
        <w:rPr>
          <w:rFonts w:ascii="Times New Roman" w:hAnsi="Times New Roman" w:cs="Times New Roman"/>
          <w:sz w:val="20"/>
          <w:szCs w:val="20"/>
        </w:rPr>
        <w:t> </w:t>
      </w:r>
      <w:r w:rsidRPr="00120C5E">
        <w:rPr>
          <w:rFonts w:ascii="Times New Roman" w:hAnsi="Times New Roman" w:cs="Times New Roman"/>
        </w:rPr>
        <w:t xml:space="preserve"> For additional detail and wire transfer instructions, go to </w:t>
      </w:r>
      <w:hyperlink r:id="rId8" w:history="1">
        <w:r w:rsidRPr="00120C5E">
          <w:rPr>
            <w:rStyle w:val="Hyperlink"/>
            <w:rFonts w:ascii="Times New Roman" w:hAnsi="Times New Roman" w:cs="Times New Roman"/>
          </w:rPr>
          <w:t>https://www.fcc.gov/licensing-databases/fees/wire-transfer</w:t>
        </w:r>
      </w:hyperlink>
      <w:r w:rsidRPr="00120C5E">
        <w:rPr>
          <w:rFonts w:ascii="Times New Roman" w:hAnsi="Times New Roman" w:cs="Times New Roman"/>
        </w:rPr>
        <w:t xml:space="preserve">.  </w:t>
      </w:r>
    </w:p>
    <w:p w:rsidR="00120C5E" w:rsidRPr="00120C5E" w:rsidP="00120C5E" w14:paraId="45FE49E6" w14:textId="77777777">
      <w:pPr>
        <w:numPr>
          <w:ilvl w:val="0"/>
          <w:numId w:val="41"/>
        </w:numPr>
        <w:snapToGrid w:val="0"/>
        <w:ind w:left="720"/>
        <w:rPr>
          <w:rFonts w:ascii="Times New Roman" w:hAnsi="Times New Roman" w:cs="Times New Roman"/>
        </w:rPr>
      </w:pPr>
      <w:r w:rsidRPr="00120C5E">
        <w:rPr>
          <w:rFonts w:ascii="Times New Roman" w:hAnsi="Times New Roman" w:cs="Times New Roman"/>
        </w:rPr>
        <w:t xml:space="preserve">Payment by credit card must be made by using CORES at </w:t>
      </w:r>
      <w:hyperlink r:id="rId6" w:history="1">
        <w:r w:rsidRPr="00120C5E">
          <w:rPr>
            <w:rStyle w:val="Hyperlink"/>
            <w:rFonts w:ascii="Times New Roman" w:hAnsi="Times New Roman" w:cs="Times New Roman"/>
          </w:rPr>
          <w:t>https://apps.fcc.gov/cores/userLogin.do</w:t>
        </w:r>
      </w:hyperlink>
      <w:r w:rsidRPr="00120C5E">
        <w:rPr>
          <w:rFonts w:ascii="Times New Roman" w:hAnsi="Times New Roman" w:cs="Times New Roman"/>
        </w:rPr>
        <w:t>.  To pay by credit card, log-in using the FCC Username associated to the FRN captioned above.  If payment must be split across FRNs, complete this process for each FRN.  Next, select “Manage Existing FRNs | FRN Financial | Bills &amp; Fees” from the CORES Menu, then select FRN Financial and the view/make payments option next to the FRN.  Select the “Open Bills” tab and find the bill number associated with the NAL Acct. No.  The bill number is the  NAL Acct. No. with the first two digits excluded (e.g., NAL 1912345678 would be associated with FCC Bill Number 12345678).  After selecting the bill for payment, choose the “Pay by Credit Card” option.  Please note that there is a $24,999.99 limit on credit card transactions.</w:t>
      </w:r>
    </w:p>
    <w:p w:rsidR="00120C5E" w:rsidRPr="0078434B" w:rsidP="00120C5E" w14:paraId="43A12F1E" w14:textId="77777777">
      <w:pPr>
        <w:numPr>
          <w:ilvl w:val="0"/>
          <w:numId w:val="41"/>
        </w:numPr>
        <w:snapToGrid w:val="0"/>
        <w:ind w:left="720"/>
        <w:rPr>
          <w:rFonts w:ascii="Times New Roman" w:hAnsi="Times New Roman" w:cs="Times New Roman"/>
        </w:rPr>
      </w:pPr>
      <w:r w:rsidRPr="0078434B">
        <w:rPr>
          <w:rFonts w:ascii="Times New Roman" w:hAnsi="Times New Roman" w:cs="Times New Roman"/>
        </w:rPr>
        <w:t xml:space="preserve">Payment by ACH must be made by using CORES at </w:t>
      </w:r>
      <w:hyperlink r:id="rId6" w:history="1">
        <w:r w:rsidRPr="0078434B">
          <w:rPr>
            <w:rStyle w:val="Hyperlink"/>
            <w:rFonts w:ascii="Times New Roman" w:hAnsi="Times New Roman" w:cs="Times New Roman"/>
          </w:rPr>
          <w:t>https://apps.fcc.gov/cores/userLogin.do</w:t>
        </w:r>
      </w:hyperlink>
      <w:r w:rsidRPr="0078434B">
        <w:rPr>
          <w:rFonts w:ascii="Times New Roman" w:hAnsi="Times New Roman" w:cs="Times New Roman"/>
        </w:rPr>
        <w:t>.  To pay by ACH, log in using the FCC Username associated to the FRN captioned above.  If payment must be split across FRNs, complete this process for each FRN.  Next, select “Manage Existing FRNs | FRN Financial | Bills &amp; Fees” on the CORES Menu, then select FRN Financial and the view/make payments option next to the FRN. Select the “Open Bills” tab and find the bill</w:t>
      </w:r>
      <w:r w:rsidRPr="0078434B">
        <w:rPr>
          <w:rFonts w:ascii="Times New Roman" w:hAnsi="Times New Roman" w:cs="Times New Roman"/>
        </w:rPr>
        <w:t xml:space="preserve"> </w:t>
      </w:r>
      <w:r w:rsidRPr="0078434B">
        <w:rPr>
          <w:rFonts w:ascii="Times New Roman" w:hAnsi="Times New Roman" w:cs="Times New Roman"/>
        </w:rPr>
        <w:t>number associated with the  NAL Acct. No.  The bill number is the NAL Acct. No. with the first two digits excluded (e.g., NAL 1912345678 would be associated with FCC Bill Number 12345678).  Finally, choose the “Pay from Bank Account” option.  Please contact the appropriate financial institution to confirm the correct Routing Number and the correct account number from which payment will be made and verify with that financial institution that the designated account has authorization to accept ACH transactions.</w:t>
      </w:r>
    </w:p>
    <w:p w:rsidR="00772CA3" w:rsidRPr="00DC7FF4" w:rsidP="00DC7FF4" w14:paraId="744E1A25" w14:textId="69EA1EF0">
      <w:pPr>
        <w:pStyle w:val="ListParagraph"/>
        <w:numPr>
          <w:ilvl w:val="0"/>
          <w:numId w:val="38"/>
        </w:numPr>
        <w:ind w:left="0" w:firstLine="720"/>
        <w:contextualSpacing w:val="0"/>
        <w:rPr>
          <w:rFonts w:ascii="Times New Roman" w:hAnsi="Times New Roman" w:cs="Times New Roman"/>
          <w:snapToGrid w:val="0"/>
        </w:rPr>
      </w:pPr>
      <w:r w:rsidRPr="00DC7FF4">
        <w:rPr>
          <w:rFonts w:ascii="Times New Roman" w:hAnsi="Times New Roman" w:cs="Times New Roman"/>
          <w:snapToGrid w:val="0"/>
        </w:rPr>
        <w:t>Any request for making full payment over time under an installment plan should be sent to:  Chief Financial Officer – Financial Operations, Federal Communications Commission, 45 L Street, NE, Washington, D</w:t>
      </w:r>
      <w:r w:rsidR="000A30EB">
        <w:rPr>
          <w:rFonts w:ascii="Times New Roman" w:hAnsi="Times New Roman" w:cs="Times New Roman"/>
          <w:snapToGrid w:val="0"/>
        </w:rPr>
        <w:t>.</w:t>
      </w:r>
      <w:r w:rsidRPr="00DC7FF4">
        <w:rPr>
          <w:rFonts w:ascii="Times New Roman" w:hAnsi="Times New Roman" w:cs="Times New Roman"/>
          <w:snapToGrid w:val="0"/>
        </w:rPr>
        <w:t>C</w:t>
      </w:r>
      <w:r w:rsidR="000A30EB">
        <w:rPr>
          <w:rFonts w:ascii="Times New Roman" w:hAnsi="Times New Roman" w:cs="Times New Roman"/>
          <w:snapToGrid w:val="0"/>
        </w:rPr>
        <w:t>.</w:t>
      </w:r>
      <w:r w:rsidRPr="00DC7FF4">
        <w:rPr>
          <w:rFonts w:ascii="Times New Roman" w:hAnsi="Times New Roman" w:cs="Times New Roman"/>
          <w:snapToGrid w:val="0"/>
        </w:rPr>
        <w:t xml:space="preserve"> 20554.</w:t>
      </w:r>
      <w:r>
        <w:rPr>
          <w:rFonts w:ascii="Times New Roman" w:hAnsi="Times New Roman" w:cs="Times New Roman"/>
          <w:snapToGrid w:val="0"/>
          <w:sz w:val="20"/>
          <w:szCs w:val="20"/>
          <w:vertAlign w:val="superscript"/>
        </w:rPr>
        <w:footnoteReference w:id="57"/>
      </w:r>
      <w:r w:rsidRPr="00B31506">
        <w:rPr>
          <w:rFonts w:ascii="Times New Roman" w:hAnsi="Times New Roman" w:cs="Times New Roman"/>
          <w:snapToGrid w:val="0"/>
          <w:sz w:val="20"/>
          <w:szCs w:val="20"/>
        </w:rPr>
        <w:t xml:space="preserve"> </w:t>
      </w:r>
      <w:r w:rsidRPr="00DC7FF4">
        <w:rPr>
          <w:rFonts w:ascii="Times New Roman" w:hAnsi="Times New Roman" w:cs="Times New Roman"/>
          <w:snapToGrid w:val="0"/>
        </w:rPr>
        <w:t xml:space="preserve"> If you have any questions regarding payment procedures, please contact the Financial Operations Group Help Desk by phone, 1-877-480-3201, or by e-mail, </w:t>
      </w:r>
      <w:hyperlink r:id="rId9" w:history="1">
        <w:r w:rsidRPr="00DC7FF4">
          <w:rPr>
            <w:rFonts w:ascii="Times New Roman" w:hAnsi="Times New Roman" w:cs="Times New Roman"/>
            <w:snapToGrid w:val="0"/>
            <w:color w:val="0000FF"/>
            <w:u w:val="single"/>
          </w:rPr>
          <w:t>ARINQUIRES@fcc.gov</w:t>
        </w:r>
      </w:hyperlink>
      <w:r w:rsidRPr="00DC7FF4">
        <w:rPr>
          <w:rFonts w:ascii="Times New Roman" w:hAnsi="Times New Roman" w:cs="Times New Roman"/>
          <w:snapToGrid w:val="0"/>
        </w:rPr>
        <w:t xml:space="preserve">.  </w:t>
      </w:r>
    </w:p>
    <w:p w:rsidR="00772CA3" w:rsidRPr="00DC7FF4" w:rsidP="00DC7FF4" w14:paraId="734DFB78" w14:textId="77EEC665">
      <w:pPr>
        <w:pStyle w:val="ListParagraph"/>
        <w:numPr>
          <w:ilvl w:val="0"/>
          <w:numId w:val="38"/>
        </w:numPr>
        <w:ind w:left="0" w:firstLine="720"/>
        <w:contextualSpacing w:val="0"/>
        <w:rPr>
          <w:rFonts w:ascii="Times New Roman" w:hAnsi="Times New Roman" w:cs="Times New Roman"/>
          <w:snapToGrid w:val="0"/>
        </w:rPr>
      </w:pPr>
      <w:r w:rsidRPr="00DC7FF4">
        <w:rPr>
          <w:rFonts w:ascii="Times New Roman" w:hAnsi="Times New Roman" w:cs="Times New Roman"/>
          <w:snapToGrid w:val="0"/>
          <w:kern w:val="28"/>
        </w:rPr>
        <w:t>The written statement seeking reduction or cancellation of the proposed forfeiture, if any, must include a detailed factual statement supported by appropriate documentation and affidavits pursuant to sections 1.16 and 1.80(</w:t>
      </w:r>
      <w:r w:rsidR="008B5871">
        <w:rPr>
          <w:rFonts w:ascii="Times New Roman" w:hAnsi="Times New Roman" w:cs="Times New Roman"/>
          <w:snapToGrid w:val="0"/>
          <w:kern w:val="28"/>
        </w:rPr>
        <w:t>g</w:t>
      </w:r>
      <w:r w:rsidRPr="00DC7FF4">
        <w:rPr>
          <w:rFonts w:ascii="Times New Roman" w:hAnsi="Times New Roman" w:cs="Times New Roman"/>
          <w:snapToGrid w:val="0"/>
          <w:kern w:val="28"/>
        </w:rPr>
        <w:t>)(3) of the Commission’s rules.</w:t>
      </w:r>
      <w:r>
        <w:rPr>
          <w:rFonts w:ascii="Times New Roman" w:hAnsi="Times New Roman" w:cs="Times New Roman"/>
          <w:snapToGrid w:val="0"/>
          <w:sz w:val="20"/>
          <w:szCs w:val="20"/>
          <w:vertAlign w:val="superscript"/>
        </w:rPr>
        <w:footnoteReference w:id="58"/>
      </w:r>
      <w:r w:rsidRPr="00DC7FF4">
        <w:rPr>
          <w:rFonts w:ascii="Times New Roman" w:hAnsi="Times New Roman" w:cs="Times New Roman"/>
          <w:snapToGrid w:val="0"/>
          <w:kern w:val="28"/>
        </w:rPr>
        <w:t xml:space="preserve">  The written statement must be mailed to Jeffrey J. Gee, Chief, Investigations and Hearings Division, Enforcement Bureau, Federal Communications Commission, 45 L Street, NE, Washington, D</w:t>
      </w:r>
      <w:r w:rsidR="00E35126">
        <w:rPr>
          <w:rFonts w:ascii="Times New Roman" w:hAnsi="Times New Roman" w:cs="Times New Roman"/>
          <w:snapToGrid w:val="0"/>
          <w:kern w:val="28"/>
        </w:rPr>
        <w:t>.</w:t>
      </w:r>
      <w:r w:rsidRPr="00DC7FF4">
        <w:rPr>
          <w:rFonts w:ascii="Times New Roman" w:hAnsi="Times New Roman" w:cs="Times New Roman"/>
          <w:snapToGrid w:val="0"/>
          <w:kern w:val="28"/>
        </w:rPr>
        <w:t>C</w:t>
      </w:r>
      <w:r w:rsidR="00E35126">
        <w:rPr>
          <w:rFonts w:ascii="Times New Roman" w:hAnsi="Times New Roman" w:cs="Times New Roman"/>
          <w:snapToGrid w:val="0"/>
          <w:kern w:val="28"/>
        </w:rPr>
        <w:t>.</w:t>
      </w:r>
      <w:r w:rsidRPr="00DC7FF4">
        <w:rPr>
          <w:rFonts w:ascii="Times New Roman" w:hAnsi="Times New Roman" w:cs="Times New Roman"/>
          <w:snapToGrid w:val="0"/>
          <w:kern w:val="28"/>
        </w:rPr>
        <w:t xml:space="preserve"> 20554, and must include the </w:t>
      </w:r>
      <w:r w:rsidRPr="00DC7FF4">
        <w:rPr>
          <w:rFonts w:ascii="Times New Roman" w:hAnsi="Times New Roman" w:cs="Times New Roman"/>
          <w:snapToGrid w:val="0"/>
          <w:kern w:val="28"/>
        </w:rPr>
        <w:t>NAL/Acct. No. referenced in the caption.  The written statement shall also be e</w:t>
      </w:r>
      <w:r w:rsidR="00E35126">
        <w:rPr>
          <w:rFonts w:ascii="Times New Roman" w:hAnsi="Times New Roman" w:cs="Times New Roman"/>
          <w:snapToGrid w:val="0"/>
          <w:kern w:val="28"/>
        </w:rPr>
        <w:t>-</w:t>
      </w:r>
      <w:r w:rsidRPr="00DC7FF4">
        <w:rPr>
          <w:rFonts w:ascii="Times New Roman" w:hAnsi="Times New Roman" w:cs="Times New Roman"/>
          <w:snapToGrid w:val="0"/>
          <w:kern w:val="28"/>
        </w:rPr>
        <w:t xml:space="preserve">mailed to Jeffrey J. Gee at </w:t>
      </w:r>
      <w:hyperlink r:id="rId10" w:history="1">
        <w:r w:rsidRPr="00DC7FF4">
          <w:rPr>
            <w:rFonts w:ascii="Times New Roman" w:hAnsi="Times New Roman" w:cs="Times New Roman"/>
            <w:snapToGrid w:val="0"/>
            <w:color w:val="0000FF"/>
            <w:kern w:val="28"/>
            <w:u w:val="single"/>
          </w:rPr>
          <w:t>Jeffrey.Gee@fcc.gov</w:t>
        </w:r>
      </w:hyperlink>
      <w:r w:rsidRPr="00DC7FF4">
        <w:rPr>
          <w:rFonts w:ascii="Times New Roman" w:hAnsi="Times New Roman" w:cs="Times New Roman"/>
          <w:snapToGrid w:val="0"/>
          <w:color w:val="0563C1" w:themeColor="hyperlink"/>
          <w:kern w:val="28"/>
          <w:u w:val="single"/>
        </w:rPr>
        <w:t xml:space="preserve"> </w:t>
      </w:r>
      <w:r w:rsidRPr="00DC7FF4">
        <w:rPr>
          <w:rFonts w:ascii="Times New Roman" w:hAnsi="Times New Roman" w:cs="Times New Roman"/>
          <w:snapToGrid w:val="0"/>
          <w:kern w:val="28"/>
        </w:rPr>
        <w:t xml:space="preserve">and to </w:t>
      </w:r>
      <w:r w:rsidR="00546275">
        <w:rPr>
          <w:rFonts w:ascii="Times New Roman" w:hAnsi="Times New Roman" w:cs="Times New Roman"/>
          <w:snapToGrid w:val="0"/>
          <w:kern w:val="28"/>
        </w:rPr>
        <w:t xml:space="preserve">Jeffrey Brown </w:t>
      </w:r>
      <w:r w:rsidR="00104C92">
        <w:rPr>
          <w:rFonts w:ascii="Times New Roman" w:hAnsi="Times New Roman" w:cs="Times New Roman"/>
          <w:snapToGrid w:val="0"/>
          <w:kern w:val="28"/>
        </w:rPr>
        <w:t xml:space="preserve">at </w:t>
      </w:r>
      <w:hyperlink r:id="rId11" w:history="1">
        <w:r w:rsidRPr="00CF0E3A" w:rsidR="00CF0E3A">
          <w:rPr>
            <w:rStyle w:val="Hyperlink"/>
            <w:rFonts w:ascii="Times New Roman" w:hAnsi="Times New Roman" w:cs="Times New Roman"/>
            <w:snapToGrid w:val="0"/>
            <w:kern w:val="28"/>
          </w:rPr>
          <w:t>Jeffrey.Brown@fcc.gov</w:t>
        </w:r>
      </w:hyperlink>
      <w:r w:rsidRPr="00DC7FF4">
        <w:rPr>
          <w:rFonts w:ascii="Times New Roman" w:hAnsi="Times New Roman" w:cs="Times New Roman"/>
          <w:snapToGrid w:val="0"/>
          <w:kern w:val="28"/>
        </w:rPr>
        <w:t xml:space="preserve">. </w:t>
      </w:r>
    </w:p>
    <w:p w:rsidR="00A46335" w:rsidRPr="00A66DDB" w:rsidP="00A46335" w14:paraId="588E4F40" w14:textId="77777777">
      <w:pPr>
        <w:pStyle w:val="ListParagraph"/>
        <w:numPr>
          <w:ilvl w:val="0"/>
          <w:numId w:val="38"/>
        </w:numPr>
        <w:ind w:left="0" w:firstLine="720"/>
        <w:contextualSpacing w:val="0"/>
        <w:rPr>
          <w:rFonts w:ascii="Times New Roman" w:hAnsi="Times New Roman" w:cs="Times New Roman"/>
          <w:snapToGrid w:val="0"/>
        </w:rPr>
      </w:pPr>
      <w:r w:rsidRPr="00DC7FF4">
        <w:rPr>
          <w:rFonts w:ascii="Times New Roman" w:hAnsi="Times New Roman" w:cs="Times New Roman"/>
          <w:snapToGrid w:val="0"/>
        </w:rPr>
        <w:t xml:space="preserve">The Commission will not consider reducing or canceling a forfeiture in response to a claim of inability to pay unless the petitioner submits:  (1) federal tax returns for </w:t>
      </w:r>
      <w:r w:rsidRPr="00DC7FF4" w:rsidR="00D41B11">
        <w:rPr>
          <w:rFonts w:ascii="Times New Roman" w:hAnsi="Times New Roman" w:cs="Times New Roman"/>
          <w:snapToGrid w:val="0"/>
        </w:rPr>
        <w:t>the past three years</w:t>
      </w:r>
      <w:r w:rsidRPr="00DC7FF4">
        <w:rPr>
          <w:rFonts w:ascii="Times New Roman" w:hAnsi="Times New Roman" w:cs="Times New Roman"/>
          <w:snapToGrid w:val="0"/>
        </w:rPr>
        <w:t xml:space="preserve">; (2) financial statements </w:t>
      </w:r>
      <w:r w:rsidRPr="00DC7FF4" w:rsidR="00D41B11">
        <w:rPr>
          <w:rFonts w:ascii="Times New Roman" w:hAnsi="Times New Roman" w:cs="Times New Roman"/>
          <w:snapToGrid w:val="0"/>
        </w:rPr>
        <w:t xml:space="preserve">for the past three years </w:t>
      </w:r>
      <w:r w:rsidRPr="00DC7FF4">
        <w:rPr>
          <w:rFonts w:ascii="Times New Roman" w:hAnsi="Times New Roman" w:cs="Times New Roman"/>
          <w:snapToGrid w:val="0"/>
        </w:rPr>
        <w:t xml:space="preserve">prepared according to generally accepted accounting </w:t>
      </w:r>
      <w:r w:rsidRPr="00DC7FF4" w:rsidR="00D41B11">
        <w:rPr>
          <w:rFonts w:ascii="Times New Roman" w:hAnsi="Times New Roman" w:cs="Times New Roman"/>
          <w:snapToGrid w:val="0"/>
        </w:rPr>
        <w:t>practices</w:t>
      </w:r>
      <w:r w:rsidRPr="00DC7FF4">
        <w:rPr>
          <w:rFonts w:ascii="Times New Roman" w:hAnsi="Times New Roman" w:cs="Times New Roman"/>
          <w:snapToGrid w:val="0"/>
        </w:rPr>
        <w:t>; or (3) some other reliable and objective documentation that accurately reflects the petitioner’s current financial status.</w:t>
      </w:r>
      <w:r>
        <w:rPr>
          <w:rStyle w:val="FootnoteReference"/>
          <w:rFonts w:ascii="Times New Roman" w:hAnsi="Times New Roman" w:cs="Times New Roman"/>
          <w:snapToGrid w:val="0"/>
          <w:kern w:val="28"/>
          <w:sz w:val="20"/>
          <w:szCs w:val="20"/>
        </w:rPr>
        <w:footnoteReference w:id="59"/>
      </w:r>
      <w:r w:rsidRPr="00B31506">
        <w:rPr>
          <w:rFonts w:ascii="Times New Roman" w:hAnsi="Times New Roman" w:cs="Times New Roman"/>
          <w:snapToGrid w:val="0"/>
          <w:sz w:val="20"/>
          <w:szCs w:val="20"/>
        </w:rPr>
        <w:t xml:space="preserve"> </w:t>
      </w:r>
      <w:r w:rsidRPr="00DC7FF4">
        <w:rPr>
          <w:rFonts w:ascii="Times New Roman" w:hAnsi="Times New Roman" w:cs="Times New Roman"/>
          <w:snapToGrid w:val="0"/>
        </w:rPr>
        <w:t xml:space="preserve"> Any claim of inability to pay must specifically identify the basis for the claim by reference to the financial documentation submitted.  </w:t>
      </w:r>
      <w:r w:rsidRPr="00DC7FF4">
        <w:rPr>
          <w:rFonts w:ascii="Times New Roman" w:hAnsi="Times New Roman" w:cs="Times New Roman"/>
          <w:snapToGrid w:val="0"/>
          <w:color w:val="000000"/>
        </w:rPr>
        <w:t>Inability to pay, however, is only one of several factors that the Commission will consider in determining the appropriate forfeiture, and we have discretion to not reduce or cancel the forfeiture if other prongs of 47 U.S.C. § 503(b)(2)(E) support that result.</w:t>
      </w:r>
      <w:r>
        <w:rPr>
          <w:rFonts w:ascii="Times New Roman" w:hAnsi="Times New Roman" w:cs="Times New Roman"/>
          <w:snapToGrid w:val="0"/>
          <w:sz w:val="20"/>
          <w:szCs w:val="20"/>
          <w:vertAlign w:val="superscript"/>
        </w:rPr>
        <w:footnoteReference w:id="60"/>
      </w:r>
      <w:r w:rsidRPr="00B31506">
        <w:rPr>
          <w:rFonts w:ascii="Times New Roman" w:hAnsi="Times New Roman" w:cs="Times New Roman"/>
          <w:snapToGrid w:val="0"/>
          <w:color w:val="000000"/>
          <w:sz w:val="20"/>
          <w:szCs w:val="20"/>
        </w:rPr>
        <w:t xml:space="preserve"> </w:t>
      </w:r>
    </w:p>
    <w:p w:rsidR="00ED21A8" w:rsidRPr="00A46335" w:rsidP="00A46335" w14:paraId="18CFA668" w14:textId="354CA623">
      <w:pPr>
        <w:pStyle w:val="ListParagraph"/>
        <w:numPr>
          <w:ilvl w:val="0"/>
          <w:numId w:val="38"/>
        </w:numPr>
        <w:ind w:left="0" w:firstLine="720"/>
        <w:contextualSpacing w:val="0"/>
        <w:rPr>
          <w:rFonts w:ascii="Times New Roman" w:hAnsi="Times New Roman" w:cs="Times New Roman"/>
          <w:snapToGrid w:val="0"/>
        </w:rPr>
      </w:pPr>
      <w:r w:rsidRPr="00A46335">
        <w:rPr>
          <w:rFonts w:ascii="Times New Roman" w:hAnsi="Times New Roman" w:cs="Times New Roman"/>
          <w:b/>
          <w:bCs/>
          <w:snapToGrid w:val="0"/>
          <w:kern w:val="28"/>
        </w:rPr>
        <w:t>IT IS FURTHER ORDERED</w:t>
      </w:r>
      <w:r w:rsidRPr="00A46335">
        <w:rPr>
          <w:rFonts w:ascii="Times New Roman" w:hAnsi="Times New Roman" w:cs="Times New Roman"/>
          <w:snapToGrid w:val="0"/>
          <w:kern w:val="28"/>
        </w:rPr>
        <w:t xml:space="preserve"> that a copy of this Notice of Apparent Liability for Forfeiture shall be sent by first class mail </w:t>
      </w:r>
      <w:r w:rsidRPr="00A46335" w:rsidR="00295C17">
        <w:rPr>
          <w:rFonts w:ascii="Times New Roman" w:hAnsi="Times New Roman" w:cs="Times New Roman"/>
          <w:snapToGrid w:val="0"/>
          <w:kern w:val="28"/>
        </w:rPr>
        <w:t xml:space="preserve">or </w:t>
      </w:r>
      <w:r w:rsidRPr="00A46335">
        <w:rPr>
          <w:rFonts w:ascii="Times New Roman" w:hAnsi="Times New Roman" w:cs="Times New Roman"/>
          <w:snapToGrid w:val="0"/>
          <w:kern w:val="28"/>
        </w:rPr>
        <w:t xml:space="preserve">certified mail, return receipt requested to: </w:t>
      </w:r>
      <w:r w:rsidRPr="00A46335" w:rsidR="00104C92">
        <w:rPr>
          <w:rFonts w:ascii="Times New Roman" w:hAnsi="Times New Roman" w:cs="Times New Roman"/>
          <w:snapToGrid w:val="0"/>
          <w:kern w:val="28"/>
        </w:rPr>
        <w:t xml:space="preserve"> </w:t>
      </w:r>
      <w:r w:rsidRPr="00A46335" w:rsidR="00A25395">
        <w:rPr>
          <w:rFonts w:ascii="Times New Roman" w:hAnsi="Times New Roman" w:cs="Times New Roman"/>
        </w:rPr>
        <w:t>VoxNet, LLC, c/o Bill Quinlan, 400 Davis Drive, Suite 100, Plymouth Meeting, Pennsylvania 19462.</w:t>
      </w:r>
    </w:p>
    <w:p w:rsidR="00772CA3" w:rsidRPr="00772CA3" w:rsidP="0031447F" w14:paraId="4CC5B598" w14:textId="77777777">
      <w:pPr>
        <w:keepNext/>
        <w:keepLines/>
        <w:ind w:left="720"/>
        <w:rPr>
          <w:rFonts w:ascii="Times New Roman" w:eastAsia="Times New Roman" w:hAnsi="Times New Roman" w:cs="Times New Roman"/>
          <w:snapToGrid w:val="0"/>
          <w:kern w:val="28"/>
          <w:szCs w:val="20"/>
        </w:rPr>
      </w:pPr>
    </w:p>
    <w:p w:rsidR="00772CA3" w:rsidRPr="00772CA3" w:rsidP="0031447F" w14:paraId="57D46A26" w14:textId="77777777">
      <w:pPr>
        <w:keepNext/>
        <w:keepLines/>
        <w:ind w:left="720"/>
        <w:contextualSpacing/>
        <w:outlineLvl w:val="1"/>
        <w:rPr>
          <w:rFonts w:ascii="Times New Roman" w:eastAsia="Times New Roman" w:hAnsi="Times New Roman" w:cs="Times New Roman"/>
          <w:bCs/>
          <w:snapToGrid w:val="0"/>
          <w:kern w:val="28"/>
          <w:szCs w:val="20"/>
        </w:rPr>
      </w:pPr>
    </w:p>
    <w:p w:rsidR="00772CA3" w:rsidRPr="00772CA3" w:rsidP="0031447F" w14:paraId="0AF91D28" w14:textId="5AB507F3">
      <w:pPr>
        <w:keepNext/>
        <w:keepLines/>
        <w:spacing w:after="0"/>
        <w:rPr>
          <w:rFonts w:ascii="Times New Roman" w:eastAsia="Times New Roman" w:hAnsi="Times New Roman" w:cs="Times New Roman"/>
          <w:snapToGrid w:val="0"/>
          <w:kern w:val="28"/>
          <w:szCs w:val="20"/>
        </w:rPr>
      </w:pPr>
      <w:r w:rsidRPr="00772CA3">
        <w:rPr>
          <w:rFonts w:ascii="Times New Roman" w:eastAsia="Times New Roman" w:hAnsi="Times New Roman" w:cs="Times New Roman"/>
          <w:snapToGrid w:val="0"/>
          <w:kern w:val="28"/>
          <w:szCs w:val="20"/>
        </w:rPr>
        <w:tab/>
      </w:r>
      <w:r w:rsidRPr="00772CA3">
        <w:rPr>
          <w:rFonts w:ascii="Times New Roman" w:eastAsia="Times New Roman" w:hAnsi="Times New Roman" w:cs="Times New Roman"/>
          <w:snapToGrid w:val="0"/>
          <w:kern w:val="28"/>
          <w:szCs w:val="20"/>
        </w:rPr>
        <w:tab/>
      </w:r>
      <w:r w:rsidRPr="00772CA3">
        <w:rPr>
          <w:rFonts w:ascii="Times New Roman" w:eastAsia="Times New Roman" w:hAnsi="Times New Roman" w:cs="Times New Roman"/>
          <w:snapToGrid w:val="0"/>
          <w:kern w:val="28"/>
          <w:szCs w:val="20"/>
        </w:rPr>
        <w:tab/>
      </w:r>
      <w:r w:rsidRPr="00772CA3">
        <w:rPr>
          <w:rFonts w:ascii="Times New Roman" w:eastAsia="Times New Roman" w:hAnsi="Times New Roman" w:cs="Times New Roman"/>
          <w:snapToGrid w:val="0"/>
          <w:kern w:val="28"/>
          <w:szCs w:val="20"/>
        </w:rPr>
        <w:tab/>
      </w:r>
      <w:r w:rsidRPr="00772CA3">
        <w:rPr>
          <w:rFonts w:ascii="Times New Roman" w:eastAsia="Times New Roman" w:hAnsi="Times New Roman" w:cs="Times New Roman"/>
          <w:snapToGrid w:val="0"/>
          <w:kern w:val="28"/>
          <w:szCs w:val="20"/>
        </w:rPr>
        <w:tab/>
        <w:t>FEDERAL COMMUNICATIONS COMMISSION</w:t>
      </w:r>
    </w:p>
    <w:p w:rsidR="00772CA3" w:rsidRPr="00772CA3" w:rsidP="0031447F" w14:paraId="11E049D9" w14:textId="77777777">
      <w:pPr>
        <w:keepNext/>
        <w:keepLines/>
        <w:spacing w:after="0"/>
        <w:rPr>
          <w:rFonts w:ascii="Times New Roman" w:eastAsia="Times New Roman" w:hAnsi="Times New Roman" w:cs="Times New Roman"/>
          <w:snapToGrid w:val="0"/>
          <w:kern w:val="28"/>
          <w:szCs w:val="20"/>
        </w:rPr>
      </w:pPr>
    </w:p>
    <w:p w:rsidR="00772CA3" w:rsidRPr="00772CA3" w:rsidP="0031447F" w14:paraId="647DB3CA" w14:textId="77777777">
      <w:pPr>
        <w:keepNext/>
        <w:keepLines/>
        <w:spacing w:after="0"/>
        <w:rPr>
          <w:rFonts w:ascii="Times New Roman" w:eastAsia="Times New Roman" w:hAnsi="Times New Roman" w:cs="Times New Roman"/>
          <w:snapToGrid w:val="0"/>
          <w:kern w:val="28"/>
          <w:szCs w:val="20"/>
        </w:rPr>
      </w:pPr>
    </w:p>
    <w:p w:rsidR="00772CA3" w:rsidRPr="00772CA3" w:rsidP="0031447F" w14:paraId="456741CC" w14:textId="77777777">
      <w:pPr>
        <w:keepNext/>
        <w:keepLines/>
        <w:spacing w:after="0"/>
        <w:rPr>
          <w:rFonts w:ascii="Times New Roman" w:eastAsia="Times New Roman" w:hAnsi="Times New Roman" w:cs="Times New Roman"/>
          <w:snapToGrid w:val="0"/>
          <w:kern w:val="28"/>
          <w:szCs w:val="20"/>
        </w:rPr>
      </w:pPr>
    </w:p>
    <w:p w:rsidR="00772CA3" w:rsidRPr="00772CA3" w:rsidP="0031447F" w14:paraId="2553FACA" w14:textId="77777777">
      <w:pPr>
        <w:keepNext/>
        <w:keepLines/>
        <w:spacing w:after="0"/>
        <w:rPr>
          <w:rFonts w:ascii="Times New Roman" w:eastAsia="Times New Roman" w:hAnsi="Times New Roman" w:cs="Times New Roman"/>
          <w:snapToGrid w:val="0"/>
          <w:kern w:val="28"/>
          <w:szCs w:val="20"/>
        </w:rPr>
      </w:pPr>
    </w:p>
    <w:p w:rsidR="00772CA3" w:rsidRPr="00772CA3" w:rsidP="0031447F" w14:paraId="21C8DC65" w14:textId="71AD1021">
      <w:pPr>
        <w:keepNext/>
        <w:keepLines/>
        <w:spacing w:after="0"/>
        <w:rPr>
          <w:rFonts w:ascii="Times New Roman" w:eastAsia="Times New Roman" w:hAnsi="Times New Roman" w:cs="Times New Roman"/>
          <w:snapToGrid w:val="0"/>
          <w:kern w:val="28"/>
          <w:szCs w:val="20"/>
        </w:rPr>
      </w:pPr>
      <w:r w:rsidRPr="00772CA3">
        <w:rPr>
          <w:rFonts w:ascii="Times New Roman" w:eastAsia="Times New Roman" w:hAnsi="Times New Roman" w:cs="Times New Roman"/>
          <w:snapToGrid w:val="0"/>
          <w:kern w:val="28"/>
          <w:szCs w:val="20"/>
        </w:rPr>
        <w:tab/>
      </w:r>
      <w:r w:rsidRPr="00772CA3">
        <w:rPr>
          <w:rFonts w:ascii="Times New Roman" w:eastAsia="Times New Roman" w:hAnsi="Times New Roman" w:cs="Times New Roman"/>
          <w:snapToGrid w:val="0"/>
          <w:kern w:val="28"/>
          <w:szCs w:val="20"/>
        </w:rPr>
        <w:tab/>
      </w:r>
      <w:r w:rsidRPr="00772CA3">
        <w:rPr>
          <w:rFonts w:ascii="Times New Roman" w:eastAsia="Times New Roman" w:hAnsi="Times New Roman" w:cs="Times New Roman"/>
          <w:snapToGrid w:val="0"/>
          <w:kern w:val="28"/>
          <w:szCs w:val="20"/>
        </w:rPr>
        <w:tab/>
      </w:r>
      <w:r w:rsidRPr="00772CA3">
        <w:rPr>
          <w:rFonts w:ascii="Times New Roman" w:eastAsia="Times New Roman" w:hAnsi="Times New Roman" w:cs="Times New Roman"/>
          <w:snapToGrid w:val="0"/>
          <w:kern w:val="28"/>
          <w:szCs w:val="20"/>
        </w:rPr>
        <w:tab/>
      </w:r>
      <w:r w:rsidRPr="00772CA3">
        <w:rPr>
          <w:rFonts w:ascii="Times New Roman" w:eastAsia="Times New Roman" w:hAnsi="Times New Roman" w:cs="Times New Roman"/>
          <w:snapToGrid w:val="0"/>
          <w:kern w:val="28"/>
          <w:szCs w:val="20"/>
        </w:rPr>
        <w:tab/>
      </w:r>
      <w:r w:rsidR="0031447F">
        <w:rPr>
          <w:rFonts w:ascii="Times New Roman" w:eastAsia="Times New Roman" w:hAnsi="Times New Roman" w:cs="Times New Roman"/>
          <w:snapToGrid w:val="0"/>
          <w:kern w:val="28"/>
          <w:szCs w:val="20"/>
        </w:rPr>
        <w:t>Loyaan A. Egal</w:t>
      </w:r>
    </w:p>
    <w:p w:rsidR="00772CA3" w:rsidRPr="00772CA3" w:rsidP="0031447F" w14:paraId="31BBCD55" w14:textId="2059FB14">
      <w:pPr>
        <w:keepNext/>
        <w:keepLines/>
        <w:spacing w:after="0"/>
        <w:rPr>
          <w:rFonts w:ascii="Times New Roman" w:eastAsia="Times New Roman" w:hAnsi="Times New Roman" w:cs="Times New Roman"/>
          <w:snapToGrid w:val="0"/>
          <w:kern w:val="28"/>
          <w:szCs w:val="20"/>
        </w:rPr>
      </w:pPr>
      <w:r w:rsidRPr="00772CA3">
        <w:rPr>
          <w:rFonts w:ascii="Times New Roman" w:eastAsia="Times New Roman" w:hAnsi="Times New Roman" w:cs="Times New Roman"/>
          <w:snapToGrid w:val="0"/>
          <w:kern w:val="28"/>
          <w:szCs w:val="20"/>
        </w:rPr>
        <w:tab/>
      </w:r>
      <w:r w:rsidRPr="00772CA3">
        <w:rPr>
          <w:rFonts w:ascii="Times New Roman" w:eastAsia="Times New Roman" w:hAnsi="Times New Roman" w:cs="Times New Roman"/>
          <w:snapToGrid w:val="0"/>
          <w:kern w:val="28"/>
          <w:szCs w:val="20"/>
        </w:rPr>
        <w:tab/>
      </w:r>
      <w:r w:rsidRPr="00772CA3">
        <w:rPr>
          <w:rFonts w:ascii="Times New Roman" w:eastAsia="Times New Roman" w:hAnsi="Times New Roman" w:cs="Times New Roman"/>
          <w:snapToGrid w:val="0"/>
          <w:kern w:val="28"/>
          <w:szCs w:val="20"/>
        </w:rPr>
        <w:tab/>
      </w:r>
      <w:r w:rsidRPr="00772CA3">
        <w:rPr>
          <w:rFonts w:ascii="Times New Roman" w:eastAsia="Times New Roman" w:hAnsi="Times New Roman" w:cs="Times New Roman"/>
          <w:snapToGrid w:val="0"/>
          <w:kern w:val="28"/>
          <w:szCs w:val="20"/>
        </w:rPr>
        <w:tab/>
      </w:r>
      <w:r w:rsidRPr="00772CA3">
        <w:rPr>
          <w:rFonts w:ascii="Times New Roman" w:eastAsia="Times New Roman" w:hAnsi="Times New Roman" w:cs="Times New Roman"/>
          <w:snapToGrid w:val="0"/>
          <w:kern w:val="28"/>
          <w:szCs w:val="20"/>
        </w:rPr>
        <w:tab/>
      </w:r>
      <w:r w:rsidR="0031447F">
        <w:rPr>
          <w:rFonts w:ascii="Times New Roman" w:eastAsia="Times New Roman" w:hAnsi="Times New Roman" w:cs="Times New Roman"/>
          <w:snapToGrid w:val="0"/>
          <w:kern w:val="28"/>
          <w:szCs w:val="20"/>
        </w:rPr>
        <w:t xml:space="preserve">Acting </w:t>
      </w:r>
      <w:r w:rsidRPr="00772CA3">
        <w:rPr>
          <w:rFonts w:ascii="Times New Roman" w:eastAsia="Times New Roman" w:hAnsi="Times New Roman" w:cs="Times New Roman"/>
          <w:snapToGrid w:val="0"/>
          <w:kern w:val="28"/>
          <w:szCs w:val="20"/>
        </w:rPr>
        <w:t>Chief</w:t>
      </w:r>
    </w:p>
    <w:p w:rsidR="00772CA3" w:rsidRPr="00772CA3" w:rsidP="0031447F" w14:paraId="0CC10A07" w14:textId="68768389">
      <w:pPr>
        <w:keepNext/>
        <w:keepLines/>
        <w:spacing w:after="0"/>
        <w:rPr>
          <w:rFonts w:ascii="Times New Roman" w:eastAsia="Times New Roman" w:hAnsi="Times New Roman" w:cs="Times New Roman"/>
          <w:snapToGrid w:val="0"/>
          <w:kern w:val="28"/>
          <w:szCs w:val="20"/>
        </w:rPr>
      </w:pPr>
      <w:r w:rsidRPr="00772CA3">
        <w:rPr>
          <w:rFonts w:ascii="Times New Roman" w:eastAsia="Times New Roman" w:hAnsi="Times New Roman" w:cs="Times New Roman"/>
          <w:snapToGrid w:val="0"/>
          <w:kern w:val="28"/>
          <w:szCs w:val="20"/>
        </w:rPr>
        <w:tab/>
      </w:r>
      <w:r w:rsidRPr="00772CA3">
        <w:rPr>
          <w:rFonts w:ascii="Times New Roman" w:eastAsia="Times New Roman" w:hAnsi="Times New Roman" w:cs="Times New Roman"/>
          <w:snapToGrid w:val="0"/>
          <w:kern w:val="28"/>
          <w:szCs w:val="20"/>
        </w:rPr>
        <w:tab/>
      </w:r>
      <w:r w:rsidRPr="00772CA3">
        <w:rPr>
          <w:rFonts w:ascii="Times New Roman" w:eastAsia="Times New Roman" w:hAnsi="Times New Roman" w:cs="Times New Roman"/>
          <w:snapToGrid w:val="0"/>
          <w:kern w:val="28"/>
          <w:szCs w:val="20"/>
        </w:rPr>
        <w:tab/>
      </w:r>
      <w:r w:rsidRPr="00772CA3">
        <w:rPr>
          <w:rFonts w:ascii="Times New Roman" w:eastAsia="Times New Roman" w:hAnsi="Times New Roman" w:cs="Times New Roman"/>
          <w:snapToGrid w:val="0"/>
          <w:kern w:val="28"/>
          <w:szCs w:val="20"/>
        </w:rPr>
        <w:tab/>
      </w:r>
      <w:r w:rsidRPr="00772CA3">
        <w:rPr>
          <w:rFonts w:ascii="Times New Roman" w:eastAsia="Times New Roman" w:hAnsi="Times New Roman" w:cs="Times New Roman"/>
          <w:snapToGrid w:val="0"/>
          <w:kern w:val="28"/>
          <w:szCs w:val="20"/>
        </w:rPr>
        <w:tab/>
        <w:t>Enforcement Bureau</w:t>
      </w:r>
    </w:p>
    <w:p w:rsidR="00772CA3" w:rsidRPr="00772CA3" w:rsidP="0031447F" w14:paraId="64AA6158" w14:textId="77777777">
      <w:pPr>
        <w:keepNext/>
        <w:keepLines/>
        <w:ind w:left="720"/>
        <w:contextualSpacing/>
        <w:outlineLvl w:val="1"/>
        <w:rPr>
          <w:rFonts w:ascii="Times New Roman" w:eastAsia="Times New Roman" w:hAnsi="Times New Roman" w:cs="Times New Roman"/>
          <w:bCs/>
          <w:snapToGrid w:val="0"/>
          <w:kern w:val="28"/>
          <w:szCs w:val="20"/>
        </w:rPr>
      </w:pPr>
    </w:p>
    <w:p w:rsidR="4B7CF40C" w:rsidP="0031447F" w14:paraId="48E1CEF4" w14:textId="735D7472">
      <w:pPr>
        <w:keepNext/>
        <w:keepLines/>
      </w:pPr>
    </w:p>
    <w:p w:rsidR="5A56C865" w:rsidP="0031447F" w14:paraId="4BDCD02B" w14:textId="3F997705">
      <w:pPr>
        <w:pStyle w:val="ParaNum"/>
        <w:keepNext/>
        <w:keepLines/>
        <w:rPr>
          <w:rFonts w:eastAsiaTheme="minorEastAsia"/>
          <w:color w:val="000000" w:themeColor="text1"/>
        </w:rPr>
      </w:pPr>
    </w:p>
    <w:sectPr w:rsidSect="00924EBD">
      <w:headerReference w:type="default" r:id="rId12"/>
      <w:footerReference w:type="default" r:id="rId13"/>
      <w:headerReference w:type="first" r:id="rId14"/>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F7259" w14:paraId="2D9088F9"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06A74" w:rsidP="007133E2" w14:paraId="232847CF" w14:textId="77777777">
      <w:pPr>
        <w:spacing w:after="0"/>
        <w:ind w:firstLine="0"/>
      </w:pPr>
      <w:r>
        <w:separator/>
      </w:r>
    </w:p>
  </w:footnote>
  <w:footnote w:type="continuationSeparator" w:id="1">
    <w:p w:rsidR="00206A74" w14:paraId="47691543" w14:textId="77777777">
      <w:pPr>
        <w:spacing w:after="0"/>
      </w:pPr>
      <w:r>
        <w:continuationSeparator/>
      </w:r>
    </w:p>
  </w:footnote>
  <w:footnote w:type="continuationNotice" w:id="2">
    <w:p w:rsidR="00206A74" w14:paraId="27F19663" w14:textId="77777777">
      <w:pPr>
        <w:spacing w:after="0"/>
      </w:pPr>
    </w:p>
  </w:footnote>
  <w:footnote w:id="3">
    <w:p w:rsidR="00E27CC2" w:rsidRPr="00A76436" w:rsidP="00701445" w14:paraId="651065ED" w14:textId="093773A5">
      <w:pPr>
        <w:pStyle w:val="FootnoteText"/>
      </w:pPr>
      <w:r w:rsidRPr="00A76436">
        <w:rPr>
          <w:rStyle w:val="FootnoteReference"/>
          <w:rFonts w:cs="Times New Roman"/>
        </w:rPr>
        <w:footnoteRef/>
      </w:r>
      <w:r w:rsidRPr="00A76436">
        <w:t xml:space="preserve"> 47 U.S.C. § 214.</w:t>
      </w:r>
    </w:p>
  </w:footnote>
  <w:footnote w:id="4">
    <w:p w:rsidR="00E27CC2" w:rsidRPr="00A76436" w:rsidP="00701445" w14:paraId="02AFF2BC" w14:textId="6E95D400">
      <w:pPr>
        <w:pStyle w:val="FootnoteText"/>
      </w:pPr>
      <w:r w:rsidRPr="00A76436">
        <w:rPr>
          <w:rStyle w:val="FootnoteReference"/>
          <w:rFonts w:cs="Times New Roman"/>
        </w:rPr>
        <w:footnoteRef/>
      </w:r>
      <w:r w:rsidRPr="00A76436">
        <w:t xml:space="preserve"> 47 CFR §§ 63.03, 63.04</w:t>
      </w:r>
      <w:r w:rsidRPr="00A76436" w:rsidR="00E438CF">
        <w:t>.</w:t>
      </w:r>
    </w:p>
  </w:footnote>
  <w:footnote w:id="5">
    <w:p w:rsidR="001D06BA" w:rsidRPr="00A76436" w:rsidP="00701445" w14:paraId="52DFAF3C" w14:textId="019BF37A">
      <w:pPr>
        <w:pStyle w:val="FootnoteText"/>
      </w:pPr>
      <w:r w:rsidRPr="00A76436">
        <w:rPr>
          <w:rStyle w:val="FootnoteReference"/>
          <w:rFonts w:cs="Times New Roman"/>
        </w:rPr>
        <w:footnoteRef/>
      </w:r>
      <w:r w:rsidRPr="00A76436">
        <w:t xml:space="preserve"> 47 U.S.C. § 214(a).</w:t>
      </w:r>
    </w:p>
  </w:footnote>
  <w:footnote w:id="6">
    <w:p w:rsidR="00DB27B6" w:rsidRPr="00A76436" w:rsidP="00701445" w14:paraId="2D804EF9" w14:textId="3B7782CF">
      <w:pPr>
        <w:pStyle w:val="FootnoteText"/>
      </w:pPr>
      <w:r w:rsidRPr="00A76436">
        <w:rPr>
          <w:rStyle w:val="FootnoteReference"/>
          <w:rFonts w:cs="Times New Roman"/>
        </w:rPr>
        <w:footnoteRef/>
      </w:r>
      <w:r w:rsidRPr="00A76436">
        <w:t xml:space="preserve"> </w:t>
      </w:r>
      <w:r w:rsidRPr="00A66DDB" w:rsidR="00D91EC3">
        <w:rPr>
          <w:i/>
          <w:iCs/>
        </w:rPr>
        <w:t>Id</w:t>
      </w:r>
      <w:r w:rsidRPr="0046556E" w:rsidR="00D91EC3">
        <w:t>.</w:t>
      </w:r>
    </w:p>
  </w:footnote>
  <w:footnote w:id="7">
    <w:p w:rsidR="0083143A" w:rsidRPr="00A76436" w:rsidP="00701445" w14:paraId="0CFD2F2F" w14:textId="43FFF5A2">
      <w:pPr>
        <w:pStyle w:val="FootnoteText"/>
      </w:pPr>
      <w:r w:rsidRPr="00A76436">
        <w:rPr>
          <w:rStyle w:val="FootnoteReference"/>
          <w:rFonts w:cs="Times New Roman"/>
        </w:rPr>
        <w:footnoteRef/>
      </w:r>
      <w:r w:rsidRPr="00A76436">
        <w:t xml:space="preserve"> 47 CFR § 63.01; </w:t>
      </w:r>
      <w:r w:rsidRPr="00A66DDB" w:rsidR="00CC2145">
        <w:rPr>
          <w:i/>
          <w:iCs/>
        </w:rPr>
        <w:t>s</w:t>
      </w:r>
      <w:r w:rsidRPr="00A76436">
        <w:rPr>
          <w:i/>
          <w:iCs/>
        </w:rPr>
        <w:t>ee</w:t>
      </w:r>
      <w:r w:rsidRPr="00A76436">
        <w:t xml:space="preserve"> Implementation of Section 402(b)(2)(A) of the Telecommunications Act of 1996; Petition for Forbearance of the Independent Telephone &amp; Telecommunications Alliance, Report and Order and Second Memorandum Opinion and Order, 14 FCC </w:t>
      </w:r>
      <w:r w:rsidRPr="00A76436">
        <w:t>Rcd</w:t>
      </w:r>
      <w:r w:rsidRPr="00A76436">
        <w:t xml:space="preserve"> 11364 (1999) (</w:t>
      </w:r>
      <w:r w:rsidRPr="00A76436">
        <w:rPr>
          <w:i/>
          <w:iCs/>
        </w:rPr>
        <w:t>1999 Streamlining Order</w:t>
      </w:r>
      <w:r w:rsidRPr="00A76436">
        <w:t xml:space="preserve">).  </w:t>
      </w:r>
    </w:p>
  </w:footnote>
  <w:footnote w:id="8">
    <w:p w:rsidR="005A0D0D" w:rsidRPr="00A76436" w:rsidP="00701445" w14:paraId="31BD99EC" w14:textId="4D7F2D74">
      <w:pPr>
        <w:pStyle w:val="FootnoteText"/>
      </w:pPr>
      <w:r w:rsidRPr="00A76436">
        <w:rPr>
          <w:rStyle w:val="FootnoteReference"/>
          <w:rFonts w:cs="Times New Roman"/>
        </w:rPr>
        <w:footnoteRef/>
      </w:r>
      <w:r w:rsidRPr="00A76436">
        <w:t xml:space="preserve"> 47 CFR § 63.03; </w:t>
      </w:r>
      <w:r w:rsidR="00A46335">
        <w:t>s</w:t>
      </w:r>
      <w:r w:rsidRPr="00DB2AAA">
        <w:t>ee</w:t>
      </w:r>
      <w:r w:rsidRPr="00A76436">
        <w:t xml:space="preserve"> </w:t>
      </w:r>
      <w:r w:rsidRPr="00A66DDB">
        <w:t>Implementation of Further Streamlining Measures for Domestic Section 214 Authorizations</w:t>
      </w:r>
      <w:r w:rsidRPr="00A76436">
        <w:t xml:space="preserve">, Report and Order, 17 FCC </w:t>
      </w:r>
      <w:r w:rsidRPr="00A76436">
        <w:t>Rcd</w:t>
      </w:r>
      <w:r w:rsidRPr="00A76436">
        <w:t xml:space="preserve"> 5517, 5521, </w:t>
      </w:r>
      <w:r w:rsidRPr="00A76436" w:rsidR="008C7721">
        <w:t xml:space="preserve">5547-48, </w:t>
      </w:r>
      <w:r w:rsidRPr="00A76436">
        <w:t>para</w:t>
      </w:r>
      <w:r w:rsidRPr="00A76436" w:rsidR="00D52F4E">
        <w:t>s</w:t>
      </w:r>
      <w:r w:rsidRPr="00A76436">
        <w:t>. 5</w:t>
      </w:r>
      <w:r w:rsidRPr="00A76436" w:rsidR="00D52F4E">
        <w:t>, 59, 63</w:t>
      </w:r>
      <w:r w:rsidRPr="00A76436">
        <w:t xml:space="preserve"> (2002) (</w:t>
      </w:r>
      <w:r w:rsidRPr="00A66DDB">
        <w:t>2002 Streamlining Order</w:t>
      </w:r>
      <w:r w:rsidRPr="00A76436">
        <w:t>)</w:t>
      </w:r>
      <w:r w:rsidRPr="00A76436" w:rsidR="009B7BD7">
        <w:t>.</w:t>
      </w:r>
      <w:r w:rsidRPr="00A76436" w:rsidR="00D52F4E">
        <w:t xml:space="preserve"> </w:t>
      </w:r>
    </w:p>
  </w:footnote>
  <w:footnote w:id="9">
    <w:p w:rsidR="009F3948" w:rsidRPr="00A76436" w:rsidP="00701445" w14:paraId="4BDDC674" w14:textId="43BA3DF8">
      <w:pPr>
        <w:pStyle w:val="FootnoteText"/>
      </w:pPr>
      <w:r w:rsidRPr="00A76436">
        <w:rPr>
          <w:rStyle w:val="FootnoteReference"/>
        </w:rPr>
        <w:footnoteRef/>
      </w:r>
      <w:r w:rsidRPr="00A76436">
        <w:t xml:space="preserve"> </w:t>
      </w:r>
      <w:r w:rsidRPr="00A76436">
        <w:rPr>
          <w:i/>
          <w:iCs/>
        </w:rPr>
        <w:t>See 2002 Streamlining Order</w:t>
      </w:r>
      <w:r w:rsidRPr="00A76436">
        <w:t>,</w:t>
      </w:r>
      <w:r w:rsidRPr="00A76436">
        <w:rPr>
          <w:i/>
          <w:iCs/>
        </w:rPr>
        <w:t xml:space="preserve"> </w:t>
      </w:r>
      <w:r w:rsidRPr="00A76436">
        <w:t xml:space="preserve">17 FCC </w:t>
      </w:r>
      <w:r w:rsidRPr="00A76436">
        <w:t>Rcd</w:t>
      </w:r>
      <w:r w:rsidRPr="00A76436">
        <w:t xml:space="preserve"> at 5521, 5547-48, paras. 5, 59, 63 (stating that carriers must file a section 214 application and obtain Commission approval prior to consummating a proposed transfer of control, and that asset acquisitions where customers will not lose service or have their service impaired as a result of the transaction will be treated as transfers of control requiring approval).  </w:t>
      </w:r>
    </w:p>
  </w:footnote>
  <w:footnote w:id="10">
    <w:p w:rsidR="005A0D0D" w:rsidRPr="00A76436" w:rsidP="00701445" w14:paraId="4F871432" w14:textId="02B46CB0">
      <w:pPr>
        <w:pStyle w:val="FootnoteText"/>
      </w:pPr>
      <w:r w:rsidRPr="00A76436">
        <w:rPr>
          <w:rStyle w:val="FootnoteReference"/>
          <w:rFonts w:cs="Times New Roman"/>
        </w:rPr>
        <w:footnoteRef/>
      </w:r>
      <w:r w:rsidRPr="00A76436">
        <w:t xml:space="preserve"> 47 CFR § 63.0</w:t>
      </w:r>
      <w:r w:rsidRPr="00A76436" w:rsidR="00B838CE">
        <w:t>4.</w:t>
      </w:r>
    </w:p>
  </w:footnote>
  <w:footnote w:id="11">
    <w:p w:rsidR="00BB473B" w:rsidRPr="00A76436" w:rsidP="00701445" w14:paraId="62F16896" w14:textId="4DF75080">
      <w:pPr>
        <w:pStyle w:val="FootnoteText"/>
      </w:pPr>
      <w:r w:rsidRPr="00A76436">
        <w:rPr>
          <w:rStyle w:val="FootnoteReference"/>
          <w:rFonts w:cs="Times New Roman"/>
        </w:rPr>
        <w:footnoteRef/>
      </w:r>
      <w:r w:rsidRPr="00A76436">
        <w:t xml:space="preserve"> </w:t>
      </w:r>
      <w:bookmarkStart w:id="2" w:name="_Hlk111130010"/>
      <w:r w:rsidRPr="00A76436">
        <w:t xml:space="preserve">Response to Letter of Inquiry, </w:t>
      </w:r>
      <w:bookmarkStart w:id="3" w:name="_Hlk111130174"/>
      <w:r w:rsidRPr="00A76436">
        <w:t xml:space="preserve">from </w:t>
      </w:r>
      <w:r w:rsidRPr="00A76436" w:rsidR="000F6CCB">
        <w:t xml:space="preserve">Bill Quinlan, President and Managing Partner, </w:t>
      </w:r>
      <w:r w:rsidRPr="00A76436">
        <w:t>VoxNet</w:t>
      </w:r>
      <w:bookmarkEnd w:id="3"/>
      <w:r w:rsidRPr="00A76436">
        <w:t xml:space="preserve">, LLC, to Jeffrey J. Gee, Chief, Investigations and Hearings Division, FCC Enforcement Bureau, at </w:t>
      </w:r>
      <w:r w:rsidRPr="00A76436" w:rsidR="000F6CCB">
        <w:t>1, Response to Question 1 (Feb. 15, 2022) (on file in EB-IHD-21-00033087) (</w:t>
      </w:r>
      <w:r w:rsidRPr="00A76436" w:rsidR="003B0A5C">
        <w:t xml:space="preserve">VoxNet </w:t>
      </w:r>
      <w:r w:rsidRPr="00A76436" w:rsidR="000F6CCB">
        <w:t>LOI Response).</w:t>
      </w:r>
      <w:bookmarkEnd w:id="2"/>
    </w:p>
  </w:footnote>
  <w:footnote w:id="12">
    <w:p w:rsidR="0066599B" w:rsidRPr="00A76436" w:rsidP="00F147CE" w14:paraId="28D2C900" w14:textId="5158600D">
      <w:pPr>
        <w:pStyle w:val="NoSpacing"/>
        <w:spacing w:before="120" w:after="120"/>
        <w:rPr>
          <w:rFonts w:cs="Times New Roman"/>
          <w:sz w:val="20"/>
          <w:szCs w:val="20"/>
        </w:rPr>
      </w:pPr>
      <w:r w:rsidRPr="00A76436">
        <w:rPr>
          <w:rStyle w:val="FootnoteReference"/>
          <w:rFonts w:ascii="Times New Roman" w:hAnsi="Times New Roman" w:cs="Times New Roman"/>
          <w:sz w:val="20"/>
          <w:szCs w:val="20"/>
        </w:rPr>
        <w:footnoteRef/>
      </w:r>
      <w:r w:rsidRPr="00A76436">
        <w:rPr>
          <w:rStyle w:val="FootnoteReference"/>
          <w:rFonts w:cs="Times New Roman"/>
          <w:sz w:val="20"/>
          <w:szCs w:val="20"/>
        </w:rPr>
        <w:t xml:space="preserve"> </w:t>
      </w:r>
      <w:r w:rsidRPr="00A76436" w:rsidR="008A47D2">
        <w:rPr>
          <w:rFonts w:ascii="Times New Roman" w:hAnsi="Times New Roman" w:cs="Times New Roman"/>
          <w:i/>
          <w:iCs/>
          <w:sz w:val="20"/>
          <w:szCs w:val="20"/>
        </w:rPr>
        <w:t>Domestic Section 214 Application Filed for the Acquisition of Assets of VoxNet, LLC by Block Line Systems, LLC</w:t>
      </w:r>
      <w:r w:rsidRPr="00A76436" w:rsidR="008A47D2">
        <w:rPr>
          <w:rFonts w:ascii="Times New Roman" w:hAnsi="Times New Roman" w:cs="Times New Roman"/>
          <w:sz w:val="20"/>
          <w:szCs w:val="20"/>
        </w:rPr>
        <w:t>, WC Docket No. 21-374, Public Notice</w:t>
      </w:r>
      <w:r w:rsidRPr="00A76436" w:rsidR="00332FFB">
        <w:rPr>
          <w:rFonts w:ascii="Times New Roman" w:hAnsi="Times New Roman" w:cs="Times New Roman"/>
          <w:sz w:val="20"/>
          <w:szCs w:val="20"/>
        </w:rPr>
        <w:t>, DA 1259</w:t>
      </w:r>
      <w:r w:rsidRPr="00A76436" w:rsidR="008A47D2">
        <w:rPr>
          <w:rFonts w:ascii="Times New Roman" w:hAnsi="Times New Roman" w:cs="Times New Roman"/>
          <w:sz w:val="20"/>
          <w:szCs w:val="20"/>
        </w:rPr>
        <w:t xml:space="preserve"> (</w:t>
      </w:r>
      <w:r w:rsidRPr="00A76436" w:rsidR="00442C04">
        <w:rPr>
          <w:rFonts w:ascii="Times New Roman" w:hAnsi="Times New Roman" w:cs="Times New Roman"/>
          <w:sz w:val="20"/>
          <w:szCs w:val="20"/>
        </w:rPr>
        <w:t xml:space="preserve">WCB </w:t>
      </w:r>
      <w:r w:rsidRPr="00A76436" w:rsidR="00332FFB">
        <w:rPr>
          <w:rFonts w:ascii="Times New Roman" w:hAnsi="Times New Roman" w:cs="Times New Roman"/>
          <w:sz w:val="20"/>
          <w:szCs w:val="20"/>
        </w:rPr>
        <w:t>Oct. 8, 2021</w:t>
      </w:r>
      <w:r w:rsidRPr="00A76436" w:rsidR="008A47D2">
        <w:rPr>
          <w:rFonts w:ascii="Times New Roman" w:hAnsi="Times New Roman" w:cs="Times New Roman"/>
          <w:sz w:val="20"/>
          <w:szCs w:val="20"/>
        </w:rPr>
        <w:t>)</w:t>
      </w:r>
      <w:r w:rsidRPr="00A76436" w:rsidR="00442C04">
        <w:rPr>
          <w:rFonts w:ascii="Times New Roman" w:hAnsi="Times New Roman" w:cs="Times New Roman"/>
          <w:sz w:val="20"/>
          <w:szCs w:val="20"/>
        </w:rPr>
        <w:t xml:space="preserve"> (</w:t>
      </w:r>
      <w:r w:rsidRPr="00A76436" w:rsidR="00442C04">
        <w:rPr>
          <w:rFonts w:ascii="Times New Roman" w:hAnsi="Times New Roman" w:cs="Times New Roman"/>
          <w:i/>
          <w:iCs/>
          <w:sz w:val="20"/>
          <w:szCs w:val="20"/>
        </w:rPr>
        <w:t>VoxNet Public Notice</w:t>
      </w:r>
      <w:r w:rsidRPr="00A76436" w:rsidR="00442C04">
        <w:rPr>
          <w:rFonts w:ascii="Times New Roman" w:hAnsi="Times New Roman" w:cs="Times New Roman"/>
          <w:sz w:val="20"/>
          <w:szCs w:val="20"/>
        </w:rPr>
        <w:t>)</w:t>
      </w:r>
      <w:r w:rsidRPr="00A76436" w:rsidR="008A47D2">
        <w:rPr>
          <w:rFonts w:ascii="Times New Roman" w:hAnsi="Times New Roman" w:cs="Times New Roman"/>
          <w:sz w:val="20"/>
          <w:szCs w:val="20"/>
        </w:rPr>
        <w:t xml:space="preserve">.  </w:t>
      </w:r>
      <w:r w:rsidRPr="00A76436" w:rsidR="001D094E">
        <w:rPr>
          <w:rFonts w:ascii="Times New Roman" w:hAnsi="Times New Roman" w:cs="Times New Roman"/>
          <w:sz w:val="20"/>
          <w:szCs w:val="20"/>
        </w:rPr>
        <w:t xml:space="preserve">VoxNet also provides Voice over Internet Protocol (VoIP) in </w:t>
      </w:r>
      <w:r w:rsidRPr="00A76436" w:rsidR="00AE756F">
        <w:rPr>
          <w:rFonts w:ascii="Times New Roman" w:hAnsi="Times New Roman" w:cs="Times New Roman"/>
          <w:sz w:val="20"/>
          <w:szCs w:val="20"/>
        </w:rPr>
        <w:t>18</w:t>
      </w:r>
      <w:r w:rsidRPr="00A76436" w:rsidR="001D094E">
        <w:rPr>
          <w:rFonts w:ascii="Times New Roman" w:hAnsi="Times New Roman" w:cs="Times New Roman"/>
          <w:sz w:val="20"/>
          <w:szCs w:val="20"/>
        </w:rPr>
        <w:t xml:space="preserve"> jurisdictions of the United States.  </w:t>
      </w:r>
      <w:r w:rsidRPr="00A76436" w:rsidR="003B0A5C">
        <w:rPr>
          <w:rFonts w:ascii="Times New Roman" w:hAnsi="Times New Roman" w:cs="Times New Roman"/>
          <w:sz w:val="20"/>
          <w:szCs w:val="20"/>
        </w:rPr>
        <w:t>VoxNet LOI Response</w:t>
      </w:r>
      <w:r w:rsidRPr="00A76436" w:rsidR="001D094E">
        <w:rPr>
          <w:rFonts w:ascii="Times New Roman" w:hAnsi="Times New Roman" w:cs="Times New Roman"/>
          <w:sz w:val="20"/>
          <w:szCs w:val="20"/>
        </w:rPr>
        <w:t>, at 3, Response to Question 4.</w:t>
      </w:r>
    </w:p>
  </w:footnote>
  <w:footnote w:id="13">
    <w:p w:rsidR="00B80CDC" w:rsidRPr="00A76436" w:rsidP="00701445" w14:paraId="41F931E2" w14:textId="24B37623">
      <w:pPr>
        <w:pStyle w:val="FootnoteText"/>
      </w:pPr>
      <w:r w:rsidRPr="00A76436">
        <w:rPr>
          <w:rStyle w:val="FootnoteReference"/>
        </w:rPr>
        <w:footnoteRef/>
      </w:r>
      <w:r w:rsidRPr="00A76436">
        <w:t xml:space="preserve"> </w:t>
      </w:r>
      <w:r w:rsidRPr="00A76436" w:rsidR="003B0A5C">
        <w:t>VoxNet LOI Response, at 2, Response to Question 2.</w:t>
      </w:r>
    </w:p>
  </w:footnote>
  <w:footnote w:id="14">
    <w:p w:rsidR="000D1B14" w:rsidRPr="00A76436" w:rsidP="00F147CE" w14:paraId="1C44783D" w14:textId="43C39EAE">
      <w:pPr>
        <w:pStyle w:val="NoSpacing"/>
        <w:spacing w:before="120" w:after="120"/>
        <w:rPr>
          <w:rFonts w:cs="Times New Roman"/>
          <w:sz w:val="20"/>
          <w:szCs w:val="20"/>
        </w:rPr>
      </w:pPr>
      <w:r w:rsidRPr="00A76436">
        <w:rPr>
          <w:rStyle w:val="FootnoteReference"/>
          <w:rFonts w:ascii="Times New Roman" w:hAnsi="Times New Roman" w:cs="Times New Roman"/>
          <w:sz w:val="20"/>
          <w:szCs w:val="20"/>
        </w:rPr>
        <w:footnoteRef/>
      </w:r>
      <w:r w:rsidRPr="00A76436" w:rsidR="00AA7425">
        <w:rPr>
          <w:rFonts w:ascii="Times New Roman" w:hAnsi="Times New Roman" w:cs="Times New Roman"/>
          <w:sz w:val="20"/>
          <w:szCs w:val="20"/>
        </w:rPr>
        <w:t xml:space="preserve"> </w:t>
      </w:r>
      <w:r w:rsidRPr="00A76436">
        <w:rPr>
          <w:rFonts w:ascii="Times New Roman" w:hAnsi="Times New Roman" w:cs="Times New Roman"/>
          <w:sz w:val="20"/>
          <w:szCs w:val="20"/>
        </w:rPr>
        <w:t>Block Line provides competitive LEC services and interexchange services in Delaware, Illinois, Kentucky, Maryland, Massachusetts, New Jersey, New York, Pennsylvania, Rhode Island, Texas, and the District of Col</w:t>
      </w:r>
      <w:r w:rsidR="00A46335">
        <w:rPr>
          <w:rFonts w:ascii="Times New Roman" w:hAnsi="Times New Roman" w:cs="Times New Roman"/>
          <w:sz w:val="20"/>
          <w:szCs w:val="20"/>
        </w:rPr>
        <w:t>u</w:t>
      </w:r>
      <w:r w:rsidRPr="00A76436">
        <w:rPr>
          <w:rFonts w:ascii="Times New Roman" w:hAnsi="Times New Roman" w:cs="Times New Roman"/>
          <w:sz w:val="20"/>
          <w:szCs w:val="20"/>
        </w:rPr>
        <w:t>mbia.  Block Line is authorized to provide interexchange services in California, Georgia, and Virginia.  Block Line also provides VoIP services to customers in 17 states and the District of Columbia.</w:t>
      </w:r>
      <w:bookmarkStart w:id="4" w:name="_Hlk111541418"/>
      <w:r w:rsidRPr="00A76436" w:rsidR="00AE756F">
        <w:rPr>
          <w:rFonts w:ascii="Times New Roman" w:hAnsi="Times New Roman" w:cs="Times New Roman"/>
          <w:i/>
          <w:iCs/>
          <w:sz w:val="20"/>
          <w:szCs w:val="20"/>
        </w:rPr>
        <w:t xml:space="preserve"> </w:t>
      </w:r>
      <w:r w:rsidR="00A46335">
        <w:rPr>
          <w:rFonts w:ascii="Times New Roman" w:hAnsi="Times New Roman" w:cs="Times New Roman"/>
          <w:i/>
          <w:iCs/>
          <w:sz w:val="20"/>
          <w:szCs w:val="20"/>
        </w:rPr>
        <w:t xml:space="preserve"> </w:t>
      </w:r>
      <w:r w:rsidRPr="00A76436" w:rsidR="00AE756F">
        <w:rPr>
          <w:rFonts w:ascii="Times New Roman" w:hAnsi="Times New Roman" w:cs="Times New Roman"/>
          <w:i/>
          <w:iCs/>
          <w:sz w:val="20"/>
          <w:szCs w:val="20"/>
        </w:rPr>
        <w:t>VoxNet</w:t>
      </w:r>
      <w:r w:rsidRPr="00A76436" w:rsidR="00AE756F">
        <w:rPr>
          <w:rFonts w:ascii="Times New Roman" w:hAnsi="Times New Roman" w:cs="Times New Roman"/>
          <w:i/>
          <w:iCs/>
          <w:sz w:val="20"/>
          <w:szCs w:val="20"/>
        </w:rPr>
        <w:t xml:space="preserve"> Public Notice</w:t>
      </w:r>
      <w:r w:rsidRPr="00A76436" w:rsidR="00AE756F">
        <w:rPr>
          <w:rFonts w:ascii="Times New Roman" w:hAnsi="Times New Roman" w:cs="Times New Roman"/>
          <w:sz w:val="20"/>
          <w:szCs w:val="20"/>
        </w:rPr>
        <w:t xml:space="preserve"> at 1-2</w:t>
      </w:r>
      <w:r w:rsidRPr="00A76436" w:rsidR="00986068">
        <w:rPr>
          <w:rFonts w:ascii="Times New Roman" w:hAnsi="Times New Roman" w:cs="Times New Roman"/>
          <w:sz w:val="20"/>
          <w:szCs w:val="20"/>
        </w:rPr>
        <w:t>.</w:t>
      </w:r>
      <w:r w:rsidRPr="00A76436">
        <w:rPr>
          <w:rFonts w:ascii="Times New Roman" w:hAnsi="Times New Roman" w:cs="Times New Roman"/>
          <w:sz w:val="20"/>
          <w:szCs w:val="20"/>
        </w:rPr>
        <w:t xml:space="preserve"> </w:t>
      </w:r>
      <w:r w:rsidRPr="00A76436" w:rsidR="008410CE">
        <w:rPr>
          <w:rFonts w:ascii="Times New Roman" w:hAnsi="Times New Roman" w:cs="Times New Roman"/>
          <w:sz w:val="20"/>
          <w:szCs w:val="20"/>
        </w:rPr>
        <w:t xml:space="preserve"> </w:t>
      </w:r>
      <w:r w:rsidRPr="00A76436">
        <w:rPr>
          <w:rFonts w:ascii="Times New Roman" w:hAnsi="Times New Roman" w:cs="Times New Roman"/>
          <w:i/>
          <w:iCs/>
          <w:sz w:val="20"/>
          <w:szCs w:val="20"/>
        </w:rPr>
        <w:t>See also</w:t>
      </w:r>
      <w:r w:rsidRPr="00A76436">
        <w:rPr>
          <w:rFonts w:ascii="Times New Roman" w:hAnsi="Times New Roman" w:cs="Times New Roman"/>
          <w:sz w:val="20"/>
          <w:szCs w:val="20"/>
        </w:rPr>
        <w:t xml:space="preserve"> Response to Letter of Inquiry, from J.G. Harrington, Cooley, Counsel to Block Line Systems, LLC, to Jeffrey J. Gee, Chief, Investigations and Hearings Division, FCC Enforcement Bureau, at 1, Response to Question 1 (Apr</w:t>
      </w:r>
      <w:r w:rsidR="00A76436">
        <w:rPr>
          <w:rFonts w:ascii="Times New Roman" w:hAnsi="Times New Roman" w:cs="Times New Roman"/>
          <w:sz w:val="20"/>
          <w:szCs w:val="20"/>
        </w:rPr>
        <w:t>.</w:t>
      </w:r>
      <w:r w:rsidRPr="00A76436">
        <w:rPr>
          <w:rFonts w:ascii="Times New Roman" w:hAnsi="Times New Roman" w:cs="Times New Roman"/>
          <w:sz w:val="20"/>
          <w:szCs w:val="20"/>
        </w:rPr>
        <w:t xml:space="preserve"> 11, 2022) (on file in EB-IHD-21-00033087) (Block Line LOI Response).</w:t>
      </w:r>
      <w:bookmarkEnd w:id="4"/>
    </w:p>
  </w:footnote>
  <w:footnote w:id="15">
    <w:p w:rsidR="00C06D5A" w:rsidRPr="00A76436" w:rsidP="00F147CE" w14:paraId="79C60C74" w14:textId="73C79973">
      <w:pPr>
        <w:pStyle w:val="NoSpacing"/>
        <w:spacing w:before="120" w:after="120"/>
        <w:rPr>
          <w:rFonts w:cs="Times New Roman"/>
          <w:sz w:val="20"/>
          <w:szCs w:val="20"/>
        </w:rPr>
      </w:pPr>
      <w:r w:rsidRPr="00A76436">
        <w:rPr>
          <w:rStyle w:val="FootnoteReference"/>
          <w:rFonts w:ascii="Times New Roman" w:hAnsi="Times New Roman" w:cs="Times New Roman"/>
          <w:sz w:val="20"/>
          <w:szCs w:val="20"/>
        </w:rPr>
        <w:footnoteRef/>
      </w:r>
      <w:r w:rsidRPr="00A76436">
        <w:rPr>
          <w:rFonts w:ascii="Times New Roman" w:hAnsi="Times New Roman" w:cs="Times New Roman"/>
          <w:sz w:val="20"/>
          <w:szCs w:val="20"/>
        </w:rPr>
        <w:t xml:space="preserve"> </w:t>
      </w:r>
      <w:r w:rsidRPr="00A76436" w:rsidR="00A446B9">
        <w:rPr>
          <w:rFonts w:ascii="Times New Roman" w:hAnsi="Times New Roman" w:cs="Times New Roman"/>
          <w:sz w:val="20"/>
          <w:szCs w:val="20"/>
        </w:rPr>
        <w:t xml:space="preserve">Block Communications, Inc. also owns Buckeye </w:t>
      </w:r>
      <w:r w:rsidRPr="00A76436" w:rsidR="00A446B9">
        <w:rPr>
          <w:rFonts w:ascii="Times New Roman" w:hAnsi="Times New Roman" w:cs="Times New Roman"/>
          <w:sz w:val="20"/>
          <w:szCs w:val="20"/>
        </w:rPr>
        <w:t>Telesystem</w:t>
      </w:r>
      <w:r w:rsidRPr="00A76436" w:rsidR="00A446B9">
        <w:rPr>
          <w:rFonts w:ascii="Times New Roman" w:hAnsi="Times New Roman" w:cs="Times New Roman"/>
          <w:sz w:val="20"/>
          <w:szCs w:val="20"/>
        </w:rPr>
        <w:t>, Inc., an Ohio corporation, that provides competitive LEC services in Ohio and Michigan, resold interexchange services in Indiana, and VoIP services in Michigan, Ohio, and Pennsylvania; and Buckeye Cablevision, Inc., an Ohio corporation, that provides cable television services in Michigan and Ohio.</w:t>
      </w:r>
      <w:r w:rsidRPr="00A76436" w:rsidR="00F33E8F">
        <w:rPr>
          <w:rFonts w:ascii="Times New Roman" w:hAnsi="Times New Roman" w:cs="Times New Roman"/>
          <w:i/>
          <w:iCs/>
          <w:sz w:val="20"/>
          <w:szCs w:val="20"/>
        </w:rPr>
        <w:t xml:space="preserve"> </w:t>
      </w:r>
      <w:r w:rsidR="00A46335">
        <w:rPr>
          <w:rFonts w:ascii="Times New Roman" w:hAnsi="Times New Roman" w:cs="Times New Roman"/>
          <w:i/>
          <w:iCs/>
          <w:sz w:val="20"/>
          <w:szCs w:val="20"/>
        </w:rPr>
        <w:t xml:space="preserve"> </w:t>
      </w:r>
      <w:r w:rsidRPr="00A76436" w:rsidR="00332FFB">
        <w:rPr>
          <w:rFonts w:ascii="Times New Roman" w:hAnsi="Times New Roman" w:cs="Times New Roman"/>
          <w:i/>
          <w:iCs/>
          <w:sz w:val="20"/>
          <w:szCs w:val="20"/>
        </w:rPr>
        <w:t>VoxNet</w:t>
      </w:r>
      <w:r w:rsidRPr="00A76436" w:rsidR="00332FFB">
        <w:rPr>
          <w:rFonts w:ascii="Times New Roman" w:hAnsi="Times New Roman" w:cs="Times New Roman"/>
          <w:i/>
          <w:iCs/>
          <w:sz w:val="20"/>
          <w:szCs w:val="20"/>
        </w:rPr>
        <w:t xml:space="preserve"> Public Notice</w:t>
      </w:r>
      <w:r w:rsidRPr="00A76436" w:rsidR="00332FFB">
        <w:rPr>
          <w:rFonts w:ascii="Times New Roman" w:hAnsi="Times New Roman" w:cs="Times New Roman"/>
          <w:sz w:val="20"/>
          <w:szCs w:val="20"/>
        </w:rPr>
        <w:t xml:space="preserve"> at 1. </w:t>
      </w:r>
    </w:p>
  </w:footnote>
  <w:footnote w:id="16">
    <w:p w:rsidR="00746B24" w:rsidRPr="00A76436" w:rsidP="00701445" w14:paraId="6B33D3B0" w14:textId="77777777">
      <w:pPr>
        <w:pStyle w:val="FootnoteText"/>
      </w:pPr>
      <w:r w:rsidRPr="00A76436">
        <w:rPr>
          <w:rStyle w:val="FootnoteReference"/>
        </w:rPr>
        <w:footnoteRef/>
      </w:r>
      <w:r w:rsidRPr="00A76436">
        <w:t xml:space="preserve"> VoxNet LOI Response, at 4, Response to Question 8.</w:t>
      </w:r>
    </w:p>
  </w:footnote>
  <w:footnote w:id="17">
    <w:p w:rsidR="006E73E4" w:rsidRPr="00A76436" w:rsidP="00701445" w14:paraId="11021FEE" w14:textId="6F3CC186">
      <w:pPr>
        <w:pStyle w:val="FootnoteText"/>
      </w:pPr>
      <w:r w:rsidRPr="00A76436">
        <w:rPr>
          <w:rStyle w:val="FootnoteReference"/>
        </w:rPr>
        <w:footnoteRef/>
      </w:r>
      <w:r w:rsidRPr="00A76436">
        <w:t xml:space="preserve"> </w:t>
      </w:r>
      <w:r w:rsidRPr="00A76436">
        <w:rPr>
          <w:i/>
          <w:iCs/>
        </w:rPr>
        <w:t xml:space="preserve">See </w:t>
      </w:r>
      <w:r w:rsidRPr="00A76436">
        <w:t>Letter from Connie Wightman, Consultant to Applicants, to Marlene H. Dortch, Secretary, FCC, WC Docket No. 21-374, at 1 (filed Sept. 23, 2021) (STA Request)</w:t>
      </w:r>
      <w:r w:rsidR="00A46335">
        <w:t>.</w:t>
      </w:r>
    </w:p>
  </w:footnote>
  <w:footnote w:id="18">
    <w:p w:rsidR="009D4EF3" w:rsidRPr="00A76436" w:rsidP="00B31506" w14:paraId="304141EC" w14:textId="37FF1E5F">
      <w:pPr>
        <w:pStyle w:val="NoSpacing"/>
        <w:spacing w:after="120"/>
        <w:rPr>
          <w:rFonts w:cs="Times New Roman"/>
        </w:rPr>
      </w:pPr>
      <w:r w:rsidRPr="00A76436">
        <w:rPr>
          <w:rStyle w:val="FootnoteReference"/>
          <w:rFonts w:ascii="Times New Roman" w:hAnsi="Times New Roman" w:cs="Times New Roman"/>
          <w:sz w:val="20"/>
          <w:szCs w:val="20"/>
        </w:rPr>
        <w:footnoteRef/>
      </w:r>
      <w:r w:rsidRPr="00A76436">
        <w:rPr>
          <w:rFonts w:ascii="Times New Roman" w:hAnsi="Times New Roman" w:cs="Times New Roman"/>
          <w:sz w:val="20"/>
          <w:szCs w:val="20"/>
        </w:rPr>
        <w:t xml:space="preserve"> </w:t>
      </w:r>
      <w:r w:rsidRPr="00A76436" w:rsidR="008410CE">
        <w:rPr>
          <w:rFonts w:ascii="Times New Roman" w:hAnsi="Times New Roman" w:cs="Times New Roman"/>
          <w:i/>
          <w:iCs/>
          <w:sz w:val="20"/>
          <w:szCs w:val="20"/>
        </w:rPr>
        <w:t>VoxNet Public Notice</w:t>
      </w:r>
      <w:r w:rsidRPr="00A76436" w:rsidR="008410CE">
        <w:rPr>
          <w:rFonts w:ascii="Times New Roman" w:hAnsi="Times New Roman" w:cs="Times New Roman"/>
          <w:sz w:val="20"/>
          <w:szCs w:val="20"/>
        </w:rPr>
        <w:t xml:space="preserve"> at 2. </w:t>
      </w:r>
      <w:r w:rsidRPr="00A76436" w:rsidR="008410CE">
        <w:rPr>
          <w:rFonts w:ascii="Times New Roman" w:hAnsi="Times New Roman" w:cs="Times New Roman"/>
          <w:i/>
          <w:iCs/>
          <w:sz w:val="20"/>
          <w:szCs w:val="20"/>
        </w:rPr>
        <w:t xml:space="preserve"> </w:t>
      </w:r>
      <w:r w:rsidRPr="00A76436" w:rsidR="00A322E3">
        <w:rPr>
          <w:rFonts w:ascii="Times New Roman" w:hAnsi="Times New Roman" w:cs="Times New Roman"/>
          <w:i/>
          <w:iCs/>
          <w:sz w:val="20"/>
          <w:szCs w:val="20"/>
        </w:rPr>
        <w:t>See also</w:t>
      </w:r>
      <w:r w:rsidRPr="00A76436" w:rsidR="00A322E3">
        <w:rPr>
          <w:rFonts w:ascii="Times New Roman" w:hAnsi="Times New Roman" w:cs="Times New Roman"/>
          <w:sz w:val="20"/>
          <w:szCs w:val="20"/>
        </w:rPr>
        <w:t xml:space="preserve"> </w:t>
      </w:r>
      <w:r w:rsidRPr="00A76436">
        <w:rPr>
          <w:rFonts w:ascii="Times New Roman" w:hAnsi="Times New Roman" w:cs="Times New Roman"/>
          <w:sz w:val="20"/>
          <w:szCs w:val="20"/>
        </w:rPr>
        <w:t>VoxNet LOI Response, at 4, Response to Question 8.</w:t>
      </w:r>
    </w:p>
  </w:footnote>
  <w:footnote w:id="19">
    <w:p w:rsidR="00CF5F99" w:rsidRPr="00A76436" w:rsidP="00701445" w14:paraId="6584BBB0" w14:textId="49781618">
      <w:pPr>
        <w:pStyle w:val="FootnoteText"/>
      </w:pPr>
      <w:r w:rsidRPr="00A76436">
        <w:rPr>
          <w:rStyle w:val="FootnoteReference"/>
        </w:rPr>
        <w:footnoteRef/>
      </w:r>
      <w:r w:rsidRPr="00A76436">
        <w:t xml:space="preserve"> </w:t>
      </w:r>
      <w:r w:rsidRPr="00A66DDB">
        <w:rPr>
          <w:i/>
          <w:iCs/>
        </w:rPr>
        <w:t>Id</w:t>
      </w:r>
      <w:r w:rsidRPr="0046556E">
        <w:t>.</w:t>
      </w:r>
    </w:p>
  </w:footnote>
  <w:footnote w:id="20">
    <w:p w:rsidR="00A66785" w:rsidRPr="00A76436" w:rsidP="00701445" w14:paraId="7B1BE43B" w14:textId="42AB5BE4">
      <w:pPr>
        <w:pStyle w:val="FootnoteText"/>
      </w:pPr>
      <w:r w:rsidRPr="00A76436">
        <w:rPr>
          <w:rStyle w:val="FootnoteReference"/>
        </w:rPr>
        <w:footnoteRef/>
      </w:r>
      <w:r w:rsidRPr="00A76436" w:rsidR="001B1BE7">
        <w:t xml:space="preserve"> </w:t>
      </w:r>
      <w:r w:rsidRPr="00A76436" w:rsidR="00AE756F">
        <w:t>Section 214 Transfer of Control Application of VoxNet, LLC and Block Line Systems, LLC, WC Docket No. 21-374</w:t>
      </w:r>
      <w:r w:rsidRPr="00A76436" w:rsidR="000F7B77">
        <w:t>,</w:t>
      </w:r>
      <w:r w:rsidRPr="00A76436" w:rsidR="00AE756F">
        <w:t xml:space="preserve"> </w:t>
      </w:r>
      <w:r w:rsidRPr="00A76436" w:rsidR="000F7B77">
        <w:t xml:space="preserve">at 1-3 </w:t>
      </w:r>
      <w:r w:rsidRPr="00A76436" w:rsidR="00AE756F">
        <w:t>(filed Sept. 23, 2021) (Domestic Section 214 Application); First Amendment to the Application of VoxNet, LLC and Block Line Systems, LLC, WC Docket No. 21-374, at 6 (filed Oct. 6, 2021) (Application Amendment) (amending Applicants September 23, 2021 Domestic Section 214 Application).</w:t>
      </w:r>
      <w:r w:rsidRPr="00A76436" w:rsidR="00AE756F">
        <w:rPr>
          <w:i/>
          <w:iCs/>
        </w:rPr>
        <w:t xml:space="preserve"> </w:t>
      </w:r>
      <w:r w:rsidRPr="00A76436" w:rsidR="00AE756F">
        <w:t xml:space="preserve"> </w:t>
      </w:r>
      <w:r w:rsidRPr="00A76436" w:rsidR="007C24BA">
        <w:rPr>
          <w:i/>
          <w:iCs/>
        </w:rPr>
        <w:t>See also</w:t>
      </w:r>
      <w:r w:rsidRPr="00A76436" w:rsidR="007C24BA">
        <w:t xml:space="preserve"> </w:t>
      </w:r>
      <w:r w:rsidRPr="00A76436">
        <w:t>VoxNet LOI Response</w:t>
      </w:r>
      <w:r w:rsidRPr="00A76436" w:rsidR="00822AF5">
        <w:t>,</w:t>
      </w:r>
      <w:r w:rsidRPr="00A76436">
        <w:t xml:space="preserve"> at 5, Respon</w:t>
      </w:r>
      <w:r w:rsidRPr="00A76436" w:rsidR="00DE1F69">
        <w:t>s</w:t>
      </w:r>
      <w:r w:rsidRPr="00A76436">
        <w:t>e to Question 8(d-e).</w:t>
      </w:r>
      <w:r w:rsidRPr="00A76436" w:rsidR="007C24BA">
        <w:t xml:space="preserve">  </w:t>
      </w:r>
    </w:p>
  </w:footnote>
  <w:footnote w:id="21">
    <w:p w:rsidR="009550C6" w:rsidRPr="00A76436" w:rsidP="00701445" w14:paraId="089FAC51" w14:textId="00429971">
      <w:pPr>
        <w:pStyle w:val="FootnoteText"/>
      </w:pPr>
      <w:r w:rsidRPr="00A76436">
        <w:rPr>
          <w:rStyle w:val="FootnoteReference"/>
          <w:rFonts w:cs="Times New Roman"/>
        </w:rPr>
        <w:footnoteRef/>
      </w:r>
      <w:r w:rsidRPr="00A76436">
        <w:t xml:space="preserve"> A carrier may apply for </w:t>
      </w:r>
      <w:r w:rsidRPr="00A76436" w:rsidR="00B540F7">
        <w:t xml:space="preserve">a </w:t>
      </w:r>
      <w:r w:rsidRPr="00A76436">
        <w:t>STA relating to temporary or emergency services under a section 214 authorization pursuant to section 63.25 of the Commission’s rules.  47 CFR § 63.25.</w:t>
      </w:r>
    </w:p>
  </w:footnote>
  <w:footnote w:id="22">
    <w:p w:rsidR="00C36886" w:rsidRPr="00A76436" w:rsidP="00B31506" w14:paraId="31F1E606" w14:textId="7B05D005">
      <w:pPr>
        <w:pStyle w:val="NoSpacing"/>
        <w:spacing w:after="120"/>
        <w:rPr>
          <w:rFonts w:cs="Times New Roman"/>
        </w:rPr>
      </w:pPr>
      <w:r w:rsidRPr="00A76436">
        <w:rPr>
          <w:rStyle w:val="FootnoteReference"/>
          <w:rFonts w:ascii="Times New Roman" w:hAnsi="Times New Roman" w:cs="Times New Roman"/>
          <w:sz w:val="20"/>
          <w:szCs w:val="20"/>
        </w:rPr>
        <w:footnoteRef/>
      </w:r>
      <w:r w:rsidRPr="00A76436">
        <w:rPr>
          <w:rFonts w:ascii="Times New Roman" w:hAnsi="Times New Roman" w:cs="Times New Roman"/>
          <w:sz w:val="20"/>
          <w:szCs w:val="20"/>
        </w:rPr>
        <w:t xml:space="preserve"> </w:t>
      </w:r>
      <w:r w:rsidRPr="00A76436" w:rsidR="00AE756F">
        <w:rPr>
          <w:rFonts w:ascii="Times New Roman" w:hAnsi="Times New Roman" w:cs="Times New Roman"/>
          <w:sz w:val="20"/>
          <w:szCs w:val="20"/>
        </w:rPr>
        <w:t xml:space="preserve">VoxNet and Block Line </w:t>
      </w:r>
      <w:r w:rsidRPr="00A76436" w:rsidR="00162A47">
        <w:rPr>
          <w:rFonts w:ascii="Times New Roman" w:hAnsi="Times New Roman" w:cs="Times New Roman"/>
          <w:sz w:val="20"/>
          <w:szCs w:val="20"/>
        </w:rPr>
        <w:t>also explain that the failure to seek timely Commission approval of the transaction was inadvertent and unintentional</w:t>
      </w:r>
      <w:r w:rsidRPr="00A76436" w:rsidR="00AE756F">
        <w:rPr>
          <w:rFonts w:ascii="Times New Roman" w:hAnsi="Times New Roman" w:cs="Times New Roman"/>
          <w:sz w:val="20"/>
          <w:szCs w:val="20"/>
        </w:rPr>
        <w:t>, and that they</w:t>
      </w:r>
      <w:r w:rsidRPr="00A76436" w:rsidR="00162A47">
        <w:rPr>
          <w:rFonts w:ascii="Times New Roman" w:hAnsi="Times New Roman" w:cs="Times New Roman"/>
          <w:sz w:val="20"/>
          <w:szCs w:val="20"/>
        </w:rPr>
        <w:t xml:space="preserve"> were not initially aware that the sale of a customer base, without transfer of control of a service provider, was subject to FCC approval. </w:t>
      </w:r>
      <w:r w:rsidRPr="00A76436" w:rsidR="006E73E4">
        <w:rPr>
          <w:rFonts w:ascii="Times New Roman" w:hAnsi="Times New Roman" w:cs="Times New Roman"/>
          <w:sz w:val="20"/>
          <w:szCs w:val="20"/>
        </w:rPr>
        <w:t xml:space="preserve"> </w:t>
      </w:r>
      <w:r w:rsidRPr="00A76436" w:rsidR="00F05C0A">
        <w:rPr>
          <w:rFonts w:ascii="Times New Roman" w:hAnsi="Times New Roman" w:cs="Times New Roman"/>
          <w:sz w:val="20"/>
          <w:szCs w:val="20"/>
        </w:rPr>
        <w:t>STA Request</w:t>
      </w:r>
      <w:r w:rsidRPr="00A76436" w:rsidR="006E73E4">
        <w:rPr>
          <w:rFonts w:ascii="Times New Roman" w:hAnsi="Times New Roman" w:cs="Times New Roman"/>
          <w:sz w:val="20"/>
          <w:szCs w:val="20"/>
        </w:rPr>
        <w:t xml:space="preserve"> at 1-2</w:t>
      </w:r>
      <w:r w:rsidRPr="00A76436" w:rsidR="00F05C0A">
        <w:rPr>
          <w:rFonts w:ascii="Times New Roman" w:hAnsi="Times New Roman" w:cs="Times New Roman"/>
          <w:sz w:val="20"/>
          <w:szCs w:val="20"/>
        </w:rPr>
        <w:t xml:space="preserve">. </w:t>
      </w:r>
      <w:r w:rsidRPr="00A76436" w:rsidR="00162A47">
        <w:rPr>
          <w:rFonts w:ascii="Times New Roman" w:hAnsi="Times New Roman" w:cs="Times New Roman"/>
          <w:sz w:val="20"/>
          <w:szCs w:val="20"/>
        </w:rPr>
        <w:t xml:space="preserve"> The Applicants took steps to remedy the issue as soon as they became aware of it, filing the </w:t>
      </w:r>
      <w:r w:rsidRPr="00A76436" w:rsidR="00A44B08">
        <w:rPr>
          <w:rFonts w:ascii="Times New Roman" w:hAnsi="Times New Roman" w:cs="Times New Roman"/>
          <w:sz w:val="20"/>
          <w:szCs w:val="20"/>
        </w:rPr>
        <w:t>transfer</w:t>
      </w:r>
      <w:r w:rsidRPr="00A76436" w:rsidR="00162A47">
        <w:rPr>
          <w:rFonts w:ascii="Times New Roman" w:hAnsi="Times New Roman" w:cs="Times New Roman"/>
          <w:sz w:val="20"/>
          <w:szCs w:val="20"/>
        </w:rPr>
        <w:t xml:space="preserve"> application and STA </w:t>
      </w:r>
      <w:r w:rsidRPr="00A76436" w:rsidR="00F05C0A">
        <w:rPr>
          <w:rFonts w:ascii="Times New Roman" w:hAnsi="Times New Roman" w:cs="Times New Roman"/>
          <w:sz w:val="20"/>
          <w:szCs w:val="20"/>
        </w:rPr>
        <w:t xml:space="preserve">request </w:t>
      </w:r>
      <w:r w:rsidRPr="00A76436" w:rsidR="00162A47">
        <w:rPr>
          <w:rFonts w:ascii="Times New Roman" w:hAnsi="Times New Roman" w:cs="Times New Roman"/>
          <w:sz w:val="20"/>
          <w:szCs w:val="20"/>
        </w:rPr>
        <w:t xml:space="preserve">less than 30 days after </w:t>
      </w:r>
      <w:r w:rsidRPr="00A76436" w:rsidR="00A44B08">
        <w:rPr>
          <w:rFonts w:ascii="Times New Roman" w:hAnsi="Times New Roman" w:cs="Times New Roman"/>
          <w:sz w:val="20"/>
          <w:szCs w:val="20"/>
        </w:rPr>
        <w:t xml:space="preserve">the transaction </w:t>
      </w:r>
      <w:r w:rsidRPr="00A76436" w:rsidR="00162A47">
        <w:rPr>
          <w:rFonts w:ascii="Times New Roman" w:hAnsi="Times New Roman" w:cs="Times New Roman"/>
          <w:sz w:val="20"/>
          <w:szCs w:val="20"/>
        </w:rPr>
        <w:t>occurred.</w:t>
      </w:r>
      <w:r w:rsidRPr="00A76436" w:rsidR="009278A4">
        <w:rPr>
          <w:rFonts w:ascii="Times New Roman" w:hAnsi="Times New Roman" w:cs="Times New Roman"/>
          <w:sz w:val="20"/>
          <w:szCs w:val="20"/>
        </w:rPr>
        <w:t xml:space="preserve">  </w:t>
      </w:r>
      <w:r w:rsidRPr="00A76436" w:rsidR="009278A4">
        <w:rPr>
          <w:rFonts w:ascii="Times New Roman" w:hAnsi="Times New Roman" w:cs="Times New Roman"/>
          <w:i/>
          <w:iCs/>
          <w:sz w:val="20"/>
          <w:szCs w:val="20"/>
        </w:rPr>
        <w:t xml:space="preserve">See </w:t>
      </w:r>
      <w:r w:rsidRPr="00A76436" w:rsidR="009278A4">
        <w:rPr>
          <w:rFonts w:ascii="Times New Roman" w:hAnsi="Times New Roman" w:cs="Times New Roman"/>
          <w:sz w:val="20"/>
          <w:szCs w:val="20"/>
        </w:rPr>
        <w:t>VoxNet LOI Response, at 5, Response to Question 8(d-e).</w:t>
      </w:r>
    </w:p>
  </w:footnote>
  <w:footnote w:id="23">
    <w:p w:rsidR="00CF206C" w:rsidRPr="00A76436" w:rsidP="00B31506" w14:paraId="4EE07B9E" w14:textId="36D12A2E">
      <w:pPr>
        <w:pStyle w:val="NoSpacing"/>
        <w:spacing w:after="120"/>
        <w:rPr>
          <w:rFonts w:ascii="Times New Roman" w:hAnsi="Times New Roman" w:cs="Times New Roman"/>
          <w:sz w:val="20"/>
          <w:szCs w:val="20"/>
        </w:rPr>
      </w:pPr>
      <w:r w:rsidRPr="00A76436">
        <w:rPr>
          <w:rStyle w:val="FootnoteReference"/>
          <w:rFonts w:ascii="Times New Roman" w:hAnsi="Times New Roman" w:cs="Times New Roman"/>
          <w:sz w:val="20"/>
          <w:szCs w:val="20"/>
        </w:rPr>
        <w:footnoteRef/>
      </w:r>
      <w:r w:rsidRPr="00A76436">
        <w:rPr>
          <w:rFonts w:ascii="Times New Roman" w:hAnsi="Times New Roman" w:cs="Times New Roman"/>
          <w:sz w:val="20"/>
          <w:szCs w:val="20"/>
        </w:rPr>
        <w:t xml:space="preserve"> </w:t>
      </w:r>
      <w:bookmarkStart w:id="5" w:name="_Hlk111630571"/>
      <w:r w:rsidRPr="00A76436" w:rsidR="008F644D">
        <w:rPr>
          <w:rFonts w:ascii="Times New Roman" w:hAnsi="Times New Roman" w:cs="Times New Roman"/>
          <w:sz w:val="20"/>
          <w:szCs w:val="20"/>
        </w:rPr>
        <w:t xml:space="preserve">STA Request, granted Oct. 8, 2021 </w:t>
      </w:r>
      <w:r w:rsidRPr="00A76436" w:rsidR="00B540F7">
        <w:rPr>
          <w:rFonts w:ascii="Times New Roman" w:hAnsi="Times New Roman" w:cs="Times New Roman"/>
          <w:sz w:val="20"/>
          <w:szCs w:val="20"/>
        </w:rPr>
        <w:t>(on file in WC Docket No. 21-374)</w:t>
      </w:r>
      <w:r w:rsidRPr="00A76436" w:rsidR="008A47D2">
        <w:rPr>
          <w:rFonts w:ascii="Times New Roman" w:hAnsi="Times New Roman" w:cs="Times New Roman"/>
          <w:sz w:val="20"/>
          <w:szCs w:val="20"/>
        </w:rPr>
        <w:t>.</w:t>
      </w:r>
      <w:bookmarkEnd w:id="5"/>
    </w:p>
  </w:footnote>
  <w:footnote w:id="24">
    <w:p w:rsidR="000D696F" w:rsidRPr="00A76436" w:rsidP="00B31506" w14:paraId="73C5555C" w14:textId="114BFAC9">
      <w:pPr>
        <w:pStyle w:val="NoSpacing"/>
        <w:spacing w:after="120"/>
        <w:rPr>
          <w:rFonts w:cs="Times New Roman"/>
        </w:rPr>
      </w:pPr>
      <w:r w:rsidRPr="00A76436">
        <w:rPr>
          <w:rStyle w:val="FootnoteReference"/>
          <w:rFonts w:ascii="Times New Roman" w:hAnsi="Times New Roman" w:cs="Times New Roman"/>
          <w:sz w:val="20"/>
          <w:szCs w:val="20"/>
        </w:rPr>
        <w:footnoteRef/>
      </w:r>
      <w:r w:rsidRPr="00A76436">
        <w:rPr>
          <w:rFonts w:ascii="Times New Roman" w:hAnsi="Times New Roman" w:cs="Times New Roman"/>
          <w:sz w:val="20"/>
          <w:szCs w:val="20"/>
        </w:rPr>
        <w:t xml:space="preserve"> </w:t>
      </w:r>
      <w:r w:rsidRPr="00A76436" w:rsidR="008E72EC">
        <w:rPr>
          <w:rFonts w:ascii="Times New Roman" w:hAnsi="Times New Roman" w:cs="Times New Roman"/>
          <w:sz w:val="20"/>
          <w:szCs w:val="20"/>
        </w:rPr>
        <w:t xml:space="preserve">This </w:t>
      </w:r>
      <w:r w:rsidRPr="00A76436" w:rsidR="009B2DAE">
        <w:rPr>
          <w:rFonts w:ascii="Times New Roman" w:hAnsi="Times New Roman" w:cs="Times New Roman"/>
          <w:sz w:val="20"/>
          <w:szCs w:val="20"/>
        </w:rPr>
        <w:t xml:space="preserve">grant </w:t>
      </w:r>
      <w:r w:rsidRPr="00A76436" w:rsidR="008E72EC">
        <w:rPr>
          <w:rFonts w:ascii="Times New Roman" w:hAnsi="Times New Roman" w:cs="Times New Roman"/>
          <w:sz w:val="20"/>
          <w:szCs w:val="20"/>
        </w:rPr>
        <w:t xml:space="preserve">was </w:t>
      </w:r>
      <w:r w:rsidRPr="00A76436" w:rsidR="00986068">
        <w:rPr>
          <w:rFonts w:ascii="Times New Roman" w:hAnsi="Times New Roman" w:cs="Times New Roman"/>
          <w:sz w:val="20"/>
          <w:szCs w:val="20"/>
        </w:rPr>
        <w:t xml:space="preserve">expressly </w:t>
      </w:r>
      <w:r w:rsidRPr="00A76436" w:rsidR="009B2DAE">
        <w:rPr>
          <w:rFonts w:ascii="Times New Roman" w:hAnsi="Times New Roman" w:cs="Times New Roman"/>
          <w:sz w:val="20"/>
          <w:szCs w:val="20"/>
        </w:rPr>
        <w:t>without prejudice to enforcement action</w:t>
      </w:r>
      <w:r w:rsidRPr="00A76436" w:rsidR="00191456">
        <w:rPr>
          <w:rFonts w:ascii="Times New Roman" w:hAnsi="Times New Roman" w:cs="Times New Roman"/>
          <w:sz w:val="20"/>
          <w:szCs w:val="20"/>
        </w:rPr>
        <w:t xml:space="preserve"> for non-compliance with the Act or the Commission’s rules</w:t>
      </w:r>
      <w:r w:rsidRPr="00A76436" w:rsidR="009B2DAE">
        <w:rPr>
          <w:rFonts w:ascii="Times New Roman" w:hAnsi="Times New Roman" w:cs="Times New Roman"/>
          <w:sz w:val="20"/>
          <w:szCs w:val="20"/>
        </w:rPr>
        <w:t>.</w:t>
      </w:r>
      <w:r w:rsidRPr="00A76436" w:rsidR="00AD2D28">
        <w:rPr>
          <w:rFonts w:ascii="Times New Roman" w:hAnsi="Times New Roman" w:cs="Times New Roman"/>
          <w:sz w:val="20"/>
          <w:szCs w:val="20"/>
        </w:rPr>
        <w:t xml:space="preserve"> </w:t>
      </w:r>
      <w:r w:rsidRPr="00A76436">
        <w:rPr>
          <w:rFonts w:ascii="Times New Roman" w:hAnsi="Times New Roman" w:cs="Times New Roman"/>
          <w:sz w:val="20"/>
          <w:szCs w:val="20"/>
        </w:rPr>
        <w:t xml:space="preserve"> </w:t>
      </w:r>
      <w:r w:rsidRPr="00A76436" w:rsidR="000863FF">
        <w:rPr>
          <w:rFonts w:ascii="Times New Roman" w:hAnsi="Times New Roman" w:cs="Times New Roman"/>
          <w:i/>
          <w:iCs/>
          <w:sz w:val="20"/>
          <w:szCs w:val="20"/>
        </w:rPr>
        <w:t>Notice of Domestic Section 214 Authorization Granted</w:t>
      </w:r>
      <w:r w:rsidRPr="00A76436" w:rsidR="000863FF">
        <w:rPr>
          <w:rFonts w:ascii="Times New Roman" w:hAnsi="Times New Roman" w:cs="Times New Roman"/>
          <w:sz w:val="20"/>
          <w:szCs w:val="20"/>
        </w:rPr>
        <w:t>, DA 21</w:t>
      </w:r>
      <w:r w:rsidRPr="00A76436" w:rsidR="008F644D">
        <w:rPr>
          <w:rFonts w:ascii="Times New Roman" w:hAnsi="Times New Roman" w:cs="Times New Roman"/>
          <w:sz w:val="20"/>
          <w:szCs w:val="20"/>
        </w:rPr>
        <w:t>-</w:t>
      </w:r>
      <w:r w:rsidRPr="00A76436" w:rsidR="000863FF">
        <w:rPr>
          <w:rFonts w:ascii="Times New Roman" w:hAnsi="Times New Roman" w:cs="Times New Roman"/>
          <w:sz w:val="20"/>
          <w:szCs w:val="20"/>
        </w:rPr>
        <w:t>1396, WC Docket No. 21-374, Public Notice (</w:t>
      </w:r>
      <w:r w:rsidRPr="00A76436" w:rsidR="00F05C0A">
        <w:rPr>
          <w:rFonts w:ascii="Times New Roman" w:hAnsi="Times New Roman" w:cs="Times New Roman"/>
          <w:sz w:val="20"/>
          <w:szCs w:val="20"/>
        </w:rPr>
        <w:t xml:space="preserve">WCB </w:t>
      </w:r>
      <w:r w:rsidRPr="00A76436" w:rsidR="000863FF">
        <w:rPr>
          <w:rFonts w:ascii="Times New Roman" w:hAnsi="Times New Roman" w:cs="Times New Roman"/>
          <w:sz w:val="20"/>
          <w:szCs w:val="20"/>
        </w:rPr>
        <w:t xml:space="preserve">Nov. 8, 2021).  </w:t>
      </w:r>
    </w:p>
  </w:footnote>
  <w:footnote w:id="25">
    <w:p w:rsidR="00EF01B3" w:rsidRPr="00A76436" w:rsidP="00B31506" w14:paraId="7D416245" w14:textId="7629168C">
      <w:pPr>
        <w:pStyle w:val="NoSpacing"/>
        <w:spacing w:after="120"/>
        <w:rPr>
          <w:rFonts w:cs="Times New Roman"/>
        </w:rPr>
      </w:pPr>
      <w:r w:rsidRPr="00A76436">
        <w:rPr>
          <w:rStyle w:val="FootnoteReference"/>
          <w:rFonts w:ascii="Times New Roman" w:hAnsi="Times New Roman" w:cs="Times New Roman"/>
          <w:sz w:val="20"/>
          <w:szCs w:val="20"/>
        </w:rPr>
        <w:footnoteRef/>
      </w:r>
      <w:r w:rsidRPr="00A76436">
        <w:rPr>
          <w:rFonts w:ascii="Times New Roman" w:hAnsi="Times New Roman" w:cs="Times New Roman"/>
          <w:sz w:val="20"/>
          <w:szCs w:val="20"/>
        </w:rPr>
        <w:t xml:space="preserve"> </w:t>
      </w:r>
      <w:bookmarkStart w:id="6" w:name="_Hlk111564476"/>
      <w:r w:rsidRPr="00A76436" w:rsidR="00996F94">
        <w:rPr>
          <w:rFonts w:ascii="Times New Roman" w:hAnsi="Times New Roman" w:cs="Times New Roman"/>
          <w:sz w:val="20"/>
          <w:szCs w:val="20"/>
        </w:rPr>
        <w:t>Letter of Inquiry from Jeffrey J. Gee, Chief, Investigations and Hearings Division, FCC Enforcement Bureau, to VoxNet, LLC (Jan. 14, 2021) (on file in EB-IHD-21-00033087) (LOI).</w:t>
      </w:r>
      <w:bookmarkEnd w:id="6"/>
    </w:p>
  </w:footnote>
  <w:footnote w:id="26">
    <w:p w:rsidR="00AB48DF" w:rsidRPr="00A76436" w:rsidP="00701445" w14:paraId="27CABD12" w14:textId="01E1653A">
      <w:pPr>
        <w:pStyle w:val="FootnoteText"/>
      </w:pPr>
      <w:r w:rsidRPr="00A76436">
        <w:rPr>
          <w:rStyle w:val="FootnoteReference"/>
          <w:rFonts w:cs="Times New Roman"/>
        </w:rPr>
        <w:footnoteRef/>
      </w:r>
      <w:r w:rsidRPr="00A76436">
        <w:t xml:space="preserve"> </w:t>
      </w:r>
      <w:r w:rsidRPr="00A76436" w:rsidR="00996F94">
        <w:t>VoxNet LOI Response</w:t>
      </w:r>
      <w:r w:rsidRPr="00A76436" w:rsidR="003D090F">
        <w:t>.</w:t>
      </w:r>
    </w:p>
  </w:footnote>
  <w:footnote w:id="27">
    <w:p w:rsidR="002D3082" w:rsidRPr="00A76436" w:rsidP="00701445" w14:paraId="263E1C35" w14:textId="7493DC9E">
      <w:pPr>
        <w:pStyle w:val="FootnoteText"/>
      </w:pPr>
      <w:r w:rsidRPr="00A76436">
        <w:rPr>
          <w:rStyle w:val="FootnoteReference"/>
          <w:rFonts w:cs="Times New Roman"/>
        </w:rPr>
        <w:footnoteRef/>
      </w:r>
      <w:r w:rsidRPr="00A76436">
        <w:t xml:space="preserve"> </w:t>
      </w:r>
      <w:r w:rsidRPr="00A76436">
        <w:rPr>
          <w:i/>
        </w:rPr>
        <w:t>See</w:t>
      </w:r>
      <w:r w:rsidRPr="00A76436">
        <w:t xml:space="preserve"> 47 U.S.C. § 503(b)(1)(B); 47 CFR § 1.80(a)(1)</w:t>
      </w:r>
      <w:r w:rsidRPr="00A76436" w:rsidR="002D2138">
        <w:t>.</w:t>
      </w:r>
    </w:p>
  </w:footnote>
  <w:footnote w:id="28">
    <w:p w:rsidR="002D3082" w:rsidRPr="00A76436" w:rsidP="00701445" w14:paraId="37CCE184" w14:textId="77777777">
      <w:pPr>
        <w:pStyle w:val="FootnoteText"/>
      </w:pPr>
      <w:r w:rsidRPr="00A76436">
        <w:rPr>
          <w:rStyle w:val="FootnoteReference"/>
          <w:rFonts w:cs="Times New Roman"/>
        </w:rPr>
        <w:footnoteRef/>
      </w:r>
      <w:r w:rsidRPr="00A76436">
        <w:t xml:space="preserve"> 47 U.S.C. § 312(f)(1).</w:t>
      </w:r>
    </w:p>
  </w:footnote>
  <w:footnote w:id="29">
    <w:p w:rsidR="002D3082" w:rsidRPr="00A76436" w:rsidP="00701445" w14:paraId="49F44AA3" w14:textId="77777777">
      <w:pPr>
        <w:pStyle w:val="FootnoteText"/>
      </w:pPr>
      <w:r w:rsidRPr="00A76436">
        <w:rPr>
          <w:rStyle w:val="FootnoteReference"/>
          <w:rFonts w:cs="Times New Roman"/>
        </w:rPr>
        <w:footnoteRef/>
      </w:r>
      <w:r w:rsidRPr="00A76436">
        <w:t xml:space="preserve"> H.R. Rep. No. 97-765, 97</w:t>
      </w:r>
      <w:r w:rsidRPr="00A76436">
        <w:rPr>
          <w:vertAlign w:val="superscript"/>
        </w:rPr>
        <w:t>th</w:t>
      </w:r>
      <w:r w:rsidRPr="00A76436">
        <w:t xml:space="preserve"> Cong. 2d Sess. 51 (1982).  </w:t>
      </w:r>
    </w:p>
  </w:footnote>
  <w:footnote w:id="30">
    <w:p w:rsidR="002D3082" w:rsidRPr="00A76436" w:rsidP="00701445" w14:paraId="3BE02635" w14:textId="0CD9CCBC">
      <w:pPr>
        <w:pStyle w:val="FootnoteText"/>
      </w:pPr>
      <w:r w:rsidRPr="00A76436">
        <w:rPr>
          <w:rStyle w:val="FootnoteReference"/>
          <w:rFonts w:cs="Times New Roman"/>
        </w:rPr>
        <w:footnoteRef/>
      </w:r>
      <w:r w:rsidRPr="00A76436">
        <w:t xml:space="preserve"> </w:t>
      </w:r>
      <w:r w:rsidRPr="00DB2AAA">
        <w:rPr>
          <w:i/>
          <w:iCs/>
        </w:rPr>
        <w:t>See, e.g.</w:t>
      </w:r>
      <w:r w:rsidRPr="00A76436">
        <w:t xml:space="preserve">, Application for Review of Southern California Broadcasting Co., Memorandum Opinion and Order, 6 FCC </w:t>
      </w:r>
      <w:r w:rsidRPr="00A76436">
        <w:t>Rcd</w:t>
      </w:r>
      <w:r w:rsidRPr="00A76436">
        <w:t xml:space="preserve"> 4387, 4388, </w:t>
      </w:r>
      <w:r w:rsidRPr="00A76436" w:rsidR="00CA017D">
        <w:t>para.</w:t>
      </w:r>
      <w:r w:rsidRPr="00A76436">
        <w:t xml:space="preserve"> 5 (1991) (</w:t>
      </w:r>
      <w:r w:rsidRPr="000F405B">
        <w:rPr>
          <w:i/>
          <w:iCs/>
        </w:rPr>
        <w:t>Southern California Broadcasting Co.</w:t>
      </w:r>
      <w:r w:rsidRPr="00A76436">
        <w:t>).</w:t>
      </w:r>
    </w:p>
  </w:footnote>
  <w:footnote w:id="31">
    <w:p w:rsidR="002D3082" w:rsidRPr="00A76436" w:rsidP="00701445" w14:paraId="212694AD" w14:textId="7FEC2C88">
      <w:pPr>
        <w:pStyle w:val="FootnoteText"/>
      </w:pPr>
      <w:r w:rsidRPr="00A76436">
        <w:rPr>
          <w:rStyle w:val="FootnoteReference"/>
          <w:rFonts w:cs="Times New Roman"/>
        </w:rPr>
        <w:footnoteRef/>
      </w:r>
      <w:r w:rsidRPr="00A76436">
        <w:t xml:space="preserve"> </w:t>
      </w:r>
      <w:r w:rsidRPr="00A76436">
        <w:rPr>
          <w:i/>
        </w:rPr>
        <w:t>See, e.g.</w:t>
      </w:r>
      <w:r w:rsidRPr="00A76436">
        <w:rPr>
          <w:iCs/>
        </w:rPr>
        <w:t>,</w:t>
      </w:r>
      <w:r w:rsidRPr="00A76436">
        <w:t xml:space="preserve"> </w:t>
      </w:r>
      <w:r w:rsidRPr="00A76436">
        <w:rPr>
          <w:i/>
        </w:rPr>
        <w:t>Callais</w:t>
      </w:r>
      <w:r w:rsidRPr="00A76436">
        <w:rPr>
          <w:i/>
        </w:rPr>
        <w:t xml:space="preserve"> Cablevision, Inc., Grand Isle, Louisiana</w:t>
      </w:r>
      <w:r w:rsidRPr="00A76436">
        <w:t xml:space="preserve">, Notice of Apparent Liability for Monetary Forfeiture, 16 FCC </w:t>
      </w:r>
      <w:r w:rsidRPr="00A76436">
        <w:t>Rcd</w:t>
      </w:r>
      <w:r w:rsidRPr="00A76436">
        <w:t xml:space="preserve"> 1359, 1362,</w:t>
      </w:r>
      <w:r w:rsidRPr="00A76436" w:rsidR="00CA017D">
        <w:t xml:space="preserve"> para.</w:t>
      </w:r>
      <w:r w:rsidRPr="00A76436">
        <w:t xml:space="preserve"> 10 (2001) (</w:t>
      </w:r>
      <w:r w:rsidRPr="00A76436">
        <w:rPr>
          <w:i/>
        </w:rPr>
        <w:t>Callais</w:t>
      </w:r>
      <w:r w:rsidRPr="00A76436">
        <w:rPr>
          <w:i/>
        </w:rPr>
        <w:t xml:space="preserve"> Cablevision, Inc.</w:t>
      </w:r>
      <w:r w:rsidRPr="00A76436">
        <w:t xml:space="preserve">) (issuing a Notice of Apparent Liability for, </w:t>
      </w:r>
      <w:r w:rsidRPr="00A76436">
        <w:rPr>
          <w:i/>
        </w:rPr>
        <w:t>inter alia</w:t>
      </w:r>
      <w:r w:rsidRPr="00A76436">
        <w:t xml:space="preserve">, a cable television operator’s repeated signal leakage). </w:t>
      </w:r>
    </w:p>
  </w:footnote>
  <w:footnote w:id="32">
    <w:p w:rsidR="002D3082" w:rsidRPr="00A76436" w:rsidP="00701445" w14:paraId="60226705" w14:textId="17F79C13">
      <w:pPr>
        <w:pStyle w:val="FootnoteText"/>
      </w:pPr>
      <w:r w:rsidRPr="00A76436">
        <w:rPr>
          <w:rStyle w:val="FootnoteReference"/>
          <w:rFonts w:cs="Times New Roman"/>
        </w:rPr>
        <w:footnoteRef/>
      </w:r>
      <w:r w:rsidRPr="00A76436">
        <w:t xml:space="preserve"> </w:t>
      </w:r>
      <w:r w:rsidRPr="00A76436" w:rsidR="00FE6D96">
        <w:t xml:space="preserve">47 U.S.C. § 312(f)(2); </w:t>
      </w:r>
      <w:r w:rsidRPr="00A76436" w:rsidR="00FE6D96">
        <w:rPr>
          <w:i/>
          <w:iCs/>
        </w:rPr>
        <w:t xml:space="preserve">see also </w:t>
      </w:r>
      <w:r w:rsidRPr="00A76436">
        <w:rPr>
          <w:i/>
        </w:rPr>
        <w:t>Southern California Broadcasting Co.</w:t>
      </w:r>
      <w:r w:rsidRPr="00A76436">
        <w:rPr>
          <w:iCs/>
        </w:rPr>
        <w:t>,</w:t>
      </w:r>
      <w:r w:rsidRPr="00A76436">
        <w:rPr>
          <w:i/>
        </w:rPr>
        <w:t xml:space="preserve"> </w:t>
      </w:r>
      <w:r w:rsidRPr="00A76436">
        <w:t xml:space="preserve">6 FCC </w:t>
      </w:r>
      <w:r w:rsidRPr="00A76436">
        <w:t>Rcd</w:t>
      </w:r>
      <w:r w:rsidRPr="00A76436">
        <w:t xml:space="preserve"> at 4388, </w:t>
      </w:r>
      <w:r w:rsidRPr="00A76436" w:rsidR="00CA017D">
        <w:t>para.</w:t>
      </w:r>
      <w:r w:rsidRPr="00A76436">
        <w:t xml:space="preserve"> 5; </w:t>
      </w:r>
      <w:r w:rsidRPr="00A76436">
        <w:rPr>
          <w:i/>
        </w:rPr>
        <w:t>Callais</w:t>
      </w:r>
      <w:r w:rsidRPr="00A76436">
        <w:rPr>
          <w:i/>
        </w:rPr>
        <w:t xml:space="preserve"> Cablevision, Inc.</w:t>
      </w:r>
      <w:r w:rsidRPr="00A76436">
        <w:rPr>
          <w:iCs/>
        </w:rPr>
        <w:t>,</w:t>
      </w:r>
      <w:r w:rsidRPr="00A76436">
        <w:rPr>
          <w:i/>
        </w:rPr>
        <w:t xml:space="preserve"> </w:t>
      </w:r>
      <w:r w:rsidRPr="00A76436">
        <w:t xml:space="preserve">16 FCC </w:t>
      </w:r>
      <w:r w:rsidRPr="00A76436">
        <w:t>Rcd</w:t>
      </w:r>
      <w:r w:rsidRPr="00A76436">
        <w:t xml:space="preserve"> at 1362, </w:t>
      </w:r>
      <w:r w:rsidRPr="00A76436" w:rsidR="00CA017D">
        <w:t xml:space="preserve">para. </w:t>
      </w:r>
      <w:r w:rsidRPr="00A76436">
        <w:t>9.</w:t>
      </w:r>
    </w:p>
  </w:footnote>
  <w:footnote w:id="33">
    <w:p w:rsidR="002D3082" w:rsidRPr="00A76436" w:rsidP="00701445" w14:paraId="22D7112C" w14:textId="174CF972">
      <w:pPr>
        <w:pStyle w:val="FootnoteText"/>
      </w:pPr>
      <w:r w:rsidRPr="00A76436">
        <w:rPr>
          <w:rStyle w:val="FootnoteReference"/>
          <w:rFonts w:cs="Times New Roman"/>
        </w:rPr>
        <w:footnoteRef/>
      </w:r>
      <w:r w:rsidRPr="00A76436">
        <w:t xml:space="preserve"> 47 U.S.C. § 503(b); 47 CFR § 1.80(</w:t>
      </w:r>
      <w:r w:rsidRPr="00A76436" w:rsidR="00FE6D96">
        <w:t>g</w:t>
      </w:r>
      <w:r w:rsidRPr="00A76436">
        <w:t>).</w:t>
      </w:r>
    </w:p>
  </w:footnote>
  <w:footnote w:id="34">
    <w:p w:rsidR="002D3082" w:rsidRPr="00A76436" w:rsidP="00701445" w14:paraId="2FBA7D1B" w14:textId="781A4487">
      <w:pPr>
        <w:pStyle w:val="FootnoteText"/>
      </w:pPr>
      <w:r w:rsidRPr="00A76436">
        <w:rPr>
          <w:rStyle w:val="FootnoteReference"/>
          <w:rFonts w:cs="Times New Roman"/>
        </w:rPr>
        <w:footnoteRef/>
      </w:r>
      <w:r w:rsidRPr="00A76436">
        <w:rPr>
          <w:i/>
        </w:rPr>
        <w:t xml:space="preserve"> See, e.g.</w:t>
      </w:r>
      <w:r w:rsidRPr="00A76436">
        <w:rPr>
          <w:iCs/>
        </w:rPr>
        <w:t>,</w:t>
      </w:r>
      <w:r w:rsidRPr="00A76436">
        <w:rPr>
          <w:i/>
        </w:rPr>
        <w:t xml:space="preserve"> SBC Communications, Inc</w:t>
      </w:r>
      <w:r w:rsidRPr="00A76436">
        <w:t>.,</w:t>
      </w:r>
      <w:r w:rsidRPr="00A76436">
        <w:rPr>
          <w:i/>
        </w:rPr>
        <w:t xml:space="preserve"> </w:t>
      </w:r>
      <w:r w:rsidRPr="00A76436">
        <w:t xml:space="preserve">Forfeiture Order, 17 FCC </w:t>
      </w:r>
      <w:r w:rsidRPr="00A76436">
        <w:t>Rcd</w:t>
      </w:r>
      <w:r w:rsidRPr="00A76436">
        <w:t xml:space="preserve"> 7589, 7591, </w:t>
      </w:r>
      <w:r w:rsidRPr="00A76436" w:rsidR="001334C3">
        <w:t xml:space="preserve">para. </w:t>
      </w:r>
      <w:r w:rsidRPr="00A76436">
        <w:t>4 (2002) (forfeiture paid).</w:t>
      </w:r>
    </w:p>
  </w:footnote>
  <w:footnote w:id="35">
    <w:p w:rsidR="001C0640" w:rsidRPr="00A76436" w:rsidP="00701445" w14:paraId="09C3C821" w14:textId="5718E504">
      <w:pPr>
        <w:pStyle w:val="FootnoteText"/>
        <w:rPr>
          <w:i/>
          <w:iCs/>
        </w:rPr>
      </w:pPr>
      <w:r w:rsidRPr="00A76436">
        <w:rPr>
          <w:rStyle w:val="FootnoteReference"/>
          <w:rFonts w:cs="Times New Roman"/>
        </w:rPr>
        <w:footnoteRef/>
      </w:r>
      <w:r w:rsidRPr="00A76436">
        <w:t xml:space="preserve"> 47 CFR § 63.03 (prescribing procedures domestic transfers of control)</w:t>
      </w:r>
      <w:r w:rsidRPr="00A76436" w:rsidR="00FC6465">
        <w:t>.</w:t>
      </w:r>
      <w:r w:rsidRPr="00A76436" w:rsidR="00DF07EE">
        <w:t xml:space="preserve">  </w:t>
      </w:r>
      <w:r w:rsidRPr="00A76436" w:rsidR="00DF07EE">
        <w:rPr>
          <w:i/>
          <w:iCs/>
        </w:rPr>
        <w:t>See 2002 Streamlining Order</w:t>
      </w:r>
      <w:r w:rsidRPr="00A76436" w:rsidR="00DF07EE">
        <w:t>,</w:t>
      </w:r>
      <w:r w:rsidRPr="00A76436" w:rsidR="00DF07EE">
        <w:rPr>
          <w:i/>
          <w:iCs/>
        </w:rPr>
        <w:t xml:space="preserve"> </w:t>
      </w:r>
      <w:r w:rsidRPr="00A76436" w:rsidR="00DF07EE">
        <w:t xml:space="preserve">17 FCC </w:t>
      </w:r>
      <w:r w:rsidRPr="00A76436" w:rsidR="00DF07EE">
        <w:t>Rcd</w:t>
      </w:r>
      <w:r w:rsidRPr="00A76436" w:rsidR="00DF07EE">
        <w:t xml:space="preserve"> at 5521, 5547-48, paras. 5, 59, 63.</w:t>
      </w:r>
    </w:p>
  </w:footnote>
  <w:footnote w:id="36">
    <w:p w:rsidR="00F36018" w:rsidRPr="00A76436" w:rsidP="00701445" w14:paraId="1D39BB83" w14:textId="74788EE5">
      <w:pPr>
        <w:pStyle w:val="FootnoteText"/>
      </w:pPr>
      <w:r w:rsidRPr="00A76436">
        <w:rPr>
          <w:rStyle w:val="FootnoteReference"/>
        </w:rPr>
        <w:footnoteRef/>
      </w:r>
      <w:r w:rsidRPr="00A76436">
        <w:t xml:space="preserve"> </w:t>
      </w:r>
      <w:r w:rsidRPr="00A66DDB">
        <w:t>See 2002 Streamlining Order</w:t>
      </w:r>
      <w:r w:rsidRPr="00A76436">
        <w:t>, paras. 59, 63.</w:t>
      </w:r>
    </w:p>
  </w:footnote>
  <w:footnote w:id="37">
    <w:p w:rsidR="002D3082" w:rsidRPr="00A76436" w:rsidP="00701445" w14:paraId="710B738F" w14:textId="00494D5D">
      <w:pPr>
        <w:pStyle w:val="FootnoteText"/>
      </w:pPr>
      <w:r w:rsidRPr="00A76436">
        <w:rPr>
          <w:rStyle w:val="FootnoteReference"/>
          <w:rFonts w:cs="Times New Roman"/>
        </w:rPr>
        <w:footnoteRef/>
      </w:r>
      <w:r w:rsidRPr="00A76436" w:rsidR="00F71042">
        <w:t xml:space="preserve"> VoxNet’s </w:t>
      </w:r>
      <w:r w:rsidRPr="00A76436" w:rsidR="00DF07EE">
        <w:t xml:space="preserve">completion of its transfer </w:t>
      </w:r>
      <w:r w:rsidRPr="00A76436" w:rsidR="00F71042">
        <w:t>of its customer base to Block Line occurred on September 1, 2021</w:t>
      </w:r>
      <w:r w:rsidRPr="00A76436" w:rsidR="007A7760">
        <w:t>,</w:t>
      </w:r>
      <w:r w:rsidRPr="00A76436" w:rsidR="00F71042">
        <w:t xml:space="preserve"> and they filed a joint application with the Commission on September 23, 2021</w:t>
      </w:r>
      <w:r w:rsidRPr="00A76436">
        <w:t>.</w:t>
      </w:r>
      <w:r w:rsidRPr="00A76436" w:rsidR="00F71042">
        <w:t xml:space="preserve">  </w:t>
      </w:r>
      <w:r w:rsidRPr="00A76436" w:rsidR="007A7760">
        <w:t>Domestic Section 214 Application</w:t>
      </w:r>
      <w:r w:rsidRPr="00A76436" w:rsidR="00965AA4">
        <w:t xml:space="preserve"> at 1-13.</w:t>
      </w:r>
    </w:p>
  </w:footnote>
  <w:footnote w:id="38">
    <w:p w:rsidR="00607716" w:rsidRPr="00A76436" w:rsidP="00701445" w14:paraId="645F5F02" w14:textId="3A94AC68">
      <w:pPr>
        <w:pStyle w:val="FootnoteText"/>
      </w:pPr>
      <w:r w:rsidRPr="00A76436">
        <w:rPr>
          <w:rStyle w:val="FootnoteReference"/>
          <w:rFonts w:cs="Times New Roman"/>
        </w:rPr>
        <w:footnoteRef/>
      </w:r>
      <w:r w:rsidRPr="00A76436">
        <w:t xml:space="preserve"> </w:t>
      </w:r>
      <w:r w:rsidRPr="00A76436" w:rsidR="005259C1">
        <w:t>47 CFR §§ 63.03, 63.04</w:t>
      </w:r>
      <w:r w:rsidRPr="00A76436" w:rsidR="00773674">
        <w:t>.</w:t>
      </w:r>
    </w:p>
  </w:footnote>
  <w:footnote w:id="39">
    <w:p w:rsidR="00BC6212" w:rsidRPr="00A76436" w:rsidP="00701445" w14:paraId="25D915F5" w14:textId="3E3EE5F6">
      <w:pPr>
        <w:pStyle w:val="FootnoteText"/>
      </w:pPr>
      <w:r w:rsidRPr="00A76436">
        <w:rPr>
          <w:rStyle w:val="FootnoteReference"/>
          <w:rFonts w:cs="Times New Roman"/>
        </w:rPr>
        <w:footnoteRef/>
      </w:r>
      <w:r w:rsidRPr="00A76436">
        <w:t xml:space="preserve"> </w:t>
      </w:r>
      <w:r w:rsidRPr="00A76436" w:rsidR="007B63D6">
        <w:t>47 U.S.C. § 214; 47 CFR §§ 63.03, 63.04</w:t>
      </w:r>
      <w:r w:rsidRPr="00A76436" w:rsidR="001D64CA">
        <w:t xml:space="preserve">; </w:t>
      </w:r>
      <w:r w:rsidRPr="00A76436" w:rsidR="001D64CA">
        <w:rPr>
          <w:i/>
          <w:iCs/>
        </w:rPr>
        <w:t>WDT World Discount Telecommunications Co., Inc.</w:t>
      </w:r>
      <w:r w:rsidRPr="00A76436" w:rsidR="001D64CA">
        <w:t xml:space="preserve">, Notice of Apparent Liability for Forfeiture and Admonishment, 31 FCC </w:t>
      </w:r>
      <w:r w:rsidRPr="00A76436" w:rsidR="001D64CA">
        <w:t>Rcd</w:t>
      </w:r>
      <w:r w:rsidRPr="00A76436" w:rsidR="001D64CA">
        <w:t xml:space="preserve"> 12571 (EB 2016); </w:t>
      </w:r>
      <w:r w:rsidRPr="00A76436" w:rsidR="001D64CA">
        <w:rPr>
          <w:i/>
          <w:iCs/>
        </w:rPr>
        <w:t>Stanacard</w:t>
      </w:r>
      <w:r w:rsidRPr="00A76436" w:rsidR="001D64CA">
        <w:rPr>
          <w:i/>
          <w:iCs/>
        </w:rPr>
        <w:t>, LLC</w:t>
      </w:r>
      <w:r w:rsidRPr="00A76436" w:rsidR="001D64CA">
        <w:t xml:space="preserve">, Notice of Apparent Liability for Forfeiture, 28 FCC </w:t>
      </w:r>
      <w:r w:rsidRPr="00A76436" w:rsidR="001D64CA">
        <w:t>Rcd</w:t>
      </w:r>
      <w:r w:rsidRPr="00A76436" w:rsidR="001D64CA">
        <w:t xml:space="preserve"> 82 (EB 2013).</w:t>
      </w:r>
    </w:p>
  </w:footnote>
  <w:footnote w:id="40">
    <w:p w:rsidR="003260BF" w:rsidRPr="00A76436" w:rsidP="00701445" w14:paraId="3171D43B" w14:textId="23A9A390">
      <w:pPr>
        <w:pStyle w:val="FootnoteText"/>
      </w:pPr>
      <w:r w:rsidRPr="00A76436">
        <w:rPr>
          <w:rStyle w:val="FootnoteReference"/>
          <w:rFonts w:cs="Times New Roman"/>
        </w:rPr>
        <w:footnoteRef/>
      </w:r>
      <w:r w:rsidRPr="00A76436">
        <w:t xml:space="preserve"> </w:t>
      </w:r>
      <w:r w:rsidRPr="00A76436" w:rsidR="006179C0">
        <w:t>47 U.S.C. § 503(b).</w:t>
      </w:r>
    </w:p>
  </w:footnote>
  <w:footnote w:id="41">
    <w:p w:rsidR="00B15A22" w:rsidRPr="00A76436" w:rsidP="00701445" w14:paraId="3E5DEBCD" w14:textId="77777777">
      <w:pPr>
        <w:pStyle w:val="FootnoteText"/>
      </w:pPr>
      <w:r w:rsidRPr="00A76436">
        <w:rPr>
          <w:rStyle w:val="FootnoteReference"/>
          <w:rFonts w:cs="Times New Roman"/>
        </w:rPr>
        <w:footnoteRef/>
      </w:r>
      <w:r w:rsidRPr="00A76436">
        <w:t xml:space="preserve"> 47 U.S.C. § 503(b)(2)(E).  </w:t>
      </w:r>
    </w:p>
  </w:footnote>
  <w:footnote w:id="42">
    <w:p w:rsidR="00597F0E" w:rsidRPr="00A76436" w:rsidP="00701445" w14:paraId="58D9F8AB" w14:textId="1EB57319">
      <w:pPr>
        <w:pStyle w:val="FootnoteText"/>
      </w:pPr>
      <w:r w:rsidRPr="00A76436">
        <w:rPr>
          <w:rStyle w:val="FootnoteReference"/>
          <w:rFonts w:cs="Times New Roman"/>
        </w:rPr>
        <w:footnoteRef/>
      </w:r>
      <w:r w:rsidRPr="00A76436">
        <w:t xml:space="preserve"> 47 CFR § 1.80(b)(10), </w:t>
      </w:r>
      <w:r w:rsidRPr="00A76436" w:rsidR="00416F2E">
        <w:t xml:space="preserve">Table </w:t>
      </w:r>
      <w:r w:rsidRPr="00A76436" w:rsidR="00AF7229">
        <w:t>3</w:t>
      </w:r>
      <w:r w:rsidRPr="00A76436" w:rsidR="00416F2E">
        <w:t xml:space="preserve"> to Paragraph</w:t>
      </w:r>
      <w:r w:rsidRPr="00A76436">
        <w:t xml:space="preserve"> (</w:t>
      </w:r>
      <w:r w:rsidRPr="00A76436" w:rsidR="00612730">
        <w:t>B</w:t>
      </w:r>
      <w:r w:rsidRPr="00A76436">
        <w:t>)(10).</w:t>
      </w:r>
    </w:p>
  </w:footnote>
  <w:footnote w:id="43">
    <w:p w:rsidR="00CB2959" w:rsidRPr="00A76436" w:rsidP="00701445" w14:paraId="0902F4BA" w14:textId="750A7CF3">
      <w:pPr>
        <w:pStyle w:val="FootnoteText"/>
      </w:pPr>
      <w:r w:rsidRPr="00A76436">
        <w:rPr>
          <w:rStyle w:val="FootnoteReference"/>
          <w:rFonts w:cs="Times New Roman"/>
        </w:rPr>
        <w:footnoteRef/>
      </w:r>
      <w:r w:rsidRPr="00A76436">
        <w:t xml:space="preserve"> </w:t>
      </w:r>
      <w:r w:rsidRPr="00377E39" w:rsidR="00EA26CF">
        <w:rPr>
          <w:i/>
          <w:iCs/>
        </w:rPr>
        <w:t>Id</w:t>
      </w:r>
      <w:r w:rsidRPr="00DB2AAA" w:rsidR="00EA26CF">
        <w:t>.</w:t>
      </w:r>
    </w:p>
  </w:footnote>
  <w:footnote w:id="44">
    <w:p w:rsidR="00612730" w:rsidRPr="00A76436" w:rsidP="00701445" w14:paraId="497FC404" w14:textId="10E6130F">
      <w:pPr>
        <w:pStyle w:val="FootnoteText"/>
      </w:pPr>
      <w:r w:rsidRPr="00A76436">
        <w:rPr>
          <w:rStyle w:val="FootnoteReference"/>
          <w:rFonts w:cs="Times New Roman"/>
        </w:rPr>
        <w:footnoteRef/>
      </w:r>
      <w:r w:rsidRPr="00A76436">
        <w:t xml:space="preserve"> 47 CFR § 1.80(b), Table 1 to Paragraph (</w:t>
      </w:r>
      <w:r w:rsidRPr="00A76436">
        <w:rPr>
          <w:rFonts w:eastAsia="Segoe UI Emoji"/>
        </w:rPr>
        <w:t xml:space="preserve">B)(10); </w:t>
      </w:r>
      <w:r w:rsidRPr="00A76436">
        <w:rPr>
          <w:rFonts w:eastAsia="Segoe UI Emoji"/>
          <w:i/>
          <w:iCs/>
        </w:rPr>
        <w:t xml:space="preserve">see also </w:t>
      </w:r>
      <w:r w:rsidRPr="00A76436">
        <w:rPr>
          <w:i/>
          <w:iCs/>
        </w:rPr>
        <w:t>WDT World Discount Telecommunications Co., Inc.</w:t>
      </w:r>
      <w:r w:rsidRPr="00A76436">
        <w:t xml:space="preserve">, Notice of Apparent Liability for Forfeiture and Admonishment, 31 FCC </w:t>
      </w:r>
      <w:r w:rsidRPr="00A76436">
        <w:t>Rcd</w:t>
      </w:r>
      <w:r w:rsidRPr="00A76436">
        <w:t xml:space="preserve"> 12571, 12577, para. 17 (EB 2016).</w:t>
      </w:r>
    </w:p>
  </w:footnote>
  <w:footnote w:id="45">
    <w:p w:rsidR="00A06868" w:rsidRPr="00A76436" w:rsidP="00612730" w14:paraId="0167D355" w14:textId="0D7F493E">
      <w:pPr>
        <w:autoSpaceDE w:val="0"/>
        <w:autoSpaceDN w:val="0"/>
        <w:adjustRightInd w:val="0"/>
        <w:ind w:firstLine="0"/>
        <w:rPr>
          <w:rFonts w:ascii="Times New Roman" w:hAnsi="Times New Roman" w:cs="Times New Roman"/>
          <w:sz w:val="20"/>
          <w:szCs w:val="20"/>
        </w:rPr>
      </w:pPr>
      <w:r w:rsidRPr="00A76436">
        <w:rPr>
          <w:rStyle w:val="FootnoteReference"/>
          <w:rFonts w:ascii="Times New Roman" w:hAnsi="Times New Roman" w:cs="Times New Roman"/>
          <w:sz w:val="20"/>
          <w:szCs w:val="20"/>
        </w:rPr>
        <w:footnoteRef/>
      </w:r>
      <w:r w:rsidRPr="00A76436">
        <w:rPr>
          <w:rFonts w:ascii="Times New Roman" w:hAnsi="Times New Roman" w:cs="Times New Roman"/>
          <w:sz w:val="20"/>
          <w:szCs w:val="20"/>
        </w:rPr>
        <w:t xml:space="preserve"> </w:t>
      </w:r>
      <w:r w:rsidRPr="000A7A2B">
        <w:rPr>
          <w:rFonts w:ascii="Times New Roman" w:hAnsi="Times New Roman" w:cs="Times New Roman"/>
          <w:i/>
          <w:sz w:val="20"/>
          <w:szCs w:val="20"/>
        </w:rPr>
        <w:t>The Commission’s Forfeiture Policy Statement and Amendment of Section 1.80 of the Rules to Incorporate the Forfeiture Guidelines</w:t>
      </w:r>
      <w:r w:rsidRPr="000A7A2B">
        <w:rPr>
          <w:rFonts w:ascii="Times New Roman" w:hAnsi="Times New Roman" w:cs="Times New Roman"/>
          <w:sz w:val="20"/>
          <w:szCs w:val="20"/>
        </w:rPr>
        <w:t xml:space="preserve">, Report and Order, 12 FCC </w:t>
      </w:r>
      <w:r w:rsidRPr="000A7A2B">
        <w:rPr>
          <w:rFonts w:ascii="Times New Roman" w:hAnsi="Times New Roman" w:cs="Times New Roman"/>
          <w:sz w:val="20"/>
          <w:szCs w:val="20"/>
        </w:rPr>
        <w:t>Rcd</w:t>
      </w:r>
      <w:r w:rsidRPr="000A7A2B">
        <w:rPr>
          <w:rFonts w:ascii="Times New Roman" w:hAnsi="Times New Roman" w:cs="Times New Roman"/>
          <w:sz w:val="20"/>
          <w:szCs w:val="20"/>
        </w:rPr>
        <w:t xml:space="preserve"> 17087, 17098</w:t>
      </w:r>
      <w:r w:rsidRPr="000A7A2B" w:rsidR="00DB5BB2">
        <w:rPr>
          <w:rFonts w:ascii="Times New Roman" w:hAnsi="Times New Roman" w:cs="Times New Roman"/>
          <w:sz w:val="20"/>
          <w:szCs w:val="20"/>
        </w:rPr>
        <w:t>-</w:t>
      </w:r>
      <w:r w:rsidRPr="000A7A2B">
        <w:rPr>
          <w:rFonts w:ascii="Times New Roman" w:hAnsi="Times New Roman" w:cs="Times New Roman"/>
          <w:sz w:val="20"/>
          <w:szCs w:val="20"/>
        </w:rPr>
        <w:t>99, para. 22 (1997) (noting that “[a]</w:t>
      </w:r>
      <w:r w:rsidRPr="000A7A2B">
        <w:rPr>
          <w:rFonts w:ascii="Times New Roman" w:hAnsi="Times New Roman" w:cs="Times New Roman"/>
          <w:sz w:val="20"/>
          <w:szCs w:val="20"/>
        </w:rPr>
        <w:t>lthough</w:t>
      </w:r>
      <w:r w:rsidRPr="000A7A2B">
        <w:rPr>
          <w:rFonts w:ascii="Times New Roman" w:hAnsi="Times New Roman" w:cs="Times New Roman"/>
          <w:sz w:val="20"/>
          <w:szCs w:val="20"/>
        </w:rPr>
        <w:t xml:space="preserve"> we have adopted the base forfeiture amounts as guidelines to provide a measure of predictability to the forfeiture process, we retain our discretion to depart from the guidelines and issue forfeitures on a case-by-case basis, under our general forfeiture authority contained in Section 503 of the Act”) (</w:t>
      </w:r>
      <w:r w:rsidRPr="000A7A2B">
        <w:rPr>
          <w:rFonts w:ascii="Times New Roman" w:hAnsi="Times New Roman" w:cs="Times New Roman"/>
          <w:i/>
          <w:sz w:val="20"/>
          <w:szCs w:val="20"/>
        </w:rPr>
        <w:t>Forfeiture Policy Statement</w:t>
      </w:r>
      <w:r w:rsidRPr="000A7A2B">
        <w:rPr>
          <w:rFonts w:ascii="Times New Roman" w:hAnsi="Times New Roman" w:cs="Times New Roman"/>
          <w:sz w:val="20"/>
          <w:szCs w:val="20"/>
        </w:rPr>
        <w:t xml:space="preserve">), </w:t>
      </w:r>
      <w:r w:rsidRPr="000A7A2B">
        <w:rPr>
          <w:rFonts w:ascii="Times New Roman" w:hAnsi="Times New Roman" w:cs="Times New Roman"/>
          <w:i/>
          <w:sz w:val="20"/>
          <w:szCs w:val="20"/>
        </w:rPr>
        <w:t>recons. denied</w:t>
      </w:r>
      <w:r w:rsidRPr="000A7A2B">
        <w:rPr>
          <w:rFonts w:ascii="Times New Roman" w:hAnsi="Times New Roman" w:cs="Times New Roman"/>
          <w:sz w:val="20"/>
          <w:szCs w:val="20"/>
        </w:rPr>
        <w:t>, Memorandum Opinion and Order, 15 FCC Rcd 303 (1999).</w:t>
      </w:r>
    </w:p>
  </w:footnote>
  <w:footnote w:id="46">
    <w:p w:rsidR="00417400" w:rsidRPr="00A76436" w:rsidP="00701445" w14:paraId="2735F4CD" w14:textId="6A2BA857">
      <w:pPr>
        <w:pStyle w:val="FootnoteText"/>
      </w:pPr>
      <w:r w:rsidRPr="00A76436">
        <w:rPr>
          <w:rStyle w:val="FootnoteReference"/>
          <w:rFonts w:cs="Times New Roman"/>
        </w:rPr>
        <w:footnoteRef/>
      </w:r>
      <w:r w:rsidRPr="00A76436">
        <w:t xml:space="preserve"> </w:t>
      </w:r>
      <w:r w:rsidRPr="00A76436">
        <w:rPr>
          <w:i/>
          <w:iCs/>
        </w:rPr>
        <w:t>See</w:t>
      </w:r>
      <w:r w:rsidRPr="00A76436">
        <w:t xml:space="preserve"> 47 U.S.C. § 214(a); 47 CFR §§ 63.03, 63.04.</w:t>
      </w:r>
    </w:p>
  </w:footnote>
  <w:footnote w:id="47">
    <w:p w:rsidR="00612730" w:rsidRPr="00A76436" w:rsidP="00701445" w14:paraId="24A0408A" w14:textId="0AADDE24">
      <w:pPr>
        <w:pStyle w:val="FootnoteText"/>
      </w:pPr>
      <w:r w:rsidRPr="00A76436">
        <w:rPr>
          <w:rStyle w:val="FootnoteReference"/>
          <w:rFonts w:cs="Times New Roman"/>
        </w:rPr>
        <w:footnoteRef/>
      </w:r>
      <w:r w:rsidRPr="00A76436">
        <w:t xml:space="preserve"> 47 CFR § 1.80(b), Table 1 to Paragraph (</w:t>
      </w:r>
      <w:r w:rsidRPr="00A76436">
        <w:rPr>
          <w:rFonts w:eastAsia="Segoe UI Emoji"/>
        </w:rPr>
        <w:t xml:space="preserve">B)(10); </w:t>
      </w:r>
      <w:r w:rsidRPr="00A76436">
        <w:rPr>
          <w:rFonts w:eastAsia="Segoe UI Emoji"/>
          <w:i/>
          <w:iCs/>
        </w:rPr>
        <w:t xml:space="preserve">see also </w:t>
      </w:r>
      <w:r w:rsidRPr="00A76436">
        <w:rPr>
          <w:i/>
          <w:iCs/>
        </w:rPr>
        <w:t>WDT World Discount Telecommunications Co., Inc.</w:t>
      </w:r>
      <w:r w:rsidRPr="00A76436">
        <w:t xml:space="preserve">, Notice of Apparent Liability for Forfeiture and Admonishment, 31 FCC </w:t>
      </w:r>
      <w:r w:rsidRPr="00A76436">
        <w:t>Rcd</w:t>
      </w:r>
      <w:r w:rsidRPr="00A76436">
        <w:t xml:space="preserve"> 12571, 12577, para. 17 (EB 2016)</w:t>
      </w:r>
      <w:r w:rsidRPr="00A76436" w:rsidR="00D37656">
        <w:t xml:space="preserve"> (“[</w:t>
      </w:r>
      <w:r w:rsidRPr="00A76436" w:rsidR="00381E3F">
        <w:t>S</w:t>
      </w:r>
      <w:r w:rsidRPr="00A76436" w:rsidR="00D37656">
        <w:t>]</w:t>
      </w:r>
      <w:r w:rsidRPr="00A76436" w:rsidR="00D37656">
        <w:t>ection</w:t>
      </w:r>
      <w:r w:rsidRPr="00A76436" w:rsidR="00D37656">
        <w:t xml:space="preserve"> 1.80 of the [Commission’s] [r]ules establishes a base forfeiture amount of $8,000 for an unauthorized substantial transfer of control</w:t>
      </w:r>
      <w:r w:rsidRPr="00A76436" w:rsidR="00381E3F">
        <w:t>.</w:t>
      </w:r>
      <w:r w:rsidRPr="00A76436" w:rsidR="00D37656">
        <w:t>”) (internal cites omitted)</w:t>
      </w:r>
      <w:r w:rsidRPr="00A76436">
        <w:t>.</w:t>
      </w:r>
    </w:p>
  </w:footnote>
  <w:footnote w:id="48">
    <w:p w:rsidR="004D5D13" w:rsidRPr="00A76436" w:rsidP="00A1483E" w14:paraId="4C1E4507" w14:textId="70FDB10D">
      <w:pPr>
        <w:autoSpaceDE w:val="0"/>
        <w:autoSpaceDN w:val="0"/>
        <w:adjustRightInd w:val="0"/>
        <w:ind w:firstLine="0"/>
        <w:rPr>
          <w:rFonts w:ascii="Times New Roman" w:hAnsi="Times New Roman" w:cs="Times New Roman"/>
          <w:sz w:val="20"/>
          <w:szCs w:val="20"/>
        </w:rPr>
      </w:pPr>
      <w:r w:rsidRPr="00A76436">
        <w:rPr>
          <w:rStyle w:val="FootnoteReference"/>
          <w:rFonts w:ascii="Times New Roman" w:hAnsi="Times New Roman" w:cs="Times New Roman"/>
          <w:sz w:val="20"/>
          <w:szCs w:val="20"/>
        </w:rPr>
        <w:footnoteRef/>
      </w:r>
      <w:r w:rsidRPr="00A76436">
        <w:rPr>
          <w:rFonts w:ascii="Times New Roman" w:hAnsi="Times New Roman" w:cs="Times New Roman"/>
          <w:sz w:val="20"/>
          <w:szCs w:val="20"/>
        </w:rPr>
        <w:t xml:space="preserve"> </w:t>
      </w:r>
      <w:r w:rsidRPr="00A76436" w:rsidR="006179C0">
        <w:rPr>
          <w:rFonts w:ascii="Times New Roman" w:hAnsi="Times New Roman" w:cs="Times New Roman"/>
          <w:sz w:val="20"/>
          <w:szCs w:val="20"/>
        </w:rPr>
        <w:t>Any entity that is a “Small Business Concern” as defined in the Small Business Act (Pub. L. 85-536, as amended)</w:t>
      </w:r>
      <w:r w:rsidRPr="00A76436" w:rsidR="00E66E12">
        <w:rPr>
          <w:rFonts w:ascii="Times New Roman" w:hAnsi="Times New Roman" w:cs="Times New Roman"/>
          <w:sz w:val="20"/>
          <w:szCs w:val="20"/>
        </w:rPr>
        <w:t xml:space="preserve"> </w:t>
      </w:r>
      <w:r w:rsidRPr="00A76436" w:rsidR="006179C0">
        <w:rPr>
          <w:rFonts w:ascii="Times New Roman" w:hAnsi="Times New Roman" w:cs="Times New Roman"/>
          <w:sz w:val="20"/>
          <w:szCs w:val="20"/>
        </w:rPr>
        <w:t>may avail itself of rights set forth in that Act, including rights set forth in 15 U.S.C. § 657, “Oversight of Regulatory</w:t>
      </w:r>
      <w:r w:rsidRPr="00A76436" w:rsidR="00E66E12">
        <w:rPr>
          <w:rFonts w:ascii="Times New Roman" w:hAnsi="Times New Roman" w:cs="Times New Roman"/>
          <w:sz w:val="20"/>
          <w:szCs w:val="20"/>
        </w:rPr>
        <w:t xml:space="preserve"> </w:t>
      </w:r>
      <w:r w:rsidRPr="00A76436" w:rsidR="006179C0">
        <w:rPr>
          <w:rFonts w:ascii="Times New Roman" w:hAnsi="Times New Roman" w:cs="Times New Roman"/>
          <w:sz w:val="20"/>
          <w:szCs w:val="20"/>
        </w:rPr>
        <w:t>Enforcement,” in addition to other rights set forth herein.</w:t>
      </w:r>
    </w:p>
  </w:footnote>
  <w:footnote w:id="49">
    <w:p w:rsidR="00BE10DE" w:rsidRPr="00A76436" w:rsidP="00701445" w14:paraId="27B1C326" w14:textId="77777777">
      <w:pPr>
        <w:pStyle w:val="FootnoteText"/>
      </w:pPr>
      <w:r w:rsidRPr="000A7A2B">
        <w:rPr>
          <w:rStyle w:val="FootnoteReference"/>
        </w:rPr>
        <w:footnoteRef/>
      </w:r>
      <w:r w:rsidRPr="00A76436">
        <w:t xml:space="preserve"> 47 U.S.C. § 503(b).</w:t>
      </w:r>
    </w:p>
  </w:footnote>
  <w:footnote w:id="50">
    <w:p w:rsidR="00772CA3" w:rsidRPr="00A76436" w:rsidP="00701445" w14:paraId="77654CA6" w14:textId="0AC90B10">
      <w:pPr>
        <w:pStyle w:val="FootnoteText"/>
      </w:pPr>
      <w:r w:rsidRPr="00A76436">
        <w:rPr>
          <w:rStyle w:val="FootnoteReference"/>
          <w:rFonts w:cs="Times New Roman"/>
        </w:rPr>
        <w:footnoteRef/>
      </w:r>
      <w:r w:rsidRPr="00A76436">
        <w:t xml:space="preserve"> 47 CFR § 1.80.</w:t>
      </w:r>
    </w:p>
  </w:footnote>
  <w:footnote w:id="51">
    <w:p w:rsidR="00772CA3" w:rsidRPr="00A76436" w:rsidP="00701445" w14:paraId="043A7ACA" w14:textId="490E8BDD">
      <w:pPr>
        <w:pStyle w:val="FootnoteText"/>
      </w:pPr>
      <w:r w:rsidRPr="00A76436">
        <w:rPr>
          <w:rStyle w:val="FootnoteReference"/>
          <w:rFonts w:cs="Times New Roman"/>
        </w:rPr>
        <w:footnoteRef/>
      </w:r>
      <w:r w:rsidRPr="00A76436">
        <w:t xml:space="preserve"> </w:t>
      </w:r>
      <w:r w:rsidRPr="00A76436" w:rsidR="006179C0">
        <w:t>47 U.S.C. § 214; 47 CFR §§ 63.03, 63.04</w:t>
      </w:r>
      <w:r w:rsidRPr="00A76436" w:rsidR="00BE10DE">
        <w:t>.</w:t>
      </w:r>
    </w:p>
  </w:footnote>
  <w:footnote w:id="52">
    <w:p w:rsidR="00772CA3" w:rsidRPr="00A76436" w:rsidP="00701445" w14:paraId="52853BDF" w14:textId="77777777">
      <w:pPr>
        <w:pStyle w:val="FootnoteText"/>
      </w:pPr>
      <w:r w:rsidRPr="00A76436">
        <w:rPr>
          <w:rStyle w:val="FootnoteReference"/>
          <w:rFonts w:cs="Times New Roman"/>
        </w:rPr>
        <w:footnoteRef/>
      </w:r>
      <w:r w:rsidRPr="00A76436">
        <w:t xml:space="preserve"> 47 CFR § 1.80.</w:t>
      </w:r>
    </w:p>
  </w:footnote>
  <w:footnote w:id="53">
    <w:p w:rsidR="00120C5E" w:rsidRPr="00A76436" w:rsidP="00701445" w14:paraId="0AEF84E6" w14:textId="77777777">
      <w:pPr>
        <w:pStyle w:val="FootnoteText"/>
      </w:pPr>
      <w:r w:rsidRPr="00A76436">
        <w:rPr>
          <w:rStyle w:val="FootnoteReference"/>
        </w:rPr>
        <w:footnoteRef/>
      </w:r>
      <w:r w:rsidRPr="00A76436">
        <w:t xml:space="preserve"> For questions regarding payment procedures, please contact the Financial Operations Group Help Desk by phone at 1-877-480-3201 (option #1).</w:t>
      </w:r>
    </w:p>
  </w:footnote>
  <w:footnote w:id="54">
    <w:p w:rsidR="00120C5E" w:rsidRPr="00A76436" w:rsidP="00701445" w14:paraId="54558A27" w14:textId="2F830FF7">
      <w:pPr>
        <w:pStyle w:val="FootnoteText"/>
      </w:pPr>
      <w:r w:rsidRPr="00A76436">
        <w:rPr>
          <w:rStyle w:val="FootnoteReference"/>
        </w:rPr>
        <w:footnoteRef/>
      </w:r>
      <w:r w:rsidRPr="00A76436">
        <w:t xml:space="preserve"> FCC Form 159 is accessible at </w:t>
      </w:r>
      <w:hyperlink r:id="rId1" w:history="1">
        <w:r w:rsidRPr="007D5D3D">
          <w:rPr>
            <w:rStyle w:val="Hyperlink"/>
            <w:color w:val="auto"/>
          </w:rPr>
          <w:t>https://www.fcc.gov/licensing-databases/fees/fcc-remittance-advice-form-159</w:t>
        </w:r>
      </w:hyperlink>
      <w:r w:rsidRPr="007D5D3D">
        <w:rPr>
          <w:rStyle w:val="Hyperlink"/>
          <w:color w:val="auto"/>
        </w:rPr>
        <w:t>.</w:t>
      </w:r>
      <w:r w:rsidR="007D5D3D">
        <w:rPr>
          <w:rStyle w:val="Hyperlink"/>
          <w:color w:val="auto"/>
        </w:rPr>
        <w:t xml:space="preserve"> </w:t>
      </w:r>
    </w:p>
  </w:footnote>
  <w:footnote w:id="55">
    <w:p w:rsidR="00120C5E" w:rsidRPr="00A76436" w:rsidP="00701445" w14:paraId="70A1DBB9" w14:textId="77777777">
      <w:pPr>
        <w:pStyle w:val="FootnoteText"/>
      </w:pPr>
      <w:r w:rsidRPr="00A76436">
        <w:rPr>
          <w:rStyle w:val="FootnoteReference"/>
        </w:rPr>
        <w:footnoteRef/>
      </w:r>
      <w:r w:rsidRPr="00A76436">
        <w:t xml:space="preserve"> Information completed using the Commission’s Registration System (CORES) does not require the submission of an FCC Form 159.  CORES is accessible at </w:t>
      </w:r>
      <w:hyperlink r:id="rId2" w:history="1">
        <w:r w:rsidRPr="007D5D3D">
          <w:rPr>
            <w:rStyle w:val="Hyperlink"/>
            <w:color w:val="auto"/>
          </w:rPr>
          <w:t>https://apps.fcc.gov/cores/userLogin.do</w:t>
        </w:r>
      </w:hyperlink>
      <w:r w:rsidRPr="00A76436">
        <w:t>.</w:t>
      </w:r>
    </w:p>
  </w:footnote>
  <w:footnote w:id="56">
    <w:p w:rsidR="00120C5E" w:rsidRPr="00A76436" w:rsidP="00701445" w14:paraId="0C773515" w14:textId="77777777">
      <w:pPr>
        <w:pStyle w:val="FootnoteText"/>
      </w:pPr>
      <w:r w:rsidRPr="00A76436">
        <w:rPr>
          <w:rStyle w:val="FootnoteReference"/>
        </w:rPr>
        <w:footnoteRef/>
      </w:r>
      <w:r w:rsidRPr="00A76436">
        <w:t xml:space="preserve"> Instructions for completing the form may be obtained at </w:t>
      </w:r>
      <w:hyperlink r:id="rId3" w:history="1">
        <w:r w:rsidRPr="007D5D3D">
          <w:rPr>
            <w:rStyle w:val="Hyperlink"/>
            <w:color w:val="auto"/>
          </w:rPr>
          <w:t>http://www.fcc.gov/Forms/Form159/159.pdf</w:t>
        </w:r>
      </w:hyperlink>
      <w:r w:rsidRPr="00A76436">
        <w:t xml:space="preserve">. </w:t>
      </w:r>
    </w:p>
  </w:footnote>
  <w:footnote w:id="57">
    <w:p w:rsidR="00772CA3" w:rsidRPr="00A76436" w:rsidP="00701445" w14:paraId="5C1CAE82" w14:textId="77777777">
      <w:pPr>
        <w:pStyle w:val="FootnoteText"/>
      </w:pPr>
      <w:r w:rsidRPr="00A76436">
        <w:rPr>
          <w:rStyle w:val="FootnoteReference"/>
          <w:rFonts w:cs="Times New Roman"/>
        </w:rPr>
        <w:footnoteRef/>
      </w:r>
      <w:r w:rsidRPr="00A76436">
        <w:t xml:space="preserve"> </w:t>
      </w:r>
      <w:r w:rsidRPr="00A76436">
        <w:rPr>
          <w:i/>
          <w:iCs/>
        </w:rPr>
        <w:t xml:space="preserve">See </w:t>
      </w:r>
      <w:r w:rsidRPr="00A76436">
        <w:t>47 CFR § 1.1914.</w:t>
      </w:r>
    </w:p>
  </w:footnote>
  <w:footnote w:id="58">
    <w:p w:rsidR="00772CA3" w:rsidRPr="00A76436" w:rsidP="00701445" w14:paraId="535F8D63" w14:textId="20B27143">
      <w:pPr>
        <w:pStyle w:val="FootnoteText"/>
      </w:pPr>
      <w:r w:rsidRPr="00A76436">
        <w:rPr>
          <w:rStyle w:val="FootnoteReference"/>
          <w:rFonts w:cs="Times New Roman"/>
        </w:rPr>
        <w:footnoteRef/>
      </w:r>
      <w:r w:rsidRPr="00A76436">
        <w:t xml:space="preserve"> 47 CFR §§ 1.16, 1.80(</w:t>
      </w:r>
      <w:r w:rsidRPr="00A76436" w:rsidR="004A5F9D">
        <w:t>f</w:t>
      </w:r>
      <w:r w:rsidRPr="00A76436">
        <w:t>)(3).</w:t>
      </w:r>
    </w:p>
  </w:footnote>
  <w:footnote w:id="59">
    <w:p w:rsidR="00D41B11" w:rsidRPr="00A76436" w:rsidP="00701445" w14:paraId="150CCFED" w14:textId="509387D5">
      <w:pPr>
        <w:pStyle w:val="FootnoteText"/>
      </w:pPr>
      <w:r w:rsidRPr="00A76436">
        <w:rPr>
          <w:rStyle w:val="FootnoteReference"/>
          <w:rFonts w:cs="Times New Roman"/>
        </w:rPr>
        <w:footnoteRef/>
      </w:r>
      <w:r w:rsidRPr="00A76436">
        <w:t xml:space="preserve"> 47 U.S.C. § 503(b)(2)(E).</w:t>
      </w:r>
    </w:p>
  </w:footnote>
  <w:footnote w:id="60">
    <w:p w:rsidR="00772CA3" w:rsidRPr="00A76436" w:rsidP="00701445" w14:paraId="13BFF8D7" w14:textId="69F4AAF9">
      <w:pPr>
        <w:pStyle w:val="FootnoteText"/>
      </w:pPr>
      <w:r w:rsidRPr="00A76436">
        <w:rPr>
          <w:rStyle w:val="FootnoteReference"/>
          <w:rFonts w:cs="Times New Roman"/>
        </w:rPr>
        <w:footnoteRef/>
      </w:r>
      <w:r w:rsidRPr="00A76436">
        <w:t xml:space="preserve"> </w:t>
      </w:r>
      <w:r w:rsidRPr="00A66DDB" w:rsidR="00D41B11">
        <w:rPr>
          <w:i/>
          <w:iCs/>
        </w:rPr>
        <w:t>See, e.g</w:t>
      </w:r>
      <w:r w:rsidRPr="00DB2AAA" w:rsidR="00D41B11">
        <w:t>.</w:t>
      </w:r>
      <w:r w:rsidRPr="000A7A2B" w:rsidR="00D41B11">
        <w:t xml:space="preserve">, </w:t>
      </w:r>
      <w:r w:rsidRPr="005452F7" w:rsidR="00D41B11">
        <w:rPr>
          <w:i/>
          <w:iCs/>
        </w:rPr>
        <w:t>Ocean Adrian Hinson, Surry County, North Carolina</w:t>
      </w:r>
      <w:r w:rsidRPr="00A76436" w:rsidR="00D41B11">
        <w:t xml:space="preserve">, Forfeiture Order, 34 FCC Rcd 7619, 7621, para. 9 &amp; n.21 (2019); </w:t>
      </w:r>
      <w:r w:rsidRPr="005452F7" w:rsidR="00D41B11">
        <w:rPr>
          <w:i/>
          <w:iCs/>
          <w:snapToGrid w:val="0"/>
        </w:rPr>
        <w:t>Vearl</w:t>
      </w:r>
      <w:r w:rsidRPr="005452F7" w:rsidR="00D41B11">
        <w:rPr>
          <w:i/>
          <w:iCs/>
          <w:snapToGrid w:val="0"/>
        </w:rPr>
        <w:t xml:space="preserve"> Pennington and Michael Williamson</w:t>
      </w:r>
      <w:r w:rsidRPr="00A76436" w:rsidR="00D41B11">
        <w:rPr>
          <w:snapToGrid w:val="0"/>
        </w:rPr>
        <w:t xml:space="preserve">, Forfeiture Order, 34 FCC Rcd 770, paras. 18–21 (2019); </w:t>
      </w:r>
      <w:r w:rsidRPr="005452F7" w:rsidR="00D41B11">
        <w:rPr>
          <w:i/>
          <w:iCs/>
          <w:snapToGrid w:val="0"/>
        </w:rPr>
        <w:t xml:space="preserve">Fabrice Polynice, Harold </w:t>
      </w:r>
      <w:r w:rsidRPr="005452F7" w:rsidR="00D41B11">
        <w:rPr>
          <w:i/>
          <w:iCs/>
          <w:snapToGrid w:val="0"/>
        </w:rPr>
        <w:t>Sido</w:t>
      </w:r>
      <w:r w:rsidRPr="005452F7" w:rsidR="00D41B11">
        <w:rPr>
          <w:i/>
          <w:iCs/>
          <w:snapToGrid w:val="0"/>
        </w:rPr>
        <w:t xml:space="preserve"> and </w:t>
      </w:r>
      <w:r w:rsidRPr="005452F7" w:rsidR="00D41B11">
        <w:rPr>
          <w:i/>
          <w:iCs/>
          <w:snapToGrid w:val="0"/>
        </w:rPr>
        <w:t>Veronise</w:t>
      </w:r>
      <w:r w:rsidRPr="005452F7" w:rsidR="00D41B11">
        <w:rPr>
          <w:i/>
          <w:iCs/>
          <w:snapToGrid w:val="0"/>
        </w:rPr>
        <w:t xml:space="preserve"> </w:t>
      </w:r>
      <w:r w:rsidRPr="005452F7" w:rsidR="00D41B11">
        <w:rPr>
          <w:i/>
          <w:iCs/>
          <w:snapToGrid w:val="0"/>
        </w:rPr>
        <w:t>Sido</w:t>
      </w:r>
      <w:r w:rsidRPr="005452F7" w:rsidR="00D41B11">
        <w:rPr>
          <w:i/>
          <w:iCs/>
          <w:snapToGrid w:val="0"/>
        </w:rPr>
        <w:t>, North Miami, Florida</w:t>
      </w:r>
      <w:r w:rsidRPr="00A76436" w:rsidR="00D41B11">
        <w:rPr>
          <w:snapToGrid w:val="0"/>
        </w:rPr>
        <w:t xml:space="preserve">, Forfeiture Order, 33 FCC Rcd 6852, 6860–62, paras. 21–25 (2018); </w:t>
      </w:r>
      <w:r w:rsidRPr="005452F7" w:rsidR="00D41B11">
        <w:rPr>
          <w:i/>
          <w:iCs/>
        </w:rPr>
        <w:t>Adrian Abramovich, Marketing Strategy Leaders, Inc.</w:t>
      </w:r>
      <w:r w:rsidRPr="00377E39" w:rsidR="00D41B11">
        <w:t xml:space="preserve">, </w:t>
      </w:r>
      <w:r w:rsidRPr="005452F7" w:rsidR="00D41B11">
        <w:rPr>
          <w:i/>
          <w:iCs/>
        </w:rPr>
        <w:t>and Marketing Leaders, Inc</w:t>
      </w:r>
      <w:r w:rsidRPr="00A76436" w:rsidR="00D41B11">
        <w:t xml:space="preserve">., Forfeiture Order, 33 FCC Rcd 4663, 4678-79, paras. 44-45 (2018); </w:t>
      </w:r>
      <w:r w:rsidRPr="005452F7" w:rsidR="00D41B11">
        <w:rPr>
          <w:i/>
          <w:iCs/>
        </w:rPr>
        <w:t>Purple Communications, Inc</w:t>
      </w:r>
      <w:r w:rsidRPr="00A76436" w:rsidR="00D41B11">
        <w:t xml:space="preserve">., Forfeiture Order, 30 FCC Rcd 14892, 14903-904, paras. 32-33 (2015); </w:t>
      </w:r>
      <w:r w:rsidRPr="005452F7" w:rsidR="00D41B11">
        <w:rPr>
          <w:i/>
          <w:iCs/>
          <w:snapToGrid w:val="0"/>
        </w:rPr>
        <w:t>TV Max, Inc., et al</w:t>
      </w:r>
      <w:r w:rsidRPr="00A76436" w:rsidR="00D41B11">
        <w:rPr>
          <w:snapToGrid w:val="0"/>
        </w:rPr>
        <w:t>., Forfeiture Order, 29 FCC Rcd 8648, 8661, para. 25 (2014).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B3BFA" w:rsidRPr="00EB3BFA" w:rsidP="00EB3BFA" w14:paraId="6E8C83EE" w14:textId="64F42282">
    <w:pPr>
      <w:widowControl w:val="0"/>
      <w:pBdr>
        <w:bottom w:val="single" w:sz="12" w:space="1" w:color="auto"/>
      </w:pBdr>
      <w:tabs>
        <w:tab w:val="center" w:pos="4680"/>
        <w:tab w:val="right" w:pos="9360"/>
      </w:tabs>
      <w:spacing w:after="0"/>
      <w:jc w:val="center"/>
      <w:rPr>
        <w:rFonts w:ascii="Times New Roman" w:eastAsia="Times New Roman" w:hAnsi="Times New Roman" w:cs="Times New Roman"/>
        <w:b/>
        <w:snapToGrid w:val="0"/>
        <w:kern w:val="28"/>
        <w:szCs w:val="20"/>
      </w:rPr>
    </w:pPr>
    <w:r w:rsidRPr="00EB3BFA">
      <w:rPr>
        <w:rFonts w:ascii="Times New Roman" w:eastAsia="Times New Roman" w:hAnsi="Times New Roman" w:cs="Times New Roman"/>
        <w:bCs/>
        <w:snapToGrid w:val="0"/>
        <w:kern w:val="28"/>
        <w:szCs w:val="20"/>
      </w:rPr>
      <w:tab/>
    </w:r>
    <w:r w:rsidRPr="00EB3BFA">
      <w:rPr>
        <w:rFonts w:ascii="Times New Roman" w:eastAsia="Times New Roman" w:hAnsi="Times New Roman" w:cs="Times New Roman"/>
        <w:b/>
        <w:snapToGrid w:val="0"/>
        <w:kern w:val="28"/>
        <w:szCs w:val="20"/>
      </w:rPr>
      <w:t>Federal Communications Commission</w:t>
    </w:r>
    <w:r w:rsidRPr="00EB3BFA">
      <w:rPr>
        <w:rFonts w:ascii="Times New Roman" w:eastAsia="Times New Roman" w:hAnsi="Times New Roman" w:cs="Times New Roman"/>
        <w:b/>
        <w:snapToGrid w:val="0"/>
        <w:kern w:val="28"/>
        <w:szCs w:val="20"/>
      </w:rPr>
      <w:tab/>
      <w:t>DA 2</w:t>
    </w:r>
    <w:r w:rsidR="00924EBD">
      <w:rPr>
        <w:rFonts w:ascii="Times New Roman" w:eastAsia="Times New Roman" w:hAnsi="Times New Roman" w:cs="Times New Roman"/>
        <w:b/>
        <w:snapToGrid w:val="0"/>
        <w:kern w:val="28"/>
        <w:szCs w:val="20"/>
      </w:rPr>
      <w:t>2</w:t>
    </w:r>
    <w:r w:rsidRPr="00EB3BFA">
      <w:rPr>
        <w:rFonts w:ascii="Times New Roman" w:eastAsia="Times New Roman" w:hAnsi="Times New Roman" w:cs="Times New Roman"/>
        <w:b/>
        <w:snapToGrid w:val="0"/>
        <w:kern w:val="28"/>
        <w:szCs w:val="20"/>
      </w:rPr>
      <w:t>-</w:t>
    </w:r>
    <w:r w:rsidR="009206BB">
      <w:rPr>
        <w:rFonts w:ascii="Times New Roman" w:eastAsia="Times New Roman" w:hAnsi="Times New Roman" w:cs="Times New Roman"/>
        <w:b/>
        <w:snapToGrid w:val="0"/>
        <w:kern w:val="28"/>
        <w:szCs w:val="20"/>
      </w:rPr>
      <w:t>1064</w:t>
    </w:r>
  </w:p>
  <w:p w:rsidR="00EB3BFA" w14:paraId="26D22C9C"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24EBD" w:rsidP="009206BB" w14:paraId="4E6FDE66" w14:textId="6A32F703">
    <w:pPr>
      <w:widowControl w:val="0"/>
      <w:pBdr>
        <w:bottom w:val="single" w:sz="12" w:space="1" w:color="auto"/>
      </w:pBdr>
      <w:tabs>
        <w:tab w:val="center" w:pos="4680"/>
        <w:tab w:val="right" w:pos="9360"/>
      </w:tabs>
      <w:spacing w:after="0"/>
      <w:jc w:val="center"/>
    </w:pPr>
    <w:r w:rsidRPr="00EB3BFA">
      <w:rPr>
        <w:rFonts w:ascii="Times New Roman" w:eastAsia="Times New Roman" w:hAnsi="Times New Roman" w:cs="Times New Roman"/>
        <w:bCs/>
        <w:snapToGrid w:val="0"/>
        <w:kern w:val="28"/>
        <w:szCs w:val="20"/>
      </w:rPr>
      <w:tab/>
    </w:r>
    <w:r w:rsidRPr="00EB3BFA">
      <w:rPr>
        <w:rFonts w:ascii="Times New Roman" w:eastAsia="Times New Roman" w:hAnsi="Times New Roman" w:cs="Times New Roman"/>
        <w:b/>
        <w:snapToGrid w:val="0"/>
        <w:kern w:val="28"/>
        <w:szCs w:val="20"/>
      </w:rPr>
      <w:t>Federal Communications Commission</w:t>
    </w:r>
    <w:r w:rsidRPr="00EB3BFA">
      <w:rPr>
        <w:rFonts w:ascii="Times New Roman" w:eastAsia="Times New Roman" w:hAnsi="Times New Roman" w:cs="Times New Roman"/>
        <w:b/>
        <w:snapToGrid w:val="0"/>
        <w:kern w:val="28"/>
        <w:szCs w:val="20"/>
      </w:rPr>
      <w:tab/>
      <w:t>DA 2</w:t>
    </w:r>
    <w:r>
      <w:rPr>
        <w:rFonts w:ascii="Times New Roman" w:eastAsia="Times New Roman" w:hAnsi="Times New Roman" w:cs="Times New Roman"/>
        <w:b/>
        <w:snapToGrid w:val="0"/>
        <w:kern w:val="28"/>
        <w:szCs w:val="20"/>
      </w:rPr>
      <w:t>2</w:t>
    </w:r>
    <w:r w:rsidR="009206BB">
      <w:rPr>
        <w:rFonts w:ascii="Times New Roman" w:eastAsia="Times New Roman" w:hAnsi="Times New Roman" w:cs="Times New Roman"/>
        <w:b/>
        <w:snapToGrid w:val="0"/>
        <w:kern w:val="28"/>
        <w:szCs w:val="20"/>
      </w:rPr>
      <w:t>-1064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0909D4"/>
    <w:multiLevelType w:val="hybridMultilevel"/>
    <w:tmpl w:val="FFFFFFFF"/>
    <w:lvl w:ilvl="0">
      <w:start w:val="1"/>
      <w:numFmt w:val="upp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6796F60"/>
    <w:multiLevelType w:val="hybridMultilevel"/>
    <w:tmpl w:val="02DAAF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9BB713F"/>
    <w:multiLevelType w:val="hybridMultilevel"/>
    <w:tmpl w:val="A47CAB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15E75D7"/>
    <w:multiLevelType w:val="hybridMultilevel"/>
    <w:tmpl w:val="0A0229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4A64DDC"/>
    <w:multiLevelType w:val="hybridMultilevel"/>
    <w:tmpl w:val="4EF2304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522680B"/>
    <w:multiLevelType w:val="hybridMultilevel"/>
    <w:tmpl w:val="24D69E3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177475EF"/>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7990123"/>
    <w:multiLevelType w:val="hybridMultilevel"/>
    <w:tmpl w:val="DCF41EFC"/>
    <w:lvl w:ilvl="0">
      <w:start w:val="1"/>
      <w:numFmt w:val="bullet"/>
      <w:lvlText w:val=""/>
      <w:lvlJc w:val="left"/>
      <w:pPr>
        <w:ind w:left="1080" w:hanging="360"/>
      </w:pPr>
      <w:rPr>
        <w:rFonts w:ascii="Symbol" w:hAnsi="Symbol" w:hint="default"/>
        <w:color w:val="auto"/>
        <w:sz w:val="16"/>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8">
    <w:nsid w:val="1E2A7A3A"/>
    <w:multiLevelType w:val="hybridMultilevel"/>
    <w:tmpl w:val="FFFFFFFF"/>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BAD5791"/>
    <w:multiLevelType w:val="hybridMultilevel"/>
    <w:tmpl w:val="31C6E3A2"/>
    <w:lvl w:ilvl="0">
      <w:start w:val="1"/>
      <w:numFmt w:val="decimal"/>
      <w:lvlText w:val="%1."/>
      <w:lvlJc w:val="left"/>
      <w:pPr>
        <w:ind w:left="1440" w:hanging="360"/>
      </w:pPr>
      <w:rPr>
        <w:rFonts w:ascii="Times New Roman" w:hAnsi="Times New Roman" w:cs="Times New Roman" w:hint="default"/>
        <w:b w:val="0"/>
        <w:bCs/>
        <w:sz w:val="22"/>
        <w:szCs w:val="22"/>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0">
    <w:nsid w:val="326F0307"/>
    <w:multiLevelType w:val="hybridMultilevel"/>
    <w:tmpl w:val="9A647B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37B30373"/>
    <w:multiLevelType w:val="hybridMultilevel"/>
    <w:tmpl w:val="FFFFFFFF"/>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nsid w:val="394258A1"/>
    <w:multiLevelType w:val="hybridMultilevel"/>
    <w:tmpl w:val="A9C6B34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nsid w:val="4C494F47"/>
    <w:multiLevelType w:val="hybridMultilevel"/>
    <w:tmpl w:val="22D6C45A"/>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4EFF4766"/>
    <w:multiLevelType w:val="hybridMultilevel"/>
    <w:tmpl w:val="F9BE72D4"/>
    <w:lvl w:ilvl="0">
      <w:start w:val="1"/>
      <w:numFmt w:val="upperRoman"/>
      <w:lvlText w:val="%1."/>
      <w:lvlJc w:val="left"/>
      <w:pPr>
        <w:ind w:left="360" w:hanging="360"/>
      </w:pPr>
      <w:rPr>
        <w:rFonts w:ascii="Times New Roman" w:hAnsi="Times New Roman" w:cs="Times New Roman"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pStyle w:val="Style1"/>
      <w:lvlText w:val="%4."/>
      <w:lvlJc w:val="left"/>
      <w:pPr>
        <w:ind w:left="2520" w:hanging="360"/>
      </w:pPr>
      <w:rPr>
        <w:rFonts w:ascii="Times New Roman" w:hAnsi="Times New Roman" w:cs="Times New Roman" w:hint="default"/>
        <w:b w:val="0"/>
        <w:bCs w:val="0"/>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nsid w:val="51B30F31"/>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53D37AD8"/>
    <w:multiLevelType w:val="hybridMultilevel"/>
    <w:tmpl w:val="0C10144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5ED43BA5"/>
    <w:multiLevelType w:val="hybridMultilevel"/>
    <w:tmpl w:val="FFFFFFFF"/>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5F2E2129"/>
    <w:multiLevelType w:val="hybridMultilevel"/>
    <w:tmpl w:val="8E000C88"/>
    <w:lvl w:ilvl="0">
      <w:start w:val="1"/>
      <w:numFmt w:val="upp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61182925"/>
    <w:multiLevelType w:val="singleLevel"/>
    <w:tmpl w:val="A9EE9842"/>
    <w:lvl w:ilvl="0">
      <w:start w:val="1"/>
      <w:numFmt w:val="decimal"/>
      <w:lvlText w:val="%1."/>
      <w:lvlJc w:val="left"/>
      <w:pPr>
        <w:tabs>
          <w:tab w:val="num" w:pos="1080"/>
        </w:tabs>
        <w:ind w:left="0" w:firstLine="720"/>
      </w:pPr>
    </w:lvl>
  </w:abstractNum>
  <w:abstractNum w:abstractNumId="20">
    <w:nsid w:val="68613153"/>
    <w:multiLevelType w:val="hybridMultilevel"/>
    <w:tmpl w:val="FF8682D2"/>
    <w:lvl w:ilvl="0">
      <w:start w:val="1"/>
      <w:numFmt w:val="upp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6A5D3FDF"/>
    <w:multiLevelType w:val="hybridMultilevel"/>
    <w:tmpl w:val="B28E78A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0"/>
      <w:numFmt w:val="bullet"/>
      <w:lvlText w:val="•"/>
      <w:lvlJc w:val="left"/>
      <w:pPr>
        <w:ind w:left="3600" w:hanging="360"/>
      </w:pPr>
      <w:rPr>
        <w:rFonts w:ascii="Times New Roman" w:eastAsia="Times New Roman" w:hAnsi="Times New Roman"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22">
    <w:nsid w:val="6DF925EF"/>
    <w:multiLevelType w:val="hybridMultilevel"/>
    <w:tmpl w:val="EA149F38"/>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3">
    <w:nsid w:val="71756A32"/>
    <w:multiLevelType w:val="hybridMultilevel"/>
    <w:tmpl w:val="8D70AD28"/>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4">
    <w:nsid w:val="72F7492B"/>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7D23082D"/>
    <w:multiLevelType w:val="hybridMultilevel"/>
    <w:tmpl w:val="97B22BA2"/>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6">
    <w:nsid w:val="7E2C246A"/>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0"/>
  </w:num>
  <w:num w:numId="2">
    <w:abstractNumId w:val="4"/>
  </w:num>
  <w:num w:numId="3">
    <w:abstractNumId w:val="2"/>
  </w:num>
  <w:num w:numId="4">
    <w:abstractNumId w:val="1"/>
  </w:num>
  <w:num w:numId="5">
    <w:abstractNumId w:val="20"/>
  </w:num>
  <w:num w:numId="6">
    <w:abstractNumId w:val="12"/>
  </w:num>
  <w:num w:numId="7">
    <w:abstractNumId w:val="13"/>
  </w:num>
  <w:num w:numId="8">
    <w:abstractNumId w:val="3"/>
  </w:num>
  <w:num w:numId="9">
    <w:abstractNumId w:val="18"/>
  </w:num>
  <w:num w:numId="10">
    <w:abstractNumId w:val="15"/>
  </w:num>
  <w:num w:numId="11">
    <w:abstractNumId w:val="17"/>
  </w:num>
  <w:num w:numId="12">
    <w:abstractNumId w:val="6"/>
  </w:num>
  <w:num w:numId="13">
    <w:abstractNumId w:val="24"/>
  </w:num>
  <w:num w:numId="14">
    <w:abstractNumId w:val="14"/>
  </w:num>
  <w:num w:numId="15">
    <w:abstractNumId w:val="11"/>
  </w:num>
  <w:num w:numId="16">
    <w:abstractNumId w:val="8"/>
  </w:num>
  <w:num w:numId="17">
    <w:abstractNumId w:val="26"/>
  </w:num>
  <w:num w:numId="18">
    <w:abstractNumId w:val="0"/>
  </w:num>
  <w:num w:numId="19">
    <w:abstractNumId w:val="23"/>
  </w:num>
  <w:num w:numId="20">
    <w:abstractNumId w:val="21"/>
  </w:num>
  <w:num w:numId="21">
    <w:abstractNumId w:val="14"/>
    <w:lvlOverride w:ilvl="0">
      <w:startOverride w:val="1"/>
    </w:lvlOverride>
    <w:lvlOverride w:ilvl="1">
      <w:startOverride w:val="1"/>
    </w:lvlOverride>
    <w:lvlOverride w:ilvl="2">
      <w:startOverride w:val="1"/>
    </w:lvlOverride>
    <w:lvlOverride w:ilvl="3">
      <w:startOverride w:val="2"/>
    </w:lvlOverride>
  </w:num>
  <w:num w:numId="22">
    <w:abstractNumId w:val="14"/>
    <w:lvlOverride w:ilvl="0">
      <w:startOverride w:val="1"/>
    </w:lvlOverride>
    <w:lvlOverride w:ilvl="1">
      <w:startOverride w:val="1"/>
    </w:lvlOverride>
    <w:lvlOverride w:ilvl="2">
      <w:startOverride w:val="1"/>
    </w:lvlOverride>
    <w:lvlOverride w:ilvl="3">
      <w:startOverride w:val="2"/>
    </w:lvlOverride>
  </w:num>
  <w:num w:numId="23">
    <w:abstractNumId w:val="22"/>
  </w:num>
  <w:num w:numId="24">
    <w:abstractNumId w:val="14"/>
    <w:lvlOverride w:ilvl="0">
      <w:startOverride w:val="1"/>
    </w:lvlOverride>
    <w:lvlOverride w:ilvl="1">
      <w:startOverride w:val="1"/>
    </w:lvlOverride>
    <w:lvlOverride w:ilvl="2">
      <w:startOverride w:val="1"/>
    </w:lvlOverride>
    <w:lvlOverride w:ilvl="3">
      <w:startOverride w:val="2"/>
    </w:lvlOverride>
  </w:num>
  <w:num w:numId="25">
    <w:abstractNumId w:val="14"/>
  </w:num>
  <w:num w:numId="26">
    <w:abstractNumId w:val="16"/>
  </w:num>
  <w:num w:numId="27">
    <w:abstractNumId w:val="14"/>
    <w:lvlOverride w:ilvl="0">
      <w:startOverride w:val="1"/>
    </w:lvlOverride>
    <w:lvlOverride w:ilvl="1">
      <w:startOverride w:val="1"/>
    </w:lvlOverride>
    <w:lvlOverride w:ilvl="2">
      <w:startOverride w:val="1"/>
    </w:lvlOverride>
    <w:lvlOverride w:ilvl="3">
      <w:startOverride w:val="5"/>
    </w:lvlOverride>
  </w:num>
  <w:num w:numId="28">
    <w:abstractNumId w:val="14"/>
    <w:lvlOverride w:ilvl="0">
      <w:startOverride w:val="1"/>
    </w:lvlOverride>
    <w:lvlOverride w:ilvl="1">
      <w:startOverride w:val="1"/>
    </w:lvlOverride>
    <w:lvlOverride w:ilvl="2">
      <w:startOverride w:val="1"/>
    </w:lvlOverride>
    <w:lvlOverride w:ilvl="3">
      <w:startOverride w:val="8"/>
    </w:lvlOverride>
  </w:num>
  <w:num w:numId="29">
    <w:abstractNumId w:val="14"/>
    <w:lvlOverride w:ilvl="0">
      <w:startOverride w:val="1"/>
    </w:lvlOverride>
    <w:lvlOverride w:ilvl="1">
      <w:startOverride w:val="1"/>
    </w:lvlOverride>
    <w:lvlOverride w:ilvl="2">
      <w:startOverride w:val="1"/>
    </w:lvlOverride>
    <w:lvlOverride w:ilvl="3">
      <w:startOverride w:val="12"/>
    </w:lvlOverride>
  </w:num>
  <w:num w:numId="30">
    <w:abstractNumId w:val="14"/>
    <w:lvlOverride w:ilvl="0">
      <w:startOverride w:val="1"/>
    </w:lvlOverride>
    <w:lvlOverride w:ilvl="1">
      <w:startOverride w:val="1"/>
    </w:lvlOverride>
    <w:lvlOverride w:ilvl="2">
      <w:startOverride w:val="1"/>
    </w:lvlOverride>
    <w:lvlOverride w:ilvl="3">
      <w:startOverride w:val="13"/>
    </w:lvlOverride>
  </w:num>
  <w:num w:numId="31">
    <w:abstractNumId w:val="19"/>
  </w:num>
  <w:num w:numId="32">
    <w:abstractNumId w:val="14"/>
  </w:num>
  <w:num w:numId="33">
    <w:abstractNumId w:val="14"/>
  </w:num>
  <w:num w:numId="34">
    <w:abstractNumId w:val="14"/>
  </w:num>
  <w:num w:numId="35">
    <w:abstractNumId w:val="14"/>
    <w:lvlOverride w:ilvl="0">
      <w:startOverride w:val="1"/>
    </w:lvlOverride>
  </w:num>
  <w:num w:numId="36">
    <w:abstractNumId w:val="14"/>
    <w:lvlOverride w:ilvl="0">
      <w:startOverride w:val="2"/>
    </w:lvlOverride>
  </w:num>
  <w:num w:numId="37">
    <w:abstractNumId w:val="14"/>
    <w:lvlOverride w:ilvl="0">
      <w:startOverride w:val="1"/>
    </w:lvlOverride>
    <w:lvlOverride w:ilvl="1">
      <w:startOverride w:val="1"/>
    </w:lvlOverride>
    <w:lvlOverride w:ilvl="2">
      <w:startOverride w:val="1"/>
    </w:lvlOverride>
    <w:lvlOverride w:ilvl="3">
      <w:startOverride w:val="2"/>
    </w:lvlOverride>
  </w:num>
  <w:num w:numId="38">
    <w:abstractNumId w:val="9"/>
  </w:num>
  <w:num w:numId="39">
    <w:abstractNumId w:val="25"/>
  </w:num>
  <w:num w:numId="40">
    <w:abstractNumId w:val="5"/>
  </w:num>
  <w:num w:numId="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1A1DF87"/>
    <w:rsid w:val="00002CDF"/>
    <w:rsid w:val="00004997"/>
    <w:rsid w:val="00010CC0"/>
    <w:rsid w:val="00014917"/>
    <w:rsid w:val="00021B4D"/>
    <w:rsid w:val="00022F52"/>
    <w:rsid w:val="00030C6A"/>
    <w:rsid w:val="00032924"/>
    <w:rsid w:val="00034240"/>
    <w:rsid w:val="00034CDB"/>
    <w:rsid w:val="00037103"/>
    <w:rsid w:val="000426B8"/>
    <w:rsid w:val="00043DB7"/>
    <w:rsid w:val="00043F76"/>
    <w:rsid w:val="0005040D"/>
    <w:rsid w:val="00051F2A"/>
    <w:rsid w:val="0005493B"/>
    <w:rsid w:val="000554D6"/>
    <w:rsid w:val="00056781"/>
    <w:rsid w:val="00065BF9"/>
    <w:rsid w:val="0007231A"/>
    <w:rsid w:val="00073DC4"/>
    <w:rsid w:val="000740F5"/>
    <w:rsid w:val="0007649E"/>
    <w:rsid w:val="00081F6E"/>
    <w:rsid w:val="00082B74"/>
    <w:rsid w:val="00084A01"/>
    <w:rsid w:val="0008545D"/>
    <w:rsid w:val="000863FF"/>
    <w:rsid w:val="00090FBC"/>
    <w:rsid w:val="00091A12"/>
    <w:rsid w:val="000924B9"/>
    <w:rsid w:val="0009416B"/>
    <w:rsid w:val="00097925"/>
    <w:rsid w:val="000A065A"/>
    <w:rsid w:val="000A12BF"/>
    <w:rsid w:val="000A2815"/>
    <w:rsid w:val="000A30EB"/>
    <w:rsid w:val="000A3807"/>
    <w:rsid w:val="000A7A2B"/>
    <w:rsid w:val="000B3990"/>
    <w:rsid w:val="000B450F"/>
    <w:rsid w:val="000B524D"/>
    <w:rsid w:val="000B6CC8"/>
    <w:rsid w:val="000B7D09"/>
    <w:rsid w:val="000C5862"/>
    <w:rsid w:val="000D0A57"/>
    <w:rsid w:val="000D17CF"/>
    <w:rsid w:val="000D1B14"/>
    <w:rsid w:val="000D22B7"/>
    <w:rsid w:val="000D29CD"/>
    <w:rsid w:val="000D39DB"/>
    <w:rsid w:val="000D3BD4"/>
    <w:rsid w:val="000D450D"/>
    <w:rsid w:val="000D696F"/>
    <w:rsid w:val="000D7C0A"/>
    <w:rsid w:val="000E4D23"/>
    <w:rsid w:val="000E5F64"/>
    <w:rsid w:val="000E629A"/>
    <w:rsid w:val="000F2C54"/>
    <w:rsid w:val="000F36BB"/>
    <w:rsid w:val="000F3917"/>
    <w:rsid w:val="000F405B"/>
    <w:rsid w:val="000F43C1"/>
    <w:rsid w:val="000F4602"/>
    <w:rsid w:val="000F6CCB"/>
    <w:rsid w:val="000F73FC"/>
    <w:rsid w:val="000F7B77"/>
    <w:rsid w:val="001034DB"/>
    <w:rsid w:val="00104C92"/>
    <w:rsid w:val="00107BA3"/>
    <w:rsid w:val="0011057A"/>
    <w:rsid w:val="0011278E"/>
    <w:rsid w:val="00112ECD"/>
    <w:rsid w:val="00113D92"/>
    <w:rsid w:val="001155D1"/>
    <w:rsid w:val="00117095"/>
    <w:rsid w:val="00120C5E"/>
    <w:rsid w:val="00121431"/>
    <w:rsid w:val="00122F91"/>
    <w:rsid w:val="001246AB"/>
    <w:rsid w:val="00124C91"/>
    <w:rsid w:val="00127722"/>
    <w:rsid w:val="001323F9"/>
    <w:rsid w:val="001334C3"/>
    <w:rsid w:val="001369D1"/>
    <w:rsid w:val="001375DB"/>
    <w:rsid w:val="00137D3E"/>
    <w:rsid w:val="00137E9E"/>
    <w:rsid w:val="00140D3E"/>
    <w:rsid w:val="00142221"/>
    <w:rsid w:val="00142A7E"/>
    <w:rsid w:val="001462BB"/>
    <w:rsid w:val="00147C44"/>
    <w:rsid w:val="0015101C"/>
    <w:rsid w:val="00152223"/>
    <w:rsid w:val="001522C8"/>
    <w:rsid w:val="00153173"/>
    <w:rsid w:val="00154FE3"/>
    <w:rsid w:val="0015671E"/>
    <w:rsid w:val="00156B06"/>
    <w:rsid w:val="00161B10"/>
    <w:rsid w:val="00162A47"/>
    <w:rsid w:val="0016357E"/>
    <w:rsid w:val="001662DB"/>
    <w:rsid w:val="00167A79"/>
    <w:rsid w:val="0017198B"/>
    <w:rsid w:val="0018575F"/>
    <w:rsid w:val="00191456"/>
    <w:rsid w:val="00194878"/>
    <w:rsid w:val="00194D73"/>
    <w:rsid w:val="001A1103"/>
    <w:rsid w:val="001A7100"/>
    <w:rsid w:val="001B1BE7"/>
    <w:rsid w:val="001B2845"/>
    <w:rsid w:val="001B2B20"/>
    <w:rsid w:val="001B7A4C"/>
    <w:rsid w:val="001C0640"/>
    <w:rsid w:val="001C13BD"/>
    <w:rsid w:val="001C4B04"/>
    <w:rsid w:val="001C6C1E"/>
    <w:rsid w:val="001D03EC"/>
    <w:rsid w:val="001D06A0"/>
    <w:rsid w:val="001D06BA"/>
    <w:rsid w:val="001D094E"/>
    <w:rsid w:val="001D4F98"/>
    <w:rsid w:val="001D64CA"/>
    <w:rsid w:val="001D6797"/>
    <w:rsid w:val="001D74A0"/>
    <w:rsid w:val="001E02AF"/>
    <w:rsid w:val="001E7E87"/>
    <w:rsid w:val="001F001C"/>
    <w:rsid w:val="001F10CD"/>
    <w:rsid w:val="001F3F9B"/>
    <w:rsid w:val="001F6BF9"/>
    <w:rsid w:val="00205480"/>
    <w:rsid w:val="00206A74"/>
    <w:rsid w:val="00211F39"/>
    <w:rsid w:val="002135EB"/>
    <w:rsid w:val="00220589"/>
    <w:rsid w:val="00223021"/>
    <w:rsid w:val="00223353"/>
    <w:rsid w:val="00231166"/>
    <w:rsid w:val="00231592"/>
    <w:rsid w:val="00231EEA"/>
    <w:rsid w:val="002354A1"/>
    <w:rsid w:val="00236420"/>
    <w:rsid w:val="00240C61"/>
    <w:rsid w:val="00245249"/>
    <w:rsid w:val="00250701"/>
    <w:rsid w:val="00254777"/>
    <w:rsid w:val="002608DD"/>
    <w:rsid w:val="00261D60"/>
    <w:rsid w:val="00264E56"/>
    <w:rsid w:val="00265073"/>
    <w:rsid w:val="002659D4"/>
    <w:rsid w:val="00266F12"/>
    <w:rsid w:val="00271C3F"/>
    <w:rsid w:val="00271FC4"/>
    <w:rsid w:val="0027365D"/>
    <w:rsid w:val="00274D02"/>
    <w:rsid w:val="00274E13"/>
    <w:rsid w:val="0027685B"/>
    <w:rsid w:val="00276873"/>
    <w:rsid w:val="002775E9"/>
    <w:rsid w:val="00280683"/>
    <w:rsid w:val="00282F6C"/>
    <w:rsid w:val="0028603A"/>
    <w:rsid w:val="002865A4"/>
    <w:rsid w:val="002867AF"/>
    <w:rsid w:val="00286ED8"/>
    <w:rsid w:val="002873F6"/>
    <w:rsid w:val="00287D8A"/>
    <w:rsid w:val="00294942"/>
    <w:rsid w:val="00295C17"/>
    <w:rsid w:val="002A4A4D"/>
    <w:rsid w:val="002A5BE9"/>
    <w:rsid w:val="002B3F40"/>
    <w:rsid w:val="002C2803"/>
    <w:rsid w:val="002C30FC"/>
    <w:rsid w:val="002C3CFA"/>
    <w:rsid w:val="002C6A2F"/>
    <w:rsid w:val="002D0EFE"/>
    <w:rsid w:val="002D2138"/>
    <w:rsid w:val="002D3082"/>
    <w:rsid w:val="002E486F"/>
    <w:rsid w:val="002E57CA"/>
    <w:rsid w:val="002E6C3F"/>
    <w:rsid w:val="002F3119"/>
    <w:rsid w:val="002F5F44"/>
    <w:rsid w:val="002F6C71"/>
    <w:rsid w:val="00300D54"/>
    <w:rsid w:val="00304006"/>
    <w:rsid w:val="003065F2"/>
    <w:rsid w:val="0031172C"/>
    <w:rsid w:val="003129A5"/>
    <w:rsid w:val="0031447F"/>
    <w:rsid w:val="00314DE3"/>
    <w:rsid w:val="00314F46"/>
    <w:rsid w:val="00315C5C"/>
    <w:rsid w:val="00317896"/>
    <w:rsid w:val="00320BEA"/>
    <w:rsid w:val="00324873"/>
    <w:rsid w:val="003260BF"/>
    <w:rsid w:val="00326CA6"/>
    <w:rsid w:val="0032750D"/>
    <w:rsid w:val="00332FFB"/>
    <w:rsid w:val="00336EF6"/>
    <w:rsid w:val="00336F38"/>
    <w:rsid w:val="00340FDE"/>
    <w:rsid w:val="00341460"/>
    <w:rsid w:val="003416D1"/>
    <w:rsid w:val="00341879"/>
    <w:rsid w:val="00341B1C"/>
    <w:rsid w:val="003423FB"/>
    <w:rsid w:val="003455A5"/>
    <w:rsid w:val="00345EB7"/>
    <w:rsid w:val="003500B7"/>
    <w:rsid w:val="00353633"/>
    <w:rsid w:val="00356019"/>
    <w:rsid w:val="00356653"/>
    <w:rsid w:val="00363350"/>
    <w:rsid w:val="003662EB"/>
    <w:rsid w:val="0036781E"/>
    <w:rsid w:val="00372E89"/>
    <w:rsid w:val="003740E7"/>
    <w:rsid w:val="003775CD"/>
    <w:rsid w:val="00377E39"/>
    <w:rsid w:val="00381E3F"/>
    <w:rsid w:val="0038328B"/>
    <w:rsid w:val="0038739E"/>
    <w:rsid w:val="00390CB7"/>
    <w:rsid w:val="0039145C"/>
    <w:rsid w:val="0039520F"/>
    <w:rsid w:val="00397317"/>
    <w:rsid w:val="003A19AC"/>
    <w:rsid w:val="003A341F"/>
    <w:rsid w:val="003A3989"/>
    <w:rsid w:val="003A48A0"/>
    <w:rsid w:val="003A5996"/>
    <w:rsid w:val="003B0A5C"/>
    <w:rsid w:val="003B605D"/>
    <w:rsid w:val="003B636D"/>
    <w:rsid w:val="003C040F"/>
    <w:rsid w:val="003C1A18"/>
    <w:rsid w:val="003C21CF"/>
    <w:rsid w:val="003C29E9"/>
    <w:rsid w:val="003C35E3"/>
    <w:rsid w:val="003C3BEE"/>
    <w:rsid w:val="003C47D2"/>
    <w:rsid w:val="003C4C66"/>
    <w:rsid w:val="003D090F"/>
    <w:rsid w:val="003D0E11"/>
    <w:rsid w:val="003D199C"/>
    <w:rsid w:val="003D1A80"/>
    <w:rsid w:val="003D212A"/>
    <w:rsid w:val="003D2BF3"/>
    <w:rsid w:val="003D3C9C"/>
    <w:rsid w:val="003D59D0"/>
    <w:rsid w:val="003E665F"/>
    <w:rsid w:val="003E7D16"/>
    <w:rsid w:val="003F02B5"/>
    <w:rsid w:val="003F1013"/>
    <w:rsid w:val="003F1E47"/>
    <w:rsid w:val="00401083"/>
    <w:rsid w:val="00403207"/>
    <w:rsid w:val="00407E20"/>
    <w:rsid w:val="00413BA1"/>
    <w:rsid w:val="00416F2E"/>
    <w:rsid w:val="00417400"/>
    <w:rsid w:val="00425687"/>
    <w:rsid w:val="0042768C"/>
    <w:rsid w:val="00431AD2"/>
    <w:rsid w:val="004376F1"/>
    <w:rsid w:val="004425F0"/>
    <w:rsid w:val="00442762"/>
    <w:rsid w:val="00442C04"/>
    <w:rsid w:val="004445EC"/>
    <w:rsid w:val="004465B4"/>
    <w:rsid w:val="00447A08"/>
    <w:rsid w:val="00447D48"/>
    <w:rsid w:val="00461412"/>
    <w:rsid w:val="00462357"/>
    <w:rsid w:val="00463876"/>
    <w:rsid w:val="0046556E"/>
    <w:rsid w:val="0047000F"/>
    <w:rsid w:val="00470763"/>
    <w:rsid w:val="00470F5B"/>
    <w:rsid w:val="00472751"/>
    <w:rsid w:val="00473D76"/>
    <w:rsid w:val="00473FD5"/>
    <w:rsid w:val="00475470"/>
    <w:rsid w:val="0047694B"/>
    <w:rsid w:val="00480001"/>
    <w:rsid w:val="00493AEF"/>
    <w:rsid w:val="0049612B"/>
    <w:rsid w:val="004963F7"/>
    <w:rsid w:val="00496AB8"/>
    <w:rsid w:val="0049712F"/>
    <w:rsid w:val="004A1EF9"/>
    <w:rsid w:val="004A3332"/>
    <w:rsid w:val="004A3C96"/>
    <w:rsid w:val="004A520D"/>
    <w:rsid w:val="004A5F9D"/>
    <w:rsid w:val="004A75D2"/>
    <w:rsid w:val="004A76F7"/>
    <w:rsid w:val="004B0D1B"/>
    <w:rsid w:val="004B2BC7"/>
    <w:rsid w:val="004B4929"/>
    <w:rsid w:val="004B4D9C"/>
    <w:rsid w:val="004D3DA5"/>
    <w:rsid w:val="004D5D13"/>
    <w:rsid w:val="004E12B9"/>
    <w:rsid w:val="004E25ED"/>
    <w:rsid w:val="004E5343"/>
    <w:rsid w:val="004E61FC"/>
    <w:rsid w:val="004E667C"/>
    <w:rsid w:val="004F0916"/>
    <w:rsid w:val="004F0A5E"/>
    <w:rsid w:val="004F0A9F"/>
    <w:rsid w:val="004F1672"/>
    <w:rsid w:val="004F2689"/>
    <w:rsid w:val="00504285"/>
    <w:rsid w:val="00505E88"/>
    <w:rsid w:val="00510033"/>
    <w:rsid w:val="00512FB1"/>
    <w:rsid w:val="0051409E"/>
    <w:rsid w:val="005143AD"/>
    <w:rsid w:val="005171D4"/>
    <w:rsid w:val="005177AC"/>
    <w:rsid w:val="00520A47"/>
    <w:rsid w:val="005259C1"/>
    <w:rsid w:val="00527802"/>
    <w:rsid w:val="00534927"/>
    <w:rsid w:val="0053610D"/>
    <w:rsid w:val="00536F4D"/>
    <w:rsid w:val="00540B4E"/>
    <w:rsid w:val="005434AF"/>
    <w:rsid w:val="00543564"/>
    <w:rsid w:val="005452F7"/>
    <w:rsid w:val="00545437"/>
    <w:rsid w:val="00546275"/>
    <w:rsid w:val="00554BE4"/>
    <w:rsid w:val="005575FF"/>
    <w:rsid w:val="005611F5"/>
    <w:rsid w:val="0056251A"/>
    <w:rsid w:val="0056258E"/>
    <w:rsid w:val="00575C36"/>
    <w:rsid w:val="00576245"/>
    <w:rsid w:val="00586245"/>
    <w:rsid w:val="0058628B"/>
    <w:rsid w:val="00590F99"/>
    <w:rsid w:val="00593D53"/>
    <w:rsid w:val="00594CE7"/>
    <w:rsid w:val="00597F0E"/>
    <w:rsid w:val="005A0341"/>
    <w:rsid w:val="005A0D0D"/>
    <w:rsid w:val="005A3D72"/>
    <w:rsid w:val="005A46B4"/>
    <w:rsid w:val="005A67C4"/>
    <w:rsid w:val="005A7B7A"/>
    <w:rsid w:val="005B3FF0"/>
    <w:rsid w:val="005B6DB1"/>
    <w:rsid w:val="005C2148"/>
    <w:rsid w:val="005C4717"/>
    <w:rsid w:val="005C5CE4"/>
    <w:rsid w:val="005D04E8"/>
    <w:rsid w:val="005D2750"/>
    <w:rsid w:val="005D2872"/>
    <w:rsid w:val="005D3B33"/>
    <w:rsid w:val="005D3E11"/>
    <w:rsid w:val="005D4219"/>
    <w:rsid w:val="005E3A7D"/>
    <w:rsid w:val="005F0AD8"/>
    <w:rsid w:val="005F0FAE"/>
    <w:rsid w:val="005F1922"/>
    <w:rsid w:val="005F2180"/>
    <w:rsid w:val="005F4065"/>
    <w:rsid w:val="005F4426"/>
    <w:rsid w:val="005F51A0"/>
    <w:rsid w:val="005F6E7A"/>
    <w:rsid w:val="005F6E80"/>
    <w:rsid w:val="005F7EC1"/>
    <w:rsid w:val="00603A85"/>
    <w:rsid w:val="006060B8"/>
    <w:rsid w:val="00607716"/>
    <w:rsid w:val="00612730"/>
    <w:rsid w:val="00612773"/>
    <w:rsid w:val="00612A30"/>
    <w:rsid w:val="006179C0"/>
    <w:rsid w:val="00620358"/>
    <w:rsid w:val="00620661"/>
    <w:rsid w:val="0062141D"/>
    <w:rsid w:val="00622285"/>
    <w:rsid w:val="006243F6"/>
    <w:rsid w:val="0062693D"/>
    <w:rsid w:val="0063027D"/>
    <w:rsid w:val="006318BE"/>
    <w:rsid w:val="00632832"/>
    <w:rsid w:val="006350EF"/>
    <w:rsid w:val="00635F43"/>
    <w:rsid w:val="0064110F"/>
    <w:rsid w:val="00641EFE"/>
    <w:rsid w:val="0064525B"/>
    <w:rsid w:val="00651CE5"/>
    <w:rsid w:val="006562EA"/>
    <w:rsid w:val="00657AC7"/>
    <w:rsid w:val="006611EC"/>
    <w:rsid w:val="0066599B"/>
    <w:rsid w:val="00665D7F"/>
    <w:rsid w:val="00667825"/>
    <w:rsid w:val="00670289"/>
    <w:rsid w:val="006818BF"/>
    <w:rsid w:val="00683334"/>
    <w:rsid w:val="00690374"/>
    <w:rsid w:val="00692865"/>
    <w:rsid w:val="00692A1E"/>
    <w:rsid w:val="00696597"/>
    <w:rsid w:val="00696CA8"/>
    <w:rsid w:val="006A1697"/>
    <w:rsid w:val="006A21A7"/>
    <w:rsid w:val="006A3D6E"/>
    <w:rsid w:val="006A42EF"/>
    <w:rsid w:val="006B1B16"/>
    <w:rsid w:val="006B537D"/>
    <w:rsid w:val="006C3DD6"/>
    <w:rsid w:val="006C45C5"/>
    <w:rsid w:val="006C4E35"/>
    <w:rsid w:val="006D03C0"/>
    <w:rsid w:val="006D43DE"/>
    <w:rsid w:val="006D7E21"/>
    <w:rsid w:val="006D7F60"/>
    <w:rsid w:val="006E1EFE"/>
    <w:rsid w:val="006E2B72"/>
    <w:rsid w:val="006E2C2B"/>
    <w:rsid w:val="006E3304"/>
    <w:rsid w:val="006E433B"/>
    <w:rsid w:val="006E4ABA"/>
    <w:rsid w:val="006E60EA"/>
    <w:rsid w:val="006E73E4"/>
    <w:rsid w:val="006F439B"/>
    <w:rsid w:val="006F553C"/>
    <w:rsid w:val="006F6DB4"/>
    <w:rsid w:val="006F6DFC"/>
    <w:rsid w:val="006F6ECE"/>
    <w:rsid w:val="00701445"/>
    <w:rsid w:val="00704AFC"/>
    <w:rsid w:val="00704F5D"/>
    <w:rsid w:val="0070560A"/>
    <w:rsid w:val="007103EF"/>
    <w:rsid w:val="007112EC"/>
    <w:rsid w:val="007133E2"/>
    <w:rsid w:val="00716075"/>
    <w:rsid w:val="007211E7"/>
    <w:rsid w:val="007212BF"/>
    <w:rsid w:val="00721888"/>
    <w:rsid w:val="007279B7"/>
    <w:rsid w:val="00731A6E"/>
    <w:rsid w:val="00731F3D"/>
    <w:rsid w:val="0074025E"/>
    <w:rsid w:val="007438BE"/>
    <w:rsid w:val="007443F8"/>
    <w:rsid w:val="00745328"/>
    <w:rsid w:val="00746B24"/>
    <w:rsid w:val="00747B43"/>
    <w:rsid w:val="00754672"/>
    <w:rsid w:val="00755A48"/>
    <w:rsid w:val="00755B55"/>
    <w:rsid w:val="00756165"/>
    <w:rsid w:val="0075658C"/>
    <w:rsid w:val="00771706"/>
    <w:rsid w:val="007727DE"/>
    <w:rsid w:val="00772CA3"/>
    <w:rsid w:val="00773674"/>
    <w:rsid w:val="00777A0C"/>
    <w:rsid w:val="00777A42"/>
    <w:rsid w:val="00777F26"/>
    <w:rsid w:val="007832E5"/>
    <w:rsid w:val="00784315"/>
    <w:rsid w:val="0078434B"/>
    <w:rsid w:val="007906A0"/>
    <w:rsid w:val="007921E1"/>
    <w:rsid w:val="00793F97"/>
    <w:rsid w:val="00794BDD"/>
    <w:rsid w:val="00794C9B"/>
    <w:rsid w:val="00795D5E"/>
    <w:rsid w:val="007A12CC"/>
    <w:rsid w:val="007A4045"/>
    <w:rsid w:val="007A4F2A"/>
    <w:rsid w:val="007A7760"/>
    <w:rsid w:val="007B0C51"/>
    <w:rsid w:val="007B0FF7"/>
    <w:rsid w:val="007B27BA"/>
    <w:rsid w:val="007B2E08"/>
    <w:rsid w:val="007B3F26"/>
    <w:rsid w:val="007B63D6"/>
    <w:rsid w:val="007C0E8F"/>
    <w:rsid w:val="007C1D39"/>
    <w:rsid w:val="007C24BA"/>
    <w:rsid w:val="007C6501"/>
    <w:rsid w:val="007D04F0"/>
    <w:rsid w:val="007D5D3D"/>
    <w:rsid w:val="007D6B28"/>
    <w:rsid w:val="007E092E"/>
    <w:rsid w:val="007E1421"/>
    <w:rsid w:val="007E34F8"/>
    <w:rsid w:val="007E3BAE"/>
    <w:rsid w:val="007E62CF"/>
    <w:rsid w:val="007F2FF4"/>
    <w:rsid w:val="007F37BB"/>
    <w:rsid w:val="007F7E4D"/>
    <w:rsid w:val="008001F8"/>
    <w:rsid w:val="008076FE"/>
    <w:rsid w:val="00810507"/>
    <w:rsid w:val="00814504"/>
    <w:rsid w:val="00815B2F"/>
    <w:rsid w:val="00822AF5"/>
    <w:rsid w:val="00826CFA"/>
    <w:rsid w:val="008309FB"/>
    <w:rsid w:val="0083143A"/>
    <w:rsid w:val="008367AF"/>
    <w:rsid w:val="008410CE"/>
    <w:rsid w:val="008417FE"/>
    <w:rsid w:val="00843139"/>
    <w:rsid w:val="00845A09"/>
    <w:rsid w:val="0084792F"/>
    <w:rsid w:val="008612D0"/>
    <w:rsid w:val="00861FB9"/>
    <w:rsid w:val="00873A21"/>
    <w:rsid w:val="00877C2D"/>
    <w:rsid w:val="0088103D"/>
    <w:rsid w:val="0088139A"/>
    <w:rsid w:val="0088297A"/>
    <w:rsid w:val="00883ADB"/>
    <w:rsid w:val="008843D2"/>
    <w:rsid w:val="00887E5E"/>
    <w:rsid w:val="00893670"/>
    <w:rsid w:val="00894E53"/>
    <w:rsid w:val="0089789C"/>
    <w:rsid w:val="008A47D2"/>
    <w:rsid w:val="008A49A2"/>
    <w:rsid w:val="008A4E61"/>
    <w:rsid w:val="008A6F1F"/>
    <w:rsid w:val="008B5871"/>
    <w:rsid w:val="008C58CC"/>
    <w:rsid w:val="008C5B97"/>
    <w:rsid w:val="008C7721"/>
    <w:rsid w:val="008D6A24"/>
    <w:rsid w:val="008D6C65"/>
    <w:rsid w:val="008D75BD"/>
    <w:rsid w:val="008E2441"/>
    <w:rsid w:val="008E5235"/>
    <w:rsid w:val="008E72EC"/>
    <w:rsid w:val="008F391B"/>
    <w:rsid w:val="008F4BC4"/>
    <w:rsid w:val="008F644D"/>
    <w:rsid w:val="008F7507"/>
    <w:rsid w:val="008F75A2"/>
    <w:rsid w:val="009027AF"/>
    <w:rsid w:val="00902D7F"/>
    <w:rsid w:val="009040BC"/>
    <w:rsid w:val="00906F98"/>
    <w:rsid w:val="00911908"/>
    <w:rsid w:val="009206BB"/>
    <w:rsid w:val="009213F7"/>
    <w:rsid w:val="00921ED7"/>
    <w:rsid w:val="00924EBD"/>
    <w:rsid w:val="009263DA"/>
    <w:rsid w:val="009273D0"/>
    <w:rsid w:val="009278A4"/>
    <w:rsid w:val="009321F8"/>
    <w:rsid w:val="00937802"/>
    <w:rsid w:val="00941D93"/>
    <w:rsid w:val="00942A7E"/>
    <w:rsid w:val="00942F77"/>
    <w:rsid w:val="00943023"/>
    <w:rsid w:val="009449BA"/>
    <w:rsid w:val="00944A0E"/>
    <w:rsid w:val="009511DF"/>
    <w:rsid w:val="00954D6C"/>
    <w:rsid w:val="009550C6"/>
    <w:rsid w:val="00955C4E"/>
    <w:rsid w:val="00957840"/>
    <w:rsid w:val="00961FAA"/>
    <w:rsid w:val="00965850"/>
    <w:rsid w:val="00965AA4"/>
    <w:rsid w:val="00967D32"/>
    <w:rsid w:val="00974741"/>
    <w:rsid w:val="00982977"/>
    <w:rsid w:val="00986068"/>
    <w:rsid w:val="00987B0A"/>
    <w:rsid w:val="009920FB"/>
    <w:rsid w:val="009950F0"/>
    <w:rsid w:val="0099634A"/>
    <w:rsid w:val="00996F94"/>
    <w:rsid w:val="009A0F10"/>
    <w:rsid w:val="009A2E38"/>
    <w:rsid w:val="009A49F6"/>
    <w:rsid w:val="009A4E5C"/>
    <w:rsid w:val="009A5863"/>
    <w:rsid w:val="009B1D1E"/>
    <w:rsid w:val="009B2BFD"/>
    <w:rsid w:val="009B2DAE"/>
    <w:rsid w:val="009B3DC9"/>
    <w:rsid w:val="009B4182"/>
    <w:rsid w:val="009B5316"/>
    <w:rsid w:val="009B559A"/>
    <w:rsid w:val="009B59DA"/>
    <w:rsid w:val="009B7729"/>
    <w:rsid w:val="009B7BD7"/>
    <w:rsid w:val="009C0001"/>
    <w:rsid w:val="009D1034"/>
    <w:rsid w:val="009D2B3F"/>
    <w:rsid w:val="009D4EF3"/>
    <w:rsid w:val="009E3F8F"/>
    <w:rsid w:val="009E5DB4"/>
    <w:rsid w:val="009E6732"/>
    <w:rsid w:val="009F1814"/>
    <w:rsid w:val="009F3520"/>
    <w:rsid w:val="009F3948"/>
    <w:rsid w:val="009F5C05"/>
    <w:rsid w:val="009F66E8"/>
    <w:rsid w:val="00A02CA0"/>
    <w:rsid w:val="00A06868"/>
    <w:rsid w:val="00A12192"/>
    <w:rsid w:val="00A1483E"/>
    <w:rsid w:val="00A16624"/>
    <w:rsid w:val="00A169EF"/>
    <w:rsid w:val="00A16C16"/>
    <w:rsid w:val="00A1753D"/>
    <w:rsid w:val="00A21C03"/>
    <w:rsid w:val="00A251A9"/>
    <w:rsid w:val="00A25395"/>
    <w:rsid w:val="00A322E3"/>
    <w:rsid w:val="00A330F9"/>
    <w:rsid w:val="00A333ED"/>
    <w:rsid w:val="00A33966"/>
    <w:rsid w:val="00A34B13"/>
    <w:rsid w:val="00A4236C"/>
    <w:rsid w:val="00A446B9"/>
    <w:rsid w:val="00A44B08"/>
    <w:rsid w:val="00A46335"/>
    <w:rsid w:val="00A467CC"/>
    <w:rsid w:val="00A4703E"/>
    <w:rsid w:val="00A50839"/>
    <w:rsid w:val="00A5241F"/>
    <w:rsid w:val="00A5370D"/>
    <w:rsid w:val="00A53CB0"/>
    <w:rsid w:val="00A54675"/>
    <w:rsid w:val="00A612A8"/>
    <w:rsid w:val="00A6385E"/>
    <w:rsid w:val="00A64A71"/>
    <w:rsid w:val="00A66785"/>
    <w:rsid w:val="00A66DDB"/>
    <w:rsid w:val="00A67F99"/>
    <w:rsid w:val="00A71CD8"/>
    <w:rsid w:val="00A75B3B"/>
    <w:rsid w:val="00A76436"/>
    <w:rsid w:val="00A7731E"/>
    <w:rsid w:val="00A77D31"/>
    <w:rsid w:val="00A80A62"/>
    <w:rsid w:val="00A8110D"/>
    <w:rsid w:val="00A81953"/>
    <w:rsid w:val="00A821D7"/>
    <w:rsid w:val="00A83556"/>
    <w:rsid w:val="00A857FA"/>
    <w:rsid w:val="00A90D2E"/>
    <w:rsid w:val="00A90DCE"/>
    <w:rsid w:val="00A9201F"/>
    <w:rsid w:val="00A9268E"/>
    <w:rsid w:val="00A94E0B"/>
    <w:rsid w:val="00A97BD8"/>
    <w:rsid w:val="00AA0076"/>
    <w:rsid w:val="00AA0B52"/>
    <w:rsid w:val="00AA4C9C"/>
    <w:rsid w:val="00AA7425"/>
    <w:rsid w:val="00AA78AD"/>
    <w:rsid w:val="00AB09B8"/>
    <w:rsid w:val="00AB12E9"/>
    <w:rsid w:val="00AB48DF"/>
    <w:rsid w:val="00AB59AE"/>
    <w:rsid w:val="00AB5C5F"/>
    <w:rsid w:val="00AB680E"/>
    <w:rsid w:val="00AC0960"/>
    <w:rsid w:val="00AC2305"/>
    <w:rsid w:val="00AC32A2"/>
    <w:rsid w:val="00AC6119"/>
    <w:rsid w:val="00AC672F"/>
    <w:rsid w:val="00AC7B06"/>
    <w:rsid w:val="00AD2D28"/>
    <w:rsid w:val="00AE1DA3"/>
    <w:rsid w:val="00AE2F2C"/>
    <w:rsid w:val="00AE3BEF"/>
    <w:rsid w:val="00AE756F"/>
    <w:rsid w:val="00AF004E"/>
    <w:rsid w:val="00AF431B"/>
    <w:rsid w:val="00AF4A5B"/>
    <w:rsid w:val="00AF54AB"/>
    <w:rsid w:val="00AF7229"/>
    <w:rsid w:val="00AF7259"/>
    <w:rsid w:val="00AF72A7"/>
    <w:rsid w:val="00B03BB6"/>
    <w:rsid w:val="00B042F3"/>
    <w:rsid w:val="00B05AF7"/>
    <w:rsid w:val="00B06746"/>
    <w:rsid w:val="00B06875"/>
    <w:rsid w:val="00B078AC"/>
    <w:rsid w:val="00B11F4D"/>
    <w:rsid w:val="00B12C72"/>
    <w:rsid w:val="00B15A22"/>
    <w:rsid w:val="00B17E4D"/>
    <w:rsid w:val="00B26791"/>
    <w:rsid w:val="00B27F2A"/>
    <w:rsid w:val="00B31506"/>
    <w:rsid w:val="00B31620"/>
    <w:rsid w:val="00B3597A"/>
    <w:rsid w:val="00B43B70"/>
    <w:rsid w:val="00B45062"/>
    <w:rsid w:val="00B4635C"/>
    <w:rsid w:val="00B521E5"/>
    <w:rsid w:val="00B540F7"/>
    <w:rsid w:val="00B5475A"/>
    <w:rsid w:val="00B5494F"/>
    <w:rsid w:val="00B54C66"/>
    <w:rsid w:val="00B55145"/>
    <w:rsid w:val="00B57573"/>
    <w:rsid w:val="00B60489"/>
    <w:rsid w:val="00B649E3"/>
    <w:rsid w:val="00B660A1"/>
    <w:rsid w:val="00B72B87"/>
    <w:rsid w:val="00B77208"/>
    <w:rsid w:val="00B77AE3"/>
    <w:rsid w:val="00B80CDC"/>
    <w:rsid w:val="00B834C9"/>
    <w:rsid w:val="00B838CE"/>
    <w:rsid w:val="00B84703"/>
    <w:rsid w:val="00B91BBD"/>
    <w:rsid w:val="00B943A5"/>
    <w:rsid w:val="00BA16F0"/>
    <w:rsid w:val="00BA3C5F"/>
    <w:rsid w:val="00BA517B"/>
    <w:rsid w:val="00BB41AC"/>
    <w:rsid w:val="00BB473B"/>
    <w:rsid w:val="00BB4E9C"/>
    <w:rsid w:val="00BB55CD"/>
    <w:rsid w:val="00BB636D"/>
    <w:rsid w:val="00BB7599"/>
    <w:rsid w:val="00BC344B"/>
    <w:rsid w:val="00BC6212"/>
    <w:rsid w:val="00BC7DC1"/>
    <w:rsid w:val="00BD15DC"/>
    <w:rsid w:val="00BD3254"/>
    <w:rsid w:val="00BD4AC4"/>
    <w:rsid w:val="00BE09F5"/>
    <w:rsid w:val="00BE0C49"/>
    <w:rsid w:val="00BE10DE"/>
    <w:rsid w:val="00BE33DF"/>
    <w:rsid w:val="00BE4DEC"/>
    <w:rsid w:val="00BE5CD3"/>
    <w:rsid w:val="00BF020A"/>
    <w:rsid w:val="00BF1CA8"/>
    <w:rsid w:val="00BF264C"/>
    <w:rsid w:val="00C02051"/>
    <w:rsid w:val="00C04B43"/>
    <w:rsid w:val="00C04FAE"/>
    <w:rsid w:val="00C05C37"/>
    <w:rsid w:val="00C063BD"/>
    <w:rsid w:val="00C06D5A"/>
    <w:rsid w:val="00C10A80"/>
    <w:rsid w:val="00C12794"/>
    <w:rsid w:val="00C156DA"/>
    <w:rsid w:val="00C22989"/>
    <w:rsid w:val="00C24682"/>
    <w:rsid w:val="00C259D0"/>
    <w:rsid w:val="00C35064"/>
    <w:rsid w:val="00C35D36"/>
    <w:rsid w:val="00C36886"/>
    <w:rsid w:val="00C371D2"/>
    <w:rsid w:val="00C374EC"/>
    <w:rsid w:val="00C41AB3"/>
    <w:rsid w:val="00C4387F"/>
    <w:rsid w:val="00C4588A"/>
    <w:rsid w:val="00C45935"/>
    <w:rsid w:val="00C47019"/>
    <w:rsid w:val="00C51B05"/>
    <w:rsid w:val="00C5285B"/>
    <w:rsid w:val="00C5650A"/>
    <w:rsid w:val="00C60135"/>
    <w:rsid w:val="00C6059F"/>
    <w:rsid w:val="00C6125E"/>
    <w:rsid w:val="00C62E61"/>
    <w:rsid w:val="00C6388A"/>
    <w:rsid w:val="00C6644C"/>
    <w:rsid w:val="00C74975"/>
    <w:rsid w:val="00C7544C"/>
    <w:rsid w:val="00C80FB1"/>
    <w:rsid w:val="00C857D4"/>
    <w:rsid w:val="00C85A57"/>
    <w:rsid w:val="00C902C1"/>
    <w:rsid w:val="00C90396"/>
    <w:rsid w:val="00C926FA"/>
    <w:rsid w:val="00C92875"/>
    <w:rsid w:val="00C95DF5"/>
    <w:rsid w:val="00CA017D"/>
    <w:rsid w:val="00CA1370"/>
    <w:rsid w:val="00CA1FC1"/>
    <w:rsid w:val="00CA4D83"/>
    <w:rsid w:val="00CA4F08"/>
    <w:rsid w:val="00CA53CF"/>
    <w:rsid w:val="00CA5AB6"/>
    <w:rsid w:val="00CB2959"/>
    <w:rsid w:val="00CB4147"/>
    <w:rsid w:val="00CB7754"/>
    <w:rsid w:val="00CC2145"/>
    <w:rsid w:val="00CC23BC"/>
    <w:rsid w:val="00CC37D8"/>
    <w:rsid w:val="00CC4E25"/>
    <w:rsid w:val="00CC52E7"/>
    <w:rsid w:val="00CC7A91"/>
    <w:rsid w:val="00CD2EB5"/>
    <w:rsid w:val="00CD42D6"/>
    <w:rsid w:val="00CD546A"/>
    <w:rsid w:val="00CD7458"/>
    <w:rsid w:val="00CD7E6C"/>
    <w:rsid w:val="00CE171E"/>
    <w:rsid w:val="00CE5621"/>
    <w:rsid w:val="00CE7134"/>
    <w:rsid w:val="00CF0E3A"/>
    <w:rsid w:val="00CF19F8"/>
    <w:rsid w:val="00CF206C"/>
    <w:rsid w:val="00CF24B9"/>
    <w:rsid w:val="00CF3EE2"/>
    <w:rsid w:val="00CF5F99"/>
    <w:rsid w:val="00D0104B"/>
    <w:rsid w:val="00D03E40"/>
    <w:rsid w:val="00D10065"/>
    <w:rsid w:val="00D10962"/>
    <w:rsid w:val="00D1245E"/>
    <w:rsid w:val="00D14903"/>
    <w:rsid w:val="00D20397"/>
    <w:rsid w:val="00D20617"/>
    <w:rsid w:val="00D225D8"/>
    <w:rsid w:val="00D258B5"/>
    <w:rsid w:val="00D25E1A"/>
    <w:rsid w:val="00D31AA8"/>
    <w:rsid w:val="00D31EAD"/>
    <w:rsid w:val="00D32F25"/>
    <w:rsid w:val="00D34714"/>
    <w:rsid w:val="00D37656"/>
    <w:rsid w:val="00D41B11"/>
    <w:rsid w:val="00D45A4E"/>
    <w:rsid w:val="00D45F69"/>
    <w:rsid w:val="00D478B6"/>
    <w:rsid w:val="00D5093E"/>
    <w:rsid w:val="00D52F4E"/>
    <w:rsid w:val="00D53C72"/>
    <w:rsid w:val="00D60BA1"/>
    <w:rsid w:val="00D63F12"/>
    <w:rsid w:val="00D645C9"/>
    <w:rsid w:val="00D651D2"/>
    <w:rsid w:val="00D655B9"/>
    <w:rsid w:val="00D65DA1"/>
    <w:rsid w:val="00D72A60"/>
    <w:rsid w:val="00D74B4F"/>
    <w:rsid w:val="00D765BB"/>
    <w:rsid w:val="00D7669C"/>
    <w:rsid w:val="00D77853"/>
    <w:rsid w:val="00D80FFB"/>
    <w:rsid w:val="00D8272D"/>
    <w:rsid w:val="00D83DC3"/>
    <w:rsid w:val="00D852B5"/>
    <w:rsid w:val="00D91EC3"/>
    <w:rsid w:val="00D9688A"/>
    <w:rsid w:val="00D96BB3"/>
    <w:rsid w:val="00DA0D28"/>
    <w:rsid w:val="00DA4502"/>
    <w:rsid w:val="00DA47F1"/>
    <w:rsid w:val="00DA5750"/>
    <w:rsid w:val="00DB0452"/>
    <w:rsid w:val="00DB27B6"/>
    <w:rsid w:val="00DB2AAA"/>
    <w:rsid w:val="00DB30BC"/>
    <w:rsid w:val="00DB392B"/>
    <w:rsid w:val="00DB459B"/>
    <w:rsid w:val="00DB5BB2"/>
    <w:rsid w:val="00DB64F8"/>
    <w:rsid w:val="00DB69C0"/>
    <w:rsid w:val="00DB76C5"/>
    <w:rsid w:val="00DC3541"/>
    <w:rsid w:val="00DC515D"/>
    <w:rsid w:val="00DC7AA1"/>
    <w:rsid w:val="00DC7FF4"/>
    <w:rsid w:val="00DD0802"/>
    <w:rsid w:val="00DD3808"/>
    <w:rsid w:val="00DD550B"/>
    <w:rsid w:val="00DD6539"/>
    <w:rsid w:val="00DD6549"/>
    <w:rsid w:val="00DE1531"/>
    <w:rsid w:val="00DE1F69"/>
    <w:rsid w:val="00DE349D"/>
    <w:rsid w:val="00DE4E61"/>
    <w:rsid w:val="00DE74AC"/>
    <w:rsid w:val="00DE7D0C"/>
    <w:rsid w:val="00DF07EE"/>
    <w:rsid w:val="00DF2935"/>
    <w:rsid w:val="00E01241"/>
    <w:rsid w:val="00E25799"/>
    <w:rsid w:val="00E25AEF"/>
    <w:rsid w:val="00E26A39"/>
    <w:rsid w:val="00E26CA3"/>
    <w:rsid w:val="00E27CC2"/>
    <w:rsid w:val="00E27D21"/>
    <w:rsid w:val="00E30FD3"/>
    <w:rsid w:val="00E31097"/>
    <w:rsid w:val="00E315A3"/>
    <w:rsid w:val="00E31B76"/>
    <w:rsid w:val="00E34636"/>
    <w:rsid w:val="00E34E9E"/>
    <w:rsid w:val="00E35126"/>
    <w:rsid w:val="00E356AD"/>
    <w:rsid w:val="00E438CF"/>
    <w:rsid w:val="00E46435"/>
    <w:rsid w:val="00E4675D"/>
    <w:rsid w:val="00E512DA"/>
    <w:rsid w:val="00E53327"/>
    <w:rsid w:val="00E5371E"/>
    <w:rsid w:val="00E579CA"/>
    <w:rsid w:val="00E63194"/>
    <w:rsid w:val="00E6460F"/>
    <w:rsid w:val="00E64DF7"/>
    <w:rsid w:val="00E66E12"/>
    <w:rsid w:val="00E67B37"/>
    <w:rsid w:val="00E70866"/>
    <w:rsid w:val="00E72720"/>
    <w:rsid w:val="00E74CE2"/>
    <w:rsid w:val="00E81B61"/>
    <w:rsid w:val="00E86438"/>
    <w:rsid w:val="00E87F67"/>
    <w:rsid w:val="00E90271"/>
    <w:rsid w:val="00E94C0D"/>
    <w:rsid w:val="00E9591C"/>
    <w:rsid w:val="00E97413"/>
    <w:rsid w:val="00E97CD2"/>
    <w:rsid w:val="00EA132F"/>
    <w:rsid w:val="00EA26CF"/>
    <w:rsid w:val="00EA2D92"/>
    <w:rsid w:val="00EA5132"/>
    <w:rsid w:val="00EA59B7"/>
    <w:rsid w:val="00EB3855"/>
    <w:rsid w:val="00EB3BFA"/>
    <w:rsid w:val="00EB67BF"/>
    <w:rsid w:val="00EC3FF5"/>
    <w:rsid w:val="00EC56EE"/>
    <w:rsid w:val="00EC5EA9"/>
    <w:rsid w:val="00ED21A8"/>
    <w:rsid w:val="00ED415A"/>
    <w:rsid w:val="00ED570A"/>
    <w:rsid w:val="00ED6827"/>
    <w:rsid w:val="00ED74C6"/>
    <w:rsid w:val="00EE7628"/>
    <w:rsid w:val="00EF01B3"/>
    <w:rsid w:val="00EF2BA8"/>
    <w:rsid w:val="00EF4835"/>
    <w:rsid w:val="00F003D2"/>
    <w:rsid w:val="00F014F6"/>
    <w:rsid w:val="00F0212E"/>
    <w:rsid w:val="00F05C0A"/>
    <w:rsid w:val="00F05D71"/>
    <w:rsid w:val="00F07C44"/>
    <w:rsid w:val="00F11F09"/>
    <w:rsid w:val="00F12B41"/>
    <w:rsid w:val="00F12D96"/>
    <w:rsid w:val="00F1324C"/>
    <w:rsid w:val="00F147CE"/>
    <w:rsid w:val="00F15BA9"/>
    <w:rsid w:val="00F215A2"/>
    <w:rsid w:val="00F26636"/>
    <w:rsid w:val="00F276D3"/>
    <w:rsid w:val="00F30B57"/>
    <w:rsid w:val="00F31EC2"/>
    <w:rsid w:val="00F33E8F"/>
    <w:rsid w:val="00F34B56"/>
    <w:rsid w:val="00F36018"/>
    <w:rsid w:val="00F414B1"/>
    <w:rsid w:val="00F42330"/>
    <w:rsid w:val="00F4297F"/>
    <w:rsid w:val="00F43CCB"/>
    <w:rsid w:val="00F51254"/>
    <w:rsid w:val="00F51CFB"/>
    <w:rsid w:val="00F538B1"/>
    <w:rsid w:val="00F54A67"/>
    <w:rsid w:val="00F60643"/>
    <w:rsid w:val="00F6069F"/>
    <w:rsid w:val="00F6098E"/>
    <w:rsid w:val="00F6164D"/>
    <w:rsid w:val="00F61CCC"/>
    <w:rsid w:val="00F636A7"/>
    <w:rsid w:val="00F6386A"/>
    <w:rsid w:val="00F70400"/>
    <w:rsid w:val="00F705C7"/>
    <w:rsid w:val="00F71042"/>
    <w:rsid w:val="00F77427"/>
    <w:rsid w:val="00F8538D"/>
    <w:rsid w:val="00F869E3"/>
    <w:rsid w:val="00F86F0E"/>
    <w:rsid w:val="00F935BE"/>
    <w:rsid w:val="00F97FC6"/>
    <w:rsid w:val="00FA03B1"/>
    <w:rsid w:val="00FA0C4F"/>
    <w:rsid w:val="00FA2527"/>
    <w:rsid w:val="00FB23D9"/>
    <w:rsid w:val="00FB6409"/>
    <w:rsid w:val="00FC3992"/>
    <w:rsid w:val="00FC4734"/>
    <w:rsid w:val="00FC6465"/>
    <w:rsid w:val="00FD3435"/>
    <w:rsid w:val="00FD3A1A"/>
    <w:rsid w:val="00FD3B8B"/>
    <w:rsid w:val="00FD66B0"/>
    <w:rsid w:val="00FE0DD1"/>
    <w:rsid w:val="00FE6BAD"/>
    <w:rsid w:val="00FE6D96"/>
    <w:rsid w:val="00FF1A4B"/>
    <w:rsid w:val="011C58CA"/>
    <w:rsid w:val="02065E32"/>
    <w:rsid w:val="0269E4EB"/>
    <w:rsid w:val="0497C18B"/>
    <w:rsid w:val="08F5E539"/>
    <w:rsid w:val="0B07030F"/>
    <w:rsid w:val="0C10C731"/>
    <w:rsid w:val="0C12A6A4"/>
    <w:rsid w:val="0E764547"/>
    <w:rsid w:val="0E9191CA"/>
    <w:rsid w:val="0EC8DC41"/>
    <w:rsid w:val="10E43854"/>
    <w:rsid w:val="1103A413"/>
    <w:rsid w:val="11764493"/>
    <w:rsid w:val="117F11DE"/>
    <w:rsid w:val="11A1A3E6"/>
    <w:rsid w:val="139F2A00"/>
    <w:rsid w:val="16751509"/>
    <w:rsid w:val="19229617"/>
    <w:rsid w:val="19D38D2A"/>
    <w:rsid w:val="1AA3B398"/>
    <w:rsid w:val="1B98F4E0"/>
    <w:rsid w:val="1D95B9F2"/>
    <w:rsid w:val="1DB774D2"/>
    <w:rsid w:val="20773965"/>
    <w:rsid w:val="20870678"/>
    <w:rsid w:val="2149BFE6"/>
    <w:rsid w:val="219455E3"/>
    <w:rsid w:val="238D85DF"/>
    <w:rsid w:val="282B0FDB"/>
    <w:rsid w:val="28F75A5A"/>
    <w:rsid w:val="29863F6B"/>
    <w:rsid w:val="29C6E03C"/>
    <w:rsid w:val="2A9D0F05"/>
    <w:rsid w:val="2B62B09D"/>
    <w:rsid w:val="2BC84D35"/>
    <w:rsid w:val="2C39448C"/>
    <w:rsid w:val="2CFE80FE"/>
    <w:rsid w:val="2D0267DD"/>
    <w:rsid w:val="39C7C288"/>
    <w:rsid w:val="39E4F18C"/>
    <w:rsid w:val="3CB90B95"/>
    <w:rsid w:val="3DC49FBC"/>
    <w:rsid w:val="3DF89827"/>
    <w:rsid w:val="41944870"/>
    <w:rsid w:val="434B3301"/>
    <w:rsid w:val="4A6C28E0"/>
    <w:rsid w:val="4B7CF40C"/>
    <w:rsid w:val="4FA13D40"/>
    <w:rsid w:val="514AE5BD"/>
    <w:rsid w:val="515E19CD"/>
    <w:rsid w:val="52D323F0"/>
    <w:rsid w:val="54544571"/>
    <w:rsid w:val="5514F47E"/>
    <w:rsid w:val="567CC9A7"/>
    <w:rsid w:val="56B6E506"/>
    <w:rsid w:val="59CCCAEB"/>
    <w:rsid w:val="5A05F296"/>
    <w:rsid w:val="5A56C865"/>
    <w:rsid w:val="5A58BFC5"/>
    <w:rsid w:val="5B79F6E9"/>
    <w:rsid w:val="5BA1C2F7"/>
    <w:rsid w:val="5BC267A5"/>
    <w:rsid w:val="5C13C37F"/>
    <w:rsid w:val="5C2DDAE9"/>
    <w:rsid w:val="5EAEE9E5"/>
    <w:rsid w:val="5FBF44D9"/>
    <w:rsid w:val="611A7469"/>
    <w:rsid w:val="615B153A"/>
    <w:rsid w:val="61A1DF87"/>
    <w:rsid w:val="61E22146"/>
    <w:rsid w:val="6444B563"/>
    <w:rsid w:val="669F85F2"/>
    <w:rsid w:val="6B790B5D"/>
    <w:rsid w:val="6D820AD2"/>
    <w:rsid w:val="6F932122"/>
    <w:rsid w:val="704C7C80"/>
    <w:rsid w:val="73E10D9E"/>
    <w:rsid w:val="751FEDA3"/>
    <w:rsid w:val="76BCAD0F"/>
    <w:rsid w:val="76DEA3EC"/>
    <w:rsid w:val="777CAE6A"/>
    <w:rsid w:val="7CE82C8A"/>
    <w:rsid w:val="7D55D2F6"/>
    <w:rsid w:val="7DE0C2CE"/>
    <w:rsid w:val="7F32442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1A1DF87"/>
  <w15:chartTrackingRefBased/>
  <w15:docId w15:val="{4A5C3BEF-9169-4796-8EC1-F04155EBF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20"/>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4B7CF40C"/>
    <w:pPr>
      <w:tabs>
        <w:tab w:val="num" w:pos="1080"/>
        <w:tab w:val="num" w:pos="1440"/>
      </w:tabs>
    </w:pPr>
  </w:style>
  <w:style w:type="character" w:customStyle="1" w:styleId="ParaNumChar">
    <w:name w:val="ParaNum Char"/>
    <w:basedOn w:val="DefaultParagraphFont"/>
    <w:link w:val="ParaNum"/>
    <w:rsid w:val="4B7CF40C"/>
  </w:style>
  <w:style w:type="paragraph" w:customStyle="1" w:styleId="StyleBoldCentered">
    <w:name w:val="Style Bold Centered"/>
    <w:basedOn w:val="Normal"/>
    <w:rsid w:val="4B7CF40C"/>
    <w:pPr>
      <w:jc w:val="center"/>
    </w:pPr>
    <w:rPr>
      <w:rFonts w:ascii="Times New Roman Bold" w:eastAsia="Times New Roman" w:hAnsi="Times New Roman Bold" w:cs="Times New Roman"/>
      <w:b/>
      <w:bCs/>
      <w:caps/>
    </w:rPr>
  </w:style>
  <w:style w:type="table" w:styleId="TableGrid">
    <w:name w:val="Table Grid"/>
    <w:basedOn w:val="TableNormal"/>
    <w:uiPriority w:val="59"/>
    <w:rsid w:val="00FB4123"/>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basedOn w:val="DefaultParagraphFont"/>
    <w:unhideWhenUsed/>
    <w:rPr>
      <w:vertAlign w:val="superscript"/>
    </w:rPr>
  </w:style>
  <w:style w:type="character" w:customStyle="1" w:styleId="FootnoteTextChar">
    <w:name w:val="Footnote Text Char"/>
    <w:aliases w:val="Footnote Text Char Char Char Char Char Char1,Footnote Text Char Char Char Char1,Footnote Text Char1 Char Char Char Char1,Footnote Text Char1 Char Char1,Styl Char,Style 5 Char Char Char1,Style Char1,fn Char1,rrfootnote Char Char Char1"/>
    <w:basedOn w:val="DefaultParagraphFont"/>
    <w:link w:val="FootnoteText"/>
    <w:rsid w:val="00701445"/>
    <w:rPr>
      <w:rFonts w:ascii="Times New Roman" w:hAnsi="Times New Roman"/>
      <w:sz w:val="20"/>
      <w:szCs w:val="20"/>
    </w:rPr>
  </w:style>
  <w:style w:type="paragraph" w:styleId="FootnoteText">
    <w:name w:val="footnote text"/>
    <w:aliases w:val="Footnote Text Char Char Char,Footnote Text Char Char Char Char Char,Footnote Text Char1 Char,Footnote Text Char1 Char Char Char,Footnote Text Char1 Char Char Char Char Char,Styl,Style,Style 5 Char Char,fn,rrfootnote Char Char"/>
    <w:basedOn w:val="Footer"/>
    <w:link w:val="FootnoteTextChar"/>
    <w:autoRedefine/>
    <w:unhideWhenUsed/>
    <w:rsid w:val="00701445"/>
    <w:pPr>
      <w:spacing w:before="120" w:after="120"/>
      <w:ind w:firstLine="0"/>
    </w:pPr>
    <w:rPr>
      <w:rFonts w:ascii="Times New Roman" w:hAnsi="Times New Roman"/>
      <w:sz w:val="20"/>
      <w:szCs w:val="20"/>
    </w:rPr>
  </w:style>
  <w:style w:type="paragraph" w:styleId="Header">
    <w:name w:val="header"/>
    <w:basedOn w:val="Normal"/>
    <w:link w:val="HeaderChar"/>
    <w:uiPriority w:val="99"/>
    <w:unhideWhenUsed/>
    <w:rsid w:val="00ED6827"/>
    <w:pPr>
      <w:tabs>
        <w:tab w:val="center" w:pos="4680"/>
        <w:tab w:val="right" w:pos="9360"/>
      </w:tabs>
      <w:spacing w:after="0"/>
    </w:pPr>
  </w:style>
  <w:style w:type="character" w:customStyle="1" w:styleId="HeaderChar">
    <w:name w:val="Header Char"/>
    <w:basedOn w:val="DefaultParagraphFont"/>
    <w:link w:val="Header"/>
    <w:uiPriority w:val="99"/>
    <w:rsid w:val="00ED6827"/>
  </w:style>
  <w:style w:type="paragraph" w:styleId="Footer">
    <w:name w:val="footer"/>
    <w:basedOn w:val="Normal"/>
    <w:link w:val="FooterChar"/>
    <w:uiPriority w:val="99"/>
    <w:unhideWhenUsed/>
    <w:rsid w:val="00ED6827"/>
    <w:pPr>
      <w:tabs>
        <w:tab w:val="center" w:pos="4680"/>
        <w:tab w:val="right" w:pos="9360"/>
      </w:tabs>
      <w:spacing w:after="0"/>
    </w:pPr>
  </w:style>
  <w:style w:type="character" w:customStyle="1" w:styleId="FooterChar">
    <w:name w:val="Footer Char"/>
    <w:basedOn w:val="DefaultParagraphFont"/>
    <w:link w:val="Footer"/>
    <w:uiPriority w:val="99"/>
    <w:rsid w:val="00ED6827"/>
  </w:style>
  <w:style w:type="paragraph" w:styleId="ListParagraph">
    <w:name w:val="List Paragraph"/>
    <w:basedOn w:val="Normal"/>
    <w:uiPriority w:val="34"/>
    <w:qFormat/>
    <w:rsid w:val="00843139"/>
    <w:pPr>
      <w:ind w:left="720"/>
      <w:contextualSpacing/>
    </w:pPr>
  </w:style>
  <w:style w:type="character" w:styleId="Hyperlink">
    <w:name w:val="Hyperlink"/>
    <w:rsid w:val="00772CA3"/>
    <w:rPr>
      <w:color w:val="0000FF"/>
      <w:u w:val="single"/>
    </w:rPr>
  </w:style>
  <w:style w:type="character" w:styleId="UnresolvedMention">
    <w:name w:val="Unresolved Mention"/>
    <w:basedOn w:val="DefaultParagraphFont"/>
    <w:uiPriority w:val="99"/>
    <w:semiHidden/>
    <w:unhideWhenUsed/>
    <w:rsid w:val="00ED21A8"/>
    <w:rPr>
      <w:color w:val="605E5C"/>
      <w:shd w:val="clear" w:color="auto" w:fill="E1DFDD"/>
    </w:rPr>
  </w:style>
  <w:style w:type="paragraph" w:customStyle="1" w:styleId="Style1">
    <w:name w:val="Style1"/>
    <w:basedOn w:val="ParaNum"/>
    <w:link w:val="Style1Char"/>
    <w:qFormat/>
    <w:rsid w:val="00AC672F"/>
    <w:pPr>
      <w:numPr>
        <w:ilvl w:val="3"/>
        <w:numId w:val="25"/>
      </w:numPr>
      <w:tabs>
        <w:tab w:val="clear" w:pos="1080"/>
        <w:tab w:val="left" w:pos="1440"/>
      </w:tabs>
    </w:pPr>
    <w:rPr>
      <w:rFonts w:ascii="Times New Roman" w:eastAsia="Times New Roman" w:hAnsi="Times New Roman" w:cs="Times New Roman"/>
      <w:color w:val="000000" w:themeColor="text1"/>
    </w:rPr>
  </w:style>
  <w:style w:type="character" w:styleId="CommentReference">
    <w:name w:val="annotation reference"/>
    <w:basedOn w:val="DefaultParagraphFont"/>
    <w:uiPriority w:val="99"/>
    <w:semiHidden/>
    <w:unhideWhenUsed/>
    <w:rsid w:val="003455A5"/>
    <w:rPr>
      <w:sz w:val="16"/>
      <w:szCs w:val="16"/>
    </w:rPr>
  </w:style>
  <w:style w:type="character" w:customStyle="1" w:styleId="Style1Char">
    <w:name w:val="Style1 Char"/>
    <w:basedOn w:val="ParaNumChar"/>
    <w:link w:val="Style1"/>
    <w:rsid w:val="00AC672F"/>
    <w:rPr>
      <w:rFonts w:ascii="Times New Roman" w:eastAsia="Times New Roman" w:hAnsi="Times New Roman" w:cs="Times New Roman"/>
      <w:color w:val="000000" w:themeColor="text1"/>
    </w:rPr>
  </w:style>
  <w:style w:type="paragraph" w:styleId="CommentText">
    <w:name w:val="annotation text"/>
    <w:basedOn w:val="Normal"/>
    <w:link w:val="CommentTextChar"/>
    <w:uiPriority w:val="99"/>
    <w:unhideWhenUsed/>
    <w:rsid w:val="003455A5"/>
    <w:rPr>
      <w:sz w:val="20"/>
      <w:szCs w:val="20"/>
    </w:rPr>
  </w:style>
  <w:style w:type="character" w:customStyle="1" w:styleId="CommentTextChar">
    <w:name w:val="Comment Text Char"/>
    <w:basedOn w:val="DefaultParagraphFont"/>
    <w:link w:val="CommentText"/>
    <w:uiPriority w:val="99"/>
    <w:rsid w:val="003455A5"/>
    <w:rPr>
      <w:sz w:val="20"/>
      <w:szCs w:val="20"/>
    </w:rPr>
  </w:style>
  <w:style w:type="paragraph" w:styleId="CommentSubject">
    <w:name w:val="annotation subject"/>
    <w:basedOn w:val="CommentText"/>
    <w:next w:val="CommentText"/>
    <w:link w:val="CommentSubjectChar"/>
    <w:uiPriority w:val="99"/>
    <w:semiHidden/>
    <w:unhideWhenUsed/>
    <w:rsid w:val="003455A5"/>
    <w:rPr>
      <w:b/>
      <w:bCs/>
    </w:rPr>
  </w:style>
  <w:style w:type="character" w:customStyle="1" w:styleId="CommentSubjectChar">
    <w:name w:val="Comment Subject Char"/>
    <w:basedOn w:val="CommentTextChar"/>
    <w:link w:val="CommentSubject"/>
    <w:uiPriority w:val="99"/>
    <w:semiHidden/>
    <w:rsid w:val="003455A5"/>
    <w:rPr>
      <w:b/>
      <w:bCs/>
      <w:sz w:val="20"/>
      <w:szCs w:val="20"/>
    </w:rPr>
  </w:style>
  <w:style w:type="character" w:customStyle="1" w:styleId="FootnoteTextChar1">
    <w:name w:val="Footnote Text Char1"/>
    <w:aliases w:val="Footnote Text Char Char Char Char,Footnote Text Char Char Char Char Char Char,Footnote Text Char1 Char Char,Footnote Text Char1 Char Char Char Char,Style 5 Char Char Char,Style Char,fn Char,rrfootnote Char Char Char"/>
    <w:rsid w:val="007F7E4D"/>
  </w:style>
  <w:style w:type="paragraph" w:styleId="Revision">
    <w:name w:val="Revision"/>
    <w:hidden/>
    <w:uiPriority w:val="99"/>
    <w:semiHidden/>
    <w:rsid w:val="00BE5CD3"/>
    <w:pPr>
      <w:spacing w:after="0"/>
      <w:ind w:firstLine="0"/>
    </w:pPr>
  </w:style>
  <w:style w:type="character" w:customStyle="1" w:styleId="markedcontent">
    <w:name w:val="markedcontent"/>
    <w:basedOn w:val="DefaultParagraphFont"/>
    <w:rsid w:val="00B31620"/>
  </w:style>
  <w:style w:type="character" w:styleId="FollowedHyperlink">
    <w:name w:val="FollowedHyperlink"/>
    <w:basedOn w:val="DefaultParagraphFont"/>
    <w:uiPriority w:val="99"/>
    <w:semiHidden/>
    <w:unhideWhenUsed/>
    <w:rsid w:val="00D91EC3"/>
    <w:rPr>
      <w:color w:val="954F72" w:themeColor="followedHyperlink"/>
      <w:u w:val="single"/>
    </w:rPr>
  </w:style>
  <w:style w:type="character" w:styleId="Emphasis">
    <w:name w:val="Emphasis"/>
    <w:basedOn w:val="DefaultParagraphFont"/>
    <w:uiPriority w:val="20"/>
    <w:qFormat/>
    <w:rsid w:val="006C4E35"/>
    <w:rPr>
      <w:i/>
      <w:iCs/>
    </w:rPr>
  </w:style>
  <w:style w:type="character" w:customStyle="1" w:styleId="cosearchterm">
    <w:name w:val="co_searchterm"/>
    <w:basedOn w:val="DefaultParagraphFont"/>
    <w:rsid w:val="006C4E35"/>
  </w:style>
  <w:style w:type="paragraph" w:styleId="NoSpacing">
    <w:name w:val="No Spacing"/>
    <w:uiPriority w:val="1"/>
    <w:qFormat/>
    <w:rsid w:val="00A53CB0"/>
    <w:pPr>
      <w:spacing w:after="0"/>
      <w:ind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Jeffrey.Gee@fcc.gov" TargetMode="External" /><Relationship Id="rId11" Type="http://schemas.openxmlformats.org/officeDocument/2006/relationships/hyperlink" Target="mailto:Jeffrey.Brown@fcc.gov" TargetMode="External" /><Relationship Id="rId12" Type="http://schemas.openxmlformats.org/officeDocument/2006/relationships/header" Target="header1.xml" /><Relationship Id="rId13" Type="http://schemas.openxmlformats.org/officeDocument/2006/relationships/footer" Target="footer1.xml" /><Relationship Id="rId14" Type="http://schemas.openxmlformats.org/officeDocument/2006/relationships/header" Target="header2.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Conor.O&#8217;Donovan%20@fcc.gov" TargetMode="External" /><Relationship Id="rId6" Type="http://schemas.openxmlformats.org/officeDocument/2006/relationships/hyperlink" Target="https://apps.fcc.gov/cores/userLogin.do" TargetMode="External" /><Relationship Id="rId7" Type="http://schemas.openxmlformats.org/officeDocument/2006/relationships/hyperlink" Target="mailto:RROGWireFaxes@fcc.gov" TargetMode="External" /><Relationship Id="rId8" Type="http://schemas.openxmlformats.org/officeDocument/2006/relationships/hyperlink" Target="https://www.fcc.gov/licensing-databases/fees/wire-transfer" TargetMode="External" /><Relationship Id="rId9" Type="http://schemas.openxmlformats.org/officeDocument/2006/relationships/hyperlink" Target="mailto:ARINQUIRES@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licensing-databases/fees/fcc-remittance-advice-form-159" TargetMode="External" /><Relationship Id="rId2" Type="http://schemas.openxmlformats.org/officeDocument/2006/relationships/hyperlink" Target="https://apps.fcc.gov/cores/userLogin.do" TargetMode="External" /><Relationship Id="rId3" Type="http://schemas.openxmlformats.org/officeDocument/2006/relationships/hyperlink" Target="http://www.fcc.gov/Forms/Form159/159.pdf"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