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E53BE" w14:paraId="3237A97E" w14:textId="77777777">
      <w:pPr>
        <w:jc w:val="right"/>
        <w:rPr>
          <w:sz w:val="24"/>
        </w:rPr>
      </w:pPr>
    </w:p>
    <w:p w:rsidR="003E53BE" w14:paraId="4622AD03" w14:textId="1BD7DE65">
      <w:pPr>
        <w:jc w:val="right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DA 22-1069"/>
            </w:textInput>
          </w:ffData>
        </w:fldChar>
      </w:r>
      <w:bookmarkStart w:id="0" w:name="Text1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DA 22-1069</w:t>
      </w:r>
      <w:r>
        <w:rPr>
          <w:b/>
          <w:sz w:val="24"/>
        </w:rPr>
        <w:fldChar w:fldCharType="end"/>
      </w:r>
      <w:bookmarkEnd w:id="0"/>
    </w:p>
    <w:p w:rsidR="003E53BE" w14:paraId="3B54204F" w14:textId="597510C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110CE"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October 6, 2022"/>
            </w:textInput>
          </w:ffData>
        </w:fldChar>
      </w:r>
      <w:bookmarkStart w:id="1" w:name="Text2"/>
      <w:r w:rsidR="007110CE">
        <w:rPr>
          <w:b/>
          <w:sz w:val="24"/>
        </w:rPr>
        <w:instrText xml:space="preserve"> FORMTEXT </w:instrText>
      </w:r>
      <w:r w:rsidR="007110CE">
        <w:rPr>
          <w:b/>
          <w:sz w:val="24"/>
        </w:rPr>
        <w:fldChar w:fldCharType="separate"/>
      </w:r>
      <w:r w:rsidR="007110CE">
        <w:rPr>
          <w:b/>
          <w:noProof/>
          <w:sz w:val="24"/>
        </w:rPr>
        <w:t>October 6, 2022</w:t>
      </w:r>
      <w:r w:rsidR="007110CE">
        <w:rPr>
          <w:b/>
          <w:sz w:val="24"/>
        </w:rPr>
        <w:fldChar w:fldCharType="end"/>
      </w:r>
      <w:bookmarkEnd w:id="1"/>
    </w:p>
    <w:p w:rsidR="003E53BE" w14:paraId="256856D6" w14:textId="77777777">
      <w:pPr>
        <w:jc w:val="right"/>
        <w:rPr>
          <w:sz w:val="24"/>
        </w:rPr>
      </w:pPr>
    </w:p>
    <w:p w:rsidR="003E53BE" w:rsidRPr="007110CE" w:rsidP="007110CE" w14:paraId="30426A0B" w14:textId="69C86766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fldChar w:fldCharType="begin">
          <w:ffData>
            <w:name w:val="Text3"/>
            <w:enabled/>
            <w:calcOnExit w:val="0"/>
            <w:textInput>
              <w:default w:val="WIRELESS TELECOMMUNICATIONS BUREAU AND OFFICE OF ENGINEERING AND TECHNOLOGY ESTABLISH GN DOCKET NO. 22-352"/>
            </w:textInput>
          </w:ffData>
        </w:fldChar>
      </w:r>
      <w:bookmarkStart w:id="2" w:name="Text3"/>
      <w:r>
        <w:rPr>
          <w:rFonts w:ascii="Times New Roman Bold" w:hAnsi="Times New Roman Bold"/>
          <w:b/>
          <w:caps/>
          <w:sz w:val="24"/>
        </w:rPr>
        <w:instrText xml:space="preserve"> FORMTEXT </w:instrText>
      </w:r>
      <w:r>
        <w:rPr>
          <w:rFonts w:ascii="Times New Roman Bold" w:hAnsi="Times New Roman Bold"/>
          <w:b/>
          <w:caps/>
          <w:sz w:val="24"/>
        </w:rPr>
        <w:fldChar w:fldCharType="separate"/>
      </w:r>
      <w:r>
        <w:rPr>
          <w:rFonts w:ascii="Times New Roman Bold" w:hAnsi="Times New Roman Bold"/>
          <w:b/>
          <w:caps/>
          <w:noProof/>
          <w:sz w:val="24"/>
        </w:rPr>
        <w:t>WIRELESS TELECOMMUNICATIONS BUREAU AND OFFICE OF ENGINEERING AND TECHNOLOGY ESTABLISH GN DOCKET NO. 22-352</w:t>
      </w:r>
      <w:r>
        <w:rPr>
          <w:rFonts w:ascii="Times New Roman Bold" w:hAnsi="Times New Roman Bold"/>
          <w:b/>
          <w:caps/>
          <w:sz w:val="24"/>
        </w:rPr>
        <w:fldChar w:fldCharType="end"/>
      </w:r>
      <w:bookmarkEnd w:id="2"/>
    </w:p>
    <w:p w:rsidR="003E53BE" w14:paraId="7EEAEF53" w14:textId="16585AD1">
      <w:pPr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default w:val="GN Docket No. 22-352"/>
            </w:textInput>
          </w:ffData>
        </w:fldChar>
      </w:r>
      <w:bookmarkStart w:id="3" w:name="Text5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GN Docket No. 22-352</w:t>
      </w:r>
      <w:r>
        <w:rPr>
          <w:b/>
          <w:sz w:val="24"/>
        </w:rPr>
        <w:fldChar w:fldCharType="end"/>
      </w:r>
      <w:bookmarkEnd w:id="3"/>
    </w:p>
    <w:p w:rsidR="003E53BE" w14:paraId="15EC405C" w14:textId="56A0CABB">
      <w:bookmarkStart w:id="4" w:name="TOChere"/>
    </w:p>
    <w:p w:rsidR="007110CE" w14:paraId="718E5AB9" w14:textId="2879C859">
      <w:r>
        <w:tab/>
        <w:t>By this Public Notice, the Wireless Telecommunications Bureau and the Office of Engineering and Technology establish GN Docket No. 22-352, which is captioned, “</w:t>
      </w:r>
      <w:r w:rsidRPr="007110CE">
        <w:t>Expanding Use of the 12.7-13.25 GHz Band for Mobile Broadband or Other Expanded Use</w:t>
      </w:r>
      <w:r>
        <w:t>.”</w:t>
      </w:r>
    </w:p>
    <w:p w:rsidR="007110CE" w14:paraId="6307D399" w14:textId="3E4D898C"/>
    <w:p w:rsidR="007110CE" w:rsidRPr="002B06D0" w14:paraId="3FA28817" w14:textId="13547557">
      <w:pPr>
        <w:rPr>
          <w:szCs w:val="22"/>
        </w:rPr>
      </w:pPr>
      <w:r w:rsidRPr="002B06D0">
        <w:rPr>
          <w:szCs w:val="22"/>
        </w:rPr>
        <w:tab/>
        <w:t xml:space="preserve">Presentations are subject to “permit-but-disclose” </w:t>
      </w:r>
      <w:r w:rsidRPr="002B06D0">
        <w:rPr>
          <w:i/>
          <w:iCs/>
          <w:szCs w:val="22"/>
        </w:rPr>
        <w:t xml:space="preserve">ex </w:t>
      </w:r>
      <w:r w:rsidRPr="002B06D0">
        <w:rPr>
          <w:i/>
          <w:iCs/>
          <w:szCs w:val="22"/>
        </w:rPr>
        <w:t>parte</w:t>
      </w:r>
      <w:r w:rsidRPr="002B06D0">
        <w:rPr>
          <w:szCs w:val="22"/>
        </w:rPr>
        <w:t xml:space="preserve"> rules.  </w:t>
      </w:r>
      <w:r w:rsidRPr="002B06D0">
        <w:rPr>
          <w:i/>
          <w:iCs/>
          <w:szCs w:val="22"/>
        </w:rPr>
        <w:t>See</w:t>
      </w:r>
      <w:r w:rsidRPr="002B06D0">
        <w:rPr>
          <w:szCs w:val="22"/>
        </w:rPr>
        <w:t xml:space="preserve"> 47 CFR §§ 1.206, 1.1200(a).  Persons making </w:t>
      </w:r>
      <w:r w:rsidRPr="002B06D0">
        <w:rPr>
          <w:i/>
          <w:iCs/>
          <w:szCs w:val="22"/>
        </w:rPr>
        <w:t xml:space="preserve">ex </w:t>
      </w:r>
      <w:r w:rsidRPr="002B06D0">
        <w:rPr>
          <w:i/>
          <w:iCs/>
          <w:szCs w:val="22"/>
        </w:rPr>
        <w:t>parte</w:t>
      </w:r>
      <w:r w:rsidRPr="002B06D0">
        <w:rPr>
          <w:szCs w:val="22"/>
        </w:rPr>
        <w:t xml:space="preserve"> 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2B06D0">
        <w:rPr>
          <w:i/>
          <w:iCs/>
          <w:szCs w:val="22"/>
        </w:rPr>
        <w:t xml:space="preserve">ex </w:t>
      </w:r>
      <w:r w:rsidRPr="002B06D0">
        <w:rPr>
          <w:i/>
          <w:iCs/>
          <w:szCs w:val="22"/>
        </w:rPr>
        <w:t>parte</w:t>
      </w:r>
      <w:r w:rsidRPr="002B06D0">
        <w:rPr>
          <w:szCs w:val="22"/>
        </w:rPr>
        <w:t xml:space="preserve"> rules, including the general prohibition on presentations (written and oral) on matters listed in the Sunshine Agenda, which typically is released a week prior to the Commission’s meeting.  </w:t>
      </w:r>
      <w:r w:rsidRPr="002B06D0">
        <w:rPr>
          <w:i/>
          <w:iCs/>
          <w:szCs w:val="22"/>
        </w:rPr>
        <w:t>See</w:t>
      </w:r>
      <w:r w:rsidRPr="002B06D0">
        <w:rPr>
          <w:szCs w:val="22"/>
        </w:rPr>
        <w:t xml:space="preserve"> 47 CFR §§ 1.1200(a), 1.1203.</w:t>
      </w:r>
    </w:p>
    <w:p w:rsidR="007110CE" w14:paraId="480B0130" w14:textId="69396880"/>
    <w:p w:rsidR="007110CE" w14:paraId="5A6ADD13" w14:textId="1E25DC2B">
      <w:r>
        <w:tab/>
        <w:t>Action by Acting Chief, Wireless Telecommunications Bureau, and Acting Chief, Office of Engineering and Technology.</w:t>
      </w:r>
    </w:p>
    <w:p w:rsidR="003E53BE" w14:paraId="236DD0FB" w14:textId="77777777"/>
    <w:p w:rsidR="003E53BE" w14:paraId="46F6F291" w14:textId="77777777"/>
    <w:bookmarkEnd w:id="4"/>
    <w:p w:rsidR="007110CE" w14:paraId="0AC48629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53BE" w14:paraId="0ADB9A0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E53BE" w14:paraId="25B1F4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53BE" w14:paraId="281A20F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53BE" w14:paraId="265993D4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53BE" w14:paraId="4C238AC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53BE" w14:paraId="6D95C4E5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3E53BE" w14:paraId="25AF71F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3E53BE" w14:paraId="56B4C6DC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53BE" w14:paraId="35BC3AAD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.75pt;height:11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CE"/>
    <w:rsid w:val="002B06D0"/>
    <w:rsid w:val="003E53BE"/>
    <w:rsid w:val="007110CE"/>
    <w:rsid w:val="007B12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5B5F37"/>
  <w15:chartTrackingRefBased/>
  <w15:docId w15:val="{0EA0130F-C709-4C43-9A51-C43FF804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