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67089263">
            <w:pPr>
              <w:tabs>
                <w:tab w:val="center" w:pos="4680"/>
              </w:tabs>
              <w:suppressAutoHyphens/>
              <w:rPr>
                <w:b/>
                <w:bCs/>
                <w:spacing w:val="-2"/>
              </w:rPr>
            </w:pPr>
            <w:r>
              <w:rPr>
                <w:b/>
                <w:bCs/>
                <w:spacing w:val="-2"/>
              </w:rPr>
              <w:t>Unity Broadcasting LLC</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1DEC57BC">
            <w:pPr>
              <w:tabs>
                <w:tab w:val="center" w:pos="4680"/>
              </w:tabs>
              <w:suppressAutoHyphens/>
              <w:rPr>
                <w:spacing w:val="-2"/>
              </w:rPr>
            </w:pPr>
            <w:r w:rsidRPr="00140750">
              <w:rPr>
                <w:spacing w:val="-2"/>
              </w:rPr>
              <w:t xml:space="preserve">FM Translator Station </w:t>
            </w:r>
            <w:r w:rsidR="001240CA">
              <w:rPr>
                <w:spacing w:val="-2"/>
              </w:rPr>
              <w:t>W</w:t>
            </w:r>
            <w:r w:rsidR="006F4495">
              <w:rPr>
                <w:spacing w:val="-2"/>
              </w:rPr>
              <w:t>264DV</w:t>
            </w:r>
          </w:p>
          <w:p w:rsidR="004C2EE3" w:rsidRPr="007115F7" w:rsidP="00140750" w14:paraId="310B4D25" w14:textId="7C7B1542">
            <w:pPr>
              <w:tabs>
                <w:tab w:val="center" w:pos="4680"/>
              </w:tabs>
              <w:suppressAutoHyphens/>
              <w:rPr>
                <w:spacing w:val="-2"/>
              </w:rPr>
            </w:pPr>
            <w:r>
              <w:rPr>
                <w:spacing w:val="-2"/>
              </w:rPr>
              <w:t>Kissimmee, FL</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06E85D08">
            <w:pPr>
              <w:pStyle w:val="TOAHeading"/>
              <w:tabs>
                <w:tab w:val="center" w:pos="4680"/>
              </w:tabs>
              <w:rPr>
                <w:spacing w:val="-2"/>
              </w:rPr>
            </w:pPr>
            <w:r w:rsidRPr="00140750">
              <w:rPr>
                <w:spacing w:val="-2"/>
              </w:rPr>
              <w:t xml:space="preserve">Facility ID No. </w:t>
            </w:r>
            <w:r w:rsidR="00441308">
              <w:rPr>
                <w:spacing w:val="-2"/>
              </w:rPr>
              <w:t>20</w:t>
            </w:r>
            <w:r w:rsidR="00B850AA">
              <w:rPr>
                <w:spacing w:val="-2"/>
              </w:rPr>
              <w:t>2624</w:t>
            </w:r>
          </w:p>
          <w:p w:rsidR="00140750" w:rsidRPr="00140750" w:rsidP="00140750" w14:paraId="31F6B7E1" w14:textId="592575C0">
            <w:pPr>
              <w:pStyle w:val="TOAHeading"/>
              <w:tabs>
                <w:tab w:val="center" w:pos="4680"/>
              </w:tabs>
              <w:rPr>
                <w:spacing w:val="-2"/>
              </w:rPr>
            </w:pPr>
            <w:r w:rsidRPr="00140750">
              <w:rPr>
                <w:spacing w:val="-2"/>
              </w:rPr>
              <w:t xml:space="preserve">NAL/Acct. No. </w:t>
            </w:r>
            <w:bookmarkStart w:id="0" w:name="_Hlk65044492"/>
            <w:r w:rsidRPr="00140750">
              <w:rPr>
                <w:spacing w:val="-2"/>
              </w:rPr>
              <w:t>MB-</w:t>
            </w:r>
            <w:bookmarkEnd w:id="0"/>
            <w:r w:rsidR="007618D0">
              <w:t>202241410003</w:t>
            </w:r>
          </w:p>
          <w:p w:rsidR="00140750" w:rsidRPr="00140750" w:rsidP="00140750" w14:paraId="60F8F9FE" w14:textId="7A3CCB00">
            <w:pPr>
              <w:pStyle w:val="TOAHeading"/>
              <w:tabs>
                <w:tab w:val="center" w:pos="4680"/>
              </w:tabs>
              <w:rPr>
                <w:spacing w:val="-2"/>
              </w:rPr>
            </w:pPr>
            <w:r w:rsidRPr="00140750">
              <w:rPr>
                <w:spacing w:val="-2"/>
              </w:rPr>
              <w:t>FRN:</w:t>
            </w:r>
            <w:r w:rsidR="002172BD">
              <w:rPr>
                <w:spacing w:val="-2"/>
              </w:rPr>
              <w:t xml:space="preserve"> </w:t>
            </w:r>
            <w:r w:rsidR="001240CA">
              <w:rPr>
                <w:spacing w:val="-2"/>
              </w:rPr>
              <w:t>00</w:t>
            </w:r>
            <w:r w:rsidR="00F56AF6">
              <w:rPr>
                <w:spacing w:val="-2"/>
              </w:rPr>
              <w:t>2</w:t>
            </w:r>
            <w:r w:rsidR="00B850AA">
              <w:rPr>
                <w:spacing w:val="-2"/>
              </w:rPr>
              <w:t>4971897</w:t>
            </w:r>
          </w:p>
          <w:p w:rsidR="004C2EE3" w:rsidP="00140750" w14:paraId="0C593CF4" w14:textId="062F2170">
            <w:pPr>
              <w:tabs>
                <w:tab w:val="center" w:pos="4680"/>
              </w:tabs>
              <w:suppressAutoHyphens/>
              <w:rPr>
                <w:spacing w:val="-2"/>
              </w:rPr>
            </w:pPr>
            <w:r w:rsidRPr="00140750">
              <w:rPr>
                <w:spacing w:val="-2"/>
              </w:rPr>
              <w:t xml:space="preserve">File No. </w:t>
            </w:r>
            <w:r w:rsidR="00596F9E">
              <w:rPr>
                <w:spacing w:val="-2"/>
              </w:rPr>
              <w:t>0000</w:t>
            </w:r>
            <w:r w:rsidR="00F56AF6">
              <w:rPr>
                <w:spacing w:val="-2"/>
              </w:rPr>
              <w:t>1</w:t>
            </w:r>
            <w:r w:rsidR="00B850AA">
              <w:rPr>
                <w:spacing w:val="-2"/>
              </w:rPr>
              <w:t>80541</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4008A1D0">
      <w:pPr>
        <w:tabs>
          <w:tab w:val="left" w:pos="720"/>
          <w:tab w:val="right" w:pos="9360"/>
        </w:tabs>
        <w:suppressAutoHyphens/>
        <w:spacing w:line="227" w:lineRule="auto"/>
        <w:rPr>
          <w:spacing w:val="-2"/>
        </w:rPr>
      </w:pPr>
      <w:r w:rsidRPr="003F17E2">
        <w:rPr>
          <w:b/>
          <w:spacing w:val="-2"/>
        </w:rPr>
        <w:t>Adopted:</w:t>
      </w:r>
      <w:r w:rsidR="00AC02B7">
        <w:rPr>
          <w:b/>
          <w:spacing w:val="-2"/>
        </w:rPr>
        <w:t xml:space="preserve"> February 4, 2022</w:t>
      </w:r>
      <w:r w:rsidRPr="003F17E2">
        <w:rPr>
          <w:b/>
          <w:spacing w:val="-2"/>
        </w:rPr>
        <w:t xml:space="preserve">  </w:t>
      </w:r>
      <w:r w:rsidRPr="003F17E2">
        <w:rPr>
          <w:b/>
          <w:spacing w:val="-2"/>
        </w:rPr>
        <w:tab/>
      </w:r>
      <w:r w:rsidRPr="003F17E2" w:rsidR="00822CE0">
        <w:rPr>
          <w:b/>
          <w:spacing w:val="-2"/>
        </w:rPr>
        <w:t>Released</w:t>
      </w:r>
      <w:r w:rsidRPr="003F17E2">
        <w:rPr>
          <w:b/>
          <w:spacing w:val="-2"/>
        </w:rPr>
        <w:t>:</w:t>
      </w:r>
      <w:r w:rsidR="00AC02B7">
        <w:rPr>
          <w:b/>
          <w:spacing w:val="-2"/>
        </w:rPr>
        <w:t xml:space="preserve"> February 4, 2022</w:t>
      </w:r>
      <w:r w:rsidRPr="003F17E2" w:rsidR="00822CE0">
        <w:rPr>
          <w:b/>
          <w:spacing w:val="-2"/>
        </w:rPr>
        <w:t xml:space="preserve"> </w:t>
      </w:r>
      <w:r w:rsidRPr="003F17E2">
        <w:rPr>
          <w:b/>
          <w:spacing w:val="-2"/>
        </w:rPr>
        <w:t xml:space="preserve"> </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27F9EE15">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r w:rsidR="00B850AA">
        <w:t>Unity Broadcasting LLC</w:t>
      </w:r>
      <w:r w:rsidR="000F6468">
        <w:t xml:space="preserve"> </w:t>
      </w:r>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FM translator station </w:t>
      </w:r>
      <w:r w:rsidR="00B850AA">
        <w:t>W264DV, Kissimmee, Florida</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73.3598</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140750" w14:paraId="3DBF3911" w14:textId="77777777">
      <w:pPr>
        <w:pStyle w:val="Heading1"/>
      </w:pPr>
      <w:r w:rsidRPr="00947B4D">
        <w:t>BACKGROUN</w:t>
      </w:r>
      <w:r>
        <w:t>D</w:t>
      </w:r>
    </w:p>
    <w:p w:rsidR="00FD0B2C" w:rsidP="00E32F73" w14:paraId="6CAF5205" w14:textId="15FA3D72">
      <w:pPr>
        <w:pStyle w:val="ParaNum"/>
        <w:widowControl/>
      </w:pPr>
      <w:r>
        <w:t xml:space="preserve">The Bureau issued Permittee a construction permit for the Translator on </w:t>
      </w:r>
      <w:r w:rsidR="008433C4">
        <w:t>November 27, 2018</w:t>
      </w:r>
      <w:r>
        <w:t xml:space="preserve">, with an expiration date </w:t>
      </w:r>
      <w:r w:rsidR="008433C4">
        <w:t>of November 27, 20</w:t>
      </w:r>
      <w:r w:rsidR="006F1580">
        <w:t>21</w:t>
      </w:r>
      <w:r w:rsidR="00F94259">
        <w:t xml:space="preserve"> (Permit)</w:t>
      </w:r>
      <w:r>
        <w:t>.</w:t>
      </w:r>
      <w:r>
        <w:rPr>
          <w:rStyle w:val="FootnoteReference"/>
        </w:rPr>
        <w:footnoteReference w:id="6"/>
      </w:r>
      <w:r>
        <w:t xml:space="preserve"> </w:t>
      </w:r>
      <w:r w:rsidR="00A41060">
        <w:t xml:space="preserve"> </w:t>
      </w:r>
      <w:r w:rsidR="00275A56">
        <w:t>However, Permittee</w:t>
      </w:r>
      <w:r w:rsidR="00C27060">
        <w:t xml:space="preserve"> </w:t>
      </w:r>
      <w:r w:rsidR="00D60D91">
        <w:t>did not</w:t>
      </w:r>
      <w:r w:rsidR="00275A56">
        <w:t xml:space="preserve"> file a covering license application by </w:t>
      </w:r>
      <w:r w:rsidR="008433C4">
        <w:t>November 27, 20</w:t>
      </w:r>
      <w:r w:rsidR="00C73BB9">
        <w:t>21</w:t>
      </w:r>
      <w:r w:rsidR="00275A56">
        <w:t>, and the</w:t>
      </w:r>
      <w:r w:rsidR="00A41060">
        <w:t xml:space="preserve"> Permit expired on its own terms that day</w:t>
      </w:r>
      <w:r w:rsidR="00275A56">
        <w:t xml:space="preserve"> </w:t>
      </w:r>
      <w:r w:rsidR="00AF350B">
        <w:t>pursuant</w:t>
      </w:r>
      <w:r w:rsidR="00275A56">
        <w:t xml:space="preserve"> to section 73.3598(e) of the R</w:t>
      </w:r>
      <w:r w:rsidR="00F92630">
        <w:t>ules</w:t>
      </w:r>
      <w:r w:rsidR="00A41060">
        <w:t>.</w:t>
      </w:r>
      <w:r>
        <w:rPr>
          <w:bCs/>
          <w:snapToGrid/>
          <w:kern w:val="0"/>
          <w:sz w:val="20"/>
          <w:vertAlign w:val="superscript"/>
        </w:rPr>
        <w:footnoteReference w:id="7"/>
      </w:r>
      <w:r w:rsidR="00A41060">
        <w:t xml:space="preserve"> </w:t>
      </w:r>
      <w:r w:rsidR="00025331">
        <w:t xml:space="preserve"> </w:t>
      </w:r>
    </w:p>
    <w:p w:rsidR="00A868D9" w:rsidP="00E32F73" w14:paraId="6520830B" w14:textId="53D1FF72">
      <w:pPr>
        <w:pStyle w:val="ParaNum"/>
        <w:widowControl/>
      </w:pPr>
      <w:r>
        <w:t>O</w:t>
      </w:r>
      <w:r w:rsidR="00AF350B">
        <w:t>n</w:t>
      </w:r>
      <w:r>
        <w:t xml:space="preserve"> </w:t>
      </w:r>
      <w:r w:rsidR="00FD0B2C">
        <w:t>January 21, 2</w:t>
      </w:r>
      <w:r w:rsidR="003B6F05">
        <w:t>0</w:t>
      </w:r>
      <w:r w:rsidR="00FD0B2C">
        <w:t>22</w:t>
      </w:r>
      <w:r>
        <w:t xml:space="preserve">, </w:t>
      </w:r>
      <w:r w:rsidR="003946B0">
        <w:t>Permittee</w:t>
      </w:r>
      <w:r>
        <w:t xml:space="preserve"> filed a </w:t>
      </w:r>
      <w:r w:rsidR="00FD0B2C">
        <w:t>covering license application</w:t>
      </w:r>
      <w:r>
        <w:t>.</w:t>
      </w:r>
      <w:r>
        <w:rPr>
          <w:rStyle w:val="FootnoteReference"/>
        </w:rPr>
        <w:footnoteReference w:id="8"/>
      </w:r>
      <w:r>
        <w:t xml:space="preserve">  </w:t>
      </w:r>
      <w:r w:rsidR="00FD0B2C">
        <w:t>Permittee requested a waiver of</w:t>
      </w:r>
      <w:r>
        <w:t xml:space="preserve"> section 73.3598 of the Rules</w:t>
      </w:r>
      <w:r w:rsidR="00231BDF">
        <w:t xml:space="preserve"> in which it demonstrates that the Translator was constructed </w:t>
      </w:r>
      <w:r w:rsidR="00231BDF">
        <w:t>prior to the expiration of the Permit</w:t>
      </w:r>
      <w:r w:rsidR="00E76FAC">
        <w:t>.</w:t>
      </w:r>
      <w:r>
        <w:rPr>
          <w:rStyle w:val="FootnoteReference"/>
        </w:rPr>
        <w:footnoteReference w:id="9"/>
      </w:r>
      <w:r w:rsidR="00E76FAC">
        <w:t xml:space="preserve">  Permittee </w:t>
      </w:r>
      <w:r w:rsidR="00FD0B2C">
        <w:t>explains that it had acquired all the requir</w:t>
      </w:r>
      <w:r w:rsidR="00FC6294">
        <w:t>ed</w:t>
      </w:r>
      <w:r w:rsidR="00FD0B2C">
        <w:t xml:space="preserve"> equipment</w:t>
      </w:r>
      <w:r w:rsidR="00B850AA">
        <w:t xml:space="preserve">, </w:t>
      </w:r>
      <w:r w:rsidR="00FD0B2C">
        <w:t xml:space="preserve">was ready to construct and </w:t>
      </w:r>
      <w:r w:rsidR="00231BDF">
        <w:t>intended</w:t>
      </w:r>
      <w:r w:rsidR="00FD0B2C">
        <w:t xml:space="preserve"> to perform the installation the week of November 2</w:t>
      </w:r>
      <w:r w:rsidR="00B850AA">
        <w:t>2</w:t>
      </w:r>
      <w:r w:rsidR="00FD0B2C">
        <w:t xml:space="preserve">, 2021, but the owners of the </w:t>
      </w:r>
      <w:r>
        <w:t>Translator’s tower site</w:t>
      </w:r>
      <w:r w:rsidR="00FD0B2C">
        <w:t xml:space="preserve"> did not apply for a </w:t>
      </w:r>
      <w:r w:rsidR="00231BDF">
        <w:t>building</w:t>
      </w:r>
      <w:r w:rsidR="00FD0B2C">
        <w:t xml:space="preserve"> permit from the City of Orlando until November 19, 2021</w:t>
      </w:r>
      <w:r>
        <w:t>.</w:t>
      </w:r>
      <w:r>
        <w:rPr>
          <w:rStyle w:val="FootnoteReference"/>
        </w:rPr>
        <w:footnoteReference w:id="10"/>
      </w:r>
      <w:r>
        <w:t xml:space="preserve">  The</w:t>
      </w:r>
      <w:r w:rsidR="00FD0B2C">
        <w:t xml:space="preserve"> </w:t>
      </w:r>
      <w:r>
        <w:t>building permit was not granted by November 23</w:t>
      </w:r>
      <w:r w:rsidRPr="00A868D9">
        <w:rPr>
          <w:vertAlign w:val="superscript"/>
        </w:rPr>
        <w:t>rd</w:t>
      </w:r>
      <w:r>
        <w:t>, attempts to contact the permitting office on November 24</w:t>
      </w:r>
      <w:r w:rsidRPr="00A868D9">
        <w:rPr>
          <w:vertAlign w:val="superscript"/>
        </w:rPr>
        <w:t>th</w:t>
      </w:r>
      <w:r>
        <w:t xml:space="preserve"> were futile, and the office was closed on </w:t>
      </w:r>
      <w:r w:rsidR="00B850AA">
        <w:t>November 25</w:t>
      </w:r>
      <w:r w:rsidRPr="00B850AA" w:rsidR="00B850AA">
        <w:rPr>
          <w:vertAlign w:val="superscript"/>
        </w:rPr>
        <w:t>th</w:t>
      </w:r>
      <w:r w:rsidR="00B850AA">
        <w:t xml:space="preserve"> and </w:t>
      </w:r>
      <w:r>
        <w:t>November 26</w:t>
      </w:r>
      <w:r w:rsidRPr="00A868D9">
        <w:rPr>
          <w:vertAlign w:val="superscript"/>
        </w:rPr>
        <w:t>th</w:t>
      </w:r>
      <w:r>
        <w:t xml:space="preserve"> in </w:t>
      </w:r>
      <w:r w:rsidR="00FD0B2C">
        <w:t>observance of Thanksgiving.</w:t>
      </w:r>
      <w:r>
        <w:rPr>
          <w:rStyle w:val="FootnoteReference"/>
        </w:rPr>
        <w:footnoteReference w:id="11"/>
      </w:r>
      <w:r w:rsidR="00FD0B2C">
        <w:t xml:space="preserve">  </w:t>
      </w:r>
    </w:p>
    <w:p w:rsidR="00140750" w:rsidRPr="00146D8A" w:rsidP="00E32F73" w14:paraId="6BFD0F40" w14:textId="6642E2FF">
      <w:pPr>
        <w:pStyle w:val="ParaNum"/>
        <w:widowControl/>
      </w:pPr>
      <w:r>
        <w:t xml:space="preserve">Permittee states that </w:t>
      </w:r>
      <w:r w:rsidR="00231BDF">
        <w:t>its counsel contact</w:t>
      </w:r>
      <w:r w:rsidR="00B850AA">
        <w:t>ed</w:t>
      </w:r>
      <w:r w:rsidR="00231BDF">
        <w:t xml:space="preserve"> the Bureau staff on November 26</w:t>
      </w:r>
      <w:r w:rsidR="00A868D9">
        <w:t>th</w:t>
      </w:r>
      <w:r w:rsidR="00231BDF">
        <w:t>—the day before the Permit expired—to request tolling.</w:t>
      </w:r>
      <w:r>
        <w:rPr>
          <w:rStyle w:val="FootnoteReference"/>
        </w:rPr>
        <w:footnoteReference w:id="12"/>
      </w:r>
      <w:r w:rsidR="00231BDF">
        <w:t xml:space="preserve">  Permittee also </w:t>
      </w:r>
      <w:r w:rsidR="00A868D9">
        <w:t>states</w:t>
      </w:r>
      <w:r w:rsidR="00231BDF">
        <w:t xml:space="preserve"> that the tower owner granted it permission to construct the </w:t>
      </w:r>
      <w:r w:rsidR="00A868D9">
        <w:t>Translator on November 27</w:t>
      </w:r>
      <w:r w:rsidRPr="00DB24ED" w:rsidR="00A868D9">
        <w:rPr>
          <w:vertAlign w:val="superscript"/>
        </w:rPr>
        <w:t>th</w:t>
      </w:r>
      <w:r w:rsidR="00DB24ED">
        <w:t>—which was done—</w:t>
      </w:r>
      <w:r w:rsidR="00231BDF">
        <w:t>but not to operate the Translator until a</w:t>
      </w:r>
      <w:r w:rsidR="00DB24ED">
        <w:t xml:space="preserve"> building</w:t>
      </w:r>
      <w:r w:rsidR="00231BDF">
        <w:t xml:space="preserve"> permit was issued.</w:t>
      </w:r>
      <w:r>
        <w:rPr>
          <w:rStyle w:val="FootnoteReference"/>
        </w:rPr>
        <w:footnoteReference w:id="13"/>
      </w:r>
      <w:r w:rsidR="00231BDF">
        <w:t xml:space="preserve">  A </w:t>
      </w:r>
      <w:r w:rsidR="00DB24ED">
        <w:t xml:space="preserve">building </w:t>
      </w:r>
      <w:r w:rsidR="00231BDF">
        <w:t>permit was finally issued on December 22</w:t>
      </w:r>
      <w:r w:rsidRPr="00B850AA" w:rsidR="00B850AA">
        <w:rPr>
          <w:vertAlign w:val="superscript"/>
        </w:rPr>
        <w:t>nd</w:t>
      </w:r>
      <w:r w:rsidR="00231BDF">
        <w:t>, but Permittee</w:t>
      </w:r>
      <w:r w:rsidR="00DB24ED">
        <w:t>’s president</w:t>
      </w:r>
      <w:r w:rsidR="00231BDF">
        <w:t xml:space="preserve"> was hospitalized with COVID-19 and failed to file a covering license</w:t>
      </w:r>
      <w:r w:rsidR="00DB24ED">
        <w:t xml:space="preserve"> until January 21</w:t>
      </w:r>
      <w:r w:rsidRPr="00B850AA" w:rsidR="00B850AA">
        <w:rPr>
          <w:vertAlign w:val="superscript"/>
        </w:rPr>
        <w:t>st</w:t>
      </w:r>
      <w:r w:rsidR="00DB24ED">
        <w:t>.</w:t>
      </w:r>
      <w:r>
        <w:rPr>
          <w:rStyle w:val="FootnoteReference"/>
        </w:rPr>
        <w:footnoteReference w:id="14"/>
      </w:r>
    </w:p>
    <w:p w:rsidR="00140750" w:rsidRPr="00146D8A" w:rsidP="00140750" w14:paraId="663EEE6D" w14:textId="77777777">
      <w:pPr>
        <w:pStyle w:val="Heading1"/>
        <w:rPr>
          <w:szCs w:val="22"/>
        </w:rPr>
      </w:pPr>
      <w:r w:rsidRPr="00753410">
        <w:t>DISCUSSION</w:t>
      </w:r>
    </w:p>
    <w:p w:rsidR="00FD0B2C" w:rsidRPr="00146D8A" w:rsidP="00231BDF" w14:paraId="4784F0DC" w14:textId="20E5959B">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73.3598(e) of the Rules</w:t>
      </w:r>
      <w:r w:rsidR="00F94259">
        <w:t>, and</w:t>
      </w:r>
      <w:r w:rsidR="000B44EA">
        <w:t xml:space="preserve"> </w:t>
      </w:r>
      <w:r w:rsidR="00231BDF">
        <w:t>began</w:t>
      </w:r>
      <w:r w:rsidR="000B44EA">
        <w:t xml:space="preserve"> </w:t>
      </w:r>
      <w:r w:rsidR="006255CA">
        <w:t>Translator</w:t>
      </w:r>
      <w:r w:rsidR="000B44EA">
        <w:t xml:space="preserve"> operations with the permitted facilities </w:t>
      </w:r>
      <w:r w:rsidR="00DB24ED">
        <w:t>on December 22, 2021,</w:t>
      </w:r>
      <w:r w:rsidR="000B44EA">
        <w:t xml:space="preserve"> </w:t>
      </w:r>
      <w:r w:rsidR="00341891">
        <w:t>and</w:t>
      </w:r>
      <w:r w:rsidR="000B44EA">
        <w:t xml:space="preserve"> did not seek </w:t>
      </w:r>
      <w:r w:rsidR="00F94259">
        <w:t>special temporary authority</w:t>
      </w:r>
      <w:r w:rsidR="000B44EA">
        <w:t xml:space="preserve"> to operate with those facilities.  Thus, </w:t>
      </w:r>
      <w:r w:rsidR="003946B0">
        <w:t>Permittee</w:t>
      </w:r>
      <w:r w:rsidR="000B44EA">
        <w:t xml:space="preserve"> engaged in unauthorized operation for </w:t>
      </w:r>
      <w:r w:rsidR="00231BDF">
        <w:t>a</w:t>
      </w:r>
      <w:r w:rsidR="00D6392C">
        <w:t xml:space="preserve"> month </w:t>
      </w:r>
      <w:r w:rsidR="000B44EA">
        <w:t xml:space="preserve">in violation of </w:t>
      </w:r>
      <w:r w:rsidR="00D6392C">
        <w:t>s</w:t>
      </w:r>
      <w:r w:rsidR="000B44EA">
        <w:t>ection 301 of the Act</w:t>
      </w:r>
      <w:r w:rsidR="00341891">
        <w:t xml:space="preserve"> before </w:t>
      </w:r>
      <w:r w:rsidR="00DB24ED">
        <w:t>it filed</w:t>
      </w:r>
      <w:r w:rsidR="00341891">
        <w:t xml:space="preserve"> the appropriate covering license application</w:t>
      </w:r>
      <w:r w:rsidR="00DB24ED">
        <w:t xml:space="preserve"> on January 21, 2022</w:t>
      </w:r>
      <w:r w:rsidR="000B44EA">
        <w: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5"/>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6"/>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7"/>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8"/>
      </w:r>
      <w:r w:rsidR="00BF575C">
        <w:rPr>
          <w:rFonts w:eastAsia="SimSun"/>
        </w:rPr>
        <w:t xml:space="preserve">  </w:t>
      </w:r>
      <w:r w:rsidRPr="008D30C5" w:rsidR="00BF575C">
        <w:t xml:space="preserve">Section 312(f)(2) of the Act provides that “[t]he term ‘repeated,’ when used with reference to the commission or omission </w:t>
      </w:r>
      <w:r w:rsidRPr="008D30C5" w:rsidR="00BF575C">
        <w:t>of any act, means the commission or omission of such act more than once or, if such commission or omission is continuous, for more than one day.”</w:t>
      </w:r>
      <w:r>
        <w:rPr>
          <w:rStyle w:val="FootnoteReference"/>
          <w:szCs w:val="22"/>
        </w:rPr>
        <w:footnoteReference w:id="19"/>
      </w:r>
      <w:r w:rsidRPr="008D30C5" w:rsidR="00BF575C">
        <w:t xml:space="preserve">  </w:t>
      </w:r>
    </w:p>
    <w:p w:rsidR="00D6392C" w:rsidRPr="00D6392C" w:rsidP="00140750" w14:paraId="50057BAA" w14:textId="38EDEBD8">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20"/>
      </w:r>
      <w:r w:rsidR="00BF575C">
        <w:t xml:space="preserve">  The guidelines also specify a base forfeiture amount of $10,000 for construction and/or operation without an instrument of authorization for the service.</w:t>
      </w:r>
      <w:r>
        <w:rPr>
          <w:rStyle w:val="FootnoteReference"/>
        </w:rPr>
        <w:footnoteReference w:id="21"/>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2"/>
      </w:r>
      <w:r>
        <w:t xml:space="preserve">  </w:t>
      </w:r>
    </w:p>
    <w:p w:rsidR="00140750" w:rsidRPr="00221720" w:rsidP="00FF6072" w14:paraId="36D2D6B7" w14:textId="7152BEC5">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23"/>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w:t>
      </w:r>
      <w:r w:rsidR="00DB24ED">
        <w:t>it began operations on December 22, 2021</w:t>
      </w:r>
      <w:r>
        <w:t>.</w:t>
      </w:r>
      <w:r>
        <w:t xml:space="preserve">  </w:t>
      </w:r>
      <w:r w:rsidR="00FD0B2C">
        <w:t>Moreover, Permittee</w:t>
      </w:r>
      <w:r w:rsidR="00B850AA">
        <w:t>’s counsel</w:t>
      </w:r>
      <w:r w:rsidR="00FD0B2C">
        <w:t xml:space="preserve"> did not contact the Bureau staff until </w:t>
      </w:r>
      <w:r w:rsidR="007F187A">
        <w:t xml:space="preserve">5:05 PM </w:t>
      </w:r>
      <w:r w:rsidR="00B850AA">
        <w:t>on the Friday</w:t>
      </w:r>
      <w:r w:rsidR="00FD0B2C">
        <w:t xml:space="preserve"> before the Permit</w:t>
      </w:r>
      <w:r w:rsidR="007F187A">
        <w:t xml:space="preserve"> expired to request tolling</w:t>
      </w:r>
      <w:r w:rsidR="00FD0B2C">
        <w:t>,</w:t>
      </w:r>
      <w:r w:rsidR="00B850AA">
        <w:t xml:space="preserve"> even though </w:t>
      </w:r>
      <w:r w:rsidR="002F7816">
        <w:t>Permitee</w:t>
      </w:r>
      <w:r w:rsidR="00B850AA">
        <w:t xml:space="preserve"> was aware several days earlier that it required additional time in which to construct,</w:t>
      </w:r>
      <w:r>
        <w:rPr>
          <w:rStyle w:val="FootnoteReference"/>
        </w:rPr>
        <w:footnoteReference w:id="24"/>
      </w:r>
      <w:r w:rsidR="007F187A">
        <w:t xml:space="preserve"> and there is no record </w:t>
      </w:r>
      <w:r w:rsidR="002F7816">
        <w:t>Permitee</w:t>
      </w:r>
      <w:r w:rsidR="007F187A">
        <w:t xml:space="preserve"> ever </w:t>
      </w:r>
      <w:r w:rsidR="002F7816">
        <w:t xml:space="preserve">properly </w:t>
      </w:r>
      <w:r w:rsidR="007F187A">
        <w:t>filed the tolling request as instructed to by the staff.</w:t>
      </w:r>
      <w:r>
        <w:rPr>
          <w:rStyle w:val="FootnoteReference"/>
        </w:rPr>
        <w:footnoteReference w:id="25"/>
      </w:r>
      <w:r w:rsidR="00FD0B2C">
        <w:t xml:space="preserve"> </w:t>
      </w:r>
      <w:r w:rsidR="007F187A">
        <w:t xml:space="preserve"> </w:t>
      </w:r>
      <w:r w:rsidR="003B6F05">
        <w:t xml:space="preserve">Finally, although we are sympathetic to the Permittee’s President’s health issues, </w:t>
      </w:r>
      <w:r w:rsidR="00AB2383">
        <w:t>the Commission has long held that “licensees are responsible for the acts and omissions of their employees and independent contractors,”</w:t>
      </w:r>
      <w:bookmarkStart w:id="2" w:name="co_tablefootnote_12_1"/>
      <w:bookmarkEnd w:id="2"/>
      <w:r w:rsidR="00AB2383">
        <w:t xml:space="preserve"> and has consistently “refused to excuse licensees from forfeiture </w:t>
      </w:r>
      <w:r w:rsidRPr="007C377D" w:rsidR="00AB2383">
        <w:t>penalties</w:t>
      </w:r>
      <w:r w:rsidR="00AB2383">
        <w:t xml:space="preserve"> where the actions of employees or independent contractors have resulted in violations”</w:t>
      </w:r>
      <w:bookmarkStart w:id="3" w:name="co_tablefootnote_13_1"/>
      <w:bookmarkEnd w:id="3"/>
      <w:r w:rsidR="00AB2383">
        <w:t xml:space="preserve"> even when those violation were attributable to the illness of an employee of the licensee.</w:t>
      </w:r>
      <w:r w:rsidRPr="00E0583B" w:rsidR="00AB2383">
        <w:rPr>
          <w:rStyle w:val="FootnoteReference"/>
        </w:rPr>
        <w:t xml:space="preserve"> </w:t>
      </w:r>
      <w:r>
        <w:rPr>
          <w:rStyle w:val="FootnoteReference"/>
        </w:rPr>
        <w:footnoteReference w:id="26"/>
      </w:r>
      <w:r w:rsidR="00AB2383">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 xml:space="preserve">,500 because, as a translator, the </w:t>
      </w:r>
      <w:r w:rsidR="006255CA">
        <w:rPr>
          <w:szCs w:val="22"/>
        </w:rPr>
        <w:t xml:space="preserve">Translator </w:t>
      </w:r>
      <w:r>
        <w:rPr>
          <w:szCs w:val="22"/>
        </w:rPr>
        <w:t>is providing a secondary service.</w:t>
      </w:r>
      <w:r>
        <w:rPr>
          <w:rStyle w:val="FootnoteReference"/>
          <w:szCs w:val="22"/>
        </w:rPr>
        <w:footnoteReference w:id="27"/>
      </w:r>
      <w:r>
        <w:t xml:space="preserve"> </w:t>
      </w:r>
      <w:r w:rsidR="006255CA">
        <w:t xml:space="preserve"> </w:t>
      </w:r>
      <w:r>
        <w:t xml:space="preserve">We will grant the Application by separate </w:t>
      </w:r>
      <w:r>
        <w:t>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1E4D20F3">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8"/>
      </w:r>
      <w:r w:rsidRPr="00947B4D">
        <w:t xml:space="preserve"> </w:t>
      </w:r>
      <w:r w:rsidR="00FD0B2C">
        <w:t xml:space="preserve">Unity </w:t>
      </w:r>
      <w:r w:rsidR="007F187A">
        <w:t>Broadcasting</w:t>
      </w:r>
      <w:r w:rsidR="00FD0B2C">
        <w:t xml:space="preserve"> LLC</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73.35</w:t>
      </w:r>
      <w:r w:rsidR="00221720">
        <w:t>98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p>
    <w:p w:rsidR="00140750" w:rsidRPr="00146D8A" w:rsidP="00140750" w14:paraId="5C577B4F" w14:textId="3FF5557E">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w:t>
      </w:r>
      <w:r w:rsidR="00A07F07">
        <w:rPr>
          <w:i/>
        </w:rPr>
        <w:t>AL</w:t>
      </w:r>
      <w:r w:rsidR="00A07F07">
        <w:rPr>
          <w:iCs/>
        </w:rPr>
        <w:t xml:space="preserve">, </w:t>
      </w:r>
      <w:r w:rsidR="008433C4">
        <w:rPr>
          <w:iCs/>
        </w:rPr>
        <w:t>Unity Broadcasting LLC</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A07F07" w:rsidRPr="00BE3744" w:rsidP="00A07F07" w14:paraId="12F415D2" w14:textId="4B8E69FB">
      <w:pPr>
        <w:pStyle w:val="ParaNum"/>
        <w:widowControl/>
        <w:rPr>
          <w:szCs w:val="22"/>
        </w:rPr>
      </w:pPr>
      <w:r w:rsidRPr="00514C8E">
        <w:rPr>
          <w:szCs w:val="22"/>
        </w:rPr>
        <w:t xml:space="preserve">Payment of the </w:t>
      </w:r>
      <w:r w:rsidRPr="00A07F07">
        <w:rPr>
          <w:szCs w:val="22"/>
        </w:rPr>
        <w:t>forfeiture must be made by credit card, ACH (Automated Clearing House) debit from a bank account using CORES (the Commission’s online payment system),</w:t>
      </w:r>
      <w:r>
        <w:rPr>
          <w:rStyle w:val="FootnoteReference"/>
          <w:szCs w:val="22"/>
        </w:rPr>
        <w:footnoteReference w:id="29"/>
      </w:r>
      <w:r w:rsidRPr="00A07F07">
        <w:rPr>
          <w:szCs w:val="22"/>
        </w:rPr>
        <w:t xml:space="preserve"> or by wire transfer.  Payments by check or money order to pay a forfeiture are</w:t>
      </w:r>
      <w:r>
        <w:rPr>
          <w:szCs w:val="22"/>
        </w:rPr>
        <w:t xml:space="preserve"> no longer accepted</w:t>
      </w:r>
      <w:r w:rsidRPr="00514C8E">
        <w:rPr>
          <w:szCs w:val="22"/>
        </w:rPr>
        <w:t>.  Below are instructions that payors should follow based on the form of payment selected:</w:t>
      </w:r>
      <w:r>
        <w:rPr>
          <w:rStyle w:val="FootnoteReference"/>
          <w:szCs w:val="22"/>
        </w:rPr>
        <w:footnoteReference w:id="30"/>
      </w:r>
      <w:r w:rsidRPr="00514C8E">
        <w:rPr>
          <w:szCs w:val="22"/>
        </w:rPr>
        <w:t xml:space="preserve"> </w:t>
      </w:r>
    </w:p>
    <w:p w:rsidR="00A07F07" w:rsidRPr="00514C8E" w:rsidP="00A07F07" w14:paraId="38F5CBCB"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A07F07" w:rsidP="00A07F07" w14:paraId="4897EE8E"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A07F07" w:rsidRPr="00546822" w:rsidP="00A07F07" w14:paraId="07A7A631" w14:textId="77777777">
      <w:pPr>
        <w:pStyle w:val="ParaNum"/>
        <w:widowControl/>
        <w:numPr>
          <w:ilvl w:val="0"/>
          <w:numId w:val="12"/>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w:t>
      </w:r>
      <w:r w:rsidRPr="00021174">
        <w:rPr>
          <w:szCs w:val="22"/>
        </w:rPr>
        <w:t xml:space="preserve">“Open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32"/>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9" w:history="1">
        <w:r w:rsidRPr="00264220">
          <w:rPr>
            <w:rStyle w:val="Hyperlink"/>
          </w:rPr>
          <w:t>ARINQUIRIES@fcc.gov</w:t>
        </w:r>
      </w:hyperlink>
      <w:r w:rsidRPr="00264220">
        <w:t>.</w:t>
      </w:r>
    </w:p>
    <w:p w:rsidR="00C6145C" w:rsidRPr="00BD5379" w:rsidP="00C6145C" w14:paraId="77E8320E" w14:textId="50356565">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1C5F2F">
        <w:rPr>
          <w:szCs w:val="22"/>
        </w:rPr>
        <w:t>g</w:t>
      </w:r>
      <w:r w:rsidRPr="00525F98">
        <w:rPr>
          <w:szCs w:val="22"/>
        </w:rPr>
        <w:t>)(3) of the Commission’s rules</w:t>
      </w:r>
      <w:r>
        <w:rPr>
          <w:szCs w:val="22"/>
        </w:rPr>
        <w:t>.</w:t>
      </w:r>
      <w:r>
        <w:rPr>
          <w:rStyle w:val="FootnoteReference"/>
          <w:szCs w:val="22"/>
        </w:rPr>
        <w:footnoteReference w:id="33"/>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34"/>
      </w:r>
      <w:r>
        <w:t xml:space="preserve"> </w:t>
      </w:r>
      <w:r w:rsidRPr="001940F0">
        <w:t xml:space="preserve">A courtesy copy emailed to </w:t>
      </w:r>
      <w:hyperlink r:id="rId10"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7CC53EEA">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35"/>
      </w:r>
      <w:r w:rsidRPr="005F7F74" w:rsidR="005F7F74">
        <w:t xml:space="preserve">  </w:t>
      </w:r>
    </w:p>
    <w:p w:rsidR="00140750" w:rsidRPr="008D4F70" w:rsidP="00BD2A6A" w14:paraId="27B417DC" w14:textId="7F18019D">
      <w:pPr>
        <w:pStyle w:val="ParaNum"/>
        <w:keepNext/>
        <w:keepLines/>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w:t>
      </w:r>
      <w:r w:rsidR="004478DF">
        <w:t xml:space="preserve"> to </w:t>
      </w:r>
      <w:r w:rsidR="00231BDF">
        <w:t>Unity Broadcasting LLC</w:t>
      </w:r>
      <w:r w:rsidR="00A07F07">
        <w:t>,</w:t>
      </w:r>
      <w:r w:rsidR="004478DF">
        <w:t xml:space="preserve"> c/o </w:t>
      </w:r>
      <w:r w:rsidR="00231BDF">
        <w:t>Shanti Persaud</w:t>
      </w:r>
      <w:r w:rsidR="00D60D91">
        <w:t xml:space="preserve">, </w:t>
      </w:r>
      <w:r w:rsidR="008433C4">
        <w:t>50 S. Clarke Road, Ocoee, FL 34761</w:t>
      </w:r>
      <w:r w:rsidR="00BD2A6A">
        <w:t xml:space="preserve">, and to its counsel, </w:t>
      </w:r>
      <w:r w:rsidR="00231BDF">
        <w:t xml:space="preserve">John C. Trent, </w:t>
      </w:r>
      <w:r w:rsidR="00231BDF">
        <w:t>Putbrese</w:t>
      </w:r>
      <w:r w:rsidR="00231BDF">
        <w:t xml:space="preserve">, Hunsaker and Trent, PC, 200 South Church Street, Woodstock, VA 22664. </w:t>
      </w:r>
    </w:p>
    <w:p w:rsidR="00140750" w:rsidP="00BD2A6A" w14:paraId="0D7BDCF6" w14:textId="77777777">
      <w:pPr>
        <w:keepNext/>
        <w:keepLines/>
      </w:pPr>
      <w:r>
        <w:tab/>
      </w:r>
      <w:r>
        <w:tab/>
      </w:r>
      <w:r>
        <w:tab/>
      </w:r>
      <w:r>
        <w:tab/>
      </w:r>
      <w:r>
        <w:tab/>
      </w:r>
      <w:r>
        <w:tab/>
        <w:t>FEDERAL COMMUNICATIONS COMMISSION</w:t>
      </w:r>
    </w:p>
    <w:p w:rsidR="00140750" w:rsidP="00BD2A6A" w14:paraId="63D88502" w14:textId="77777777">
      <w:pPr>
        <w:keepNext/>
        <w:keepLines/>
      </w:pPr>
    </w:p>
    <w:p w:rsidR="00140750" w:rsidP="00BD2A6A" w14:paraId="04738E0C" w14:textId="77777777">
      <w:pPr>
        <w:keepNext/>
        <w:keepLines/>
      </w:pPr>
    </w:p>
    <w:p w:rsidR="00140750" w:rsidP="00BD2A6A" w14:paraId="601D208C" w14:textId="77777777">
      <w:pPr>
        <w:keepNext/>
        <w:keepLines/>
      </w:pPr>
    </w:p>
    <w:p w:rsidR="00140750" w:rsidP="00BD2A6A" w14:paraId="587691EB" w14:textId="77777777">
      <w:pPr>
        <w:keepNext/>
        <w:keepLines/>
      </w:pPr>
    </w:p>
    <w:p w:rsidR="00140750" w:rsidP="00BD2A6A" w14:paraId="57C8D643" w14:textId="77777777">
      <w:pPr>
        <w:keepNext/>
        <w:keepLines/>
      </w:pPr>
      <w:r>
        <w:tab/>
      </w:r>
      <w:r>
        <w:tab/>
      </w:r>
      <w:r>
        <w:tab/>
      </w:r>
      <w:r>
        <w:tab/>
      </w:r>
      <w:r>
        <w:tab/>
      </w:r>
      <w:r>
        <w:tab/>
        <w:t>Albert Shuldiner</w:t>
      </w:r>
    </w:p>
    <w:p w:rsidR="00140750" w:rsidP="00BD2A6A" w14:paraId="4ED0A5C6" w14:textId="77777777">
      <w:pPr>
        <w:keepNext/>
        <w:keepLines/>
      </w:pPr>
      <w:r>
        <w:tab/>
      </w:r>
      <w:r>
        <w:tab/>
      </w:r>
      <w:r>
        <w:tab/>
      </w:r>
      <w:r>
        <w:tab/>
      </w:r>
      <w:r>
        <w:tab/>
      </w:r>
      <w:r>
        <w:tab/>
        <w:t>Chief, Audio Division</w:t>
      </w:r>
    </w:p>
    <w:p w:rsidR="00412FC5" w:rsidP="00BD2A6A" w14:paraId="5A1D65FF" w14:textId="4414A7C5">
      <w:pPr>
        <w:keepNext/>
        <w:keepLines/>
      </w:pPr>
      <w:r>
        <w:tab/>
      </w:r>
      <w:r>
        <w:tab/>
      </w:r>
      <w:r>
        <w:tab/>
      </w:r>
      <w:r>
        <w:tab/>
      </w:r>
      <w:r>
        <w:tab/>
      </w:r>
      <w:r>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4">
    <w:p w:rsidR="00596F9E" w:rsidP="00596F9E" w14:paraId="60B36F5A"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5">
    <w:p w:rsidR="00596F9E" w:rsidP="00596F9E" w14:paraId="180E879C" w14:textId="28E6B4E0">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6">
    <w:p w:rsidR="0084612F" w14:paraId="3B7EB862" w14:textId="59D3A5B6">
      <w:pPr>
        <w:pStyle w:val="FootnoteText"/>
      </w:pPr>
      <w:r>
        <w:rPr>
          <w:rStyle w:val="FootnoteReference"/>
        </w:rPr>
        <w:footnoteRef/>
      </w:r>
      <w:r>
        <w:t xml:space="preserve"> </w:t>
      </w:r>
      <w:r>
        <w:t>File No</w:t>
      </w:r>
      <w:r w:rsidR="008433C4">
        <w:t>s</w:t>
      </w:r>
      <w:r>
        <w:t xml:space="preserve">. </w:t>
      </w:r>
      <w:r w:rsidR="008433C4">
        <w:t>BNPFT-20181212AAI; BMPFT-20190409AAC</w:t>
      </w:r>
      <w:r>
        <w:t>.</w:t>
      </w:r>
    </w:p>
  </w:footnote>
  <w:footnote w:id="7">
    <w:p w:rsidR="00A41060" w:rsidRPr="00C17963" w:rsidP="00A41060" w14:paraId="4353A7E7" w14:textId="77777777">
      <w:pPr>
        <w:pStyle w:val="FootnoteText"/>
      </w:pPr>
      <w:r>
        <w:rPr>
          <w:rStyle w:val="FootnoteReference"/>
        </w:rPr>
        <w:footnoteRef/>
      </w:r>
      <w:r w:rsidRPr="00C17963">
        <w:t xml:space="preserve"> </w:t>
      </w:r>
      <w:r w:rsidRPr="00C17963">
        <w:t>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8">
    <w:p w:rsidR="00F92E03" w14:paraId="504476AF" w14:textId="1329FD76">
      <w:pPr>
        <w:pStyle w:val="FootnoteText"/>
      </w:pPr>
      <w:r>
        <w:rPr>
          <w:rStyle w:val="FootnoteReference"/>
        </w:rPr>
        <w:footnoteRef/>
      </w:r>
      <w:r>
        <w:t xml:space="preserve"> </w:t>
      </w:r>
      <w:r w:rsidR="00FD0B2C">
        <w:t>File No. 180541 (filed Jan. 2</w:t>
      </w:r>
      <w:r w:rsidR="00A868D9">
        <w:t>1</w:t>
      </w:r>
      <w:r w:rsidR="00FD0B2C">
        <w:t>, 2022).</w:t>
      </w:r>
      <w:r w:rsidR="00E76FAC">
        <w:t xml:space="preserve"> </w:t>
      </w:r>
    </w:p>
  </w:footnote>
  <w:footnote w:id="9">
    <w:p w:rsidR="00E76FAC" w:rsidRPr="002476A5" w:rsidP="00E76FAC" w14:paraId="691D89EF" w14:textId="02F700B6">
      <w:pPr>
        <w:pStyle w:val="FootnoteText"/>
        <w:rPr>
          <w:i/>
          <w:iCs/>
        </w:rPr>
      </w:pPr>
      <w:r>
        <w:rPr>
          <w:rStyle w:val="FootnoteReference"/>
        </w:rPr>
        <w:footnoteRef/>
      </w:r>
      <w:r>
        <w:t xml:space="preserve"> </w:t>
      </w:r>
      <w:r w:rsidR="00231BDF">
        <w:t>Application at Waiver.</w:t>
      </w:r>
      <w:r>
        <w:t xml:space="preserve">  </w:t>
      </w:r>
      <w:r>
        <w:rPr>
          <w:i/>
          <w:iCs/>
        </w:rPr>
        <w:t xml:space="preserve">See also </w:t>
      </w:r>
      <w:r w:rsidRPr="001F7DA5">
        <w:rPr>
          <w:i/>
          <w:iCs/>
        </w:rPr>
        <w:t>Clear Channel Broadcasting Licenses, Inc.</w:t>
      </w:r>
      <w:r w:rsidRPr="001F7DA5">
        <w:t xml:space="preserve">, Memorandum Opinion and Order, </w:t>
      </w:r>
      <w:bookmarkStart w:id="1" w:name="_Hlk78178508"/>
      <w:r w:rsidRPr="001F7DA5">
        <w:t xml:space="preserve">26 FCC </w:t>
      </w:r>
      <w:r w:rsidRPr="001F7DA5">
        <w:t>Rcd</w:t>
      </w:r>
      <w:r w:rsidRPr="001F7DA5">
        <w:t xml:space="preserve"> 7153</w:t>
      </w:r>
      <w:bookmarkEnd w:id="1"/>
      <w:r w:rsidRPr="001F7DA5">
        <w:t>, 7157, para 11 (2011) (</w:t>
      </w:r>
      <w:r w:rsidRPr="001F7DA5">
        <w:rPr>
          <w:i/>
          <w:iCs/>
        </w:rPr>
        <w:t>Clear Channel</w:t>
      </w:r>
      <w:r w:rsidRPr="001F7DA5">
        <w:t>) (upholding as proper the Bureau’s practice of processing a late-filed covering license application for facilities fully completed by the construction deadline through the waiver process);</w:t>
      </w:r>
      <w:r>
        <w:t xml:space="preserve"> </w:t>
      </w:r>
      <w:r w:rsidRPr="005E2DDC">
        <w:rPr>
          <w:i/>
          <w:iCs/>
        </w:rPr>
        <w:t>Cranesville</w:t>
      </w:r>
      <w:r w:rsidRPr="005E2DDC">
        <w:rPr>
          <w:i/>
          <w:iCs/>
        </w:rPr>
        <w:t xml:space="preserve"> Block Company, Inc.</w:t>
      </w:r>
      <w:r w:rsidRPr="005E2DDC">
        <w:t xml:space="preserve">, Letter Order, 27 FCC </w:t>
      </w:r>
      <w:r w:rsidRPr="005E2DDC">
        <w:t>Rcd</w:t>
      </w:r>
      <w:r w:rsidRPr="005E2DDC">
        <w:t xml:space="preserve"> 2018</w:t>
      </w:r>
      <w:r>
        <w:t xml:space="preserve">, </w:t>
      </w:r>
      <w:r w:rsidRPr="005E2DDC">
        <w:t xml:space="preserve">2019-20 </w:t>
      </w:r>
      <w:r>
        <w:t xml:space="preserve">(MB 2012) </w:t>
      </w:r>
      <w:r w:rsidRPr="005E2DDC">
        <w:t>(dismissing a</w:t>
      </w:r>
      <w:r>
        <w:t xml:space="preserve"> petition for reconsideration of an expired construction permit as procedurally improper and treating it instead as a request for waiver</w:t>
      </w:r>
      <w:r w:rsidRPr="005E2DDC">
        <w:t>).</w:t>
      </w:r>
    </w:p>
  </w:footnote>
  <w:footnote w:id="10">
    <w:p w:rsidR="00A868D9" w14:paraId="5BD1DF1D" w14:textId="15A3A5B0">
      <w:pPr>
        <w:pStyle w:val="FootnoteText"/>
      </w:pPr>
      <w:r>
        <w:rPr>
          <w:rStyle w:val="FootnoteReference"/>
        </w:rPr>
        <w:footnoteRef/>
      </w:r>
      <w:r>
        <w:t xml:space="preserve"> </w:t>
      </w:r>
      <w:r>
        <w:t>Waiver at 1.</w:t>
      </w:r>
    </w:p>
  </w:footnote>
  <w:footnote w:id="11">
    <w:p w:rsidR="00A868D9" w:rsidRPr="00A868D9" w14:paraId="3E48F638" w14:textId="7373D6BB">
      <w:pPr>
        <w:pStyle w:val="FootnoteText"/>
        <w:rPr>
          <w:i/>
          <w:iCs/>
        </w:rPr>
      </w:pPr>
      <w:r>
        <w:rPr>
          <w:rStyle w:val="FootnoteReference"/>
        </w:rPr>
        <w:footnoteRef/>
      </w:r>
      <w:r>
        <w:t xml:space="preserve"> </w:t>
      </w:r>
      <w:r>
        <w:rPr>
          <w:i/>
          <w:iCs/>
        </w:rPr>
        <w:t>Id.</w:t>
      </w:r>
    </w:p>
  </w:footnote>
  <w:footnote w:id="12">
    <w:p w:rsidR="00A868D9" w:rsidRPr="00A868D9" w14:paraId="624781A2" w14:textId="73C89C86">
      <w:pPr>
        <w:pStyle w:val="FootnoteText"/>
      </w:pPr>
      <w:r>
        <w:rPr>
          <w:rStyle w:val="FootnoteReference"/>
        </w:rPr>
        <w:footnoteRef/>
      </w:r>
      <w:r>
        <w:t xml:space="preserve"> </w:t>
      </w:r>
      <w:r>
        <w:rPr>
          <w:i/>
          <w:iCs/>
        </w:rPr>
        <w:t>Id</w:t>
      </w:r>
      <w:r>
        <w:t xml:space="preserve">. at 1-2.  </w:t>
      </w:r>
      <w:r>
        <w:rPr>
          <w:i/>
          <w:iCs/>
        </w:rPr>
        <w:t xml:space="preserve">See also </w:t>
      </w:r>
      <w:r>
        <w:t>Email from John C. Trent, Esq., to Christian Parker, Audio Division, FCC Media Bureau (Nov. 26, 2021, 5:05 PM ES</w:t>
      </w:r>
      <w:r w:rsidR="00B850AA">
        <w:t>T</w:t>
      </w:r>
      <w:r>
        <w:t>).</w:t>
      </w:r>
    </w:p>
  </w:footnote>
  <w:footnote w:id="13">
    <w:p w:rsidR="00DB24ED" w14:paraId="10365575" w14:textId="248BA02C">
      <w:pPr>
        <w:pStyle w:val="FootnoteText"/>
      </w:pPr>
      <w:r>
        <w:rPr>
          <w:rStyle w:val="FootnoteReference"/>
        </w:rPr>
        <w:footnoteRef/>
      </w:r>
      <w:r>
        <w:t xml:space="preserve"> </w:t>
      </w:r>
      <w:r>
        <w:t>Waiver at 2.</w:t>
      </w:r>
    </w:p>
  </w:footnote>
  <w:footnote w:id="14">
    <w:p w:rsidR="00DB24ED" w:rsidRPr="00DB24ED" w14:paraId="2D227821" w14:textId="3F7A9D5E">
      <w:pPr>
        <w:pStyle w:val="FootnoteText"/>
        <w:rPr>
          <w:i/>
          <w:iCs/>
        </w:rPr>
      </w:pPr>
      <w:r>
        <w:rPr>
          <w:rStyle w:val="FootnoteReference"/>
        </w:rPr>
        <w:footnoteRef/>
      </w:r>
      <w:r>
        <w:t xml:space="preserve"> </w:t>
      </w:r>
      <w:r>
        <w:rPr>
          <w:i/>
          <w:iCs/>
        </w:rPr>
        <w:t>Id.</w:t>
      </w:r>
    </w:p>
  </w:footnote>
  <w:footnote w:id="15">
    <w:p w:rsidR="00140750" w:rsidRPr="00E4519B" w:rsidP="003F17E2" w14:paraId="3B0A197D" w14:textId="77777777">
      <w:pPr>
        <w:pStyle w:val="FootnoteText"/>
        <w:widowControl w:val="0"/>
      </w:pPr>
      <w:r w:rsidRPr="00E4519B">
        <w:rPr>
          <w:rStyle w:val="FootnoteReference"/>
        </w:rPr>
        <w:footnoteRef/>
      </w:r>
      <w:r w:rsidRPr="00E4519B">
        <w:t xml:space="preserve"> </w:t>
      </w:r>
      <w:r w:rsidRPr="00E4519B">
        <w:t xml:space="preserve">47 U.S.C. § 503(b)(1)(B).  </w:t>
      </w:r>
      <w:r w:rsidRPr="00E4519B">
        <w:rPr>
          <w:i/>
        </w:rPr>
        <w:t>S</w:t>
      </w:r>
      <w:r w:rsidRPr="00E4519B">
        <w:rPr>
          <w:i/>
          <w:iCs/>
        </w:rPr>
        <w:t>ee also</w:t>
      </w:r>
      <w:r w:rsidRPr="00E4519B">
        <w:t xml:space="preserve"> 47 CFR</w:t>
      </w:r>
      <w:r>
        <w:t xml:space="preserve"> </w:t>
      </w:r>
      <w:r w:rsidRPr="00E4519B">
        <w:t>§ 1.80(a)(1).</w:t>
      </w:r>
    </w:p>
  </w:footnote>
  <w:footnote w:id="16">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7">
    <w:p w:rsidR="00140750" w:rsidRPr="00D64E57" w:rsidP="003F17E2" w14:paraId="1BF92BF5" w14:textId="77777777">
      <w:pPr>
        <w:pStyle w:val="FootnoteText"/>
        <w:widowControl w:val="0"/>
      </w:pPr>
      <w:r w:rsidRPr="00D64E57">
        <w:rPr>
          <w:rStyle w:val="FootnoteReference"/>
        </w:rPr>
        <w:footnoteRef/>
      </w:r>
      <w:r w:rsidRPr="00D64E57">
        <w:rPr>
          <w:i/>
        </w:rPr>
        <w:t xml:space="preserve"> </w:t>
      </w:r>
      <w:r w:rsidRPr="00D64E57">
        <w:rPr>
          <w:i/>
        </w:rPr>
        <w:t>See</w:t>
      </w:r>
      <w:r w:rsidRPr="00D64E57">
        <w:t xml:space="preserve"> H.R. Rep. No. 97-765, 97</w:t>
      </w:r>
      <w:r w:rsidRPr="00D64E57">
        <w:rPr>
          <w:vertAlign w:val="superscript"/>
        </w:rPr>
        <w:t>th</w:t>
      </w:r>
      <w:r w:rsidRPr="00D64E57">
        <w:t xml:space="preserve"> Cong. 2d Sess. 51 (1982).</w:t>
      </w:r>
    </w:p>
  </w:footnote>
  <w:footnote w:id="18">
    <w:p w:rsidR="00140750" w:rsidRPr="00D64E57" w:rsidP="003F17E2" w14:paraId="41182A00" w14:textId="27375176">
      <w:pPr>
        <w:pStyle w:val="FootnoteText"/>
        <w:widowControl w:val="0"/>
      </w:pPr>
      <w:r w:rsidRPr="00D64E57">
        <w:rPr>
          <w:rStyle w:val="FootnoteReference"/>
        </w:rPr>
        <w:footnoteRef/>
      </w:r>
      <w:r w:rsidRPr="00D64E57">
        <w:rPr>
          <w:i/>
          <w:iCs/>
        </w:rPr>
        <w:t xml:space="preserve"> </w:t>
      </w:r>
      <w:r w:rsidRPr="00D64E57">
        <w:rPr>
          <w:i/>
          <w:iCs/>
        </w:rPr>
        <w:t>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2172BD">
        <w:t xml:space="preserve">Memorandum Opinion and Order, </w:t>
      </w:r>
      <w:r w:rsidRPr="00D64E57">
        <w:t xml:space="preserve">7 FCC </w:t>
      </w:r>
      <w:r w:rsidRPr="00D64E57">
        <w:t>Rcd</w:t>
      </w:r>
      <w:r w:rsidRPr="00D64E57">
        <w:t xml:space="preserve"> 3454 (1992</w:t>
      </w:r>
      <w:r w:rsidRPr="00600AB4">
        <w:t>).</w:t>
      </w:r>
    </w:p>
  </w:footnote>
  <w:footnote w:id="19">
    <w:p w:rsidR="00BF575C" w:rsidRPr="006F7D37" w:rsidP="00BF575C" w14:paraId="331B20AE" w14:textId="77777777">
      <w:pPr>
        <w:pStyle w:val="Footer"/>
        <w:spacing w:after="120"/>
        <w:rPr>
          <w:sz w:val="20"/>
        </w:rPr>
      </w:pPr>
      <w:r w:rsidRPr="006F7D37">
        <w:rPr>
          <w:rStyle w:val="FootnoteReference"/>
        </w:rPr>
        <w:footnoteRef/>
      </w:r>
      <w:r w:rsidRPr="006F7D37">
        <w:rPr>
          <w:sz w:val="20"/>
        </w:rPr>
        <w:t xml:space="preserve"> </w:t>
      </w:r>
      <w:r w:rsidRPr="006F7D37">
        <w:rPr>
          <w:sz w:val="20"/>
        </w:rPr>
        <w:t xml:space="preserve">47 U.S.C. § 312(f)(2). </w:t>
      </w:r>
    </w:p>
  </w:footnote>
  <w:footnote w:id="20">
    <w:p w:rsidR="00140750" w:rsidP="00140750" w14:paraId="57100D3A" w14:textId="4D7364C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 xml:space="preserve">15 FCC </w:t>
      </w:r>
      <w:r>
        <w:rPr>
          <w:sz w:val="20"/>
        </w:rPr>
        <w:t>Rcd</w:t>
      </w:r>
      <w:r>
        <w:rPr>
          <w:sz w:val="20"/>
        </w:rPr>
        <w:t xml:space="preserve"> 303 (1999); 47 CFR § 1.80(b)(</w:t>
      </w:r>
      <w:r w:rsidR="000B44EA">
        <w:rPr>
          <w:sz w:val="20"/>
        </w:rPr>
        <w:t>10</w:t>
      </w:r>
      <w:r>
        <w:rPr>
          <w:sz w:val="20"/>
        </w:rPr>
        <w:t>), note to paragraph (b)(</w:t>
      </w:r>
      <w:r w:rsidR="000B44EA">
        <w:rPr>
          <w:sz w:val="20"/>
        </w:rPr>
        <w:t>10</w:t>
      </w:r>
      <w:r>
        <w:rPr>
          <w:sz w:val="20"/>
        </w:rPr>
        <w:t>), Section I.</w:t>
      </w:r>
    </w:p>
  </w:footnote>
  <w:footnote w:id="21">
    <w:p w:rsidR="00BF575C" w:rsidRPr="00CF021F" w:rsidP="00BF575C" w14:paraId="55F9CE8D"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22">
    <w:p w:rsidR="00140750" w:rsidRPr="00D423B0" w:rsidP="003F17E2" w14:paraId="1DD85200" w14:textId="77777777">
      <w:pPr>
        <w:pStyle w:val="FootnoteText"/>
        <w:widowControl w:val="0"/>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1.80(b)(4). </w:t>
      </w:r>
    </w:p>
  </w:footnote>
  <w:footnote w:id="23">
    <w:p w:rsidR="00D6392C" w:rsidRPr="00D6392C" w14:paraId="7726822B" w14:textId="249D7F84">
      <w:pPr>
        <w:pStyle w:val="FootnoteText"/>
      </w:pPr>
      <w:r>
        <w:rPr>
          <w:rStyle w:val="FootnoteReference"/>
        </w:rPr>
        <w:footnoteRef/>
      </w:r>
      <w:r>
        <w:t xml:space="preserve"> </w:t>
      </w:r>
      <w:r>
        <w:rPr>
          <w:i/>
          <w:iCs/>
        </w:rPr>
        <w:t>See, e.g.,</w:t>
      </w:r>
      <w:r>
        <w:t xml:space="preserve"> </w:t>
      </w:r>
      <w:r>
        <w:rPr>
          <w:i/>
          <w:iCs/>
        </w:rPr>
        <w:t>WKLC, Inc.</w:t>
      </w:r>
      <w:r>
        <w:t>, Memorandum Opinion and Order and Notice of Apparent Liability</w:t>
      </w:r>
      <w:r w:rsidR="00FC0CFA">
        <w:t xml:space="preserve">, 26 FCC </w:t>
      </w:r>
      <w:r w:rsidR="00FC0CFA">
        <w:t>Rcd</w:t>
      </w:r>
      <w:r w:rsidR="00FC0CFA">
        <w:t xml:space="preserve"> 11001 (MB 2011) (proposing $7,000 </w:t>
      </w:r>
      <w:r w:rsidR="004B5D3F">
        <w:t>forfeiture</w:t>
      </w:r>
      <w:r w:rsidR="00FC0CFA">
        <w:t xml:space="preserve"> for violation of section 73.3598 of the Rules and section 301 of the Act)</w:t>
      </w:r>
      <w:r w:rsidR="001C5F2F">
        <w:t xml:space="preserve">.  </w:t>
      </w:r>
      <w:r w:rsidRPr="00DC5CAC" w:rsidR="001C5F2F">
        <w:rPr>
          <w:i/>
          <w:iCs/>
        </w:rPr>
        <w:t xml:space="preserve">See </w:t>
      </w:r>
      <w:r w:rsidR="001C5F2F">
        <w:rPr>
          <w:i/>
          <w:iCs/>
        </w:rPr>
        <w:t xml:space="preserve">also </w:t>
      </w:r>
      <w:r w:rsidRPr="00C3027F" w:rsidR="001C5F2F">
        <w:rPr>
          <w:i/>
          <w:iCs/>
        </w:rPr>
        <w:t>Clear Channel</w:t>
      </w:r>
      <w:r w:rsidR="001C5F2F">
        <w:t xml:space="preserve">, 26 FCC </w:t>
      </w:r>
      <w:r w:rsidR="001C5F2F">
        <w:t>Rcd</w:t>
      </w:r>
      <w:r w:rsidR="001C5F2F">
        <w:t xml:space="preserve"> at 7157 </w:t>
      </w:r>
      <w:r w:rsidRPr="00E4234B" w:rsidR="001C5F2F">
        <w:rPr>
          <w:color w:val="000000" w:themeColor="text1"/>
        </w:rPr>
        <w:t>(“</w:t>
      </w:r>
      <w:r w:rsidRPr="00E4234B"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r w:rsidR="001C5F2F">
        <w:rPr>
          <w:color w:val="000000" w:themeColor="text1"/>
          <w:shd w:val="clear" w:color="auto" w:fill="FFFFFF"/>
        </w:rPr>
        <w:t>.</w:t>
      </w:r>
    </w:p>
  </w:footnote>
  <w:footnote w:id="24">
    <w:p w:rsidR="00B850AA" w14:paraId="58D54706" w14:textId="54162070">
      <w:pPr>
        <w:pStyle w:val="FootnoteText"/>
      </w:pPr>
      <w:r>
        <w:rPr>
          <w:rStyle w:val="FootnoteReference"/>
        </w:rPr>
        <w:footnoteRef/>
      </w:r>
      <w:r>
        <w:t xml:space="preserve"> </w:t>
      </w:r>
      <w:r>
        <w:rPr>
          <w:i/>
          <w:iCs/>
        </w:rPr>
        <w:t>See</w:t>
      </w:r>
      <w:r>
        <w:t xml:space="preserve"> 47 CFR §§ 73.3598(c) (a permittee must notify the Commission as promptly as possible and, in any event, within 30 days of a tolling event) and 73.3598(e) (construction permit is automatically forfeited upon the expiration date if construction has not been completed and a license application has not been filed).</w:t>
      </w:r>
    </w:p>
  </w:footnote>
  <w:footnote w:id="25">
    <w:p w:rsidR="00DB24ED" w:rsidRPr="00DB24ED" w14:paraId="1C63BF0E" w14:textId="07A28596">
      <w:pPr>
        <w:pStyle w:val="FootnoteText"/>
      </w:pPr>
      <w:r>
        <w:rPr>
          <w:rStyle w:val="FootnoteReference"/>
        </w:rPr>
        <w:footnoteRef/>
      </w:r>
      <w:r>
        <w:t xml:space="preserve"> </w:t>
      </w:r>
      <w:r>
        <w:rPr>
          <w:i/>
          <w:iCs/>
        </w:rPr>
        <w:t xml:space="preserve">See </w:t>
      </w:r>
      <w:r>
        <w:t xml:space="preserve">Email from </w:t>
      </w:r>
      <w:r w:rsidR="0060353B">
        <w:t>James Bradshaw, Audio Division, FCC Media Bureau, to John C. Trent, Esq. (Nov. 29, 2021, 3:53 PM EST).</w:t>
      </w:r>
    </w:p>
  </w:footnote>
  <w:footnote w:id="26">
    <w:p w:rsidR="00AB2383" w:rsidRPr="00D27175" w:rsidP="00AB2383" w14:paraId="09375608" w14:textId="77777777">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Whidbey Island Center for the Arts</w:t>
      </w:r>
      <w:r w:rsidRPr="00AB2383">
        <w:rPr>
          <w:rStyle w:val="Emphasis"/>
          <w:i w:val="0"/>
          <w:iCs w:val="0"/>
          <w:bdr w:val="none" w:sz="0" w:space="0" w:color="auto" w:frame="1"/>
          <w:shd w:val="clear" w:color="auto" w:fill="FFFFFF"/>
        </w:rPr>
        <w:t xml:space="preserve">, Forfeiture Order, 25 FCC </w:t>
      </w:r>
      <w:r w:rsidRPr="00AB2383">
        <w:rPr>
          <w:rStyle w:val="Emphasis"/>
          <w:i w:val="0"/>
          <w:iCs w:val="0"/>
          <w:bdr w:val="none" w:sz="0" w:space="0" w:color="auto" w:frame="1"/>
          <w:shd w:val="clear" w:color="auto" w:fill="FFFFFF"/>
        </w:rPr>
        <w:t>Rcd</w:t>
      </w:r>
      <w:r w:rsidRPr="00AB2383">
        <w:rPr>
          <w:rStyle w:val="Emphasis"/>
          <w:i w:val="0"/>
          <w:iCs w:val="0"/>
          <w:bdr w:val="none" w:sz="0" w:space="0" w:color="auto" w:frame="1"/>
          <w:shd w:val="clear" w:color="auto" w:fill="FFFFFF"/>
        </w:rPr>
        <w:t xml:space="preserve"> 8204 at 8205, para. 6 (MB 2010) (rejecting argument that proposed forfeiture for untimely filing of renewal application should be reduced or cancelled based on the health issues and departure of the party responsible for Commission filings).</w:t>
      </w:r>
    </w:p>
  </w:footnote>
  <w:footnote w:id="27">
    <w:p w:rsidR="00140750" w:rsidRPr="000A65AC" w:rsidP="003F17E2" w14:paraId="0ECE7B02" w14:textId="1EC0526F">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w:t>
      </w:r>
      <w:r w:rsidR="006255CA">
        <w:t>reducing $3,000 base forfeiture to</w:t>
      </w:r>
      <w:r>
        <w:t xml:space="preserve"> $1,500 for untimely filed renewal application </w:t>
      </w:r>
      <w:r w:rsidR="006255CA">
        <w:t>filed by</w:t>
      </w:r>
      <w:r>
        <w:t xml:space="preserve"> FM translator station).</w:t>
      </w:r>
    </w:p>
  </w:footnote>
  <w:footnote w:id="28">
    <w:p w:rsidR="005F7F74" w14:paraId="6DDA34AA" w14:textId="3F385F2D">
      <w:pPr>
        <w:pStyle w:val="FootnoteText"/>
      </w:pPr>
      <w:r>
        <w:rPr>
          <w:rStyle w:val="FootnoteReference"/>
        </w:rPr>
        <w:footnoteRef/>
      </w:r>
      <w:r>
        <w:t xml:space="preserve"> </w:t>
      </w:r>
      <w:bookmarkStart w:id="4" w:name="_Hlk63415835"/>
      <w:r w:rsidRPr="005F7F74">
        <w:t>47 U.S.C. § 503(b)</w:t>
      </w:r>
      <w:r>
        <w:t>; 4</w:t>
      </w:r>
      <w:r w:rsidRPr="005F7F74">
        <w:t>7 CFR § 1.80.</w:t>
      </w:r>
      <w:bookmarkEnd w:id="4"/>
    </w:p>
  </w:footnote>
  <w:footnote w:id="29">
    <w:p w:rsidR="00A07F07" w:rsidRPr="00514C8E" w:rsidP="00A07F07" w14:paraId="459F48CB"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30">
    <w:p w:rsidR="00A07F07" w:rsidRPr="00514C8E" w:rsidP="00A07F07" w14:paraId="0AB866EC"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1">
    <w:p w:rsidR="00A07F07" w:rsidRPr="00514C8E" w:rsidP="00A07F07" w14:paraId="5F5110AC"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32">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33">
    <w:p w:rsidR="00C6145C" w:rsidP="00C6145C" w14:paraId="21D533EE" w14:textId="1970BB38">
      <w:pPr>
        <w:pStyle w:val="FootnoteText"/>
        <w:widowControl w:val="0"/>
      </w:pPr>
      <w:r>
        <w:rPr>
          <w:rStyle w:val="FootnoteReference"/>
        </w:rPr>
        <w:footnoteRef/>
      </w:r>
      <w:r>
        <w:t xml:space="preserve"> </w:t>
      </w:r>
      <w:r>
        <w:t>47 CFR §§ 1.16 and 1.80(</w:t>
      </w:r>
      <w:r w:rsidR="001C5F2F">
        <w:t>g</w:t>
      </w:r>
      <w:r>
        <w:t>)(3).</w:t>
      </w:r>
    </w:p>
  </w:footnote>
  <w:footnote w:id="34">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35">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42B2BC18">
    <w:pPr>
      <w:pStyle w:val="Header"/>
      <w:rPr>
        <w:b w:val="0"/>
      </w:rPr>
    </w:pPr>
    <w:r>
      <w:tab/>
    </w:r>
    <w:r>
      <w:t>Federal Communications Commission</w:t>
    </w:r>
    <w:r>
      <w:tab/>
    </w:r>
    <w:r w:rsidR="00140750">
      <w:t>DA 2</w:t>
    </w:r>
    <w:r w:rsidR="00A07F07">
      <w:t>2</w:t>
    </w:r>
    <w:r w:rsidR="00140750">
      <w:t>-</w:t>
    </w:r>
    <w:r w:rsidR="007618D0">
      <w:t>108</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5517C2B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140750">
      <w:rPr>
        <w:spacing w:val="-2"/>
      </w:rPr>
      <w:t>DA 2</w:t>
    </w:r>
    <w:r w:rsidR="0060353B">
      <w:rPr>
        <w:spacing w:val="-2"/>
      </w:rPr>
      <w:t>2</w:t>
    </w:r>
    <w:r w:rsidR="00140750">
      <w:rPr>
        <w:spacing w:val="-2"/>
      </w:rPr>
      <w:t>-</w:t>
    </w:r>
    <w:r w:rsidR="007618D0">
      <w:rPr>
        <w:spacing w:val="-2"/>
      </w:rPr>
      <w:t>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2"/>
  </w:num>
  <w:num w:numId="7">
    <w:abstractNumId w:val="5"/>
  </w:num>
  <w:num w:numId="8">
    <w:abstractNumId w:val="0"/>
  </w:num>
  <w:num w:numId="9">
    <w:abstractNumId w:val="8"/>
  </w:num>
  <w:num w:numId="10">
    <w:abstractNumId w:val="10"/>
  </w:num>
  <w:num w:numId="11">
    <w:abstractNumId w:val="9"/>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02F5"/>
    <w:rsid w:val="00021174"/>
    <w:rsid w:val="00025331"/>
    <w:rsid w:val="00025BF3"/>
    <w:rsid w:val="00036039"/>
    <w:rsid w:val="00037F90"/>
    <w:rsid w:val="00044E42"/>
    <w:rsid w:val="000634FA"/>
    <w:rsid w:val="0006558A"/>
    <w:rsid w:val="000725CB"/>
    <w:rsid w:val="000875BF"/>
    <w:rsid w:val="00093FC8"/>
    <w:rsid w:val="00096D8C"/>
    <w:rsid w:val="000A65AC"/>
    <w:rsid w:val="000B15EF"/>
    <w:rsid w:val="000B44EA"/>
    <w:rsid w:val="000C0B65"/>
    <w:rsid w:val="000C4D69"/>
    <w:rsid w:val="000D2FDB"/>
    <w:rsid w:val="000E05FE"/>
    <w:rsid w:val="000E3D42"/>
    <w:rsid w:val="000F2026"/>
    <w:rsid w:val="000F3DE4"/>
    <w:rsid w:val="000F6468"/>
    <w:rsid w:val="0010399E"/>
    <w:rsid w:val="00122BD5"/>
    <w:rsid w:val="001240CA"/>
    <w:rsid w:val="00124FB3"/>
    <w:rsid w:val="00132193"/>
    <w:rsid w:val="0013316D"/>
    <w:rsid w:val="00133F79"/>
    <w:rsid w:val="00140750"/>
    <w:rsid w:val="001416FB"/>
    <w:rsid w:val="00146D8A"/>
    <w:rsid w:val="00152E4C"/>
    <w:rsid w:val="00152F4B"/>
    <w:rsid w:val="00175910"/>
    <w:rsid w:val="00187498"/>
    <w:rsid w:val="001940F0"/>
    <w:rsid w:val="00194A66"/>
    <w:rsid w:val="001C5F2F"/>
    <w:rsid w:val="001D0823"/>
    <w:rsid w:val="001D6BCF"/>
    <w:rsid w:val="001E01CA"/>
    <w:rsid w:val="001F7DA5"/>
    <w:rsid w:val="00215867"/>
    <w:rsid w:val="002172BD"/>
    <w:rsid w:val="00221720"/>
    <w:rsid w:val="00231BDF"/>
    <w:rsid w:val="00244DA3"/>
    <w:rsid w:val="00245789"/>
    <w:rsid w:val="002476A5"/>
    <w:rsid w:val="00250597"/>
    <w:rsid w:val="002546D1"/>
    <w:rsid w:val="00257770"/>
    <w:rsid w:val="00264220"/>
    <w:rsid w:val="00275A56"/>
    <w:rsid w:val="00275CF5"/>
    <w:rsid w:val="00282655"/>
    <w:rsid w:val="0028301F"/>
    <w:rsid w:val="00285017"/>
    <w:rsid w:val="0028627D"/>
    <w:rsid w:val="002A2D2E"/>
    <w:rsid w:val="002C00E8"/>
    <w:rsid w:val="002C655D"/>
    <w:rsid w:val="002F1961"/>
    <w:rsid w:val="002F4279"/>
    <w:rsid w:val="002F7816"/>
    <w:rsid w:val="00341891"/>
    <w:rsid w:val="00343749"/>
    <w:rsid w:val="003577E1"/>
    <w:rsid w:val="003660ED"/>
    <w:rsid w:val="003664DA"/>
    <w:rsid w:val="003946B0"/>
    <w:rsid w:val="003B0550"/>
    <w:rsid w:val="003B694F"/>
    <w:rsid w:val="003B6F05"/>
    <w:rsid w:val="003F171C"/>
    <w:rsid w:val="003F17E2"/>
    <w:rsid w:val="0040710E"/>
    <w:rsid w:val="00412FC5"/>
    <w:rsid w:val="00422276"/>
    <w:rsid w:val="004242F1"/>
    <w:rsid w:val="00434675"/>
    <w:rsid w:val="00441308"/>
    <w:rsid w:val="004450EA"/>
    <w:rsid w:val="00445A00"/>
    <w:rsid w:val="004478DF"/>
    <w:rsid w:val="00451B0F"/>
    <w:rsid w:val="00460B7A"/>
    <w:rsid w:val="004711FC"/>
    <w:rsid w:val="00476992"/>
    <w:rsid w:val="00481FFA"/>
    <w:rsid w:val="004B33E9"/>
    <w:rsid w:val="004B5D3F"/>
    <w:rsid w:val="004C2CAB"/>
    <w:rsid w:val="004C2EE3"/>
    <w:rsid w:val="004E40F1"/>
    <w:rsid w:val="004E4A22"/>
    <w:rsid w:val="00511968"/>
    <w:rsid w:val="00512D18"/>
    <w:rsid w:val="00513883"/>
    <w:rsid w:val="00514C8E"/>
    <w:rsid w:val="00525F98"/>
    <w:rsid w:val="005373CC"/>
    <w:rsid w:val="00546822"/>
    <w:rsid w:val="00555D44"/>
    <w:rsid w:val="0055614C"/>
    <w:rsid w:val="00566D06"/>
    <w:rsid w:val="00591AAC"/>
    <w:rsid w:val="00596F9E"/>
    <w:rsid w:val="005B2CE7"/>
    <w:rsid w:val="005B6CC4"/>
    <w:rsid w:val="005D0C20"/>
    <w:rsid w:val="005E14C2"/>
    <w:rsid w:val="005E2DDC"/>
    <w:rsid w:val="005F0307"/>
    <w:rsid w:val="005F5ACF"/>
    <w:rsid w:val="005F7F74"/>
    <w:rsid w:val="00600AB4"/>
    <w:rsid w:val="0060353B"/>
    <w:rsid w:val="00607BA5"/>
    <w:rsid w:val="0061180A"/>
    <w:rsid w:val="00614D11"/>
    <w:rsid w:val="006255CA"/>
    <w:rsid w:val="00626EB6"/>
    <w:rsid w:val="00655D03"/>
    <w:rsid w:val="00683388"/>
    <w:rsid w:val="00683F84"/>
    <w:rsid w:val="006A6A81"/>
    <w:rsid w:val="006F1580"/>
    <w:rsid w:val="006F4495"/>
    <w:rsid w:val="006F7393"/>
    <w:rsid w:val="006F7D37"/>
    <w:rsid w:val="0070224F"/>
    <w:rsid w:val="0071139E"/>
    <w:rsid w:val="007115F7"/>
    <w:rsid w:val="00753410"/>
    <w:rsid w:val="007618D0"/>
    <w:rsid w:val="0077399F"/>
    <w:rsid w:val="007743C9"/>
    <w:rsid w:val="00785689"/>
    <w:rsid w:val="0079754B"/>
    <w:rsid w:val="007A1E6D"/>
    <w:rsid w:val="007A2495"/>
    <w:rsid w:val="007A502A"/>
    <w:rsid w:val="007B0EB2"/>
    <w:rsid w:val="007B3516"/>
    <w:rsid w:val="007B357C"/>
    <w:rsid w:val="007B767F"/>
    <w:rsid w:val="007C377D"/>
    <w:rsid w:val="007C476C"/>
    <w:rsid w:val="007D0C67"/>
    <w:rsid w:val="007D0E3F"/>
    <w:rsid w:val="007E569D"/>
    <w:rsid w:val="007F187A"/>
    <w:rsid w:val="007F223C"/>
    <w:rsid w:val="007F42C5"/>
    <w:rsid w:val="00810B6F"/>
    <w:rsid w:val="00815718"/>
    <w:rsid w:val="00822CE0"/>
    <w:rsid w:val="00823FF9"/>
    <w:rsid w:val="00841AB1"/>
    <w:rsid w:val="008433C4"/>
    <w:rsid w:val="0084612F"/>
    <w:rsid w:val="00874E66"/>
    <w:rsid w:val="008C4A33"/>
    <w:rsid w:val="008C6117"/>
    <w:rsid w:val="008C68F1"/>
    <w:rsid w:val="008D30C5"/>
    <w:rsid w:val="008D4F70"/>
    <w:rsid w:val="00921803"/>
    <w:rsid w:val="00926503"/>
    <w:rsid w:val="009377D8"/>
    <w:rsid w:val="00943ACD"/>
    <w:rsid w:val="00947B4D"/>
    <w:rsid w:val="009726D8"/>
    <w:rsid w:val="00982BF9"/>
    <w:rsid w:val="009D576D"/>
    <w:rsid w:val="009D7308"/>
    <w:rsid w:val="009F76DB"/>
    <w:rsid w:val="00A069B5"/>
    <w:rsid w:val="00A07F07"/>
    <w:rsid w:val="00A27808"/>
    <w:rsid w:val="00A32C3B"/>
    <w:rsid w:val="00A41060"/>
    <w:rsid w:val="00A45F4F"/>
    <w:rsid w:val="00A600A9"/>
    <w:rsid w:val="00A8013F"/>
    <w:rsid w:val="00A868D9"/>
    <w:rsid w:val="00AA120E"/>
    <w:rsid w:val="00AA55B7"/>
    <w:rsid w:val="00AA5B9E"/>
    <w:rsid w:val="00AB2383"/>
    <w:rsid w:val="00AB2407"/>
    <w:rsid w:val="00AB53DF"/>
    <w:rsid w:val="00AC02B7"/>
    <w:rsid w:val="00AD0047"/>
    <w:rsid w:val="00AF350B"/>
    <w:rsid w:val="00AF64B2"/>
    <w:rsid w:val="00B07E5C"/>
    <w:rsid w:val="00B10690"/>
    <w:rsid w:val="00B3712A"/>
    <w:rsid w:val="00B4063A"/>
    <w:rsid w:val="00B811F7"/>
    <w:rsid w:val="00B8499A"/>
    <w:rsid w:val="00B850AA"/>
    <w:rsid w:val="00B913E9"/>
    <w:rsid w:val="00B945BD"/>
    <w:rsid w:val="00B97556"/>
    <w:rsid w:val="00BA5DC6"/>
    <w:rsid w:val="00BA6196"/>
    <w:rsid w:val="00BC6D8C"/>
    <w:rsid w:val="00BD2A6A"/>
    <w:rsid w:val="00BD5379"/>
    <w:rsid w:val="00BE3744"/>
    <w:rsid w:val="00BF575C"/>
    <w:rsid w:val="00BF7164"/>
    <w:rsid w:val="00BF7B55"/>
    <w:rsid w:val="00C17963"/>
    <w:rsid w:val="00C23825"/>
    <w:rsid w:val="00C27060"/>
    <w:rsid w:val="00C3027F"/>
    <w:rsid w:val="00C34006"/>
    <w:rsid w:val="00C36B4C"/>
    <w:rsid w:val="00C426B1"/>
    <w:rsid w:val="00C52FD3"/>
    <w:rsid w:val="00C55A17"/>
    <w:rsid w:val="00C6145C"/>
    <w:rsid w:val="00C66160"/>
    <w:rsid w:val="00C721AC"/>
    <w:rsid w:val="00C72C30"/>
    <w:rsid w:val="00C73BB9"/>
    <w:rsid w:val="00C90D6A"/>
    <w:rsid w:val="00CA247E"/>
    <w:rsid w:val="00CA4CE7"/>
    <w:rsid w:val="00CA6D21"/>
    <w:rsid w:val="00CC72B6"/>
    <w:rsid w:val="00CF021F"/>
    <w:rsid w:val="00D0218D"/>
    <w:rsid w:val="00D16857"/>
    <w:rsid w:val="00D25FB5"/>
    <w:rsid w:val="00D27175"/>
    <w:rsid w:val="00D423B0"/>
    <w:rsid w:val="00D44223"/>
    <w:rsid w:val="00D60D91"/>
    <w:rsid w:val="00D6392C"/>
    <w:rsid w:val="00D64E57"/>
    <w:rsid w:val="00D84577"/>
    <w:rsid w:val="00D8571E"/>
    <w:rsid w:val="00D975B7"/>
    <w:rsid w:val="00DA2529"/>
    <w:rsid w:val="00DB10EE"/>
    <w:rsid w:val="00DB130A"/>
    <w:rsid w:val="00DB24ED"/>
    <w:rsid w:val="00DB2EBB"/>
    <w:rsid w:val="00DC10A1"/>
    <w:rsid w:val="00DC543F"/>
    <w:rsid w:val="00DC5CAC"/>
    <w:rsid w:val="00DC655F"/>
    <w:rsid w:val="00DD0B59"/>
    <w:rsid w:val="00DD7EBD"/>
    <w:rsid w:val="00DF62B6"/>
    <w:rsid w:val="00E0583B"/>
    <w:rsid w:val="00E07225"/>
    <w:rsid w:val="00E1189A"/>
    <w:rsid w:val="00E15AFA"/>
    <w:rsid w:val="00E26139"/>
    <w:rsid w:val="00E32F73"/>
    <w:rsid w:val="00E4234B"/>
    <w:rsid w:val="00E4519B"/>
    <w:rsid w:val="00E5409F"/>
    <w:rsid w:val="00E60119"/>
    <w:rsid w:val="00E66756"/>
    <w:rsid w:val="00E76FAC"/>
    <w:rsid w:val="00E80030"/>
    <w:rsid w:val="00EE25D2"/>
    <w:rsid w:val="00EE4177"/>
    <w:rsid w:val="00EE6488"/>
    <w:rsid w:val="00EE7018"/>
    <w:rsid w:val="00F021FA"/>
    <w:rsid w:val="00F02727"/>
    <w:rsid w:val="00F11399"/>
    <w:rsid w:val="00F36DD9"/>
    <w:rsid w:val="00F56AF6"/>
    <w:rsid w:val="00F62E97"/>
    <w:rsid w:val="00F64209"/>
    <w:rsid w:val="00F67AFF"/>
    <w:rsid w:val="00F92630"/>
    <w:rsid w:val="00F92E03"/>
    <w:rsid w:val="00F93BF5"/>
    <w:rsid w:val="00F94259"/>
    <w:rsid w:val="00FC0CFA"/>
    <w:rsid w:val="00FC6294"/>
    <w:rsid w:val="00FD0B2C"/>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618D0"/>
    <w:pPr>
      <w:widowControl w:val="0"/>
    </w:pPr>
    <w:rPr>
      <w:snapToGrid w:val="0"/>
      <w:kern w:val="28"/>
      <w:sz w:val="22"/>
    </w:rPr>
  </w:style>
  <w:style w:type="paragraph" w:styleId="Heading1">
    <w:name w:val="heading 1"/>
    <w:basedOn w:val="Normal"/>
    <w:next w:val="ParaNum"/>
    <w:link w:val="Heading1Char"/>
    <w:qFormat/>
    <w:rsid w:val="007618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18D0"/>
    <w:pPr>
      <w:keepNext/>
      <w:numPr>
        <w:ilvl w:val="1"/>
        <w:numId w:val="3"/>
      </w:numPr>
      <w:spacing w:after="120"/>
      <w:outlineLvl w:val="1"/>
    </w:pPr>
    <w:rPr>
      <w:b/>
    </w:rPr>
  </w:style>
  <w:style w:type="paragraph" w:styleId="Heading3">
    <w:name w:val="heading 3"/>
    <w:basedOn w:val="Normal"/>
    <w:next w:val="ParaNum"/>
    <w:qFormat/>
    <w:rsid w:val="007618D0"/>
    <w:pPr>
      <w:keepNext/>
      <w:numPr>
        <w:ilvl w:val="2"/>
        <w:numId w:val="3"/>
      </w:numPr>
      <w:tabs>
        <w:tab w:val="left" w:pos="2160"/>
      </w:tabs>
      <w:spacing w:after="120"/>
      <w:outlineLvl w:val="2"/>
    </w:pPr>
    <w:rPr>
      <w:b/>
    </w:rPr>
  </w:style>
  <w:style w:type="paragraph" w:styleId="Heading4">
    <w:name w:val="heading 4"/>
    <w:basedOn w:val="Normal"/>
    <w:next w:val="ParaNum"/>
    <w:qFormat/>
    <w:rsid w:val="007618D0"/>
    <w:pPr>
      <w:keepNext/>
      <w:numPr>
        <w:ilvl w:val="3"/>
        <w:numId w:val="3"/>
      </w:numPr>
      <w:tabs>
        <w:tab w:val="left" w:pos="2880"/>
      </w:tabs>
      <w:spacing w:after="120"/>
      <w:outlineLvl w:val="3"/>
    </w:pPr>
    <w:rPr>
      <w:b/>
    </w:rPr>
  </w:style>
  <w:style w:type="paragraph" w:styleId="Heading5">
    <w:name w:val="heading 5"/>
    <w:basedOn w:val="Normal"/>
    <w:next w:val="ParaNum"/>
    <w:qFormat/>
    <w:rsid w:val="007618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18D0"/>
    <w:pPr>
      <w:numPr>
        <w:ilvl w:val="5"/>
        <w:numId w:val="3"/>
      </w:numPr>
      <w:tabs>
        <w:tab w:val="left" w:pos="4320"/>
      </w:tabs>
      <w:spacing w:after="120"/>
      <w:outlineLvl w:val="5"/>
    </w:pPr>
    <w:rPr>
      <w:b/>
    </w:rPr>
  </w:style>
  <w:style w:type="paragraph" w:styleId="Heading7">
    <w:name w:val="heading 7"/>
    <w:basedOn w:val="Normal"/>
    <w:next w:val="ParaNum"/>
    <w:qFormat/>
    <w:rsid w:val="007618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18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18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18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18D0"/>
  </w:style>
  <w:style w:type="paragraph" w:customStyle="1" w:styleId="ParaNum">
    <w:name w:val="ParaNum"/>
    <w:basedOn w:val="Normal"/>
    <w:link w:val="ParaNumChar"/>
    <w:rsid w:val="007618D0"/>
    <w:pPr>
      <w:numPr>
        <w:numId w:val="2"/>
      </w:numPr>
      <w:tabs>
        <w:tab w:val="clear" w:pos="1080"/>
        <w:tab w:val="num" w:pos="1440"/>
      </w:tabs>
      <w:spacing w:after="120"/>
    </w:pPr>
  </w:style>
  <w:style w:type="paragraph" w:styleId="EndnoteText">
    <w:name w:val="endnote text"/>
    <w:basedOn w:val="Normal"/>
    <w:semiHidden/>
    <w:rsid w:val="007618D0"/>
    <w:rPr>
      <w:sz w:val="20"/>
    </w:rPr>
  </w:style>
  <w:style w:type="character" w:styleId="EndnoteReference">
    <w:name w:val="endnote reference"/>
    <w:semiHidden/>
    <w:rsid w:val="007618D0"/>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618D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618D0"/>
    <w:rPr>
      <w:rFonts w:ascii="Times New Roman" w:hAnsi="Times New Roman"/>
      <w:dstrike w:val="0"/>
      <w:color w:val="auto"/>
      <w:sz w:val="20"/>
      <w:vertAlign w:val="superscript"/>
    </w:rPr>
  </w:style>
  <w:style w:type="paragraph" w:styleId="TOC1">
    <w:name w:val="toc 1"/>
    <w:basedOn w:val="Normal"/>
    <w:next w:val="Normal"/>
    <w:semiHidden/>
    <w:rsid w:val="007618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18D0"/>
    <w:pPr>
      <w:tabs>
        <w:tab w:val="left" w:pos="720"/>
        <w:tab w:val="right" w:leader="dot" w:pos="9360"/>
      </w:tabs>
      <w:suppressAutoHyphens/>
      <w:ind w:left="720" w:right="720" w:hanging="360"/>
    </w:pPr>
    <w:rPr>
      <w:noProof/>
    </w:rPr>
  </w:style>
  <w:style w:type="paragraph" w:styleId="TOC3">
    <w:name w:val="toc 3"/>
    <w:basedOn w:val="Normal"/>
    <w:next w:val="Normal"/>
    <w:semiHidden/>
    <w:rsid w:val="007618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18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18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18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18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18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18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18D0"/>
    <w:pPr>
      <w:tabs>
        <w:tab w:val="right" w:pos="9360"/>
      </w:tabs>
      <w:suppressAutoHyphens/>
    </w:pPr>
  </w:style>
  <w:style w:type="character" w:customStyle="1" w:styleId="EquationCaption">
    <w:name w:val="_Equation Caption"/>
    <w:rsid w:val="007618D0"/>
  </w:style>
  <w:style w:type="paragraph" w:styleId="Header">
    <w:name w:val="header"/>
    <w:basedOn w:val="Normal"/>
    <w:autoRedefine/>
    <w:rsid w:val="007618D0"/>
    <w:pPr>
      <w:tabs>
        <w:tab w:val="center" w:pos="4680"/>
        <w:tab w:val="right" w:pos="9360"/>
      </w:tabs>
    </w:pPr>
    <w:rPr>
      <w:b/>
    </w:rPr>
  </w:style>
  <w:style w:type="paragraph" w:styleId="Footer">
    <w:name w:val="footer"/>
    <w:basedOn w:val="Normal"/>
    <w:link w:val="FooterChar"/>
    <w:uiPriority w:val="99"/>
    <w:rsid w:val="007618D0"/>
    <w:pPr>
      <w:tabs>
        <w:tab w:val="center" w:pos="4320"/>
        <w:tab w:val="right" w:pos="8640"/>
      </w:tabs>
    </w:pPr>
  </w:style>
  <w:style w:type="character" w:styleId="PageNumber">
    <w:name w:val="page number"/>
    <w:basedOn w:val="DefaultParagraphFont"/>
    <w:rsid w:val="007618D0"/>
  </w:style>
  <w:style w:type="paragraph" w:styleId="BlockText">
    <w:name w:val="Block Text"/>
    <w:basedOn w:val="Normal"/>
    <w:rsid w:val="007618D0"/>
    <w:pPr>
      <w:spacing w:after="240"/>
      <w:ind w:left="1440" w:right="1440"/>
    </w:pPr>
  </w:style>
  <w:style w:type="paragraph" w:customStyle="1" w:styleId="Paratitle">
    <w:name w:val="Para title"/>
    <w:basedOn w:val="Normal"/>
    <w:rsid w:val="007618D0"/>
    <w:pPr>
      <w:tabs>
        <w:tab w:val="center" w:pos="9270"/>
      </w:tabs>
      <w:spacing w:after="240"/>
    </w:pPr>
    <w:rPr>
      <w:spacing w:val="-2"/>
    </w:rPr>
  </w:style>
  <w:style w:type="paragraph" w:customStyle="1" w:styleId="Bullet">
    <w:name w:val="Bullet"/>
    <w:basedOn w:val="Normal"/>
    <w:rsid w:val="007618D0"/>
    <w:pPr>
      <w:tabs>
        <w:tab w:val="left" w:pos="2160"/>
      </w:tabs>
      <w:spacing w:after="220"/>
      <w:ind w:left="2160" w:hanging="720"/>
    </w:pPr>
  </w:style>
  <w:style w:type="paragraph" w:customStyle="1" w:styleId="TableFormat">
    <w:name w:val="TableFormat"/>
    <w:basedOn w:val="Bullet"/>
    <w:rsid w:val="007618D0"/>
    <w:pPr>
      <w:tabs>
        <w:tab w:val="clear" w:pos="2160"/>
        <w:tab w:val="left" w:pos="5040"/>
      </w:tabs>
      <w:ind w:left="5040" w:hanging="3600"/>
    </w:pPr>
  </w:style>
  <w:style w:type="paragraph" w:customStyle="1" w:styleId="TOCTitle">
    <w:name w:val="TOC Title"/>
    <w:basedOn w:val="Normal"/>
    <w:rsid w:val="007618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18D0"/>
    <w:pPr>
      <w:jc w:val="center"/>
    </w:pPr>
    <w:rPr>
      <w:rFonts w:ascii="Times New Roman Bold" w:hAnsi="Times New Roman Bold"/>
      <w:b/>
      <w:bCs/>
      <w:caps/>
      <w:szCs w:val="22"/>
    </w:rPr>
  </w:style>
  <w:style w:type="character" w:styleId="Hyperlink">
    <w:name w:val="Hyperlink"/>
    <w:rsid w:val="007618D0"/>
    <w:rPr>
      <w:color w:val="0000FF"/>
      <w:u w:val="single"/>
    </w:rPr>
  </w:style>
  <w:style w:type="character" w:customStyle="1" w:styleId="FooterChar">
    <w:name w:val="Footer Char"/>
    <w:link w:val="Footer"/>
    <w:uiPriority w:val="99"/>
    <w:rsid w:val="007618D0"/>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