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2.0 -->
  <w:body>
    <w:p w:rsidR="00831895" w:rsidP="00831895" w14:paraId="4F9D7797" w14:textId="77777777">
      <w:pPr>
        <w:pStyle w:val="Title"/>
        <w:outlineLvl w:val="0"/>
        <w:rPr>
          <w:szCs w:val="22"/>
        </w:rPr>
      </w:pPr>
      <w:r>
        <w:rPr>
          <w:szCs w:val="22"/>
        </w:rPr>
        <w:t>Before the</w:t>
      </w:r>
    </w:p>
    <w:p w:rsidR="00831895" w:rsidP="00831895" w14:paraId="6701B29F" w14:textId="77777777">
      <w:pPr>
        <w:pStyle w:val="Subtitle"/>
        <w:ind w:firstLine="0"/>
        <w:outlineLvl w:val="0"/>
      </w:pPr>
      <w:r>
        <w:t>Federal Communications Commission</w:t>
      </w:r>
    </w:p>
    <w:p w:rsidR="00831895" w:rsidP="00831895" w14:paraId="472E64A3" w14:textId="77777777">
      <w:pPr>
        <w:jc w:val="center"/>
        <w:outlineLvl w:val="0"/>
        <w:rPr>
          <w:b/>
        </w:rPr>
      </w:pPr>
      <w:r>
        <w:rPr>
          <w:b/>
        </w:rPr>
        <w:t>Washington, D.C. 20554</w:t>
      </w:r>
    </w:p>
    <w:p w:rsidR="00831895" w:rsidP="00831895" w14:paraId="59D7AA1D" w14:textId="77777777">
      <w:pPr>
        <w:tabs>
          <w:tab w:val="left" w:pos="-720"/>
        </w:tabs>
        <w:suppressAutoHyphens/>
        <w:spacing w:line="225" w:lineRule="auto"/>
        <w:rPr>
          <w:spacing w:val="-2"/>
        </w:rPr>
      </w:pPr>
    </w:p>
    <w:tbl>
      <w:tblPr>
        <w:tblW w:w="9180" w:type="dxa"/>
        <w:tblLayout w:type="fixed"/>
        <w:tblLook w:val="04A0"/>
      </w:tblPr>
      <w:tblGrid>
        <w:gridCol w:w="4698"/>
        <w:gridCol w:w="410"/>
        <w:gridCol w:w="4072"/>
      </w:tblGrid>
      <w:tr w14:paraId="71895547" w14:textId="77777777" w:rsidTr="00CB5BA4">
        <w:tblPrEx>
          <w:tblW w:w="9180" w:type="dxa"/>
          <w:tblLayout w:type="fixed"/>
          <w:tblLook w:val="04A0"/>
        </w:tblPrEx>
        <w:trPr>
          <w:trHeight w:val="2160"/>
        </w:trPr>
        <w:tc>
          <w:tcPr>
            <w:tcW w:w="4698" w:type="dxa"/>
          </w:tcPr>
          <w:p w:rsidR="00831895" w:rsidP="00B42372" w14:paraId="41A5FFC3" w14:textId="77777777">
            <w:pPr>
              <w:pStyle w:val="TOAHeading"/>
              <w:tabs>
                <w:tab w:val="center" w:pos="4680"/>
              </w:tabs>
              <w:rPr>
                <w:spacing w:val="-2"/>
              </w:rPr>
            </w:pPr>
            <w:r>
              <w:rPr>
                <w:spacing w:val="-2"/>
              </w:rPr>
              <w:t>In the Matter of</w:t>
            </w:r>
          </w:p>
          <w:p w:rsidR="00831895" w:rsidP="00B42372" w14:paraId="1851C4E4" w14:textId="77777777">
            <w:pPr>
              <w:pStyle w:val="TOAHeading"/>
              <w:tabs>
                <w:tab w:val="center" w:pos="4680"/>
              </w:tabs>
              <w:rPr>
                <w:spacing w:val="-2"/>
              </w:rPr>
            </w:pPr>
          </w:p>
          <w:p w:rsidR="00831895" w:rsidP="00B42372" w14:paraId="13FB2BA2" w14:textId="525248AA">
            <w:pPr>
              <w:rPr>
                <w:szCs w:val="22"/>
              </w:rPr>
            </w:pPr>
            <w:r>
              <w:rPr>
                <w:szCs w:val="22"/>
              </w:rPr>
              <w:t>C</w:t>
            </w:r>
            <w:r w:rsidR="00535981">
              <w:rPr>
                <w:szCs w:val="22"/>
              </w:rPr>
              <w:t>enturyLink</w:t>
            </w:r>
          </w:p>
          <w:p w:rsidR="00831895" w:rsidP="00B42372" w14:paraId="25C5A04C" w14:textId="77777777">
            <w:pPr>
              <w:tabs>
                <w:tab w:val="center" w:pos="4680"/>
              </w:tabs>
              <w:suppressAutoHyphens/>
              <w:ind w:firstLine="720"/>
            </w:pPr>
          </w:p>
          <w:p w:rsidR="00831895" w:rsidP="00B42372" w14:paraId="29A35129" w14:textId="77777777">
            <w:pPr>
              <w:pStyle w:val="TOAHeading"/>
              <w:tabs>
                <w:tab w:val="center" w:pos="4680"/>
              </w:tabs>
            </w:pPr>
            <w:r>
              <w:t xml:space="preserve">Complaint Regarding </w:t>
            </w:r>
          </w:p>
          <w:p w:rsidR="00831895" w:rsidP="00B42372" w14:paraId="796D6BA8" w14:textId="77777777">
            <w:pPr>
              <w:pStyle w:val="TOAHeading"/>
              <w:tabs>
                <w:tab w:val="center" w:pos="4680"/>
              </w:tabs>
            </w:pPr>
            <w:r>
              <w:t>Unauthorized Change of</w:t>
            </w:r>
          </w:p>
          <w:p w:rsidR="00831895" w:rsidP="00B42372" w14:paraId="75C7FD18" w14:textId="77777777">
            <w:pPr>
              <w:pStyle w:val="TOAHeading"/>
              <w:tabs>
                <w:tab w:val="center" w:pos="4680"/>
              </w:tabs>
            </w:pPr>
            <w:r>
              <w:rPr>
                <w:szCs w:val="22"/>
              </w:rPr>
              <w:t>Subscriber</w:t>
            </w:r>
            <w:r w:rsidR="00504345">
              <w:rPr>
                <w:szCs w:val="22"/>
              </w:rPr>
              <w:t>’s</w:t>
            </w:r>
            <w:r>
              <w:t xml:space="preserve"> Telecommunications Carrier</w:t>
            </w:r>
          </w:p>
        </w:tc>
        <w:tc>
          <w:tcPr>
            <w:tcW w:w="410" w:type="dxa"/>
            <w:hideMark/>
          </w:tcPr>
          <w:p w:rsidR="00831895" w:rsidP="00B42372" w14:paraId="144585AC" w14:textId="77777777">
            <w:pPr>
              <w:tabs>
                <w:tab w:val="center" w:pos="4680"/>
              </w:tabs>
              <w:suppressAutoHyphens/>
              <w:rPr>
                <w:b/>
                <w:spacing w:val="-2"/>
              </w:rPr>
            </w:pPr>
            <w:r>
              <w:rPr>
                <w:b/>
                <w:spacing w:val="-2"/>
              </w:rPr>
              <w:t>)</w:t>
            </w:r>
          </w:p>
          <w:p w:rsidR="00831895" w:rsidP="00B42372" w14:paraId="4A25C604" w14:textId="77777777">
            <w:pPr>
              <w:tabs>
                <w:tab w:val="center" w:pos="4680"/>
              </w:tabs>
              <w:suppressAutoHyphens/>
              <w:rPr>
                <w:b/>
                <w:spacing w:val="-2"/>
              </w:rPr>
            </w:pPr>
            <w:r>
              <w:rPr>
                <w:b/>
                <w:spacing w:val="-2"/>
              </w:rPr>
              <w:t>)</w:t>
            </w:r>
          </w:p>
          <w:p w:rsidR="00831895" w:rsidP="00B42372" w14:paraId="262A5994" w14:textId="77777777">
            <w:pPr>
              <w:tabs>
                <w:tab w:val="center" w:pos="4680"/>
              </w:tabs>
              <w:suppressAutoHyphens/>
              <w:rPr>
                <w:b/>
                <w:spacing w:val="-2"/>
              </w:rPr>
            </w:pPr>
            <w:r>
              <w:rPr>
                <w:b/>
                <w:spacing w:val="-2"/>
              </w:rPr>
              <w:t>)</w:t>
            </w:r>
          </w:p>
          <w:p w:rsidR="00831895" w:rsidP="00B42372" w14:paraId="41BB393D" w14:textId="77777777">
            <w:pPr>
              <w:tabs>
                <w:tab w:val="center" w:pos="4680"/>
              </w:tabs>
              <w:suppressAutoHyphens/>
              <w:rPr>
                <w:b/>
                <w:spacing w:val="-2"/>
              </w:rPr>
            </w:pPr>
            <w:r>
              <w:rPr>
                <w:b/>
                <w:spacing w:val="-2"/>
              </w:rPr>
              <w:t>)</w:t>
            </w:r>
          </w:p>
          <w:p w:rsidR="00831895" w:rsidP="00B42372" w14:paraId="468FB506" w14:textId="77777777">
            <w:pPr>
              <w:tabs>
                <w:tab w:val="center" w:pos="4680"/>
              </w:tabs>
              <w:suppressAutoHyphens/>
              <w:rPr>
                <w:b/>
                <w:spacing w:val="-2"/>
              </w:rPr>
            </w:pPr>
            <w:r>
              <w:rPr>
                <w:b/>
                <w:spacing w:val="-2"/>
              </w:rPr>
              <w:t>)</w:t>
            </w:r>
          </w:p>
          <w:p w:rsidR="00831895" w:rsidP="00B42372" w14:paraId="1220752F" w14:textId="77777777">
            <w:pPr>
              <w:tabs>
                <w:tab w:val="center" w:pos="4680"/>
              </w:tabs>
              <w:suppressAutoHyphens/>
              <w:rPr>
                <w:b/>
                <w:spacing w:val="-2"/>
              </w:rPr>
            </w:pPr>
            <w:r>
              <w:rPr>
                <w:b/>
                <w:spacing w:val="-2"/>
              </w:rPr>
              <w:t>)</w:t>
            </w:r>
          </w:p>
          <w:p w:rsidR="00831895" w:rsidP="00B42372" w14:paraId="023C42ED" w14:textId="77777777">
            <w:pPr>
              <w:tabs>
                <w:tab w:val="center" w:pos="4680"/>
              </w:tabs>
              <w:suppressAutoHyphens/>
              <w:rPr>
                <w:b/>
                <w:spacing w:val="-2"/>
              </w:rPr>
            </w:pPr>
            <w:r>
              <w:rPr>
                <w:b/>
                <w:spacing w:val="-2"/>
              </w:rPr>
              <w:t>)</w:t>
            </w:r>
          </w:p>
        </w:tc>
        <w:tc>
          <w:tcPr>
            <w:tcW w:w="4072" w:type="dxa"/>
          </w:tcPr>
          <w:p w:rsidR="00831895" w:rsidP="00B42372" w14:paraId="5CE03013" w14:textId="77777777">
            <w:pPr>
              <w:tabs>
                <w:tab w:val="center" w:pos="4680"/>
              </w:tabs>
              <w:suppressAutoHyphens/>
              <w:rPr>
                <w:spacing w:val="-2"/>
              </w:rPr>
            </w:pPr>
          </w:p>
          <w:p w:rsidR="00831895" w:rsidP="00B42372" w14:paraId="1FA128AA" w14:textId="77777777">
            <w:pPr>
              <w:tabs>
                <w:tab w:val="center" w:pos="4680"/>
              </w:tabs>
              <w:suppressAutoHyphens/>
              <w:rPr>
                <w:spacing w:val="-2"/>
              </w:rPr>
            </w:pPr>
          </w:p>
          <w:p w:rsidR="00831895" w:rsidP="00B42372" w14:paraId="04A1D17C" w14:textId="4D64A6A3">
            <w:pPr>
              <w:pStyle w:val="TOAHeading"/>
              <w:ind w:left="-30"/>
              <w:rPr>
                <w:szCs w:val="22"/>
              </w:rPr>
            </w:pPr>
            <w:r>
              <w:rPr>
                <w:szCs w:val="22"/>
              </w:rPr>
              <w:t xml:space="preserve">  </w:t>
            </w:r>
            <w:r>
              <w:rPr>
                <w:szCs w:val="22"/>
              </w:rPr>
              <w:t xml:space="preserve">Complaint No.  </w:t>
            </w:r>
            <w:r w:rsidR="00535981">
              <w:rPr>
                <w:szCs w:val="22"/>
              </w:rPr>
              <w:t>5715257</w:t>
            </w:r>
          </w:p>
          <w:p w:rsidR="00831895" w:rsidRPr="001479C4" w:rsidP="00B42372" w14:paraId="4EEE3FB6" w14:textId="77777777">
            <w:r>
              <w:t xml:space="preserve">                          </w:t>
            </w:r>
          </w:p>
          <w:p w:rsidR="00831895" w:rsidP="00B42372" w14:paraId="250F15C4" w14:textId="77777777">
            <w:r>
              <w:t xml:space="preserve">                           </w:t>
            </w:r>
          </w:p>
          <w:p w:rsidR="00831895" w:rsidP="00B42372" w14:paraId="4EC2C237" w14:textId="77777777">
            <w:pPr>
              <w:pStyle w:val="TOAHeading"/>
              <w:rPr>
                <w:szCs w:val="22"/>
              </w:rPr>
            </w:pPr>
            <w:r>
              <w:rPr>
                <w:szCs w:val="22"/>
              </w:rPr>
              <w:t xml:space="preserve">                         </w:t>
            </w:r>
          </w:p>
          <w:p w:rsidR="00831895" w:rsidP="00B42372" w14:paraId="20A192CC" w14:textId="77777777">
            <w:r>
              <w:t xml:space="preserve">                      </w:t>
            </w:r>
          </w:p>
        </w:tc>
      </w:tr>
    </w:tbl>
    <w:p w:rsidR="00831895" w:rsidP="00831895" w14:paraId="3C997556" w14:textId="77777777">
      <w:pPr>
        <w:jc w:val="center"/>
        <w:rPr>
          <w:b/>
        </w:rPr>
      </w:pPr>
      <w:r>
        <w:rPr>
          <w:b/>
        </w:rPr>
        <w:t>ORDER</w:t>
      </w:r>
    </w:p>
    <w:p w:rsidR="00831895" w:rsidP="00831895" w14:paraId="6637377C" w14:textId="77777777">
      <w:pPr>
        <w:tabs>
          <w:tab w:val="left" w:pos="-720"/>
        </w:tabs>
        <w:suppressAutoHyphens/>
        <w:spacing w:line="225" w:lineRule="auto"/>
        <w:ind w:left="720"/>
        <w:rPr>
          <w:spacing w:val="-2"/>
        </w:rPr>
      </w:pPr>
    </w:p>
    <w:p w:rsidR="00831895" w:rsidP="00831895" w14:paraId="6F5888AE" w14:textId="3E3B2F50">
      <w:pPr>
        <w:tabs>
          <w:tab w:val="left" w:pos="0"/>
          <w:tab w:val="left" w:pos="5760"/>
        </w:tabs>
        <w:suppressAutoHyphens/>
        <w:spacing w:line="225" w:lineRule="auto"/>
        <w:rPr>
          <w:spacing w:val="-2"/>
        </w:rPr>
      </w:pPr>
      <w:r>
        <w:rPr>
          <w:b/>
          <w:spacing w:val="-2"/>
        </w:rPr>
        <w:t xml:space="preserve">Adopted: </w:t>
      </w:r>
      <w:r w:rsidR="0054271B">
        <w:rPr>
          <w:b/>
          <w:spacing w:val="-2"/>
        </w:rPr>
        <w:t xml:space="preserve"> </w:t>
      </w:r>
      <w:r w:rsidR="00A96D20">
        <w:rPr>
          <w:b/>
          <w:spacing w:val="-2"/>
        </w:rPr>
        <w:t>October</w:t>
      </w:r>
      <w:r w:rsidR="006F6E18">
        <w:rPr>
          <w:b/>
          <w:spacing w:val="-2"/>
        </w:rPr>
        <w:t xml:space="preserve"> </w:t>
      </w:r>
      <w:r w:rsidR="00A96D20">
        <w:rPr>
          <w:b/>
          <w:spacing w:val="-2"/>
        </w:rPr>
        <w:t>14</w:t>
      </w:r>
      <w:r w:rsidR="00FF079C">
        <w:rPr>
          <w:b/>
          <w:spacing w:val="-2"/>
        </w:rPr>
        <w:t>, 202</w:t>
      </w:r>
      <w:r w:rsidR="00896BC5">
        <w:rPr>
          <w:b/>
          <w:spacing w:val="-2"/>
        </w:rPr>
        <w:t>2</w:t>
      </w:r>
      <w:r w:rsidR="00824E27">
        <w:rPr>
          <w:b/>
          <w:spacing w:val="-2"/>
        </w:rPr>
        <w:tab/>
      </w:r>
      <w:r>
        <w:rPr>
          <w:b/>
          <w:spacing w:val="-2"/>
        </w:rPr>
        <w:t xml:space="preserve">Released: </w:t>
      </w:r>
      <w:r w:rsidR="0054271B">
        <w:rPr>
          <w:b/>
          <w:spacing w:val="-2"/>
        </w:rPr>
        <w:t xml:space="preserve"> </w:t>
      </w:r>
      <w:r w:rsidR="00A96D20">
        <w:rPr>
          <w:b/>
          <w:spacing w:val="-2"/>
        </w:rPr>
        <w:t>October</w:t>
      </w:r>
      <w:r w:rsidR="00896BC5">
        <w:rPr>
          <w:b/>
          <w:spacing w:val="-2"/>
        </w:rPr>
        <w:t xml:space="preserve"> </w:t>
      </w:r>
      <w:r w:rsidR="00A96D20">
        <w:rPr>
          <w:b/>
          <w:spacing w:val="-2"/>
        </w:rPr>
        <w:t>17</w:t>
      </w:r>
      <w:r w:rsidR="00FF079C">
        <w:rPr>
          <w:b/>
          <w:spacing w:val="-2"/>
        </w:rPr>
        <w:t>, 202</w:t>
      </w:r>
      <w:r w:rsidR="00896BC5">
        <w:rPr>
          <w:b/>
          <w:spacing w:val="-2"/>
        </w:rPr>
        <w:t>2</w:t>
      </w:r>
    </w:p>
    <w:p w:rsidR="00831895" w:rsidP="00831895" w14:paraId="328065FC" w14:textId="77777777"/>
    <w:p w:rsidR="00831895" w:rsidP="00831895" w14:paraId="02D5483F" w14:textId="235FD6EE">
      <w:pPr>
        <w:spacing w:after="120"/>
      </w:pPr>
      <w:r>
        <w:t xml:space="preserve">By the </w:t>
      </w:r>
      <w:r w:rsidR="009D7D97">
        <w:t xml:space="preserve">Acting </w:t>
      </w:r>
      <w:r>
        <w:t>Chief, Consumer Policy Division, Consumer and Governmental Affairs Bureau:</w:t>
      </w:r>
    </w:p>
    <w:p w:rsidR="00831895" w:rsidP="00831895" w14:paraId="4B41483E" w14:textId="4A449863">
      <w:pPr>
        <w:numPr>
          <w:ilvl w:val="0"/>
          <w:numId w:val="7"/>
        </w:numPr>
        <w:tabs>
          <w:tab w:val="num" w:pos="0"/>
        </w:tabs>
        <w:snapToGrid w:val="0"/>
        <w:spacing w:after="120"/>
        <w:ind w:left="0" w:firstLine="720"/>
      </w:pPr>
      <w:r>
        <w:t xml:space="preserve">In this Order, we consider a complaint alleging that </w:t>
      </w:r>
      <w:r w:rsidR="00535981">
        <w:t>CenturyLink</w:t>
      </w:r>
      <w:r>
        <w:t xml:space="preserve"> changed Complainant’s telecommunications service provider without obtaining authorization and verification from Complainant as required by the Commission’s rules.</w:t>
      </w:r>
      <w:r>
        <w:rPr>
          <w:rStyle w:val="FootnoteReference"/>
          <w:szCs w:val="22"/>
        </w:rPr>
        <w:footnoteReference w:id="3"/>
      </w:r>
      <w:r>
        <w:t xml:space="preserve">  </w:t>
      </w:r>
      <w:r w:rsidRPr="006D5400" w:rsidR="0012751C">
        <w:rPr>
          <w:szCs w:val="22"/>
        </w:rPr>
        <w:t xml:space="preserve">We </w:t>
      </w:r>
      <w:r w:rsidR="0012751C">
        <w:rPr>
          <w:szCs w:val="22"/>
        </w:rPr>
        <w:t>find</w:t>
      </w:r>
      <w:r w:rsidRPr="006D5400" w:rsidR="0012751C">
        <w:rPr>
          <w:szCs w:val="22"/>
        </w:rPr>
        <w:t xml:space="preserve"> that </w:t>
      </w:r>
      <w:r w:rsidR="0012751C">
        <w:rPr>
          <w:szCs w:val="22"/>
        </w:rPr>
        <w:t>CenturyLink</w:t>
      </w:r>
      <w:r w:rsidRPr="006D5400" w:rsidR="0012751C">
        <w:rPr>
          <w:szCs w:val="22"/>
        </w:rPr>
        <w:t>’s actions did not result in an unauthorized change in Complainant’s telecommunications service provider, and we deny Complainant’s complaint.</w:t>
      </w:r>
    </w:p>
    <w:p w:rsidR="00831895" w:rsidP="00831895" w14:paraId="227D4493" w14:textId="77777777">
      <w:pPr>
        <w:numPr>
          <w:ilvl w:val="0"/>
          <w:numId w:val="7"/>
        </w:numPr>
        <w:tabs>
          <w:tab w:val="num" w:pos="0"/>
        </w:tabs>
        <w:snapToGrid w:val="0"/>
        <w:spacing w:after="120"/>
        <w:ind w:left="0" w:firstLine="720"/>
      </w:pPr>
      <w:r>
        <w:t>Section 258 of the Communications Act of 1934, as amended (the Act), prohibits the practice of “slamming,” the submission or execution of an unauthorized change in a subscriber’s selection of a provider of telephone exchange service or telephone toll service.</w:t>
      </w:r>
      <w:r>
        <w:rPr>
          <w:rStyle w:val="FootnoteReference"/>
        </w:rPr>
        <w:footnoteReference w:id="4"/>
      </w:r>
      <w:r>
        <w:t xml:space="preserve">  The Commission’s implementing rules require, among other things, that a carrier receive individual subscriber consent before a carrier change may occur.</w:t>
      </w:r>
      <w:r>
        <w:rPr>
          <w:rStyle w:val="FootnoteReference"/>
        </w:rPr>
        <w:footnoteReference w:id="5"/>
      </w:r>
      <w:r>
        <w:t xml:space="preserve">  Specifically, a carrier must: (1) obtain the subscriber’s written or electronically signed authorization in a format that satisfies our rules; (2) obtain confirmation from the subscriber via a toll-free number provided exclusively for the purpose of confirming orders electronically; or (3) utilize an appropriately qualified independent third party to verify the order.</w:t>
      </w:r>
      <w:r>
        <w:rPr>
          <w:rStyle w:val="FootnoteReference"/>
        </w:rPr>
        <w:footnoteReference w:id="6"/>
      </w:r>
      <w:r>
        <w:t xml:space="preserve">  The Commission has </w:t>
      </w:r>
      <w:r w:rsidR="00BC1E31">
        <w:t xml:space="preserve">also </w:t>
      </w:r>
      <w:r>
        <w:t>adopted rules to limit the liability of subscribers when a</w:t>
      </w:r>
      <w:r w:rsidR="005A3966">
        <w:t>n unauthorized</w:t>
      </w:r>
      <w:r>
        <w:t xml:space="preserve"> carrier change occurs, and to require carriers involved in slamming practices to compensate subscribers whose carriers were changed without authorization.</w:t>
      </w:r>
      <w:r>
        <w:rPr>
          <w:rStyle w:val="FootnoteReference"/>
        </w:rPr>
        <w:footnoteReference w:id="7"/>
      </w:r>
      <w:r>
        <w:t xml:space="preserve"> </w:t>
      </w:r>
    </w:p>
    <w:p w:rsidR="00831895" w:rsidP="00831895" w14:paraId="3ABC81E9" w14:textId="2E8E3B27">
      <w:pPr>
        <w:numPr>
          <w:ilvl w:val="0"/>
          <w:numId w:val="7"/>
        </w:numPr>
        <w:tabs>
          <w:tab w:val="num" w:pos="0"/>
        </w:tabs>
        <w:snapToGrid w:val="0"/>
        <w:spacing w:after="120"/>
        <w:ind w:left="0" w:firstLine="720"/>
      </w:pPr>
      <w:r>
        <w:t xml:space="preserve">We received Complainant’s complaint alleging that </w:t>
      </w:r>
      <w:r w:rsidR="00535981">
        <w:t>CenturyLink</w:t>
      </w:r>
      <w:r>
        <w:t xml:space="preserve"> had changed </w:t>
      </w:r>
      <w:r>
        <w:t>Complainant’s telecommunications service provider without Complainant’s authorization.  Pursuant to our rules,</w:t>
      </w:r>
      <w:r w:rsidR="00504345">
        <w:rPr>
          <w:rStyle w:val="FootnoteReference"/>
        </w:rPr>
        <w:t xml:space="preserve"> </w:t>
      </w:r>
      <w:r>
        <w:t xml:space="preserve">we notified </w:t>
      </w:r>
      <w:r w:rsidR="00535981">
        <w:t>CenturyLink</w:t>
      </w:r>
      <w:r>
        <w:t xml:space="preserve"> of the complaint.</w:t>
      </w:r>
      <w:r>
        <w:rPr>
          <w:rStyle w:val="FootnoteReference"/>
          <w:szCs w:val="22"/>
        </w:rPr>
        <w:footnoteReference w:id="8"/>
      </w:r>
      <w:r>
        <w:t xml:space="preserve">  </w:t>
      </w:r>
      <w:r w:rsidR="0006408C">
        <w:t>In its response, CenturyLink states that Complainant subscribes to CenturyLink for local service and to Trans World Network for lo</w:t>
      </w:r>
      <w:r w:rsidR="00376C11">
        <w:t>ng</w:t>
      </w:r>
      <w:r w:rsidR="0006408C">
        <w:t xml:space="preserve"> distance service.</w:t>
      </w:r>
      <w:r>
        <w:rPr>
          <w:rStyle w:val="FootnoteReference"/>
        </w:rPr>
        <w:footnoteReference w:id="9"/>
      </w:r>
      <w:r w:rsidR="00B36E59">
        <w:t xml:space="preserve"> </w:t>
      </w:r>
      <w:r w:rsidR="0006408C">
        <w:t xml:space="preserve"> It further states that it did not initiate a carrier change for Complainant’s long distance service but that </w:t>
      </w:r>
      <w:r w:rsidR="00376C11">
        <w:t>two long distance calls “reverted to CenturyLink for billing.”</w:t>
      </w:r>
      <w:r>
        <w:rPr>
          <w:rStyle w:val="FootnoteReference"/>
        </w:rPr>
        <w:footnoteReference w:id="10"/>
      </w:r>
      <w:r w:rsidR="00376C11">
        <w:t xml:space="preserve">  </w:t>
      </w:r>
      <w:r w:rsidR="00B36E59">
        <w:t xml:space="preserve">CenturyLink asserts that it fully credited Complainant for the </w:t>
      </w:r>
      <w:r w:rsidR="00BF4BDF">
        <w:t xml:space="preserve">long distance </w:t>
      </w:r>
      <w:r w:rsidR="00B36E59">
        <w:t>charges.</w:t>
      </w:r>
      <w:r>
        <w:rPr>
          <w:rStyle w:val="FootnoteReference"/>
        </w:rPr>
        <w:footnoteReference w:id="11"/>
      </w:r>
      <w:r w:rsidR="00B36E59">
        <w:t xml:space="preserve">  Thus, based on the evidence in the record, we conclude that CenturyLink’s actions</w:t>
      </w:r>
      <w:r w:rsidRPr="006D5400" w:rsidR="00B36E59">
        <w:rPr>
          <w:szCs w:val="22"/>
        </w:rPr>
        <w:t xml:space="preserve"> did not result in an “unauthorized change” in Complainant’s telecommunications service provider, as defined in the rules.</w:t>
      </w:r>
      <w:r>
        <w:rPr>
          <w:rStyle w:val="FootnoteReference"/>
          <w:szCs w:val="22"/>
        </w:rPr>
        <w:footnoteReference w:id="12"/>
      </w:r>
    </w:p>
    <w:p w:rsidR="00831895" w:rsidP="00831895" w14:paraId="6CD09E8F" w14:textId="23D28CFC">
      <w:pPr>
        <w:numPr>
          <w:ilvl w:val="0"/>
          <w:numId w:val="7"/>
        </w:numPr>
        <w:tabs>
          <w:tab w:val="num" w:pos="0"/>
        </w:tabs>
        <w:snapToGrid w:val="0"/>
        <w:spacing w:after="120"/>
        <w:ind w:left="0" w:firstLine="720"/>
      </w:pPr>
      <w:r>
        <w:t xml:space="preserve">Accordingly, IT IS ORDERED that, pursuant to section 258 of the Communications Act of 1934, as amended, 47 U.S.C. § 258, and sections 0.141, 0.361 and 1.719 of the Commission’s rules, 47 CFR §§ 0.141, 0.361, 1.719, the complaint filed against </w:t>
      </w:r>
      <w:r w:rsidR="00535981">
        <w:t>CenturyLink</w:t>
      </w:r>
      <w:r>
        <w:t xml:space="preserve"> </w:t>
      </w:r>
      <w:r w:rsidR="00504345">
        <w:t>IS</w:t>
      </w:r>
      <w:r>
        <w:t xml:space="preserve"> </w:t>
      </w:r>
      <w:r w:rsidR="00B36E59">
        <w:t>DENIED</w:t>
      </w:r>
      <w:r>
        <w:t>.</w:t>
      </w:r>
    </w:p>
    <w:p w:rsidR="00831895" w:rsidP="00831895" w14:paraId="1A5FC8C4" w14:textId="77777777">
      <w:pPr>
        <w:numPr>
          <w:ilvl w:val="0"/>
          <w:numId w:val="7"/>
        </w:numPr>
        <w:tabs>
          <w:tab w:val="num" w:pos="0"/>
        </w:tabs>
        <w:snapToGrid w:val="0"/>
        <w:spacing w:after="120"/>
        <w:ind w:left="0" w:firstLine="720"/>
      </w:pPr>
      <w:r>
        <w:t>IT IS FURTHER ORDERED that this Order is effective upon release.</w:t>
      </w:r>
    </w:p>
    <w:p w:rsidR="00AD614D" w:rsidRPr="00831895" w:rsidP="00846E87" w14:paraId="67A5C192" w14:textId="77777777">
      <w:pPr>
        <w:ind w:left="3600" w:firstLine="720"/>
        <w:outlineLvl w:val="0"/>
      </w:pPr>
      <w:r w:rsidRPr="00142D97">
        <w:t>FEDERAL COMMUNICATIONS COMMISSION</w:t>
      </w:r>
    </w:p>
    <w:p w:rsidR="00D1169D" w:rsidP="006A007B" w14:paraId="5CFFEAFC" w14:textId="77777777">
      <w:pPr>
        <w:ind w:right="274"/>
        <w:outlineLvl w:val="0"/>
        <w:rPr>
          <w:szCs w:val="22"/>
        </w:rPr>
      </w:pPr>
      <w:r>
        <w:rPr>
          <w:szCs w:val="22"/>
        </w:rPr>
        <w:tab/>
      </w:r>
      <w:r>
        <w:rPr>
          <w:szCs w:val="22"/>
        </w:rPr>
        <w:tab/>
      </w:r>
      <w:r>
        <w:rPr>
          <w:szCs w:val="22"/>
        </w:rPr>
        <w:tab/>
      </w:r>
      <w:r>
        <w:rPr>
          <w:szCs w:val="22"/>
        </w:rPr>
        <w:tab/>
      </w:r>
      <w:r>
        <w:rPr>
          <w:szCs w:val="22"/>
        </w:rPr>
        <w:tab/>
      </w:r>
    </w:p>
    <w:p w:rsidR="009E468B" w:rsidP="006A007B" w14:paraId="60E6A36E" w14:textId="77777777">
      <w:pPr>
        <w:ind w:right="274"/>
        <w:outlineLvl w:val="0"/>
        <w:rPr>
          <w:szCs w:val="22"/>
        </w:rPr>
      </w:pPr>
    </w:p>
    <w:p w:rsidR="009E468B" w:rsidP="006A007B" w14:paraId="0B18A3A8" w14:textId="77777777">
      <w:pPr>
        <w:ind w:right="274"/>
        <w:outlineLvl w:val="0"/>
        <w:rPr>
          <w:szCs w:val="22"/>
        </w:rPr>
      </w:pPr>
    </w:p>
    <w:p w:rsidR="009E468B" w:rsidP="006A007B" w14:paraId="4B4B1EB3" w14:textId="77777777">
      <w:pPr>
        <w:ind w:right="274"/>
        <w:outlineLvl w:val="0"/>
        <w:rPr>
          <w:szCs w:val="22"/>
        </w:rPr>
      </w:pPr>
      <w:r>
        <w:rPr>
          <w:szCs w:val="22"/>
        </w:rPr>
        <w:tab/>
      </w:r>
      <w:r>
        <w:rPr>
          <w:szCs w:val="22"/>
        </w:rPr>
        <w:tab/>
      </w:r>
      <w:r>
        <w:rPr>
          <w:szCs w:val="22"/>
        </w:rPr>
        <w:tab/>
      </w:r>
      <w:r>
        <w:rPr>
          <w:szCs w:val="22"/>
        </w:rPr>
        <w:tab/>
      </w:r>
      <w:r>
        <w:rPr>
          <w:szCs w:val="22"/>
        </w:rPr>
        <w:tab/>
      </w:r>
    </w:p>
    <w:p w:rsidR="003A5155" w:rsidP="00846E87" w14:paraId="1BE59B7C" w14:textId="08FD1EC0">
      <w:pPr>
        <w:ind w:firstLine="4320"/>
        <w:outlineLvl w:val="0"/>
        <w:rPr>
          <w:szCs w:val="22"/>
        </w:rPr>
      </w:pPr>
      <w:r>
        <w:rPr>
          <w:szCs w:val="22"/>
        </w:rPr>
        <w:t>K</w:t>
      </w:r>
      <w:r w:rsidR="007F6BE6">
        <w:rPr>
          <w:szCs w:val="22"/>
        </w:rPr>
        <w:t>risti</w:t>
      </w:r>
      <w:r>
        <w:rPr>
          <w:szCs w:val="22"/>
        </w:rPr>
        <w:t xml:space="preserve"> </w:t>
      </w:r>
      <w:r w:rsidR="007F6BE6">
        <w:rPr>
          <w:szCs w:val="22"/>
        </w:rPr>
        <w:t>Thornton</w:t>
      </w:r>
    </w:p>
    <w:p w:rsidR="003A5155" w:rsidP="00846E87" w14:paraId="528AB172" w14:textId="410470D9">
      <w:pPr>
        <w:ind w:firstLine="4320"/>
        <w:outlineLvl w:val="0"/>
        <w:rPr>
          <w:szCs w:val="22"/>
        </w:rPr>
      </w:pPr>
      <w:r>
        <w:rPr>
          <w:szCs w:val="22"/>
        </w:rPr>
        <w:t xml:space="preserve">Acting </w:t>
      </w:r>
      <w:r>
        <w:rPr>
          <w:szCs w:val="22"/>
        </w:rPr>
        <w:t>Chief</w:t>
      </w:r>
    </w:p>
    <w:p w:rsidR="003A5155" w:rsidP="00846E87" w14:paraId="2DC6549B" w14:textId="77777777">
      <w:pPr>
        <w:ind w:firstLine="4320"/>
        <w:outlineLvl w:val="0"/>
        <w:rPr>
          <w:szCs w:val="22"/>
        </w:rPr>
      </w:pPr>
      <w:r>
        <w:rPr>
          <w:szCs w:val="22"/>
        </w:rPr>
        <w:t>Consumer Policy Division</w:t>
      </w:r>
    </w:p>
    <w:p w:rsidR="003A5155" w:rsidP="00846E87" w14:paraId="2CA89141" w14:textId="77777777">
      <w:pPr>
        <w:ind w:firstLine="4320"/>
        <w:outlineLvl w:val="0"/>
        <w:rPr>
          <w:szCs w:val="22"/>
        </w:rPr>
      </w:pPr>
      <w:r>
        <w:rPr>
          <w:szCs w:val="22"/>
        </w:rPr>
        <w:t>Consumer and Governmental Affairs Bureau</w:t>
      </w:r>
    </w:p>
    <w:p w:rsidR="00D1169D" w:rsidP="00D1169D" w14:paraId="59D94760" w14:textId="77777777">
      <w:pPr>
        <w:ind w:right="270"/>
        <w:jc w:val="center"/>
      </w:pPr>
    </w:p>
    <w:sectPr w:rsidSect="0055614C">
      <w:headerReference w:type="default" r:id="rId5"/>
      <w:footerReference w:type="even" r:id="rId6"/>
      <w:footerReference w:type="default" r:id="rId7"/>
      <w:headerReference w:type="first" r:id="rId8"/>
      <w:footerReference w:type="first" r:id="rId9"/>
      <w:endnotePr>
        <w:numFmt w:val="decimal"/>
      </w:endnotePr>
      <w:pgSz w:w="12240" w:h="15840"/>
      <w:pgMar w:top="1440" w:right="1440" w:bottom="72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rsidP="0055614C" w14:paraId="129A2E13"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FE638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7308" w14:paraId="5A83EC2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1206E557"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14:paraId="0CE96B49"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B71F2" w14:paraId="7F9402C4" w14:textId="77777777">
      <w:r>
        <w:separator/>
      </w:r>
    </w:p>
  </w:footnote>
  <w:footnote w:type="continuationSeparator" w:id="1">
    <w:p w:rsidR="00AB71F2" w:rsidP="00C721AC" w14:paraId="312269C6" w14:textId="77777777">
      <w:pPr>
        <w:spacing w:before="120"/>
        <w:rPr>
          <w:sz w:val="20"/>
        </w:rPr>
      </w:pPr>
      <w:r>
        <w:rPr>
          <w:sz w:val="20"/>
        </w:rPr>
        <w:t xml:space="preserve">(Continued from previous page)  </w:t>
      </w:r>
      <w:r>
        <w:rPr>
          <w:sz w:val="20"/>
        </w:rPr>
        <w:separator/>
      </w:r>
    </w:p>
  </w:footnote>
  <w:footnote w:type="continuationNotice" w:id="2">
    <w:p w:rsidR="00AB71F2" w:rsidP="00C721AC" w14:paraId="1C34959F" w14:textId="77777777">
      <w:pPr>
        <w:jc w:val="right"/>
        <w:rPr>
          <w:sz w:val="20"/>
        </w:rPr>
      </w:pPr>
      <w:r>
        <w:rPr>
          <w:sz w:val="20"/>
        </w:rPr>
        <w:t>(continued….)</w:t>
      </w:r>
    </w:p>
  </w:footnote>
  <w:footnote w:id="3">
    <w:p w:rsidR="00831895" w:rsidP="00831895" w14:paraId="02DBC266" w14:textId="704785ED">
      <w:pPr>
        <w:pStyle w:val="FootnoteText"/>
      </w:pPr>
      <w:r>
        <w:rPr>
          <w:rStyle w:val="FootnoteReference"/>
        </w:rPr>
        <w:footnoteRef/>
      </w:r>
      <w:r>
        <w:rPr>
          <w:i/>
        </w:rPr>
        <w:t xml:space="preserve"> See </w:t>
      </w:r>
      <w:r>
        <w:t xml:space="preserve">Informal Complaint No. </w:t>
      </w:r>
      <w:r w:rsidR="00535981">
        <w:t>5715257</w:t>
      </w:r>
      <w:r>
        <w:t xml:space="preserve"> (</w:t>
      </w:r>
      <w:r w:rsidR="006A007B">
        <w:t xml:space="preserve">filed </w:t>
      </w:r>
      <w:r w:rsidR="00535981">
        <w:t>Sept. 3</w:t>
      </w:r>
      <w:r w:rsidR="00E6176F">
        <w:t>,</w:t>
      </w:r>
      <w:r>
        <w:t xml:space="preserve"> 20</w:t>
      </w:r>
      <w:r w:rsidR="006F6E18">
        <w:t>2</w:t>
      </w:r>
      <w:r w:rsidR="001A2399">
        <w:t>2</w:t>
      </w:r>
      <w:r>
        <w:t xml:space="preserve">); </w:t>
      </w:r>
      <w:r>
        <w:rPr>
          <w:i/>
        </w:rPr>
        <w:t>see also</w:t>
      </w:r>
      <w:r>
        <w:t xml:space="preserve"> 47 CFR §§ 64.1100 – 64.1190.</w:t>
      </w:r>
    </w:p>
  </w:footnote>
  <w:footnote w:id="4">
    <w:p w:rsidR="00831895" w:rsidP="00831895" w14:paraId="43BD74BB" w14:textId="77777777">
      <w:pPr>
        <w:pStyle w:val="FootnoteText"/>
      </w:pPr>
      <w:r>
        <w:rPr>
          <w:rStyle w:val="FootnoteReference"/>
        </w:rPr>
        <w:footnoteRef/>
      </w:r>
      <w:r>
        <w:t xml:space="preserve"> 47 U.S.C. § 258(a).</w:t>
      </w:r>
    </w:p>
  </w:footnote>
  <w:footnote w:id="5">
    <w:p w:rsidR="00831895" w:rsidP="00831895" w14:paraId="5634142F" w14:textId="77777777">
      <w:pPr>
        <w:pStyle w:val="FootnoteText"/>
        <w:tabs>
          <w:tab w:val="left" w:pos="0"/>
        </w:tabs>
      </w:pPr>
      <w:r>
        <w:rPr>
          <w:rStyle w:val="FootnoteReference"/>
        </w:rPr>
        <w:footnoteRef/>
      </w:r>
      <w:r>
        <w:t xml:space="preserve"> </w:t>
      </w:r>
      <w:r>
        <w:rPr>
          <w:i/>
        </w:rPr>
        <w:t>See</w:t>
      </w:r>
      <w:r>
        <w:t xml:space="preserve"> 47 CFR § 64.1120.</w:t>
      </w:r>
    </w:p>
  </w:footnote>
  <w:footnote w:id="6">
    <w:p w:rsidR="00831895" w:rsidP="00831895" w14:paraId="26F72F49" w14:textId="77777777">
      <w:pPr>
        <w:pStyle w:val="FootnoteText"/>
        <w:tabs>
          <w:tab w:val="left" w:pos="0"/>
        </w:tabs>
      </w:pPr>
      <w:r>
        <w:rPr>
          <w:rStyle w:val="FootnoteReference"/>
        </w:rPr>
        <w:footnoteRef/>
      </w:r>
      <w:r>
        <w:rPr>
          <w:i/>
        </w:rPr>
        <w:t xml:space="preserve"> See</w:t>
      </w:r>
      <w:r>
        <w:t xml:space="preserve"> </w:t>
      </w:r>
      <w:r w:rsidRPr="00504345" w:rsidR="00504345">
        <w:rPr>
          <w:i/>
        </w:rPr>
        <w:t>id.</w:t>
      </w:r>
      <w:r>
        <w:t xml:space="preserve"> § 64.1120(c).  Section 64.1130 details the requirements for letter of agency form and content for written or electronically signed authorizations.  </w:t>
      </w:r>
      <w:r>
        <w:rPr>
          <w:i/>
        </w:rPr>
        <w:t>Id.</w:t>
      </w:r>
      <w:r>
        <w:t xml:space="preserve"> § 64.1130.</w:t>
      </w:r>
    </w:p>
  </w:footnote>
  <w:footnote w:id="7">
    <w:p w:rsidR="00831895" w:rsidP="00831895" w14:paraId="73DDBFAF" w14:textId="77777777">
      <w:pPr>
        <w:pStyle w:val="FootnoteText"/>
      </w:pPr>
      <w:r>
        <w:rPr>
          <w:rStyle w:val="FootnoteReference"/>
        </w:rPr>
        <w:footnoteRef/>
      </w:r>
      <w:r>
        <w:t xml:space="preserve"> These rules require the unauthorized carrier to absolve the subscriber where the subscriber has not paid his or her bill.  If the subscriber has not already paid charges to the unauthorized carrier, the subscriber is absolved of liability for charges imposed by the unauthorized carrier for service provided during the first 30 days after the unauthorized change.  </w:t>
      </w:r>
      <w:r>
        <w:rPr>
          <w:i/>
        </w:rPr>
        <w:t>See</w:t>
      </w:r>
      <w:r>
        <w:t xml:space="preserve"> </w:t>
      </w:r>
      <w:r>
        <w:rPr>
          <w:i/>
        </w:rPr>
        <w:t>id.</w:t>
      </w:r>
      <w:r>
        <w:t xml:space="preserve"> §§ 64.1140, 64.1160.  Any charges imposed by the unauthorized carrier on the subscriber for service provided after this 30-day period shall be paid by the subscriber to the authorized carrier at the rates the subscriber was paying to the authorized carrier at the time of the unauthorized change.  </w:t>
      </w:r>
      <w:r>
        <w:rPr>
          <w:i/>
        </w:rPr>
        <w:t xml:space="preserve">Id.  </w:t>
      </w:r>
      <w:r>
        <w:t xml:space="preserve">Where the subscriber has paid charges to the unauthorized carrier, the Commission’s rules require that the unauthorized carrier pay 150 percent of those charges to the authorized carrier, and the authorized carrier shall refund or credit to the subscriber 50 percent of all charges paid by the subscriber to the unauthorized carrier.  </w:t>
      </w:r>
      <w:r>
        <w:rPr>
          <w:i/>
        </w:rPr>
        <w:t>See</w:t>
      </w:r>
      <w:r>
        <w:t xml:space="preserve"> </w:t>
      </w:r>
      <w:r>
        <w:rPr>
          <w:i/>
        </w:rPr>
        <w:t>id.</w:t>
      </w:r>
      <w:r>
        <w:t xml:space="preserve"> §§ 64.1140, 64.1170.  </w:t>
      </w:r>
    </w:p>
  </w:footnote>
  <w:footnote w:id="8">
    <w:p w:rsidR="00831895" w:rsidP="00504345" w14:paraId="1D0F974F" w14:textId="77777777">
      <w:pPr>
        <w:pStyle w:val="FootnoteText"/>
        <w:tabs>
          <w:tab w:val="left" w:pos="0"/>
        </w:tabs>
      </w:pPr>
      <w:r>
        <w:rPr>
          <w:rStyle w:val="FootnoteReference"/>
        </w:rPr>
        <w:footnoteRef/>
      </w:r>
      <w:r>
        <w:rPr>
          <w:i/>
        </w:rPr>
        <w:t xml:space="preserve"> </w:t>
      </w:r>
      <w:r w:rsidRPr="000B1AB5" w:rsidR="00504345">
        <w:rPr>
          <w:i/>
        </w:rPr>
        <w:t>Id</w:t>
      </w:r>
      <w:r w:rsidR="00504345">
        <w:t xml:space="preserve">. § 1.719 (Commission procedure for informal complaints filed pursuant to section 258 of the Act); </w:t>
      </w:r>
      <w:r w:rsidR="00504345">
        <w:rPr>
          <w:i/>
        </w:rPr>
        <w:t>id</w:t>
      </w:r>
      <w:r w:rsidR="00504345">
        <w:t>. § 64.1150 (procedures for resolution of unauthorized changes in preferred carrier).</w:t>
      </w:r>
    </w:p>
  </w:footnote>
  <w:footnote w:id="9">
    <w:p w:rsidR="00B36E59" w:rsidP="00B36E59" w14:paraId="452000B2" w14:textId="08693172">
      <w:pPr>
        <w:pStyle w:val="FootnoteText"/>
      </w:pPr>
      <w:r>
        <w:rPr>
          <w:rStyle w:val="FootnoteReference"/>
        </w:rPr>
        <w:footnoteRef/>
      </w:r>
      <w:r>
        <w:rPr>
          <w:i/>
        </w:rPr>
        <w:t xml:space="preserve"> See </w:t>
      </w:r>
      <w:r>
        <w:t>CenturyLink’s Response to Informal Complaint No. 5715257 (filed Oct. 5, 2022)</w:t>
      </w:r>
      <w:r w:rsidR="00376C11">
        <w:t xml:space="preserve"> (</w:t>
      </w:r>
      <w:r w:rsidRPr="00376C11" w:rsidR="00376C11">
        <w:rPr>
          <w:i/>
          <w:iCs/>
        </w:rPr>
        <w:t>CenturyLink Response</w:t>
      </w:r>
      <w:r w:rsidR="00376C11">
        <w:t>)</w:t>
      </w:r>
      <w:r>
        <w:t xml:space="preserve">.    </w:t>
      </w:r>
    </w:p>
  </w:footnote>
  <w:footnote w:id="10">
    <w:p w:rsidR="00376C11" w14:paraId="08A1253F" w14:textId="060D7B5A">
      <w:pPr>
        <w:pStyle w:val="FootnoteText"/>
      </w:pPr>
      <w:r>
        <w:rPr>
          <w:rStyle w:val="FootnoteReference"/>
        </w:rPr>
        <w:footnoteRef/>
      </w:r>
      <w:r>
        <w:t xml:space="preserve"> CenturyLink was unable to determine why the billing error occurred.  </w:t>
      </w:r>
      <w:r w:rsidRPr="00376C11">
        <w:rPr>
          <w:i/>
          <w:iCs/>
        </w:rPr>
        <w:t>See CenturyLink Response</w:t>
      </w:r>
      <w:r>
        <w:t xml:space="preserve"> at 1.</w:t>
      </w:r>
    </w:p>
  </w:footnote>
  <w:footnote w:id="11">
    <w:p w:rsidR="00376C11" w14:paraId="725EE2C4" w14:textId="54780AB6">
      <w:pPr>
        <w:pStyle w:val="FootnoteText"/>
      </w:pPr>
      <w:r>
        <w:rPr>
          <w:rStyle w:val="FootnoteReference"/>
        </w:rPr>
        <w:footnoteRef/>
      </w:r>
      <w:r>
        <w:t xml:space="preserve"> </w:t>
      </w:r>
      <w:r w:rsidRPr="00376C11">
        <w:rPr>
          <w:i/>
          <w:iCs/>
        </w:rPr>
        <w:t>Id.</w:t>
      </w:r>
    </w:p>
  </w:footnote>
  <w:footnote w:id="12">
    <w:p w:rsidR="00B36E59" w:rsidP="00B36E59" w14:paraId="29802484" w14:textId="42231847">
      <w:pPr>
        <w:pStyle w:val="FootnoteText"/>
        <w:tabs>
          <w:tab w:val="left" w:pos="0"/>
        </w:tabs>
      </w:pPr>
      <w:r>
        <w:rPr>
          <w:rStyle w:val="FootnoteReference"/>
        </w:rPr>
        <w:footnoteRef/>
      </w:r>
      <w:r>
        <w:t xml:space="preserve"> If Complainant is unsatisfied with the resolution of </w:t>
      </w:r>
      <w:r w:rsidR="00CF36D7">
        <w:t>the</w:t>
      </w:r>
      <w:r>
        <w:t xml:space="preserve"> complaint, Complainant may file a formal complaint with the Commission pursuant to section 1.721 of the Commission’s rules, </w:t>
      </w:r>
      <w:r w:rsidR="00BF4BDF">
        <w:rPr>
          <w:iCs/>
        </w:rPr>
        <w:t>47 CFR</w:t>
      </w:r>
      <w:r>
        <w:t xml:space="preserve"> § 1.721.  Such filing will be deemed to relate back to the filing date of Complainant’s informal complaint so long as the formal complaint is filed within 45 days from the date this order is mailed or delivered electronically to Complainant.  </w:t>
      </w:r>
      <w:r>
        <w:rPr>
          <w:i/>
        </w:rPr>
        <w:t>See</w:t>
      </w:r>
      <w:r>
        <w:t xml:space="preserve"> </w:t>
      </w:r>
      <w:r w:rsidRPr="0047594E">
        <w:rPr>
          <w:i/>
        </w:rPr>
        <w:t>id.</w:t>
      </w:r>
      <w:r>
        <w:t xml:space="preserve"> § 1.719.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rsidP="00810B6F" w14:paraId="36580C2E" w14:textId="1DA63FAE">
    <w:pPr>
      <w:pStyle w:val="Header"/>
      <w:rPr>
        <w:b w:val="0"/>
      </w:rPr>
    </w:pPr>
    <w:r>
      <w:tab/>
      <w:t>Federal Communications Commission</w:t>
    </w:r>
    <w:r>
      <w:tab/>
    </w:r>
    <w:r w:rsidR="00A138E2">
      <w:t xml:space="preserve">DA </w:t>
    </w:r>
    <w:r w:rsidR="0070287F">
      <w:t>2</w:t>
    </w:r>
    <w:r w:rsidR="00896BC5">
      <w:t>2</w:t>
    </w:r>
    <w:r w:rsidR="0070287F">
      <w:t>-</w:t>
    </w:r>
    <w:r w:rsidR="00A96D20">
      <w:t>1099</w:t>
    </w:r>
  </w:p>
  <w:p w:rsidR="00D25FB5" w14:paraId="6AD810CF"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7E09B5B4"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rsidP="00810B6F" w14:paraId="61ACEDDF" w14:textId="6E7D49E8">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A138E2">
      <w:rPr>
        <w:spacing w:val="-2"/>
      </w:rPr>
      <w:t xml:space="preserve">DA </w:t>
    </w:r>
    <w:r w:rsidR="0070287F">
      <w:rPr>
        <w:spacing w:val="-2"/>
      </w:rPr>
      <w:t>2</w:t>
    </w:r>
    <w:r w:rsidR="00896BC5">
      <w:rPr>
        <w:spacing w:val="-2"/>
      </w:rPr>
      <w:t>2</w:t>
    </w:r>
    <w:r w:rsidR="0070287F">
      <w:rPr>
        <w:spacing w:val="-2"/>
      </w:rPr>
      <w:t>-</w:t>
    </w:r>
    <w:r>
      <w:rPr>
        <w:spacing w:val="-2"/>
      </w:rPr>
      <w:t>1099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7F67DD0"/>
    <w:multiLevelType w:val="singleLevel"/>
    <w:tmpl w:val="AE1C02B8"/>
    <w:lvl w:ilvl="0">
      <w:start w:val="1"/>
      <w:numFmt w:val="decimal"/>
      <w:lvlText w:val="%1."/>
      <w:lvlJc w:val="left"/>
      <w:pPr>
        <w:tabs>
          <w:tab w:val="num" w:pos="1440"/>
        </w:tabs>
        <w:ind w:left="1440" w:hanging="72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F2"/>
    <w:rsid w:val="00036039"/>
    <w:rsid w:val="00037F90"/>
    <w:rsid w:val="000550BC"/>
    <w:rsid w:val="0006408C"/>
    <w:rsid w:val="00085A94"/>
    <w:rsid w:val="000875BF"/>
    <w:rsid w:val="00096D8C"/>
    <w:rsid w:val="000B1AB5"/>
    <w:rsid w:val="000C0B65"/>
    <w:rsid w:val="000E05FE"/>
    <w:rsid w:val="000E3D42"/>
    <w:rsid w:val="00122BD5"/>
    <w:rsid w:val="0012751C"/>
    <w:rsid w:val="00133F79"/>
    <w:rsid w:val="00142D97"/>
    <w:rsid w:val="001479C4"/>
    <w:rsid w:val="00194A66"/>
    <w:rsid w:val="001A2399"/>
    <w:rsid w:val="001B1CAF"/>
    <w:rsid w:val="001D16CB"/>
    <w:rsid w:val="001D6BCF"/>
    <w:rsid w:val="001E01CA"/>
    <w:rsid w:val="00226145"/>
    <w:rsid w:val="00233E71"/>
    <w:rsid w:val="00255AD9"/>
    <w:rsid w:val="00275CF5"/>
    <w:rsid w:val="0028301F"/>
    <w:rsid w:val="00284F8A"/>
    <w:rsid w:val="00285017"/>
    <w:rsid w:val="002A2D2E"/>
    <w:rsid w:val="002C00E8"/>
    <w:rsid w:val="00305DCB"/>
    <w:rsid w:val="00343749"/>
    <w:rsid w:val="00353C65"/>
    <w:rsid w:val="003660ED"/>
    <w:rsid w:val="00376C11"/>
    <w:rsid w:val="003A4EC1"/>
    <w:rsid w:val="003A5155"/>
    <w:rsid w:val="003B0550"/>
    <w:rsid w:val="003B45ED"/>
    <w:rsid w:val="003B694F"/>
    <w:rsid w:val="003F171C"/>
    <w:rsid w:val="00412FC5"/>
    <w:rsid w:val="00414FDC"/>
    <w:rsid w:val="00422276"/>
    <w:rsid w:val="004242F1"/>
    <w:rsid w:val="00445A00"/>
    <w:rsid w:val="00451B0F"/>
    <w:rsid w:val="0047594E"/>
    <w:rsid w:val="004A1C6D"/>
    <w:rsid w:val="004B7968"/>
    <w:rsid w:val="004C2EE3"/>
    <w:rsid w:val="004E3F6F"/>
    <w:rsid w:val="004E4A22"/>
    <w:rsid w:val="004F247B"/>
    <w:rsid w:val="004F37F4"/>
    <w:rsid w:val="00504345"/>
    <w:rsid w:val="00511968"/>
    <w:rsid w:val="005328A1"/>
    <w:rsid w:val="00535981"/>
    <w:rsid w:val="0054271B"/>
    <w:rsid w:val="0055614C"/>
    <w:rsid w:val="00566D06"/>
    <w:rsid w:val="005774C2"/>
    <w:rsid w:val="005A3966"/>
    <w:rsid w:val="005D20F0"/>
    <w:rsid w:val="005E14C2"/>
    <w:rsid w:val="00607BA5"/>
    <w:rsid w:val="0061180A"/>
    <w:rsid w:val="00626EB6"/>
    <w:rsid w:val="00655D03"/>
    <w:rsid w:val="0066154F"/>
    <w:rsid w:val="00683388"/>
    <w:rsid w:val="00683F84"/>
    <w:rsid w:val="006A007B"/>
    <w:rsid w:val="006A6A81"/>
    <w:rsid w:val="006D5400"/>
    <w:rsid w:val="006F6E18"/>
    <w:rsid w:val="006F7393"/>
    <w:rsid w:val="0070224F"/>
    <w:rsid w:val="0070287F"/>
    <w:rsid w:val="007115F7"/>
    <w:rsid w:val="0071745E"/>
    <w:rsid w:val="00785689"/>
    <w:rsid w:val="0079754B"/>
    <w:rsid w:val="007A1E6D"/>
    <w:rsid w:val="007B0EB2"/>
    <w:rsid w:val="007D10ED"/>
    <w:rsid w:val="007F6BE6"/>
    <w:rsid w:val="00810B6F"/>
    <w:rsid w:val="00812C84"/>
    <w:rsid w:val="00822CE0"/>
    <w:rsid w:val="00824E27"/>
    <w:rsid w:val="00831895"/>
    <w:rsid w:val="00841AB1"/>
    <w:rsid w:val="00846E87"/>
    <w:rsid w:val="00856C22"/>
    <w:rsid w:val="00896BC5"/>
    <w:rsid w:val="008B53C1"/>
    <w:rsid w:val="008B6A43"/>
    <w:rsid w:val="008C68F1"/>
    <w:rsid w:val="008D48DB"/>
    <w:rsid w:val="008F5FAB"/>
    <w:rsid w:val="008F7313"/>
    <w:rsid w:val="00921803"/>
    <w:rsid w:val="009221FF"/>
    <w:rsid w:val="00926503"/>
    <w:rsid w:val="009726D8"/>
    <w:rsid w:val="009D7308"/>
    <w:rsid w:val="009D7D97"/>
    <w:rsid w:val="009E468B"/>
    <w:rsid w:val="009E714E"/>
    <w:rsid w:val="009F41B4"/>
    <w:rsid w:val="009F76DB"/>
    <w:rsid w:val="00A138E2"/>
    <w:rsid w:val="00A32C3B"/>
    <w:rsid w:val="00A34019"/>
    <w:rsid w:val="00A45F4F"/>
    <w:rsid w:val="00A600A9"/>
    <w:rsid w:val="00A73E7A"/>
    <w:rsid w:val="00A87E8F"/>
    <w:rsid w:val="00A96D20"/>
    <w:rsid w:val="00AA55B7"/>
    <w:rsid w:val="00AA5B9E"/>
    <w:rsid w:val="00AB01A8"/>
    <w:rsid w:val="00AB2407"/>
    <w:rsid w:val="00AB53DF"/>
    <w:rsid w:val="00AB71F2"/>
    <w:rsid w:val="00AD614D"/>
    <w:rsid w:val="00B07E5C"/>
    <w:rsid w:val="00B36E59"/>
    <w:rsid w:val="00B42372"/>
    <w:rsid w:val="00B77169"/>
    <w:rsid w:val="00B811F7"/>
    <w:rsid w:val="00B83BA2"/>
    <w:rsid w:val="00B86409"/>
    <w:rsid w:val="00BA5BB7"/>
    <w:rsid w:val="00BA5DC6"/>
    <w:rsid w:val="00BA6196"/>
    <w:rsid w:val="00BC1E31"/>
    <w:rsid w:val="00BC6D8C"/>
    <w:rsid w:val="00BF4BDF"/>
    <w:rsid w:val="00C34006"/>
    <w:rsid w:val="00C36B4C"/>
    <w:rsid w:val="00C426B1"/>
    <w:rsid w:val="00C66160"/>
    <w:rsid w:val="00C721AC"/>
    <w:rsid w:val="00C90D6A"/>
    <w:rsid w:val="00CA247E"/>
    <w:rsid w:val="00CA6D21"/>
    <w:rsid w:val="00CA752A"/>
    <w:rsid w:val="00CB5BA4"/>
    <w:rsid w:val="00CC72B6"/>
    <w:rsid w:val="00CF1B64"/>
    <w:rsid w:val="00CF2AA9"/>
    <w:rsid w:val="00CF36D7"/>
    <w:rsid w:val="00D0218D"/>
    <w:rsid w:val="00D1169D"/>
    <w:rsid w:val="00D25FB5"/>
    <w:rsid w:val="00D33E46"/>
    <w:rsid w:val="00D44223"/>
    <w:rsid w:val="00D749D4"/>
    <w:rsid w:val="00DA2529"/>
    <w:rsid w:val="00DA7687"/>
    <w:rsid w:val="00DB130A"/>
    <w:rsid w:val="00DB2EBB"/>
    <w:rsid w:val="00DC10A1"/>
    <w:rsid w:val="00DC655F"/>
    <w:rsid w:val="00DD0B59"/>
    <w:rsid w:val="00DD7EBD"/>
    <w:rsid w:val="00DF62B6"/>
    <w:rsid w:val="00E07225"/>
    <w:rsid w:val="00E130C6"/>
    <w:rsid w:val="00E342E6"/>
    <w:rsid w:val="00E40333"/>
    <w:rsid w:val="00E5409F"/>
    <w:rsid w:val="00E61093"/>
    <w:rsid w:val="00E6176F"/>
    <w:rsid w:val="00E66EEA"/>
    <w:rsid w:val="00EE6488"/>
    <w:rsid w:val="00F021FA"/>
    <w:rsid w:val="00F57146"/>
    <w:rsid w:val="00F62E97"/>
    <w:rsid w:val="00F64209"/>
    <w:rsid w:val="00F93BF5"/>
    <w:rsid w:val="00F95961"/>
    <w:rsid w:val="00FA1684"/>
    <w:rsid w:val="00FF07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98629F"/>
  <w15:chartTrackingRefBased/>
  <w15:docId w15:val="{C0CEAE77-F71A-4317-82B3-D7929163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 Char Char Char,Footnote Text Char Char Char Char Char Char1,Footnote Text Char Char2 Char Char,Footnote Text Char1,Footnote Text Char1 Char Char,Footnote Text Char1 Char Char Char Char1,Footnote Text Char2 Char,fn,fn Ch"/>
    <w:link w:val="FootnoteTextChar"/>
    <w:rsid w:val="000E3D42"/>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Footnote Text Char Char Char Char Char,Footnote Text Char Char Char Char Char Char1 Char,Footnote Text Char Char2 Char Char Char,Footnote Text Char1 Char Char Char,Footnote Text Char1 Char Char Char Char1 Char,fn Ch Char,fn Char"/>
    <w:link w:val="FootnoteText"/>
    <w:locked/>
    <w:rsid w:val="00AB71F2"/>
  </w:style>
  <w:style w:type="paragraph" w:styleId="Title">
    <w:name w:val="Title"/>
    <w:basedOn w:val="Normal"/>
    <w:link w:val="TitleChar"/>
    <w:qFormat/>
    <w:rsid w:val="00AB71F2"/>
    <w:pPr>
      <w:snapToGrid w:val="0"/>
      <w:jc w:val="center"/>
    </w:pPr>
    <w:rPr>
      <w:b/>
      <w:snapToGrid/>
    </w:rPr>
  </w:style>
  <w:style w:type="character" w:customStyle="1" w:styleId="TitleChar">
    <w:name w:val="Title Char"/>
    <w:basedOn w:val="DefaultParagraphFont"/>
    <w:link w:val="Title"/>
    <w:rsid w:val="00AB71F2"/>
    <w:rPr>
      <w:b/>
      <w:kern w:val="28"/>
      <w:sz w:val="22"/>
    </w:rPr>
  </w:style>
  <w:style w:type="paragraph" w:styleId="Subtitle">
    <w:name w:val="Subtitle"/>
    <w:basedOn w:val="Normal"/>
    <w:link w:val="SubtitleChar"/>
    <w:qFormat/>
    <w:rsid w:val="00AB71F2"/>
    <w:pPr>
      <w:snapToGrid w:val="0"/>
      <w:ind w:firstLine="720"/>
      <w:jc w:val="center"/>
    </w:pPr>
    <w:rPr>
      <w:b/>
      <w:snapToGrid/>
    </w:rPr>
  </w:style>
  <w:style w:type="character" w:customStyle="1" w:styleId="SubtitleChar">
    <w:name w:val="Subtitle Char"/>
    <w:basedOn w:val="DefaultParagraphFont"/>
    <w:link w:val="Subtitle"/>
    <w:rsid w:val="00AB71F2"/>
    <w:rPr>
      <w:b/>
      <w:kern w:val="28"/>
      <w:sz w:val="22"/>
    </w:rPr>
  </w:style>
  <w:style w:type="character" w:customStyle="1" w:styleId="Heading1Char">
    <w:name w:val="Heading 1 Char"/>
    <w:link w:val="Heading1"/>
    <w:rsid w:val="00831895"/>
    <w:rPr>
      <w:rFonts w:ascii="Times New Roman Bold" w:hAnsi="Times New Roman Bold"/>
      <w:b/>
      <w:caps/>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