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22EF1" w14:paraId="10FE3806" w14:textId="77777777">
      <w:pPr>
        <w:jc w:val="center"/>
        <w:rPr>
          <w:b/>
          <w:szCs w:val="22"/>
        </w:rPr>
      </w:pPr>
      <w:r w:rsidRPr="00322EF1">
        <w:rPr>
          <w:b/>
          <w:kern w:val="0"/>
          <w:szCs w:val="22"/>
        </w:rPr>
        <w:t>Before</w:t>
      </w:r>
      <w:r w:rsidRPr="00322EF1">
        <w:rPr>
          <w:b/>
          <w:szCs w:val="22"/>
        </w:rPr>
        <w:t xml:space="preserve"> the</w:t>
      </w:r>
    </w:p>
    <w:p w:rsidR="00921803" w:rsidRPr="00322EF1" w:rsidP="00921803" w14:paraId="03B806B7" w14:textId="77777777">
      <w:pPr>
        <w:pStyle w:val="StyleBoldCentered"/>
        <w:rPr>
          <w:rFonts w:ascii="Times New Roman" w:hAnsi="Times New Roman"/>
        </w:rPr>
      </w:pPr>
      <w:r w:rsidRPr="00322EF1">
        <w:rPr>
          <w:rFonts w:ascii="Times New Roman" w:hAnsi="Times New Roman"/>
        </w:rPr>
        <w:t>Federal Communications Commission</w:t>
      </w:r>
    </w:p>
    <w:p w:rsidR="004C2EE3" w:rsidRPr="00322EF1" w:rsidP="00096D8C" w14:paraId="45E652DD" w14:textId="77777777">
      <w:pPr>
        <w:pStyle w:val="StyleBoldCentered"/>
        <w:rPr>
          <w:rFonts w:ascii="Times New Roman" w:hAnsi="Times New Roman"/>
        </w:rPr>
      </w:pPr>
      <w:r w:rsidRPr="00322EF1">
        <w:rPr>
          <w:rFonts w:ascii="Times New Roman" w:hAnsi="Times New Roman"/>
        </w:rPr>
        <w:t>Washington, D.C. 20554</w:t>
      </w:r>
    </w:p>
    <w:p w:rsidR="004C2EE3" w:rsidRPr="00322EF1" w:rsidP="0070224F" w14:paraId="3005C935" w14:textId="77777777">
      <w:pPr>
        <w:rPr>
          <w:szCs w:val="22"/>
        </w:rPr>
      </w:pPr>
    </w:p>
    <w:p w:rsidR="004C2EE3" w:rsidRPr="00322EF1" w:rsidP="0070224F" w14:paraId="6904BB09" w14:textId="77777777">
      <w:pPr>
        <w:rPr>
          <w:szCs w:val="22"/>
        </w:rPr>
      </w:pPr>
    </w:p>
    <w:tbl>
      <w:tblPr>
        <w:tblW w:w="0" w:type="auto"/>
        <w:tblLayout w:type="fixed"/>
        <w:tblLook w:val="0000"/>
      </w:tblPr>
      <w:tblGrid>
        <w:gridCol w:w="4698"/>
        <w:gridCol w:w="630"/>
        <w:gridCol w:w="4248"/>
      </w:tblGrid>
      <w:tr w14:paraId="5C9A8021" w14:textId="77777777">
        <w:tblPrEx>
          <w:tblW w:w="0" w:type="auto"/>
          <w:tblLayout w:type="fixed"/>
          <w:tblLook w:val="0000"/>
        </w:tblPrEx>
        <w:tc>
          <w:tcPr>
            <w:tcW w:w="4698" w:type="dxa"/>
          </w:tcPr>
          <w:p w:rsidR="004C2EE3" w:rsidRPr="00322EF1" w14:paraId="75883EBA" w14:textId="2F718BC9">
            <w:pPr>
              <w:tabs>
                <w:tab w:val="center" w:pos="4680"/>
              </w:tabs>
              <w:suppressAutoHyphens/>
              <w:rPr>
                <w:spacing w:val="-2"/>
                <w:szCs w:val="22"/>
              </w:rPr>
            </w:pPr>
            <w:r w:rsidRPr="00322EF1">
              <w:rPr>
                <w:spacing w:val="-2"/>
                <w:szCs w:val="22"/>
              </w:rPr>
              <w:t>In the Matter of</w:t>
            </w:r>
          </w:p>
          <w:p w:rsidR="004C2EE3" w:rsidRPr="00322EF1" w14:paraId="06DB6C72" w14:textId="77777777">
            <w:pPr>
              <w:tabs>
                <w:tab w:val="center" w:pos="4680"/>
              </w:tabs>
              <w:suppressAutoHyphens/>
              <w:rPr>
                <w:spacing w:val="-2"/>
                <w:szCs w:val="22"/>
              </w:rPr>
            </w:pPr>
          </w:p>
          <w:p w:rsidR="003E2B64" w:rsidRPr="00322EF1" w:rsidP="007115F7" w14:paraId="74821F35" w14:textId="12879436">
            <w:pPr>
              <w:tabs>
                <w:tab w:val="center" w:pos="4680"/>
              </w:tabs>
              <w:suppressAutoHyphens/>
              <w:rPr>
                <w:spacing w:val="-2"/>
                <w:szCs w:val="22"/>
              </w:rPr>
            </w:pPr>
            <w:bookmarkStart w:id="0" w:name="_Hlk117065843"/>
            <w:r w:rsidRPr="00322EF1">
              <w:rPr>
                <w:spacing w:val="-2"/>
                <w:szCs w:val="22"/>
              </w:rPr>
              <w:t>Zwerli</w:t>
            </w:r>
            <w:r w:rsidRPr="00322EF1" w:rsidR="00FC6E9B">
              <w:rPr>
                <w:spacing w:val="-2"/>
                <w:szCs w:val="22"/>
              </w:rPr>
              <w:t>ng Broadcasting System, Ltd</w:t>
            </w:r>
          </w:p>
          <w:bookmarkEnd w:id="0"/>
          <w:p w:rsidR="00031F80" w:rsidRPr="00322EF1" w:rsidP="007115F7" w14:paraId="43E984D5" w14:textId="1467FDD9">
            <w:pPr>
              <w:tabs>
                <w:tab w:val="center" w:pos="4680"/>
              </w:tabs>
              <w:suppressAutoHyphens/>
              <w:rPr>
                <w:spacing w:val="-2"/>
                <w:szCs w:val="22"/>
              </w:rPr>
            </w:pPr>
            <w:r w:rsidRPr="00322EF1">
              <w:rPr>
                <w:spacing w:val="-2"/>
                <w:szCs w:val="22"/>
              </w:rPr>
              <w:t>KSCO(AM), Santa Cruz, California</w:t>
            </w:r>
          </w:p>
          <w:p w:rsidR="00031F80" w:rsidRPr="00322EF1" w:rsidP="00D7657A" w14:paraId="2ADC0318" w14:textId="7099ADC0">
            <w:pPr>
              <w:tabs>
                <w:tab w:val="center" w:pos="4680"/>
              </w:tabs>
              <w:suppressAutoHyphens/>
              <w:rPr>
                <w:spacing w:val="-2"/>
                <w:szCs w:val="22"/>
              </w:rPr>
            </w:pPr>
          </w:p>
        </w:tc>
        <w:tc>
          <w:tcPr>
            <w:tcW w:w="630" w:type="dxa"/>
          </w:tcPr>
          <w:p w:rsidR="004C2EE3" w:rsidRPr="00322EF1" w14:paraId="556F739A" w14:textId="77777777">
            <w:pPr>
              <w:tabs>
                <w:tab w:val="center" w:pos="4680"/>
              </w:tabs>
              <w:suppressAutoHyphens/>
              <w:rPr>
                <w:b/>
                <w:szCs w:val="22"/>
              </w:rPr>
            </w:pPr>
            <w:r w:rsidRPr="00322EF1">
              <w:rPr>
                <w:b/>
                <w:spacing w:val="-2"/>
                <w:szCs w:val="22"/>
              </w:rPr>
              <w:t>)</w:t>
            </w:r>
          </w:p>
          <w:p w:rsidR="004C2EE3" w:rsidRPr="00322EF1" w14:paraId="2FB2CA84" w14:textId="77777777">
            <w:pPr>
              <w:tabs>
                <w:tab w:val="center" w:pos="4680"/>
              </w:tabs>
              <w:suppressAutoHyphens/>
              <w:rPr>
                <w:b/>
                <w:szCs w:val="22"/>
              </w:rPr>
            </w:pPr>
            <w:r w:rsidRPr="00322EF1">
              <w:rPr>
                <w:b/>
                <w:spacing w:val="-2"/>
                <w:szCs w:val="22"/>
              </w:rPr>
              <w:t>)</w:t>
            </w:r>
          </w:p>
          <w:p w:rsidR="004C2EE3" w:rsidRPr="00322EF1" w14:paraId="790FEF2F" w14:textId="77777777">
            <w:pPr>
              <w:tabs>
                <w:tab w:val="center" w:pos="4680"/>
              </w:tabs>
              <w:suppressAutoHyphens/>
              <w:rPr>
                <w:b/>
                <w:szCs w:val="22"/>
              </w:rPr>
            </w:pPr>
            <w:r w:rsidRPr="00322EF1">
              <w:rPr>
                <w:b/>
                <w:spacing w:val="-2"/>
                <w:szCs w:val="22"/>
              </w:rPr>
              <w:t>)</w:t>
            </w:r>
          </w:p>
          <w:p w:rsidR="004C2EE3" w:rsidRPr="00322EF1" w14:paraId="7357D7FB" w14:textId="77777777">
            <w:pPr>
              <w:tabs>
                <w:tab w:val="center" w:pos="4680"/>
              </w:tabs>
              <w:suppressAutoHyphens/>
              <w:rPr>
                <w:b/>
                <w:szCs w:val="22"/>
              </w:rPr>
            </w:pPr>
            <w:r w:rsidRPr="00322EF1">
              <w:rPr>
                <w:b/>
                <w:spacing w:val="-2"/>
                <w:szCs w:val="22"/>
              </w:rPr>
              <w:t>)</w:t>
            </w:r>
          </w:p>
          <w:p w:rsidR="00031F80" w:rsidRPr="00322EF1" w14:paraId="2226C113" w14:textId="77777777">
            <w:pPr>
              <w:tabs>
                <w:tab w:val="center" w:pos="4680"/>
              </w:tabs>
              <w:suppressAutoHyphens/>
              <w:rPr>
                <w:b/>
                <w:spacing w:val="-2"/>
                <w:szCs w:val="22"/>
              </w:rPr>
            </w:pPr>
            <w:r w:rsidRPr="00322EF1">
              <w:rPr>
                <w:b/>
                <w:spacing w:val="-2"/>
                <w:szCs w:val="22"/>
              </w:rPr>
              <w:t>)</w:t>
            </w:r>
          </w:p>
          <w:p w:rsidR="00DE1B30" w:rsidRPr="00322EF1" w14:paraId="18661E2B" w14:textId="77777777">
            <w:pPr>
              <w:tabs>
                <w:tab w:val="center" w:pos="4680"/>
              </w:tabs>
              <w:suppressAutoHyphens/>
              <w:rPr>
                <w:b/>
                <w:spacing w:val="-2"/>
                <w:szCs w:val="22"/>
              </w:rPr>
            </w:pPr>
            <w:r w:rsidRPr="00322EF1">
              <w:rPr>
                <w:b/>
                <w:spacing w:val="-2"/>
                <w:szCs w:val="22"/>
              </w:rPr>
              <w:t>)</w:t>
            </w:r>
          </w:p>
          <w:p w:rsidR="003E2B64" w:rsidRPr="00322EF1" w14:paraId="1092142B" w14:textId="20A02360">
            <w:pPr>
              <w:tabs>
                <w:tab w:val="center" w:pos="4680"/>
              </w:tabs>
              <w:suppressAutoHyphens/>
              <w:rPr>
                <w:b/>
                <w:szCs w:val="22"/>
              </w:rPr>
            </w:pPr>
            <w:r w:rsidRPr="00322EF1">
              <w:rPr>
                <w:b/>
                <w:spacing w:val="-2"/>
                <w:szCs w:val="22"/>
              </w:rPr>
              <w:t>)</w:t>
            </w:r>
          </w:p>
        </w:tc>
        <w:tc>
          <w:tcPr>
            <w:tcW w:w="4248" w:type="dxa"/>
          </w:tcPr>
          <w:p w:rsidR="00031F80" w:rsidRPr="00322EF1" w:rsidP="00031F80" w14:paraId="7DEB005B" w14:textId="77777777">
            <w:pPr>
              <w:widowControl/>
              <w:autoSpaceDE w:val="0"/>
              <w:autoSpaceDN w:val="0"/>
              <w:adjustRightInd w:val="0"/>
              <w:rPr>
                <w:snapToGrid/>
                <w:kern w:val="0"/>
                <w:szCs w:val="22"/>
              </w:rPr>
            </w:pPr>
          </w:p>
          <w:p w:rsidR="00D7657A" w:rsidRPr="00322EF1" w:rsidP="00031F80" w14:paraId="4C5342AF" w14:textId="77777777">
            <w:pPr>
              <w:widowControl/>
              <w:autoSpaceDE w:val="0"/>
              <w:autoSpaceDN w:val="0"/>
              <w:adjustRightInd w:val="0"/>
              <w:rPr>
                <w:snapToGrid/>
                <w:kern w:val="0"/>
                <w:szCs w:val="22"/>
              </w:rPr>
            </w:pPr>
          </w:p>
          <w:p w:rsidR="00031F80" w:rsidRPr="00322EF1" w:rsidP="00031F80" w14:paraId="7DC47538" w14:textId="244EF697">
            <w:pPr>
              <w:widowControl/>
              <w:autoSpaceDE w:val="0"/>
              <w:autoSpaceDN w:val="0"/>
              <w:adjustRightInd w:val="0"/>
              <w:rPr>
                <w:snapToGrid/>
                <w:kern w:val="0"/>
                <w:szCs w:val="22"/>
              </w:rPr>
            </w:pPr>
            <w:r w:rsidRPr="00322EF1">
              <w:rPr>
                <w:snapToGrid/>
                <w:kern w:val="0"/>
                <w:szCs w:val="22"/>
              </w:rPr>
              <w:t xml:space="preserve">NAL/Acct. No. </w:t>
            </w:r>
            <w:r w:rsidRPr="00322EF1" w:rsidR="00D97BD2">
              <w:rPr>
                <w:bCs/>
                <w:szCs w:val="22"/>
              </w:rPr>
              <w:t>MB-</w:t>
            </w:r>
            <w:r w:rsidRPr="00C5699A" w:rsidR="00C5699A">
              <w:rPr>
                <w:bCs/>
                <w:szCs w:val="22"/>
              </w:rPr>
              <w:t>202241410024</w:t>
            </w:r>
          </w:p>
          <w:p w:rsidR="00031F80" w:rsidRPr="00322EF1" w:rsidP="00031F80" w14:paraId="08E92CBF" w14:textId="75702C7E">
            <w:pPr>
              <w:widowControl/>
              <w:autoSpaceDE w:val="0"/>
              <w:autoSpaceDN w:val="0"/>
              <w:adjustRightInd w:val="0"/>
              <w:rPr>
                <w:snapToGrid/>
                <w:kern w:val="0"/>
                <w:szCs w:val="22"/>
              </w:rPr>
            </w:pPr>
            <w:r w:rsidRPr="00322EF1">
              <w:rPr>
                <w:snapToGrid/>
                <w:kern w:val="0"/>
                <w:szCs w:val="22"/>
              </w:rPr>
              <w:t xml:space="preserve">FRN: </w:t>
            </w:r>
            <w:r w:rsidRPr="00322EF1" w:rsidR="00AE1741">
              <w:rPr>
                <w:snapToGrid/>
                <w:kern w:val="0"/>
                <w:szCs w:val="22"/>
              </w:rPr>
              <w:t xml:space="preserve"> </w:t>
            </w:r>
            <w:r w:rsidRPr="00322EF1" w:rsidR="00FC6E9B">
              <w:rPr>
                <w:snapToGrid/>
                <w:kern w:val="0"/>
                <w:szCs w:val="22"/>
              </w:rPr>
              <w:t>0006023261</w:t>
            </w:r>
          </w:p>
          <w:p w:rsidR="00031F80" w:rsidRPr="00322EF1" w:rsidP="00031F80" w14:paraId="306BFF8C" w14:textId="3A597C7A">
            <w:pPr>
              <w:widowControl/>
              <w:autoSpaceDE w:val="0"/>
              <w:autoSpaceDN w:val="0"/>
              <w:adjustRightInd w:val="0"/>
              <w:rPr>
                <w:snapToGrid/>
                <w:kern w:val="0"/>
                <w:szCs w:val="22"/>
              </w:rPr>
            </w:pPr>
            <w:r w:rsidRPr="00322EF1">
              <w:rPr>
                <w:snapToGrid/>
                <w:kern w:val="0"/>
                <w:szCs w:val="22"/>
              </w:rPr>
              <w:t>Facility ID No</w:t>
            </w:r>
            <w:r w:rsidRPr="00322EF1">
              <w:rPr>
                <w:szCs w:val="22"/>
              </w:rPr>
              <w:t xml:space="preserve">. </w:t>
            </w:r>
            <w:r w:rsidRPr="00322EF1" w:rsidR="00941308">
              <w:rPr>
                <w:snapToGrid/>
                <w:kern w:val="0"/>
                <w:szCs w:val="22"/>
              </w:rPr>
              <w:t>41594</w:t>
            </w:r>
          </w:p>
          <w:p w:rsidR="00D9312F" w:rsidRPr="00322EF1" w:rsidP="00031F80" w14:paraId="229C3A2C" w14:textId="6A6F3F5D">
            <w:pPr>
              <w:widowControl/>
              <w:autoSpaceDE w:val="0"/>
              <w:autoSpaceDN w:val="0"/>
              <w:adjustRightInd w:val="0"/>
              <w:rPr>
                <w:snapToGrid/>
                <w:kern w:val="0"/>
                <w:szCs w:val="22"/>
              </w:rPr>
            </w:pPr>
            <w:r w:rsidRPr="00322EF1">
              <w:rPr>
                <w:snapToGrid/>
                <w:kern w:val="0"/>
                <w:szCs w:val="22"/>
              </w:rPr>
              <w:t xml:space="preserve">Application File No. </w:t>
            </w:r>
            <w:r w:rsidRPr="00322EF1" w:rsidR="00DE1B30">
              <w:rPr>
                <w:snapToGrid/>
                <w:kern w:val="0"/>
                <w:szCs w:val="22"/>
              </w:rPr>
              <w:t>155525</w:t>
            </w:r>
          </w:p>
          <w:p w:rsidR="00031F80" w:rsidRPr="00322EF1" w:rsidP="00031F80" w14:paraId="43317D23" w14:textId="38156B27">
            <w:pPr>
              <w:tabs>
                <w:tab w:val="center" w:pos="4680"/>
              </w:tabs>
              <w:suppressAutoHyphens/>
              <w:rPr>
                <w:spacing w:val="-2"/>
                <w:szCs w:val="22"/>
              </w:rPr>
            </w:pPr>
          </w:p>
        </w:tc>
      </w:tr>
    </w:tbl>
    <w:p w:rsidR="004C2EE3" w:rsidRPr="00322EF1" w:rsidP="0070224F" w14:paraId="2E3258B7" w14:textId="77777777">
      <w:pPr>
        <w:rPr>
          <w:szCs w:val="22"/>
        </w:rPr>
      </w:pPr>
    </w:p>
    <w:p w:rsidR="003E2B64" w:rsidRPr="00322EF1" w:rsidP="00F021FA" w14:paraId="2A4429FB" w14:textId="77777777">
      <w:pPr>
        <w:pStyle w:val="StyleBoldCentered"/>
        <w:rPr>
          <w:rFonts w:ascii="Times New Roman" w:hAnsi="Times New Roman"/>
        </w:rPr>
      </w:pPr>
      <w:r w:rsidRPr="00322EF1">
        <w:rPr>
          <w:rFonts w:ascii="Times New Roman" w:hAnsi="Times New Roman"/>
        </w:rPr>
        <w:t xml:space="preserve">MEMORANDUM OPINION AND ORDER AND </w:t>
      </w:r>
    </w:p>
    <w:p w:rsidR="00FA2382" w:rsidRPr="00322EF1" w:rsidP="00F021FA" w14:paraId="6F586C16" w14:textId="6BC2C673">
      <w:pPr>
        <w:pStyle w:val="StyleBoldCentered"/>
        <w:rPr>
          <w:rFonts w:ascii="Times New Roman" w:hAnsi="Times New Roman"/>
        </w:rPr>
      </w:pPr>
      <w:r w:rsidRPr="00322EF1">
        <w:rPr>
          <w:rFonts w:ascii="Times New Roman" w:hAnsi="Times New Roman"/>
        </w:rPr>
        <w:t>notice of apparent liability for forfeiture</w:t>
      </w:r>
    </w:p>
    <w:p w:rsidR="004C2EE3" w:rsidRPr="00322EF1" w14:paraId="0BC8BF86" w14:textId="77777777">
      <w:pPr>
        <w:tabs>
          <w:tab w:val="left" w:pos="-720"/>
        </w:tabs>
        <w:suppressAutoHyphens/>
        <w:spacing w:line="227" w:lineRule="auto"/>
        <w:rPr>
          <w:spacing w:val="-2"/>
          <w:szCs w:val="22"/>
        </w:rPr>
      </w:pPr>
    </w:p>
    <w:p w:rsidR="004C2EE3" w:rsidRPr="00322EF1" w:rsidP="00133F79" w14:paraId="2F68399E" w14:textId="3A7A6801">
      <w:pPr>
        <w:tabs>
          <w:tab w:val="left" w:pos="720"/>
          <w:tab w:val="right" w:pos="9360"/>
        </w:tabs>
        <w:suppressAutoHyphens/>
        <w:spacing w:line="227" w:lineRule="auto"/>
        <w:rPr>
          <w:spacing w:val="-2"/>
          <w:szCs w:val="22"/>
        </w:rPr>
      </w:pPr>
      <w:r w:rsidRPr="00322EF1">
        <w:rPr>
          <w:b/>
          <w:spacing w:val="-2"/>
          <w:szCs w:val="22"/>
        </w:rPr>
        <w:t xml:space="preserve">Adopted:  </w:t>
      </w:r>
      <w:r w:rsidR="000E4FD4">
        <w:rPr>
          <w:b/>
          <w:spacing w:val="-2"/>
          <w:szCs w:val="22"/>
        </w:rPr>
        <w:t>October</w:t>
      </w:r>
      <w:r w:rsidRPr="00322EF1" w:rsidR="003D4D70">
        <w:rPr>
          <w:b/>
          <w:spacing w:val="-2"/>
          <w:szCs w:val="22"/>
        </w:rPr>
        <w:t xml:space="preserve"> </w:t>
      </w:r>
      <w:r w:rsidR="00C5699A">
        <w:rPr>
          <w:b/>
          <w:spacing w:val="-2"/>
          <w:szCs w:val="22"/>
        </w:rPr>
        <w:t>19</w:t>
      </w:r>
      <w:r w:rsidRPr="00322EF1" w:rsidR="006D2F83">
        <w:rPr>
          <w:b/>
          <w:spacing w:val="-2"/>
          <w:szCs w:val="22"/>
        </w:rPr>
        <w:t>, 20</w:t>
      </w:r>
      <w:r w:rsidRPr="00322EF1" w:rsidR="00FC6E9B">
        <w:rPr>
          <w:b/>
          <w:spacing w:val="-2"/>
          <w:szCs w:val="22"/>
        </w:rPr>
        <w:t>22</w:t>
      </w:r>
      <w:r w:rsidRPr="00322EF1">
        <w:rPr>
          <w:b/>
          <w:spacing w:val="-2"/>
          <w:szCs w:val="22"/>
        </w:rPr>
        <w:tab/>
      </w:r>
      <w:r w:rsidRPr="00322EF1" w:rsidR="00822CE0">
        <w:rPr>
          <w:b/>
          <w:spacing w:val="-2"/>
          <w:szCs w:val="22"/>
        </w:rPr>
        <w:t>Released</w:t>
      </w:r>
      <w:r w:rsidRPr="00322EF1">
        <w:rPr>
          <w:b/>
          <w:spacing w:val="-2"/>
          <w:szCs w:val="22"/>
        </w:rPr>
        <w:t>:</w:t>
      </w:r>
      <w:r w:rsidRPr="00322EF1" w:rsidR="00822CE0">
        <w:rPr>
          <w:b/>
          <w:spacing w:val="-2"/>
          <w:szCs w:val="22"/>
        </w:rPr>
        <w:t xml:space="preserve"> </w:t>
      </w:r>
      <w:r w:rsidRPr="00322EF1">
        <w:rPr>
          <w:b/>
          <w:spacing w:val="-2"/>
          <w:szCs w:val="22"/>
        </w:rPr>
        <w:t xml:space="preserve"> </w:t>
      </w:r>
      <w:r w:rsidR="000E4FD4">
        <w:rPr>
          <w:b/>
          <w:spacing w:val="-2"/>
          <w:szCs w:val="22"/>
        </w:rPr>
        <w:t>October</w:t>
      </w:r>
      <w:r w:rsidRPr="00322EF1" w:rsidR="003D4D70">
        <w:rPr>
          <w:b/>
          <w:spacing w:val="-2"/>
          <w:szCs w:val="22"/>
        </w:rPr>
        <w:t xml:space="preserve"> </w:t>
      </w:r>
      <w:r w:rsidR="00C5699A">
        <w:rPr>
          <w:b/>
          <w:spacing w:val="-2"/>
          <w:szCs w:val="22"/>
        </w:rPr>
        <w:t>19</w:t>
      </w:r>
      <w:r w:rsidRPr="00322EF1" w:rsidR="0018575B">
        <w:rPr>
          <w:b/>
          <w:spacing w:val="-2"/>
          <w:szCs w:val="22"/>
        </w:rPr>
        <w:t>,</w:t>
      </w:r>
      <w:r w:rsidRPr="00322EF1" w:rsidR="006D2F83">
        <w:rPr>
          <w:b/>
          <w:spacing w:val="-2"/>
          <w:szCs w:val="22"/>
        </w:rPr>
        <w:t xml:space="preserve"> 20</w:t>
      </w:r>
      <w:r w:rsidRPr="00322EF1" w:rsidR="00FC6E9B">
        <w:rPr>
          <w:b/>
          <w:spacing w:val="-2"/>
          <w:szCs w:val="22"/>
        </w:rPr>
        <w:t>22</w:t>
      </w:r>
    </w:p>
    <w:p w:rsidR="00822CE0" w:rsidRPr="00322EF1" w14:paraId="4C77363E" w14:textId="77777777">
      <w:pPr>
        <w:rPr>
          <w:szCs w:val="22"/>
        </w:rPr>
      </w:pPr>
    </w:p>
    <w:p w:rsidR="00822CE0" w:rsidRPr="00322EF1" w14:paraId="136DCA85" w14:textId="2D3053C0">
      <w:pPr>
        <w:rPr>
          <w:spacing w:val="-2"/>
          <w:szCs w:val="22"/>
        </w:rPr>
      </w:pPr>
      <w:r w:rsidRPr="00322EF1">
        <w:rPr>
          <w:szCs w:val="22"/>
        </w:rPr>
        <w:t xml:space="preserve">By </w:t>
      </w:r>
      <w:r w:rsidRPr="00322EF1" w:rsidR="004E4A22">
        <w:rPr>
          <w:szCs w:val="22"/>
        </w:rPr>
        <w:t>the</w:t>
      </w:r>
      <w:r w:rsidRPr="00322EF1" w:rsidR="002A2D2E">
        <w:rPr>
          <w:szCs w:val="22"/>
        </w:rPr>
        <w:t xml:space="preserve"> </w:t>
      </w:r>
      <w:r w:rsidRPr="00322EF1" w:rsidR="006D2F83">
        <w:rPr>
          <w:spacing w:val="-2"/>
          <w:szCs w:val="22"/>
        </w:rPr>
        <w:t>Chief, Audio Division, Media Bureau</w:t>
      </w:r>
      <w:r w:rsidRPr="00322EF1">
        <w:rPr>
          <w:szCs w:val="22"/>
        </w:rPr>
        <w:t>:</w:t>
      </w:r>
    </w:p>
    <w:p w:rsidR="00412FC5" w:rsidRPr="00322EF1" w:rsidP="00412FC5" w14:paraId="75FF0091" w14:textId="77777777">
      <w:pPr>
        <w:rPr>
          <w:szCs w:val="22"/>
        </w:rPr>
      </w:pPr>
    </w:p>
    <w:p w:rsidR="00B35E7B" w:rsidRPr="00322EF1" w:rsidP="002C00E8" w14:paraId="3B7034F4" w14:textId="77777777">
      <w:pPr>
        <w:pStyle w:val="Heading1"/>
        <w:rPr>
          <w:rFonts w:ascii="Times New Roman" w:hAnsi="Times New Roman"/>
          <w:szCs w:val="22"/>
        </w:rPr>
      </w:pPr>
      <w:r w:rsidRPr="00322EF1">
        <w:rPr>
          <w:rFonts w:ascii="Times New Roman" w:hAnsi="Times New Roman"/>
          <w:szCs w:val="22"/>
        </w:rPr>
        <w:t>INTRODUCTION</w:t>
      </w:r>
    </w:p>
    <w:p w:rsidR="004E15A0" w:rsidRPr="00322EF1" w:rsidP="00654762" w14:paraId="3EE0C875" w14:textId="3A8AF60C">
      <w:pPr>
        <w:pStyle w:val="ParaNum"/>
        <w:rPr>
          <w:szCs w:val="22"/>
        </w:rPr>
      </w:pPr>
      <w:r w:rsidRPr="00322EF1">
        <w:rPr>
          <w:szCs w:val="22"/>
        </w:rPr>
        <w:t xml:space="preserve">In this </w:t>
      </w:r>
      <w:r w:rsidRPr="00322EF1" w:rsidR="003E2B64">
        <w:rPr>
          <w:szCs w:val="22"/>
        </w:rPr>
        <w:t xml:space="preserve">Memorandum Opinion and Order and </w:t>
      </w:r>
      <w:r w:rsidRPr="00322EF1">
        <w:rPr>
          <w:szCs w:val="22"/>
        </w:rPr>
        <w:t xml:space="preserve">Notice of Apparent Liability for Forfeiture (NAL), we find Zwerling Broadcasting System, Ltd (Zwerling), apparently willfully and repeatedly </w:t>
      </w:r>
      <w:r w:rsidRPr="00322EF1" w:rsidR="00D2119D">
        <w:rPr>
          <w:szCs w:val="22"/>
        </w:rPr>
        <w:t xml:space="preserve">violated Section 301 of the Communications Act of 1934, as amended (Act), and sections </w:t>
      </w:r>
      <w:r w:rsidRPr="00322EF1" w:rsidR="000E1031">
        <w:rPr>
          <w:szCs w:val="22"/>
        </w:rPr>
        <w:t xml:space="preserve">73.1350, 73.1560(a)(1), </w:t>
      </w:r>
      <w:r w:rsidRPr="00322EF1" w:rsidR="004B6A9F">
        <w:rPr>
          <w:szCs w:val="22"/>
        </w:rPr>
        <w:t xml:space="preserve">73.1635, 73.1690(b), and </w:t>
      </w:r>
      <w:r w:rsidRPr="00322EF1" w:rsidR="00D2119D">
        <w:rPr>
          <w:szCs w:val="22"/>
        </w:rPr>
        <w:t>73.1745</w:t>
      </w:r>
      <w:r w:rsidRPr="00322EF1" w:rsidR="006E2C72">
        <w:rPr>
          <w:szCs w:val="22"/>
        </w:rPr>
        <w:t>(a)</w:t>
      </w:r>
      <w:r w:rsidRPr="00322EF1">
        <w:rPr>
          <w:szCs w:val="22"/>
        </w:rPr>
        <w:t xml:space="preserve"> of the </w:t>
      </w:r>
      <w:r w:rsidRPr="00322EF1">
        <w:rPr>
          <w:szCs w:val="22"/>
        </w:rPr>
        <w:t xml:space="preserve">Commission's rules (Rules) by </w:t>
      </w:r>
      <w:r w:rsidRPr="00322EF1">
        <w:rPr>
          <w:szCs w:val="22"/>
        </w:rPr>
        <w:t xml:space="preserve">operating </w:t>
      </w:r>
      <w:r w:rsidRPr="00322EF1" w:rsidR="00E05338">
        <w:rPr>
          <w:szCs w:val="22"/>
        </w:rPr>
        <w:t xml:space="preserve">KSCO(AM), Santa Cruz, California (Station) at a variance from its authorized parameters.  </w:t>
      </w:r>
      <w:r w:rsidRPr="00322EF1">
        <w:rPr>
          <w:szCs w:val="22"/>
        </w:rPr>
        <w:t xml:space="preserve">Based upon our review of the facts and circumstances before us, we conclude that </w:t>
      </w:r>
      <w:r w:rsidRPr="00322EF1" w:rsidR="00E05338">
        <w:rPr>
          <w:szCs w:val="22"/>
        </w:rPr>
        <w:t>Zwerling</w:t>
      </w:r>
      <w:r w:rsidRPr="00322EF1">
        <w:rPr>
          <w:szCs w:val="22"/>
        </w:rPr>
        <w:t xml:space="preserve"> is apparently liable for a monetary forfeiture in the amount of </w:t>
      </w:r>
      <w:r w:rsidRPr="00322EF1" w:rsidR="00D2119D">
        <w:rPr>
          <w:szCs w:val="22"/>
        </w:rPr>
        <w:t>twenty</w:t>
      </w:r>
      <w:r w:rsidRPr="00322EF1" w:rsidR="00E05338">
        <w:rPr>
          <w:szCs w:val="22"/>
        </w:rPr>
        <w:t xml:space="preserve"> </w:t>
      </w:r>
      <w:r w:rsidRPr="00322EF1">
        <w:rPr>
          <w:szCs w:val="22"/>
        </w:rPr>
        <w:t>thousand dollars ($</w:t>
      </w:r>
      <w:r w:rsidRPr="00322EF1" w:rsidR="00D2119D">
        <w:rPr>
          <w:szCs w:val="22"/>
        </w:rPr>
        <w:t>20</w:t>
      </w:r>
      <w:r w:rsidRPr="00322EF1">
        <w:rPr>
          <w:szCs w:val="22"/>
        </w:rPr>
        <w:t>,000).</w:t>
      </w:r>
      <w:r w:rsidRPr="00322EF1" w:rsidR="00654762">
        <w:rPr>
          <w:szCs w:val="22"/>
        </w:rPr>
        <w:t xml:space="preserve">  Upon resolution of the forfeiture proceeding commenced herein and so long as there are no other issues that would preclude such action, we will </w:t>
      </w:r>
      <w:r w:rsidR="005E3EA9">
        <w:rPr>
          <w:szCs w:val="22"/>
        </w:rPr>
        <w:t>grant Zwerling’s pending application to renew</w:t>
      </w:r>
      <w:r w:rsidRPr="00322EF1" w:rsidR="00654762">
        <w:rPr>
          <w:szCs w:val="22"/>
        </w:rPr>
        <w:t xml:space="preserve"> the Station’s license for a period of two years.</w:t>
      </w:r>
      <w:r>
        <w:rPr>
          <w:rStyle w:val="FootnoteReference"/>
          <w:szCs w:val="22"/>
        </w:rPr>
        <w:footnoteReference w:id="3"/>
      </w:r>
    </w:p>
    <w:p w:rsidR="002C00E8" w:rsidRPr="00322EF1" w:rsidP="00E05338" w14:paraId="52C5B9FA" w14:textId="6C882AD9">
      <w:pPr>
        <w:pStyle w:val="Heading1"/>
        <w:rPr>
          <w:rFonts w:ascii="Times New Roman" w:hAnsi="Times New Roman"/>
          <w:szCs w:val="22"/>
        </w:rPr>
      </w:pPr>
      <w:r w:rsidRPr="00322EF1">
        <w:rPr>
          <w:rFonts w:ascii="Times New Roman" w:hAnsi="Times New Roman"/>
          <w:szCs w:val="22"/>
        </w:rPr>
        <w:t>BACKGROUND</w:t>
      </w:r>
    </w:p>
    <w:p w:rsidR="00C35F3C" w:rsidP="00C7720A" w14:paraId="1EFFC2FA" w14:textId="0B6F847B">
      <w:pPr>
        <w:pStyle w:val="ParaNum"/>
        <w:rPr>
          <w:szCs w:val="22"/>
        </w:rPr>
      </w:pPr>
      <w:r w:rsidRPr="00322EF1">
        <w:rPr>
          <w:szCs w:val="22"/>
        </w:rPr>
        <w:t xml:space="preserve">Since </w:t>
      </w:r>
      <w:r w:rsidR="007F4E27">
        <w:rPr>
          <w:szCs w:val="22"/>
        </w:rPr>
        <w:t>1970</w:t>
      </w:r>
      <w:r w:rsidRPr="00322EF1">
        <w:rPr>
          <w:szCs w:val="22"/>
        </w:rPr>
        <w:t xml:space="preserve">, </w:t>
      </w:r>
      <w:r w:rsidRPr="00322EF1" w:rsidR="00FA2D89">
        <w:rPr>
          <w:szCs w:val="22"/>
        </w:rPr>
        <w:t xml:space="preserve">the Station </w:t>
      </w:r>
      <w:r w:rsidR="00E461E0">
        <w:rPr>
          <w:szCs w:val="22"/>
        </w:rPr>
        <w:t xml:space="preserve">has been authorized to operate </w:t>
      </w:r>
      <w:r w:rsidRPr="00322EF1">
        <w:rPr>
          <w:szCs w:val="22"/>
        </w:rPr>
        <w:t>in a non-directional mode at</w:t>
      </w:r>
      <w:r w:rsidRPr="00322EF1" w:rsidR="000B1F6B">
        <w:rPr>
          <w:szCs w:val="22"/>
        </w:rPr>
        <w:t xml:space="preserve"> 10 kilowatts</w:t>
      </w:r>
      <w:r w:rsidRPr="00322EF1">
        <w:rPr>
          <w:szCs w:val="22"/>
        </w:rPr>
        <w:t xml:space="preserve"> </w:t>
      </w:r>
      <w:r w:rsidR="00AE59AB">
        <w:rPr>
          <w:szCs w:val="22"/>
        </w:rPr>
        <w:t xml:space="preserve">nominal power </w:t>
      </w:r>
      <w:r w:rsidRPr="00322EF1" w:rsidR="00991756">
        <w:rPr>
          <w:szCs w:val="22"/>
        </w:rPr>
        <w:t>during daytime hours</w:t>
      </w:r>
      <w:r w:rsidRPr="00322EF1">
        <w:rPr>
          <w:szCs w:val="22"/>
        </w:rPr>
        <w:t xml:space="preserve">, and </w:t>
      </w:r>
      <w:r w:rsidRPr="00322EF1" w:rsidR="00991756">
        <w:rPr>
          <w:szCs w:val="22"/>
        </w:rPr>
        <w:t xml:space="preserve">in a directional mode at 5 kilowatts </w:t>
      </w:r>
      <w:r w:rsidR="00AE59AB">
        <w:rPr>
          <w:szCs w:val="22"/>
        </w:rPr>
        <w:t>nominal power</w:t>
      </w:r>
      <w:r w:rsidRPr="00322EF1" w:rsidR="00991756">
        <w:rPr>
          <w:szCs w:val="22"/>
        </w:rPr>
        <w:t xml:space="preserve"> during nighttime hours.</w:t>
      </w:r>
      <w:r>
        <w:rPr>
          <w:rStyle w:val="FootnoteReference"/>
          <w:sz w:val="22"/>
          <w:szCs w:val="22"/>
        </w:rPr>
        <w:footnoteReference w:id="4"/>
      </w:r>
      <w:r w:rsidRPr="00322EF1" w:rsidR="00991756">
        <w:rPr>
          <w:szCs w:val="22"/>
        </w:rPr>
        <w:t xml:space="preserve">  </w:t>
      </w:r>
      <w:r w:rsidR="003E7881">
        <w:rPr>
          <w:szCs w:val="22"/>
        </w:rPr>
        <w:t xml:space="preserve">In </w:t>
      </w:r>
      <w:r w:rsidR="005E4A5E">
        <w:rPr>
          <w:szCs w:val="22"/>
        </w:rPr>
        <w:t xml:space="preserve">1993, Zwerling </w:t>
      </w:r>
      <w:r w:rsidR="00E06381">
        <w:rPr>
          <w:szCs w:val="22"/>
        </w:rPr>
        <w:t xml:space="preserve">obtained </w:t>
      </w:r>
      <w:r w:rsidR="005E4A5E">
        <w:rPr>
          <w:szCs w:val="22"/>
        </w:rPr>
        <w:t xml:space="preserve">special temporary authority (STA) to operate </w:t>
      </w:r>
      <w:r w:rsidR="00E06381">
        <w:rPr>
          <w:szCs w:val="22"/>
        </w:rPr>
        <w:t xml:space="preserve">the Station </w:t>
      </w:r>
      <w:r>
        <w:rPr>
          <w:szCs w:val="22"/>
        </w:rPr>
        <w:t xml:space="preserve">in non-directional mode at night </w:t>
      </w:r>
      <w:r w:rsidR="00D63571">
        <w:rPr>
          <w:szCs w:val="22"/>
        </w:rPr>
        <w:t xml:space="preserve">with a reduced power of </w:t>
      </w:r>
      <w:r w:rsidR="00716282">
        <w:rPr>
          <w:szCs w:val="22"/>
        </w:rPr>
        <w:t>1 kilowatt</w:t>
      </w:r>
      <w:r w:rsidR="00D63571">
        <w:rPr>
          <w:szCs w:val="22"/>
        </w:rPr>
        <w:t xml:space="preserve">.  </w:t>
      </w:r>
      <w:r w:rsidR="00D51467">
        <w:rPr>
          <w:szCs w:val="22"/>
        </w:rPr>
        <w:t xml:space="preserve">The Mass Media Bureau </w:t>
      </w:r>
      <w:r w:rsidR="009C40B2">
        <w:rPr>
          <w:szCs w:val="22"/>
        </w:rPr>
        <w:t>extended this STA multiple times</w:t>
      </w:r>
      <w:r w:rsidR="00037F15">
        <w:rPr>
          <w:szCs w:val="22"/>
        </w:rPr>
        <w:t>.  The last extension was granted on</w:t>
      </w:r>
      <w:r w:rsidR="009C40B2">
        <w:rPr>
          <w:szCs w:val="22"/>
        </w:rPr>
        <w:t xml:space="preserve"> October 30, 1996</w:t>
      </w:r>
      <w:r w:rsidR="00037F15">
        <w:rPr>
          <w:szCs w:val="22"/>
        </w:rPr>
        <w:t xml:space="preserve">, and expired on </w:t>
      </w:r>
      <w:r w:rsidR="00E06381">
        <w:rPr>
          <w:szCs w:val="22"/>
        </w:rPr>
        <w:t>November 29, 1996</w:t>
      </w:r>
      <w:r w:rsidR="009C40B2">
        <w:rPr>
          <w:szCs w:val="22"/>
        </w:rPr>
        <w:t>.</w:t>
      </w:r>
      <w:r>
        <w:rPr>
          <w:rStyle w:val="FootnoteReference"/>
          <w:szCs w:val="22"/>
        </w:rPr>
        <w:footnoteReference w:id="5"/>
      </w:r>
      <w:r w:rsidR="009C40B2">
        <w:rPr>
          <w:szCs w:val="22"/>
        </w:rPr>
        <w:t xml:space="preserve">  </w:t>
      </w:r>
      <w:r w:rsidR="00D51467">
        <w:rPr>
          <w:szCs w:val="22"/>
        </w:rPr>
        <w:t xml:space="preserve">In its letter granting the extension, the Mass Media Bureau warned Zwerling that </w:t>
      </w:r>
      <w:r w:rsidR="00231A50">
        <w:rPr>
          <w:szCs w:val="22"/>
        </w:rPr>
        <w:t>the Station</w:t>
      </w:r>
      <w:r w:rsidR="00D51467">
        <w:rPr>
          <w:szCs w:val="22"/>
        </w:rPr>
        <w:t xml:space="preserve"> needed to </w:t>
      </w:r>
      <w:r w:rsidR="00231A50">
        <w:rPr>
          <w:szCs w:val="22"/>
        </w:rPr>
        <w:t>“return to licensed operation or to file FCC Form 301 for modification of its nighttime facilities.”</w:t>
      </w:r>
      <w:r>
        <w:rPr>
          <w:rStyle w:val="FootnoteReference"/>
          <w:szCs w:val="22"/>
        </w:rPr>
        <w:footnoteReference w:id="6"/>
      </w:r>
      <w:r w:rsidR="00231A50">
        <w:rPr>
          <w:szCs w:val="22"/>
        </w:rPr>
        <w:t xml:space="preserve">  </w:t>
      </w:r>
      <w:r w:rsidR="00CF52A5">
        <w:rPr>
          <w:szCs w:val="22"/>
        </w:rPr>
        <w:t>To date, Zwerling has not filed an FCC Form 301.</w:t>
      </w:r>
    </w:p>
    <w:p w:rsidR="00176E88" w:rsidP="00C7720A" w14:paraId="561EA46A" w14:textId="4549C9B2">
      <w:pPr>
        <w:pStyle w:val="ParaNum"/>
        <w:rPr>
          <w:szCs w:val="22"/>
        </w:rPr>
      </w:pPr>
      <w:r>
        <w:rPr>
          <w:szCs w:val="22"/>
        </w:rPr>
        <w:t>In 201</w:t>
      </w:r>
      <w:r w:rsidR="00E81FC7">
        <w:rPr>
          <w:szCs w:val="22"/>
        </w:rPr>
        <w:t>6</w:t>
      </w:r>
      <w:r>
        <w:rPr>
          <w:szCs w:val="22"/>
        </w:rPr>
        <w:t xml:space="preserve">, </w:t>
      </w:r>
      <w:r w:rsidR="007B1717">
        <w:rPr>
          <w:szCs w:val="22"/>
        </w:rPr>
        <w:t>the Enforcement Bureau</w:t>
      </w:r>
      <w:r w:rsidR="009354D8">
        <w:rPr>
          <w:szCs w:val="22"/>
        </w:rPr>
        <w:t xml:space="preserve"> </w:t>
      </w:r>
      <w:r w:rsidRPr="00C7720A" w:rsidR="00346346">
        <w:rPr>
          <w:szCs w:val="22"/>
        </w:rPr>
        <w:t>received complaint</w:t>
      </w:r>
      <w:r w:rsidR="0010592A">
        <w:rPr>
          <w:szCs w:val="22"/>
        </w:rPr>
        <w:t>s</w:t>
      </w:r>
      <w:r w:rsidRPr="00C7720A" w:rsidR="00346346">
        <w:rPr>
          <w:szCs w:val="22"/>
        </w:rPr>
        <w:t xml:space="preserve"> </w:t>
      </w:r>
      <w:r w:rsidR="00C51F85">
        <w:rPr>
          <w:szCs w:val="22"/>
        </w:rPr>
        <w:t>about the Station’s operations</w:t>
      </w:r>
      <w:r w:rsidRPr="00C7720A" w:rsidR="00957218">
        <w:rPr>
          <w:szCs w:val="22"/>
        </w:rPr>
        <w:t>.</w:t>
      </w:r>
      <w:r>
        <w:rPr>
          <w:rStyle w:val="FootnoteReference"/>
          <w:szCs w:val="22"/>
        </w:rPr>
        <w:footnoteReference w:id="7"/>
      </w:r>
      <w:r w:rsidRPr="00C7720A" w:rsidR="00CE6C46">
        <w:rPr>
          <w:szCs w:val="22"/>
        </w:rPr>
        <w:t xml:space="preserve">  </w:t>
      </w:r>
      <w:r w:rsidR="00753874">
        <w:rPr>
          <w:szCs w:val="22"/>
        </w:rPr>
        <w:t xml:space="preserve">When the Enforcement Bureau contacted Zwerling about the complaints, </w:t>
      </w:r>
      <w:r w:rsidRPr="0010592A" w:rsidR="0010592A">
        <w:rPr>
          <w:szCs w:val="22"/>
        </w:rPr>
        <w:t xml:space="preserve">Zwerling admitted the Station </w:t>
      </w:r>
      <w:r w:rsidRPr="0010592A" w:rsidR="0010592A">
        <w:rPr>
          <w:szCs w:val="22"/>
        </w:rPr>
        <w:t>was operating non-directionally at night at 1 kilowatt, and stated the Station had been operating in this manner pursuant to STA when Zwerling acquired it.  The Enforcement Bureau informed Zwerling that it needed to apply for an STA and then return the Station to its licensed parameters, or apply to modify the Station’s authorization to reflect the manner in which it had been operating.  Despite this, Zwerling did not request STA or apply to modify the Station’s authorization.</w:t>
      </w:r>
    </w:p>
    <w:p w:rsidR="00346346" w:rsidP="00C7720A" w14:paraId="633BF35B" w14:textId="5E985863">
      <w:pPr>
        <w:pStyle w:val="ParaNum"/>
        <w:rPr>
          <w:szCs w:val="22"/>
        </w:rPr>
      </w:pPr>
      <w:r>
        <w:rPr>
          <w:szCs w:val="22"/>
        </w:rPr>
        <w:t xml:space="preserve">In 2020, the Commission received another complaint about the Station’s operations.  The complaint alleged that </w:t>
      </w:r>
      <w:r w:rsidR="006947F3">
        <w:rPr>
          <w:szCs w:val="22"/>
        </w:rPr>
        <w:t>the Station had been operating at night in non-</w:t>
      </w:r>
      <w:r w:rsidR="00350627">
        <w:rPr>
          <w:szCs w:val="22"/>
        </w:rPr>
        <w:t>directional</w:t>
      </w:r>
      <w:r w:rsidR="006947F3">
        <w:rPr>
          <w:szCs w:val="22"/>
        </w:rPr>
        <w:t xml:space="preserve"> mode at 1 kilowatt</w:t>
      </w:r>
      <w:r w:rsidR="00224066">
        <w:rPr>
          <w:szCs w:val="22"/>
        </w:rPr>
        <w:t xml:space="preserve"> for more than 30 years</w:t>
      </w:r>
      <w:r w:rsidR="00350627">
        <w:rPr>
          <w:szCs w:val="22"/>
        </w:rPr>
        <w:t xml:space="preserve">.  </w:t>
      </w:r>
      <w:r w:rsidRPr="00C7720A" w:rsidR="00CE6C46">
        <w:rPr>
          <w:szCs w:val="22"/>
        </w:rPr>
        <w:t xml:space="preserve">When Media Bureau staff </w:t>
      </w:r>
      <w:r w:rsidR="00615DCD">
        <w:rPr>
          <w:szCs w:val="22"/>
        </w:rPr>
        <w:t>contacted</w:t>
      </w:r>
      <w:r w:rsidRPr="00C7720A" w:rsidR="00CE6C46">
        <w:rPr>
          <w:szCs w:val="22"/>
        </w:rPr>
        <w:t xml:space="preserve"> Zwerling about the complaint, Zwerling admitted the Station had been operating in non-directional mode </w:t>
      </w:r>
      <w:r w:rsidR="007C7601">
        <w:rPr>
          <w:szCs w:val="22"/>
        </w:rPr>
        <w:t xml:space="preserve">with a nominal power of 1 kilowatt </w:t>
      </w:r>
      <w:r w:rsidRPr="00C7720A" w:rsidR="00CE6C46">
        <w:rPr>
          <w:szCs w:val="22"/>
        </w:rPr>
        <w:t>at night.</w:t>
      </w:r>
      <w:r w:rsidRPr="00C7720A" w:rsidR="00E44AA4">
        <w:rPr>
          <w:szCs w:val="22"/>
        </w:rPr>
        <w:t xml:space="preserve">  Zwerling indicated that the Station had “operated for more than thirty years now, at 1000 watts non-directional at night</w:t>
      </w:r>
      <w:r w:rsidRPr="00C7720A" w:rsidR="00CE6C46">
        <w:rPr>
          <w:szCs w:val="22"/>
        </w:rPr>
        <w:t>.</w:t>
      </w:r>
      <w:r w:rsidRPr="00C7720A" w:rsidR="00E44AA4">
        <w:rPr>
          <w:szCs w:val="22"/>
        </w:rPr>
        <w:t>”</w:t>
      </w:r>
      <w:r>
        <w:rPr>
          <w:rStyle w:val="FootnoteReference"/>
          <w:szCs w:val="22"/>
        </w:rPr>
        <w:footnoteReference w:id="8"/>
      </w:r>
      <w:r w:rsidRPr="00C7720A" w:rsidR="00E44AA4">
        <w:rPr>
          <w:szCs w:val="22"/>
        </w:rPr>
        <w:t xml:space="preserve">  Zwerling asserted that “in the directional mode [the Station] lose[s] coverage to a significant amount of [its] primary service area.”</w:t>
      </w:r>
      <w:r>
        <w:rPr>
          <w:rStyle w:val="FootnoteReference"/>
          <w:szCs w:val="22"/>
        </w:rPr>
        <w:footnoteReference w:id="9"/>
      </w:r>
      <w:r w:rsidRPr="00C7720A" w:rsidR="00E44AA4">
        <w:rPr>
          <w:szCs w:val="22"/>
        </w:rPr>
        <w:t xml:space="preserve">  </w:t>
      </w:r>
      <w:r w:rsidR="005E577F">
        <w:rPr>
          <w:szCs w:val="22"/>
        </w:rPr>
        <w:t>Zwerling also argued that,</w:t>
      </w:r>
      <w:r w:rsidRPr="00C7720A" w:rsidR="00E44AA4">
        <w:rPr>
          <w:szCs w:val="22"/>
        </w:rPr>
        <w:t xml:space="preserve"> because of this coverage issue, it “determined that in the absence of any interference complaints from any consumers nor broadcasters …, it would NOT be in the public interest, convenience, and necessity for us to cut out coverage to roughly 75% of the population we are here to serve.”</w:t>
      </w:r>
      <w:r>
        <w:rPr>
          <w:rStyle w:val="FootnoteReference"/>
          <w:szCs w:val="22"/>
        </w:rPr>
        <w:footnoteReference w:id="10"/>
      </w:r>
      <w:r w:rsidRPr="00C7720A" w:rsidR="00E44AA4">
        <w:rPr>
          <w:szCs w:val="22"/>
        </w:rPr>
        <w:t xml:space="preserve">  </w:t>
      </w:r>
      <w:r w:rsidR="001978F2">
        <w:rPr>
          <w:szCs w:val="22"/>
        </w:rPr>
        <w:t>Finally, Zwerling</w:t>
      </w:r>
      <w:r w:rsidRPr="00C7720A" w:rsidR="00E44AA4">
        <w:rPr>
          <w:szCs w:val="22"/>
        </w:rPr>
        <w:t xml:space="preserve"> </w:t>
      </w:r>
      <w:r w:rsidR="001978F2">
        <w:rPr>
          <w:szCs w:val="22"/>
        </w:rPr>
        <w:t>noted</w:t>
      </w:r>
      <w:r w:rsidRPr="00C7720A" w:rsidR="00E44AA4">
        <w:rPr>
          <w:szCs w:val="22"/>
        </w:rPr>
        <w:t xml:space="preserve"> that the Station “has been an incredibly valuable, highly-praised safety resource to Santa Cruz and all communities of the Monterey Bay Area during times of emergencies, i.e., fires, storms, floods, earthquakes, power outages, etc. since day one of its now nearly 75 year operation which began on September 21, 1947.”</w:t>
      </w:r>
      <w:r>
        <w:rPr>
          <w:rStyle w:val="FootnoteReference"/>
          <w:szCs w:val="22"/>
        </w:rPr>
        <w:footnoteReference w:id="11"/>
      </w:r>
      <w:r w:rsidRPr="00C7720A" w:rsidR="00CE6C46">
        <w:rPr>
          <w:szCs w:val="22"/>
        </w:rPr>
        <w:t xml:space="preserve">  </w:t>
      </w:r>
    </w:p>
    <w:p w:rsidR="00563297" w:rsidRPr="00C7720A" w:rsidP="00C7720A" w14:paraId="68AA844F" w14:textId="584D4D14">
      <w:pPr>
        <w:pStyle w:val="ParaNum"/>
        <w:rPr>
          <w:szCs w:val="22"/>
        </w:rPr>
      </w:pPr>
      <w:r>
        <w:rPr>
          <w:szCs w:val="22"/>
        </w:rPr>
        <w:t>On September 7, 2022, Zwerling requested STA to continue to operate non-directionally at night with reduced power.</w:t>
      </w:r>
      <w:r>
        <w:rPr>
          <w:rStyle w:val="FootnoteReference"/>
          <w:szCs w:val="22"/>
        </w:rPr>
        <w:footnoteReference w:id="12"/>
      </w:r>
      <w:r>
        <w:rPr>
          <w:szCs w:val="22"/>
        </w:rPr>
        <w:t xml:space="preserve">  </w:t>
      </w:r>
      <w:r w:rsidR="00220F01">
        <w:rPr>
          <w:szCs w:val="22"/>
        </w:rPr>
        <w:t>We recently denied this request</w:t>
      </w:r>
      <w:r w:rsidR="00797DE1">
        <w:rPr>
          <w:szCs w:val="22"/>
        </w:rPr>
        <w:t xml:space="preserve"> because Zwerling did “not provide a justification for the need to operate with an alternate antenna system and reduced power during nighttime hours</w:t>
      </w:r>
      <w:r w:rsidR="003B6240">
        <w:rPr>
          <w:szCs w:val="22"/>
        </w:rPr>
        <w:t>.”</w:t>
      </w:r>
      <w:r>
        <w:rPr>
          <w:rStyle w:val="FootnoteReference"/>
          <w:szCs w:val="22"/>
        </w:rPr>
        <w:footnoteReference w:id="13"/>
      </w:r>
      <w:r w:rsidR="00AC122D">
        <w:rPr>
          <w:szCs w:val="22"/>
        </w:rPr>
        <w:t xml:space="preserve">  We further noted that Zwerling had not “provided any engineering studies to show that the proposed STA facility would protect other co-channel and first adjacent stations.”</w:t>
      </w:r>
      <w:r>
        <w:rPr>
          <w:rStyle w:val="FootnoteReference"/>
          <w:szCs w:val="22"/>
        </w:rPr>
        <w:footnoteReference w:id="14"/>
      </w:r>
      <w:r w:rsidR="00AC122D">
        <w:rPr>
          <w:szCs w:val="22"/>
        </w:rPr>
        <w:t xml:space="preserve">  Based on </w:t>
      </w:r>
      <w:r w:rsidR="003B256E">
        <w:rPr>
          <w:szCs w:val="22"/>
        </w:rPr>
        <w:t xml:space="preserve">our </w:t>
      </w:r>
      <w:r w:rsidR="009225B9">
        <w:rPr>
          <w:szCs w:val="22"/>
        </w:rPr>
        <w:t xml:space="preserve">own </w:t>
      </w:r>
      <w:r w:rsidR="003B256E">
        <w:rPr>
          <w:szCs w:val="22"/>
        </w:rPr>
        <w:t xml:space="preserve">interference analysis, we found that the proposed operations </w:t>
      </w:r>
      <w:r w:rsidR="009225B9">
        <w:rPr>
          <w:szCs w:val="22"/>
        </w:rPr>
        <w:t>were predicted to cause prohibited interference to multiple stations.</w:t>
      </w:r>
      <w:r>
        <w:rPr>
          <w:rStyle w:val="FootnoteReference"/>
          <w:szCs w:val="22"/>
        </w:rPr>
        <w:footnoteReference w:id="15"/>
      </w:r>
      <w:r w:rsidR="009225B9">
        <w:rPr>
          <w:szCs w:val="22"/>
        </w:rPr>
        <w:t xml:space="preserve">  Accordingly, in addition to denying Zwerling’s STA request, we ordered Zwerling to immediately terminate its “unauthorized non-directional operation at night</w:t>
      </w:r>
      <w:r w:rsidR="00922936">
        <w:rPr>
          <w:szCs w:val="22"/>
        </w:rPr>
        <w:t>.”</w:t>
      </w:r>
      <w:r>
        <w:rPr>
          <w:rStyle w:val="FootnoteReference"/>
          <w:szCs w:val="22"/>
        </w:rPr>
        <w:footnoteReference w:id="16"/>
      </w:r>
      <w:r w:rsidR="00922936">
        <w:rPr>
          <w:szCs w:val="22"/>
        </w:rPr>
        <w:t xml:space="preserve">  We indicated that the Station could “either resume operating with its licensed directional nighttime facilities or file a 301 application to modify its nighttime operation.”</w:t>
      </w:r>
      <w:r>
        <w:rPr>
          <w:rStyle w:val="FootnoteReference"/>
          <w:szCs w:val="22"/>
        </w:rPr>
        <w:footnoteReference w:id="17"/>
      </w:r>
    </w:p>
    <w:p w:rsidR="007534FC" w:rsidRPr="00322EF1" w:rsidP="007534FC" w14:paraId="31B44373" w14:textId="4E56EE1B">
      <w:pPr>
        <w:pStyle w:val="Heading1"/>
        <w:rPr>
          <w:rFonts w:ascii="Times New Roman" w:hAnsi="Times New Roman"/>
          <w:szCs w:val="22"/>
        </w:rPr>
      </w:pPr>
      <w:r w:rsidRPr="00322EF1">
        <w:rPr>
          <w:rFonts w:ascii="Times New Roman" w:hAnsi="Times New Roman"/>
          <w:szCs w:val="22"/>
        </w:rPr>
        <w:t>DISCUSSION</w:t>
      </w:r>
    </w:p>
    <w:p w:rsidR="00A2189B" w:rsidRPr="00322EF1" w:rsidP="00444002" w14:paraId="6B5DCAFD" w14:textId="0C560E6F">
      <w:pPr>
        <w:pStyle w:val="Heading2"/>
        <w:rPr>
          <w:szCs w:val="22"/>
        </w:rPr>
      </w:pPr>
      <w:r w:rsidRPr="00322EF1">
        <w:rPr>
          <w:szCs w:val="22"/>
        </w:rPr>
        <w:t>Non-Conforming Operations</w:t>
      </w:r>
    </w:p>
    <w:p w:rsidR="00A2189B" w:rsidRPr="00322EF1" w:rsidP="00A2189B" w14:paraId="7CB3E279" w14:textId="6D9223A7">
      <w:pPr>
        <w:pStyle w:val="ParaNum"/>
        <w:rPr>
          <w:iCs/>
          <w:szCs w:val="22"/>
        </w:rPr>
      </w:pPr>
      <w:r w:rsidRPr="00322EF1">
        <w:rPr>
          <w:szCs w:val="22"/>
        </w:rPr>
        <w:t xml:space="preserve">Zwerling </w:t>
      </w:r>
      <w:r w:rsidR="00F630AC">
        <w:rPr>
          <w:szCs w:val="22"/>
        </w:rPr>
        <w:t>has admitted</w:t>
      </w:r>
      <w:r w:rsidRPr="00322EF1">
        <w:rPr>
          <w:szCs w:val="22"/>
        </w:rPr>
        <w:t xml:space="preserve"> that, despite being licensed to operate at night in directional mode at </w:t>
      </w:r>
      <w:r w:rsidR="0029108F">
        <w:rPr>
          <w:szCs w:val="22"/>
        </w:rPr>
        <w:t>5 kilo</w:t>
      </w:r>
      <w:r w:rsidRPr="00322EF1">
        <w:rPr>
          <w:szCs w:val="22"/>
        </w:rPr>
        <w:t xml:space="preserve">watts, the Station has been operating in non-directional mode </w:t>
      </w:r>
      <w:r w:rsidR="00F630AC">
        <w:rPr>
          <w:szCs w:val="22"/>
        </w:rPr>
        <w:t xml:space="preserve">at night </w:t>
      </w:r>
      <w:r w:rsidRPr="00322EF1">
        <w:rPr>
          <w:szCs w:val="22"/>
        </w:rPr>
        <w:t xml:space="preserve">with a power of </w:t>
      </w:r>
      <w:r w:rsidR="0029108F">
        <w:rPr>
          <w:szCs w:val="22"/>
        </w:rPr>
        <w:t>1 kilowatt</w:t>
      </w:r>
      <w:r w:rsidRPr="00322EF1">
        <w:rPr>
          <w:szCs w:val="22"/>
        </w:rPr>
        <w:t xml:space="preserve">.  </w:t>
      </w:r>
      <w:r w:rsidR="00230C1D">
        <w:rPr>
          <w:szCs w:val="22"/>
        </w:rPr>
        <w:t>Zwerling indicates that the</w:t>
      </w:r>
      <w:r w:rsidRPr="00322EF1">
        <w:rPr>
          <w:szCs w:val="22"/>
        </w:rPr>
        <w:t xml:space="preserve"> Station operated in this manner for the entirety of its current license term</w:t>
      </w:r>
      <w:r w:rsidR="0029108F">
        <w:rPr>
          <w:szCs w:val="22"/>
        </w:rPr>
        <w:t>, and continues to do so</w:t>
      </w:r>
      <w:r w:rsidRPr="00322EF1">
        <w:rPr>
          <w:szCs w:val="22"/>
        </w:rPr>
        <w:t xml:space="preserve">.  </w:t>
      </w:r>
      <w:r w:rsidR="0029108F">
        <w:rPr>
          <w:szCs w:val="22"/>
        </w:rPr>
        <w:t xml:space="preserve">The Station’s non-conforming nighttime </w:t>
      </w:r>
      <w:r w:rsidRPr="00322EF1">
        <w:rPr>
          <w:szCs w:val="22"/>
        </w:rPr>
        <w:t xml:space="preserve">operations </w:t>
      </w:r>
      <w:r w:rsidR="0029108F">
        <w:rPr>
          <w:szCs w:val="22"/>
        </w:rPr>
        <w:t>contravene</w:t>
      </w:r>
      <w:r w:rsidRPr="00322EF1">
        <w:rPr>
          <w:szCs w:val="22"/>
        </w:rPr>
        <w:t xml:space="preserve"> section 301 of the Act and section</w:t>
      </w:r>
      <w:r w:rsidRPr="00322EF1" w:rsidR="004357CF">
        <w:rPr>
          <w:szCs w:val="22"/>
        </w:rPr>
        <w:t>s 73.1350(a), and</w:t>
      </w:r>
      <w:r w:rsidRPr="00322EF1">
        <w:rPr>
          <w:szCs w:val="22"/>
        </w:rPr>
        <w:t xml:space="preserve"> 73.1745</w:t>
      </w:r>
      <w:r w:rsidRPr="00322EF1" w:rsidR="007431C6">
        <w:rPr>
          <w:szCs w:val="22"/>
        </w:rPr>
        <w:t>(a)</w:t>
      </w:r>
      <w:r w:rsidRPr="00322EF1">
        <w:rPr>
          <w:szCs w:val="22"/>
        </w:rPr>
        <w:t xml:space="preserve"> of the Rules, </w:t>
      </w:r>
      <w:r w:rsidR="002A0B8A">
        <w:rPr>
          <w:szCs w:val="22"/>
        </w:rPr>
        <w:t>each</w:t>
      </w:r>
      <w:r w:rsidRPr="00322EF1">
        <w:rPr>
          <w:szCs w:val="22"/>
        </w:rPr>
        <w:t xml:space="preserve"> of which require licensees to operate in accordance with their Commission-granted authorizations.</w:t>
      </w:r>
      <w:r>
        <w:rPr>
          <w:rStyle w:val="FootnoteReference"/>
          <w:sz w:val="22"/>
          <w:szCs w:val="22"/>
        </w:rPr>
        <w:footnoteReference w:id="18"/>
      </w:r>
      <w:r w:rsidRPr="00322EF1">
        <w:rPr>
          <w:szCs w:val="22"/>
        </w:rPr>
        <w:t xml:space="preserve"> </w:t>
      </w:r>
      <w:r w:rsidRPr="00322EF1" w:rsidR="004357CF">
        <w:rPr>
          <w:szCs w:val="22"/>
        </w:rPr>
        <w:t xml:space="preserve"> </w:t>
      </w:r>
      <w:r w:rsidRPr="00322EF1">
        <w:rPr>
          <w:szCs w:val="22"/>
        </w:rPr>
        <w:t xml:space="preserve">Furthermore, the Station’s operation at </w:t>
      </w:r>
      <w:r w:rsidR="002A0B8A">
        <w:rPr>
          <w:szCs w:val="22"/>
        </w:rPr>
        <w:t>1</w:t>
      </w:r>
      <w:r w:rsidRPr="00322EF1">
        <w:rPr>
          <w:szCs w:val="22"/>
        </w:rPr>
        <w:t xml:space="preserve"> </w:t>
      </w:r>
      <w:r w:rsidR="002A0B8A">
        <w:rPr>
          <w:szCs w:val="22"/>
        </w:rPr>
        <w:t>kilowatt</w:t>
      </w:r>
      <w:r w:rsidRPr="00322EF1">
        <w:rPr>
          <w:szCs w:val="22"/>
        </w:rPr>
        <w:t xml:space="preserve"> </w:t>
      </w:r>
      <w:r w:rsidR="00716282">
        <w:rPr>
          <w:szCs w:val="22"/>
        </w:rPr>
        <w:t>non-directionally (</w:t>
      </w:r>
      <w:r w:rsidRPr="00322EF1">
        <w:rPr>
          <w:szCs w:val="22"/>
        </w:rPr>
        <w:t xml:space="preserve">rather than </w:t>
      </w:r>
      <w:r w:rsidR="002A0B8A">
        <w:rPr>
          <w:szCs w:val="22"/>
        </w:rPr>
        <w:t>5</w:t>
      </w:r>
      <w:r w:rsidRPr="00322EF1">
        <w:rPr>
          <w:szCs w:val="22"/>
        </w:rPr>
        <w:t xml:space="preserve"> </w:t>
      </w:r>
      <w:r w:rsidR="002A0B8A">
        <w:rPr>
          <w:szCs w:val="22"/>
        </w:rPr>
        <w:t>kilo</w:t>
      </w:r>
      <w:r w:rsidRPr="00322EF1">
        <w:rPr>
          <w:szCs w:val="22"/>
        </w:rPr>
        <w:t>watts</w:t>
      </w:r>
      <w:r w:rsidR="00716282">
        <w:rPr>
          <w:szCs w:val="22"/>
        </w:rPr>
        <w:t xml:space="preserve"> directionally)</w:t>
      </w:r>
      <w:r w:rsidRPr="00322EF1">
        <w:rPr>
          <w:szCs w:val="22"/>
        </w:rPr>
        <w:t xml:space="preserve"> violate</w:t>
      </w:r>
      <w:r w:rsidR="002A0B8A">
        <w:rPr>
          <w:szCs w:val="22"/>
        </w:rPr>
        <w:t>s</w:t>
      </w:r>
      <w:r w:rsidRPr="00322EF1">
        <w:rPr>
          <w:szCs w:val="22"/>
        </w:rPr>
        <w:t xml:space="preserve"> Section 73.1560(a)(1)</w:t>
      </w:r>
      <w:r w:rsidR="00230C1D">
        <w:rPr>
          <w:szCs w:val="22"/>
        </w:rPr>
        <w:t xml:space="preserve"> of the Rules</w:t>
      </w:r>
      <w:r w:rsidRPr="00322EF1">
        <w:rPr>
          <w:szCs w:val="22"/>
        </w:rPr>
        <w:t>.  That section requires AM stations to maintain their antenna input power “as near as practicable to the authorized antenna input power” and specifies that it “may not be less than 90 percent nor greater than 105 percent of the authorized power.”</w:t>
      </w:r>
      <w:r>
        <w:rPr>
          <w:rStyle w:val="FootnoteReference"/>
          <w:sz w:val="22"/>
          <w:szCs w:val="22"/>
        </w:rPr>
        <w:footnoteReference w:id="19"/>
      </w:r>
      <w:r w:rsidRPr="00322EF1">
        <w:rPr>
          <w:szCs w:val="22"/>
        </w:rPr>
        <w:t xml:space="preserve">  Finally, we note that Zwerling should have requested special temporary authority to operate the Station at a variance from its licensed parameters, and/or applied for a construction permit to alter the Station’s facilities.  Its failure to do the former violated section 73.1635,</w:t>
      </w:r>
      <w:r>
        <w:rPr>
          <w:rStyle w:val="FootnoteReference"/>
          <w:sz w:val="22"/>
          <w:szCs w:val="22"/>
        </w:rPr>
        <w:footnoteReference w:id="20"/>
      </w:r>
      <w:r w:rsidRPr="00322EF1">
        <w:rPr>
          <w:szCs w:val="22"/>
        </w:rPr>
        <w:t xml:space="preserve"> while its failure to do the latter violated section 73.1690(b).</w:t>
      </w:r>
      <w:r>
        <w:rPr>
          <w:rStyle w:val="FootnoteReference"/>
          <w:sz w:val="22"/>
          <w:szCs w:val="22"/>
        </w:rPr>
        <w:footnoteReference w:id="21"/>
      </w:r>
      <w:r w:rsidRPr="00322EF1">
        <w:rPr>
          <w:szCs w:val="22"/>
        </w:rPr>
        <w:t xml:space="preserve"> </w:t>
      </w:r>
    </w:p>
    <w:p w:rsidR="00823C79" w:rsidRPr="00322EF1" w:rsidP="00444002" w14:paraId="4CB311F0" w14:textId="13EFA370">
      <w:pPr>
        <w:pStyle w:val="Heading2"/>
        <w:rPr>
          <w:szCs w:val="22"/>
        </w:rPr>
      </w:pPr>
      <w:r w:rsidRPr="00322EF1">
        <w:rPr>
          <w:szCs w:val="22"/>
        </w:rPr>
        <w:t>Proposed Forfeiture</w:t>
      </w:r>
    </w:p>
    <w:p w:rsidR="001E621D" w:rsidRPr="00322EF1" w:rsidP="007B6120" w14:paraId="494EE7D5" w14:textId="161F99D7">
      <w:pPr>
        <w:pStyle w:val="ParaNum"/>
        <w:rPr>
          <w:szCs w:val="22"/>
        </w:rPr>
      </w:pPr>
      <w:r w:rsidRPr="00322EF1">
        <w:rPr>
          <w:szCs w:val="22"/>
        </w:rPr>
        <w:t xml:space="preserve">Section 503(b) of the Act authorizes the Commission to impose a forfeiture against any entity that </w:t>
      </w:r>
      <w:r w:rsidRPr="00322EF1" w:rsidR="00467570">
        <w:rPr>
          <w:szCs w:val="22"/>
        </w:rPr>
        <w:t>“</w:t>
      </w:r>
      <w:r w:rsidRPr="00322EF1">
        <w:rPr>
          <w:szCs w:val="22"/>
        </w:rPr>
        <w:t>willfully or repeatedly fail[s] to comply with . . . any rule, regulation, or order issued by the Commission . . . .</w:t>
      </w:r>
      <w:r w:rsidRPr="00322EF1" w:rsidR="00467570">
        <w:rPr>
          <w:szCs w:val="22"/>
        </w:rPr>
        <w:t>”</w:t>
      </w:r>
      <w:r>
        <w:rPr>
          <w:rStyle w:val="FootnoteReference"/>
          <w:snapToGrid/>
          <w:sz w:val="22"/>
          <w:szCs w:val="22"/>
        </w:rPr>
        <w:footnoteReference w:id="22"/>
      </w:r>
      <w:r w:rsidRPr="00322EF1">
        <w:rPr>
          <w:szCs w:val="22"/>
        </w:rPr>
        <w:t xml:space="preserve"> </w:t>
      </w:r>
      <w:r w:rsidRPr="00322EF1" w:rsidR="00467570">
        <w:rPr>
          <w:szCs w:val="22"/>
        </w:rPr>
        <w:t xml:space="preserve"> </w:t>
      </w:r>
      <w:r w:rsidRPr="00322EF1">
        <w:rPr>
          <w:szCs w:val="22"/>
        </w:rPr>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23"/>
      </w:r>
      <w:r w:rsidRPr="00322EF1">
        <w:rPr>
          <w:szCs w:val="22"/>
        </w:rPr>
        <w:t xml:space="preserve"> </w:t>
      </w:r>
      <w:r w:rsidRPr="00322EF1" w:rsidR="00467570">
        <w:rPr>
          <w:szCs w:val="22"/>
        </w:rPr>
        <w:t xml:space="preserve"> </w:t>
      </w:r>
      <w:r w:rsidRPr="00322EF1">
        <w:rPr>
          <w:szCs w:val="22"/>
        </w:rPr>
        <w:t>The Commission has established forfeiture guidelines, base penalties for certain violations and has identified criteria that it considers when determining the appropriate penalty in any given case.</w:t>
      </w:r>
      <w:r>
        <w:rPr>
          <w:rStyle w:val="FootnoteReference"/>
          <w:sz w:val="22"/>
          <w:szCs w:val="22"/>
        </w:rPr>
        <w:footnoteReference w:id="24"/>
      </w:r>
      <w:r w:rsidRPr="00322EF1">
        <w:rPr>
          <w:szCs w:val="22"/>
        </w:rPr>
        <w:t xml:space="preserve"> </w:t>
      </w:r>
      <w:r w:rsidRPr="00322EF1" w:rsidR="00B419C7">
        <w:rPr>
          <w:szCs w:val="22"/>
        </w:rPr>
        <w:t xml:space="preserve"> </w:t>
      </w:r>
      <w:r w:rsidRPr="00322EF1">
        <w:rPr>
          <w:szCs w:val="22"/>
        </w:rPr>
        <w:t>Under these guidelines, we may adjust a forfeiture downward for violations that are minor, violations that are voluntarily disclosed, where there is a history of compliance, or where there is an inability to pay.</w:t>
      </w:r>
      <w:r>
        <w:rPr>
          <w:rStyle w:val="FootnoteReference"/>
          <w:sz w:val="22"/>
          <w:szCs w:val="22"/>
        </w:rPr>
        <w:footnoteReference w:id="25"/>
      </w:r>
      <w:r w:rsidRPr="00322EF1">
        <w:rPr>
          <w:szCs w:val="22"/>
        </w:rPr>
        <w:t xml:space="preserve"> </w:t>
      </w:r>
      <w:r w:rsidRPr="00322EF1" w:rsidR="00961A65">
        <w:rPr>
          <w:szCs w:val="22"/>
        </w:rPr>
        <w:t xml:space="preserve"> </w:t>
      </w:r>
      <w:r w:rsidRPr="00322EF1">
        <w:rPr>
          <w:szCs w:val="22"/>
        </w:rPr>
        <w:t>We may adjust a forfeiture upward for violations that are egregious, intentional, repeated, that cause substantial harm or generate substantial economic gain for the violator, where there is an ability to pay, or where there is a history of prior violations of FCC requirements.</w:t>
      </w:r>
      <w:r>
        <w:rPr>
          <w:rStyle w:val="FootnoteReference"/>
          <w:sz w:val="22"/>
          <w:szCs w:val="22"/>
        </w:rPr>
        <w:footnoteReference w:id="26"/>
      </w:r>
    </w:p>
    <w:p w:rsidR="008C3A04" w:rsidP="006E2C72" w14:paraId="2F6BF824" w14:textId="6D01B19B">
      <w:pPr>
        <w:pStyle w:val="ParaNum"/>
        <w:rPr>
          <w:iCs/>
          <w:szCs w:val="22"/>
        </w:rPr>
      </w:pPr>
      <w:r w:rsidRPr="00322EF1">
        <w:rPr>
          <w:iCs/>
          <w:szCs w:val="22"/>
        </w:rPr>
        <w:t>S</w:t>
      </w:r>
      <w:r w:rsidRPr="00322EF1">
        <w:rPr>
          <w:iCs/>
          <w:szCs w:val="22"/>
        </w:rPr>
        <w:t>ection 1.80(b)</w:t>
      </w:r>
      <w:r w:rsidRPr="00322EF1" w:rsidR="00C92150">
        <w:rPr>
          <w:iCs/>
          <w:szCs w:val="22"/>
        </w:rPr>
        <w:t>(10)</w:t>
      </w:r>
      <w:r w:rsidRPr="00322EF1">
        <w:rPr>
          <w:iCs/>
          <w:szCs w:val="22"/>
        </w:rPr>
        <w:t xml:space="preserve"> of the </w:t>
      </w:r>
      <w:r w:rsidR="00EC31CF">
        <w:rPr>
          <w:iCs/>
          <w:szCs w:val="22"/>
        </w:rPr>
        <w:t>Rules</w:t>
      </w:r>
      <w:r w:rsidRPr="00322EF1">
        <w:rPr>
          <w:iCs/>
          <w:szCs w:val="22"/>
        </w:rPr>
        <w:t xml:space="preserve"> sets forth a </w:t>
      </w:r>
      <w:r w:rsidRPr="00322EF1">
        <w:rPr>
          <w:iCs/>
          <w:szCs w:val="22"/>
        </w:rPr>
        <w:t xml:space="preserve">base forfeiture </w:t>
      </w:r>
      <w:r w:rsidRPr="00322EF1">
        <w:rPr>
          <w:iCs/>
          <w:szCs w:val="22"/>
        </w:rPr>
        <w:t xml:space="preserve">of $10,000 </w:t>
      </w:r>
      <w:r w:rsidRPr="00322EF1">
        <w:rPr>
          <w:iCs/>
          <w:szCs w:val="22"/>
        </w:rPr>
        <w:t xml:space="preserve">for operating without an instrument of authorization, and </w:t>
      </w:r>
      <w:r w:rsidRPr="00322EF1">
        <w:rPr>
          <w:iCs/>
          <w:szCs w:val="22"/>
        </w:rPr>
        <w:t>a</w:t>
      </w:r>
      <w:r w:rsidRPr="00322EF1">
        <w:rPr>
          <w:iCs/>
          <w:szCs w:val="22"/>
        </w:rPr>
        <w:t xml:space="preserve"> base forfeiture</w:t>
      </w:r>
      <w:r w:rsidRPr="00322EF1">
        <w:rPr>
          <w:iCs/>
          <w:szCs w:val="22"/>
        </w:rPr>
        <w:t xml:space="preserve"> of $3,000</w:t>
      </w:r>
      <w:r w:rsidRPr="00322EF1">
        <w:rPr>
          <w:iCs/>
          <w:szCs w:val="22"/>
        </w:rPr>
        <w:t xml:space="preserve"> for failure </w:t>
      </w:r>
      <w:r w:rsidRPr="00322EF1" w:rsidR="00AB0C87">
        <w:rPr>
          <w:iCs/>
          <w:szCs w:val="22"/>
        </w:rPr>
        <w:t>to file required forms or information</w:t>
      </w:r>
      <w:r w:rsidRPr="00322EF1">
        <w:rPr>
          <w:iCs/>
          <w:szCs w:val="22"/>
        </w:rPr>
        <w:t>.</w:t>
      </w:r>
      <w:r>
        <w:rPr>
          <w:rStyle w:val="FootnoteReference"/>
          <w:iCs/>
          <w:sz w:val="22"/>
          <w:szCs w:val="22"/>
        </w:rPr>
        <w:footnoteReference w:id="27"/>
      </w:r>
      <w:r w:rsidRPr="00322EF1">
        <w:rPr>
          <w:iCs/>
          <w:szCs w:val="22"/>
        </w:rPr>
        <w:t xml:space="preserve"> </w:t>
      </w:r>
      <w:r w:rsidRPr="00322EF1" w:rsidR="00AB0C87">
        <w:rPr>
          <w:iCs/>
          <w:szCs w:val="22"/>
        </w:rPr>
        <w:t xml:space="preserve"> </w:t>
      </w:r>
      <w:r w:rsidRPr="00322EF1" w:rsidR="00154802">
        <w:rPr>
          <w:iCs/>
          <w:szCs w:val="22"/>
        </w:rPr>
        <w:t>Taking into consideration the factors outlined in the Commission</w:t>
      </w:r>
      <w:r w:rsidR="00EC31CF">
        <w:rPr>
          <w:iCs/>
          <w:szCs w:val="22"/>
        </w:rPr>
        <w:t>’</w:t>
      </w:r>
      <w:r w:rsidRPr="00322EF1" w:rsidR="00154802">
        <w:rPr>
          <w:iCs/>
          <w:szCs w:val="22"/>
        </w:rPr>
        <w:t xml:space="preserve">s Forfeiture Policy </w:t>
      </w:r>
      <w:r w:rsidRPr="00322EF1" w:rsidR="00154802">
        <w:rPr>
          <w:iCs/>
          <w:szCs w:val="22"/>
        </w:rPr>
        <w:t xml:space="preserve">Statement, section 1.80 of the </w:t>
      </w:r>
      <w:r w:rsidR="00EC31CF">
        <w:rPr>
          <w:iCs/>
          <w:szCs w:val="22"/>
        </w:rPr>
        <w:t>R</w:t>
      </w:r>
      <w:r w:rsidRPr="00322EF1" w:rsidR="00154802">
        <w:rPr>
          <w:iCs/>
          <w:szCs w:val="22"/>
        </w:rPr>
        <w:t>ules, and section 503 of the Act</w:t>
      </w:r>
      <w:r w:rsidRPr="00322EF1">
        <w:rPr>
          <w:iCs/>
          <w:szCs w:val="22"/>
        </w:rPr>
        <w:t>, we conclude that an upward adjustment</w:t>
      </w:r>
      <w:r w:rsidRPr="00322EF1" w:rsidR="00EC2CF3">
        <w:rPr>
          <w:iCs/>
          <w:szCs w:val="22"/>
        </w:rPr>
        <w:t xml:space="preserve"> of the base forfeiture amounts</w:t>
      </w:r>
      <w:r w:rsidRPr="00322EF1">
        <w:rPr>
          <w:iCs/>
          <w:szCs w:val="22"/>
        </w:rPr>
        <w:t xml:space="preserve"> is appropriate here. </w:t>
      </w:r>
      <w:r w:rsidRPr="00322EF1" w:rsidR="0004626A">
        <w:rPr>
          <w:iCs/>
          <w:szCs w:val="22"/>
        </w:rPr>
        <w:t xml:space="preserve"> The Station’s non-conforming operations </w:t>
      </w:r>
      <w:r w:rsidRPr="00322EF1" w:rsidR="003B3C5F">
        <w:rPr>
          <w:iCs/>
          <w:szCs w:val="22"/>
        </w:rPr>
        <w:t>span</w:t>
      </w:r>
      <w:r w:rsidR="00EC31CF">
        <w:rPr>
          <w:iCs/>
          <w:szCs w:val="22"/>
        </w:rPr>
        <w:t>ned</w:t>
      </w:r>
      <w:r w:rsidRPr="00322EF1" w:rsidR="003B3C5F">
        <w:rPr>
          <w:iCs/>
          <w:szCs w:val="22"/>
        </w:rPr>
        <w:t xml:space="preserve"> the entirety of its current license term, and continue to this day.  Furthermore, </w:t>
      </w:r>
      <w:r w:rsidRPr="00322EF1" w:rsidR="00535873">
        <w:rPr>
          <w:iCs/>
          <w:szCs w:val="22"/>
        </w:rPr>
        <w:t xml:space="preserve">the violations were intentional.  </w:t>
      </w:r>
      <w:r w:rsidR="00500D62">
        <w:rPr>
          <w:iCs/>
          <w:szCs w:val="22"/>
        </w:rPr>
        <w:t xml:space="preserve">On at least two occasions, Commission staff </w:t>
      </w:r>
      <w:r w:rsidR="003B28AA">
        <w:rPr>
          <w:iCs/>
          <w:szCs w:val="22"/>
        </w:rPr>
        <w:t xml:space="preserve">informed </w:t>
      </w:r>
      <w:r w:rsidR="00224066">
        <w:rPr>
          <w:iCs/>
          <w:szCs w:val="22"/>
        </w:rPr>
        <w:t>Zwerling that STA was required to operate the Station a</w:t>
      </w:r>
      <w:r w:rsidR="00716282">
        <w:rPr>
          <w:iCs/>
          <w:szCs w:val="22"/>
        </w:rPr>
        <w:t>t</w:t>
      </w:r>
      <w:r w:rsidR="00224066">
        <w:rPr>
          <w:iCs/>
          <w:szCs w:val="22"/>
        </w:rPr>
        <w:t xml:space="preserve"> variance from its licensed nighttime parameters, and that it needed to file an application to modify the Station’s authorization if it wished to continue to operate </w:t>
      </w:r>
      <w:r w:rsidR="00500D62">
        <w:rPr>
          <w:iCs/>
          <w:szCs w:val="22"/>
        </w:rPr>
        <w:t>the Station non-directionally with reduced power.</w:t>
      </w:r>
      <w:r w:rsidR="00224066">
        <w:rPr>
          <w:iCs/>
          <w:szCs w:val="22"/>
        </w:rPr>
        <w:t xml:space="preserve"> </w:t>
      </w:r>
      <w:r w:rsidR="00500D62">
        <w:rPr>
          <w:iCs/>
          <w:szCs w:val="22"/>
        </w:rPr>
        <w:t xml:space="preserve"> </w:t>
      </w:r>
      <w:r w:rsidR="003B28AA">
        <w:rPr>
          <w:iCs/>
          <w:szCs w:val="22"/>
        </w:rPr>
        <w:t xml:space="preserve">Despite this, </w:t>
      </w:r>
      <w:r w:rsidRPr="00322EF1" w:rsidR="00535873">
        <w:rPr>
          <w:iCs/>
          <w:szCs w:val="22"/>
        </w:rPr>
        <w:t>Zwerling</w:t>
      </w:r>
      <w:r w:rsidRPr="00322EF1" w:rsidR="003B3C5F">
        <w:rPr>
          <w:iCs/>
          <w:szCs w:val="22"/>
        </w:rPr>
        <w:t xml:space="preserve"> </w:t>
      </w:r>
      <w:r w:rsidR="003B28AA">
        <w:rPr>
          <w:iCs/>
          <w:szCs w:val="22"/>
        </w:rPr>
        <w:t>did not request STA or file an application to modify the Station’s authorization</w:t>
      </w:r>
      <w:r w:rsidRPr="00322EF1" w:rsidR="002D6681">
        <w:rPr>
          <w:iCs/>
          <w:szCs w:val="22"/>
        </w:rPr>
        <w:t xml:space="preserve">.  </w:t>
      </w:r>
      <w:r w:rsidRPr="00322EF1">
        <w:rPr>
          <w:iCs/>
          <w:szCs w:val="22"/>
        </w:rPr>
        <w:t xml:space="preserve">Therefore, we propose a total forfeiture of </w:t>
      </w:r>
      <w:r w:rsidRPr="00322EF1" w:rsidR="00D2119D">
        <w:rPr>
          <w:iCs/>
          <w:szCs w:val="22"/>
        </w:rPr>
        <w:t>twenty thousand dollars (</w:t>
      </w:r>
      <w:r w:rsidRPr="00322EF1">
        <w:rPr>
          <w:iCs/>
          <w:szCs w:val="22"/>
        </w:rPr>
        <w:t>$2</w:t>
      </w:r>
      <w:r w:rsidRPr="00322EF1" w:rsidR="00D2119D">
        <w:rPr>
          <w:iCs/>
          <w:szCs w:val="22"/>
        </w:rPr>
        <w:t>0</w:t>
      </w:r>
      <w:r w:rsidRPr="00322EF1">
        <w:rPr>
          <w:iCs/>
          <w:szCs w:val="22"/>
        </w:rPr>
        <w:t>,000</w:t>
      </w:r>
      <w:r w:rsidRPr="00322EF1" w:rsidR="00D2119D">
        <w:rPr>
          <w:iCs/>
          <w:szCs w:val="22"/>
        </w:rPr>
        <w:t>)</w:t>
      </w:r>
      <w:r w:rsidRPr="00322EF1">
        <w:rPr>
          <w:iCs/>
          <w:szCs w:val="22"/>
        </w:rPr>
        <w:t xml:space="preserve">, for which </w:t>
      </w:r>
      <w:r w:rsidRPr="00322EF1" w:rsidR="00D2119D">
        <w:rPr>
          <w:iCs/>
          <w:szCs w:val="22"/>
        </w:rPr>
        <w:t>Zwerling</w:t>
      </w:r>
      <w:r w:rsidRPr="00322EF1">
        <w:rPr>
          <w:iCs/>
          <w:szCs w:val="22"/>
        </w:rPr>
        <w:t xml:space="preserve"> is apparently liable.</w:t>
      </w:r>
      <w:r>
        <w:rPr>
          <w:rStyle w:val="FootnoteReference"/>
          <w:iCs/>
          <w:szCs w:val="22"/>
        </w:rPr>
        <w:footnoteReference w:id="28"/>
      </w:r>
    </w:p>
    <w:p w:rsidR="006C2AF8" w:rsidRPr="00322EF1" w:rsidP="00444002" w14:paraId="520F50D4" w14:textId="5A0071EB">
      <w:pPr>
        <w:pStyle w:val="Heading2"/>
        <w:rPr>
          <w:rStyle w:val="ssleftalign"/>
          <w:szCs w:val="22"/>
        </w:rPr>
      </w:pPr>
      <w:r w:rsidRPr="00322EF1">
        <w:rPr>
          <w:rStyle w:val="ssleftalign"/>
          <w:szCs w:val="22"/>
        </w:rPr>
        <w:t>Renewal Application</w:t>
      </w:r>
    </w:p>
    <w:p w:rsidR="00AF6660" w:rsidRPr="00322EF1" w:rsidP="00B53F73" w14:paraId="130EF57E" w14:textId="77777777">
      <w:pPr>
        <w:pStyle w:val="ParaNum"/>
        <w:widowControl/>
        <w:rPr>
          <w:szCs w:val="22"/>
        </w:rPr>
      </w:pPr>
      <w:r w:rsidRPr="00322EF1">
        <w:rPr>
          <w:szCs w:val="22"/>
        </w:rPr>
        <w:t xml:space="preserve">In evaluating an application for </w:t>
      </w:r>
      <w:r w:rsidRPr="00322EF1" w:rsidR="00C925F6">
        <w:rPr>
          <w:szCs w:val="22"/>
        </w:rPr>
        <w:t>license renewal, the Commission’</w:t>
      </w:r>
      <w:r w:rsidRPr="00322EF1">
        <w:rPr>
          <w:szCs w:val="22"/>
        </w:rPr>
        <w:t>s decision is governed by Section 309(k) of the Act.</w:t>
      </w:r>
      <w:r>
        <w:rPr>
          <w:rStyle w:val="FootnoteReference"/>
          <w:sz w:val="22"/>
          <w:szCs w:val="22"/>
        </w:rPr>
        <w:footnoteReference w:id="29"/>
      </w:r>
      <w:r w:rsidRPr="00322EF1">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30"/>
      </w:r>
      <w:r w:rsidRPr="00322EF1">
        <w:rPr>
          <w:szCs w:val="22"/>
        </w:rPr>
        <w:t xml:space="preserve">  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31"/>
      </w:r>
      <w:r w:rsidRPr="00322EF1">
        <w:rPr>
          <w:szCs w:val="22"/>
        </w:rPr>
        <w:t xml:space="preserve">  </w:t>
      </w:r>
    </w:p>
    <w:p w:rsidR="00AF6660" w:rsidRPr="001B2166" w:rsidP="00AF6660" w14:paraId="73441BCC" w14:textId="05CE833A">
      <w:pPr>
        <w:pStyle w:val="ParaNum"/>
        <w:rPr>
          <w:szCs w:val="22"/>
        </w:rPr>
      </w:pPr>
      <w:r w:rsidRPr="001B2166">
        <w:rPr>
          <w:szCs w:val="22"/>
        </w:rPr>
        <w:t xml:space="preserve">In this case, </w:t>
      </w:r>
      <w:r w:rsidRPr="001B2166" w:rsidR="00835C30">
        <w:rPr>
          <w:szCs w:val="22"/>
        </w:rPr>
        <w:t>Zwerling’s</w:t>
      </w:r>
      <w:r w:rsidRPr="001B2166">
        <w:rPr>
          <w:szCs w:val="22"/>
        </w:rPr>
        <w:t xml:space="preserve"> </w:t>
      </w:r>
      <w:r w:rsidRPr="001B2166" w:rsidR="000C3770">
        <w:rPr>
          <w:szCs w:val="22"/>
        </w:rPr>
        <w:t>operation of the Station during its most recent license term does not warrant</w:t>
      </w:r>
      <w:r w:rsidRPr="001B2166">
        <w:rPr>
          <w:szCs w:val="22"/>
        </w:rPr>
        <w:t xml:space="preserve"> routine license renewal.  </w:t>
      </w:r>
      <w:r w:rsidRPr="001B2166" w:rsidR="00095F84">
        <w:rPr>
          <w:color w:val="000000"/>
          <w:szCs w:val="22"/>
        </w:rPr>
        <w:t>As</w:t>
      </w:r>
      <w:r w:rsidRPr="001B2166" w:rsidR="00AD139C">
        <w:rPr>
          <w:color w:val="000000"/>
          <w:szCs w:val="22"/>
        </w:rPr>
        <w:t xml:space="preserve"> discussed above,</w:t>
      </w:r>
      <w:r w:rsidRPr="001B2166" w:rsidR="00095F84">
        <w:rPr>
          <w:color w:val="000000"/>
          <w:szCs w:val="22"/>
        </w:rPr>
        <w:t xml:space="preserve"> Zwerling knowingly operated the Station at a variance from </w:t>
      </w:r>
      <w:r w:rsidRPr="001B2166" w:rsidR="002D1C08">
        <w:rPr>
          <w:color w:val="000000"/>
          <w:szCs w:val="22"/>
        </w:rPr>
        <w:t>its licensed nighttime parameters</w:t>
      </w:r>
      <w:r w:rsidR="00716282">
        <w:rPr>
          <w:color w:val="000000"/>
          <w:szCs w:val="22"/>
        </w:rPr>
        <w:t xml:space="preserve"> and never sought Commission approval to modify its license or obtain an STA to operate the Station at a variance from the license</w:t>
      </w:r>
      <w:r w:rsidRPr="001B2166" w:rsidR="004D458E">
        <w:rPr>
          <w:color w:val="000000"/>
          <w:szCs w:val="22"/>
        </w:rPr>
        <w:t xml:space="preserve">.  </w:t>
      </w:r>
      <w:r w:rsidRPr="001B2166" w:rsidR="00B81EB7">
        <w:rPr>
          <w:color w:val="000000"/>
          <w:szCs w:val="22"/>
        </w:rPr>
        <w:t xml:space="preserve">Additionally, Zwerling did so </w:t>
      </w:r>
      <w:r w:rsidRPr="001B2166" w:rsidR="002D1C08">
        <w:rPr>
          <w:color w:val="000000"/>
          <w:szCs w:val="22"/>
        </w:rPr>
        <w:t xml:space="preserve">for the entirety of </w:t>
      </w:r>
      <w:r w:rsidRPr="001B2166" w:rsidR="00B81EB7">
        <w:rPr>
          <w:color w:val="000000"/>
          <w:szCs w:val="22"/>
        </w:rPr>
        <w:t>the Station’s</w:t>
      </w:r>
      <w:r w:rsidRPr="001B2166" w:rsidR="002D1C08">
        <w:rPr>
          <w:color w:val="000000"/>
          <w:szCs w:val="22"/>
        </w:rPr>
        <w:t xml:space="preserve"> current license term</w:t>
      </w:r>
      <w:r w:rsidRPr="001B2166" w:rsidR="00B81EB7">
        <w:rPr>
          <w:color w:val="000000"/>
          <w:szCs w:val="22"/>
        </w:rPr>
        <w:t>, and continues to do so</w:t>
      </w:r>
      <w:r w:rsidRPr="001B2166" w:rsidR="00AD139C">
        <w:rPr>
          <w:color w:val="000000"/>
          <w:szCs w:val="22"/>
        </w:rPr>
        <w:t xml:space="preserve">.  </w:t>
      </w:r>
      <w:r w:rsidRPr="001B2166" w:rsidR="00CC028A">
        <w:rPr>
          <w:color w:val="000000"/>
          <w:szCs w:val="22"/>
        </w:rPr>
        <w:t xml:space="preserve">Moreover, Zwerling has </w:t>
      </w:r>
      <w:r w:rsidR="00C676AF">
        <w:rPr>
          <w:color w:val="000000"/>
          <w:szCs w:val="22"/>
        </w:rPr>
        <w:t xml:space="preserve">not accepted responsibility </w:t>
      </w:r>
      <w:r w:rsidRPr="001B2166" w:rsidR="00CC028A">
        <w:rPr>
          <w:color w:val="000000"/>
          <w:szCs w:val="22"/>
        </w:rPr>
        <w:t xml:space="preserve">for its </w:t>
      </w:r>
      <w:r w:rsidR="00C676AF">
        <w:rPr>
          <w:color w:val="000000"/>
          <w:szCs w:val="22"/>
        </w:rPr>
        <w:t>violations</w:t>
      </w:r>
      <w:r w:rsidRPr="001B2166" w:rsidR="00CC028A">
        <w:rPr>
          <w:color w:val="000000"/>
          <w:szCs w:val="22"/>
        </w:rPr>
        <w:t>, instead arguing that i</w:t>
      </w:r>
      <w:r w:rsidRPr="001B2166" w:rsidR="00F00443">
        <w:rPr>
          <w:color w:val="000000"/>
          <w:szCs w:val="22"/>
        </w:rPr>
        <w:t>t—not the Commission—should be the arbiter of how its Station can best serve the public interest.</w:t>
      </w:r>
      <w:r>
        <w:rPr>
          <w:rStyle w:val="FootnoteReference"/>
          <w:szCs w:val="22"/>
        </w:rPr>
        <w:footnoteReference w:id="32"/>
      </w:r>
    </w:p>
    <w:p w:rsidR="00226D8F" w:rsidRPr="00B23E6A" w:rsidP="00B23E6A" w14:paraId="209B2FFF" w14:textId="7E18CC45">
      <w:pPr>
        <w:pStyle w:val="ParaNum"/>
        <w:rPr>
          <w:szCs w:val="22"/>
        </w:rPr>
      </w:pPr>
      <w:r>
        <w:rPr>
          <w:color w:val="000000"/>
          <w:szCs w:val="22"/>
        </w:rPr>
        <w:t xml:space="preserve">Despite this, we find that Zwerling’s violations of section 301 of the Act, and sections 73.1350, </w:t>
      </w:r>
      <w:r w:rsidRPr="00322EF1">
        <w:rPr>
          <w:szCs w:val="22"/>
        </w:rPr>
        <w:t xml:space="preserve">73.1560(a)(1), 73.1635, 73.1690(b), and 73.1745(a) </w:t>
      </w:r>
      <w:r>
        <w:rPr>
          <w:szCs w:val="22"/>
        </w:rPr>
        <w:t>of the Rules</w:t>
      </w:r>
      <w:r>
        <w:rPr>
          <w:color w:val="000000"/>
          <w:szCs w:val="22"/>
        </w:rPr>
        <w:t xml:space="preserve"> </w:t>
      </w:r>
      <w:r w:rsidRPr="00D85F6E">
        <w:rPr>
          <w:color w:val="000000"/>
          <w:szCs w:val="22"/>
        </w:rPr>
        <w:t xml:space="preserve">do not constitute </w:t>
      </w:r>
      <w:r>
        <w:rPr>
          <w:color w:val="000000"/>
          <w:szCs w:val="22"/>
        </w:rPr>
        <w:t>“</w:t>
      </w:r>
      <w:r w:rsidRPr="00D85F6E">
        <w:rPr>
          <w:color w:val="000000"/>
          <w:szCs w:val="22"/>
        </w:rPr>
        <w:t>serious violations</w:t>
      </w:r>
      <w:r w:rsidR="00423A49">
        <w:rPr>
          <w:color w:val="000000"/>
          <w:szCs w:val="22"/>
        </w:rPr>
        <w:t>” under section 309(</w:t>
      </w:r>
      <w:r w:rsidR="008D2A5D">
        <w:rPr>
          <w:color w:val="000000"/>
          <w:szCs w:val="22"/>
        </w:rPr>
        <w:t>k</w:t>
      </w:r>
      <w:r w:rsidR="00423A49">
        <w:rPr>
          <w:color w:val="000000"/>
          <w:szCs w:val="22"/>
        </w:rPr>
        <w:t>) of the Act.</w:t>
      </w:r>
      <w:r w:rsidRPr="00D85F6E">
        <w:rPr>
          <w:color w:val="000000"/>
          <w:szCs w:val="22"/>
        </w:rPr>
        <w:t xml:space="preserve"> </w:t>
      </w:r>
      <w:r w:rsidR="00423A49">
        <w:rPr>
          <w:color w:val="000000"/>
          <w:szCs w:val="22"/>
        </w:rPr>
        <w:t xml:space="preserve"> </w:t>
      </w:r>
      <w:r w:rsidRPr="00D85F6E">
        <w:rPr>
          <w:color w:val="000000"/>
          <w:szCs w:val="22"/>
        </w:rPr>
        <w:t>Moreover, we find no evidence of violations that, when considered together, constitute a pattern of abuse.</w:t>
      </w:r>
      <w:r w:rsidR="00423A49">
        <w:rPr>
          <w:color w:val="000000"/>
          <w:szCs w:val="22"/>
        </w:rPr>
        <w:t xml:space="preserve">  Finally</w:t>
      </w:r>
      <w:r w:rsidRPr="00D85F6E">
        <w:rPr>
          <w:color w:val="000000"/>
          <w:szCs w:val="22"/>
        </w:rPr>
        <w:t>, we find that the Station served the public interest, convenience, and necessity during the subject license term.</w:t>
      </w:r>
      <w:r w:rsidR="00423A49">
        <w:rPr>
          <w:color w:val="000000"/>
          <w:szCs w:val="22"/>
        </w:rPr>
        <w:t xml:space="preserve">  </w:t>
      </w:r>
      <w:r w:rsidRPr="00322EF1" w:rsidR="0027307F">
        <w:rPr>
          <w:color w:val="000000"/>
          <w:szCs w:val="22"/>
        </w:rPr>
        <w:t>Based on these findings, we</w:t>
      </w:r>
      <w:r w:rsidRPr="00322EF1" w:rsidR="00111AEA">
        <w:rPr>
          <w:color w:val="000000"/>
          <w:szCs w:val="22"/>
        </w:rPr>
        <w:t xml:space="preserve"> do not conclude that designation for evidentiary hearing is warranted here</w:t>
      </w:r>
      <w:r w:rsidRPr="00322EF1" w:rsidR="009D277E">
        <w:rPr>
          <w:color w:val="000000"/>
          <w:szCs w:val="22"/>
        </w:rPr>
        <w:t xml:space="preserve">, particularly in light of </w:t>
      </w:r>
      <w:r w:rsidR="00DA0125">
        <w:rPr>
          <w:color w:val="000000"/>
          <w:szCs w:val="22"/>
        </w:rPr>
        <w:t>the forfeiture</w:t>
      </w:r>
      <w:r w:rsidRPr="00322EF1" w:rsidR="009D277E">
        <w:rPr>
          <w:color w:val="000000"/>
          <w:szCs w:val="22"/>
        </w:rPr>
        <w:t xml:space="preserve"> </w:t>
      </w:r>
      <w:r w:rsidR="00DA0125">
        <w:rPr>
          <w:color w:val="000000"/>
          <w:szCs w:val="22"/>
        </w:rPr>
        <w:t>proposed herein</w:t>
      </w:r>
      <w:r w:rsidRPr="00322EF1" w:rsidR="0027307F">
        <w:rPr>
          <w:color w:val="000000"/>
          <w:szCs w:val="22"/>
        </w:rPr>
        <w:t>.</w:t>
      </w:r>
      <w:r w:rsidRPr="00322EF1" w:rsidR="00111AEA">
        <w:rPr>
          <w:color w:val="000000"/>
          <w:szCs w:val="22"/>
        </w:rPr>
        <w:t xml:space="preserve">  </w:t>
      </w:r>
      <w:r w:rsidR="003C6DFA">
        <w:rPr>
          <w:color w:val="000000"/>
          <w:szCs w:val="22"/>
        </w:rPr>
        <w:t>Instead</w:t>
      </w:r>
      <w:r w:rsidRPr="00B23E6A" w:rsidR="0027307F">
        <w:rPr>
          <w:color w:val="000000"/>
          <w:szCs w:val="22"/>
        </w:rPr>
        <w:t>, we put in place</w:t>
      </w:r>
      <w:r w:rsidRPr="00B23E6A" w:rsidR="00111AEA">
        <w:rPr>
          <w:color w:val="000000"/>
          <w:szCs w:val="22"/>
        </w:rPr>
        <w:t xml:space="preserve"> additional measures to ensure that </w:t>
      </w:r>
      <w:r w:rsidRPr="00B23E6A" w:rsidR="000E591C">
        <w:rPr>
          <w:color w:val="000000"/>
          <w:szCs w:val="22"/>
        </w:rPr>
        <w:t>the Station</w:t>
      </w:r>
      <w:r w:rsidRPr="00B23E6A" w:rsidR="00111AEA">
        <w:rPr>
          <w:color w:val="000000"/>
          <w:szCs w:val="22"/>
        </w:rPr>
        <w:t xml:space="preserve"> complies with the Act and the Rules in the future.</w:t>
      </w:r>
      <w:r w:rsidRPr="00B23E6A" w:rsidR="00111AEA">
        <w:rPr>
          <w:szCs w:val="22"/>
        </w:rPr>
        <w:t xml:space="preserve">  </w:t>
      </w:r>
      <w:r w:rsidRPr="00B23E6A" w:rsidR="0027307F">
        <w:rPr>
          <w:szCs w:val="22"/>
        </w:rPr>
        <w:t>Specifically</w:t>
      </w:r>
      <w:r w:rsidRPr="00B23E6A">
        <w:rPr>
          <w:szCs w:val="22"/>
        </w:rPr>
        <w:t xml:space="preserve">, pursuant to Section 309(k)(2) of the Act, </w:t>
      </w:r>
      <w:r w:rsidRPr="00B23E6A" w:rsidR="00AF6660">
        <w:rPr>
          <w:szCs w:val="22"/>
        </w:rPr>
        <w:t xml:space="preserve">upon resolution of the forfeiture proceeding commenced herein and so long as there are no other issues that would preclude grant, </w:t>
      </w:r>
      <w:r w:rsidRPr="00B23E6A">
        <w:rPr>
          <w:szCs w:val="22"/>
        </w:rPr>
        <w:t xml:space="preserve">we </w:t>
      </w:r>
      <w:r w:rsidRPr="00B23E6A" w:rsidR="0027307F">
        <w:rPr>
          <w:szCs w:val="22"/>
        </w:rPr>
        <w:t>will</w:t>
      </w:r>
      <w:r w:rsidRPr="00B23E6A" w:rsidR="00AF6660">
        <w:rPr>
          <w:szCs w:val="22"/>
        </w:rPr>
        <w:t xml:space="preserve"> renew the Station’s license for a term of two years</w:t>
      </w:r>
      <w:r w:rsidRPr="00B23E6A">
        <w:rPr>
          <w:szCs w:val="22"/>
        </w:rPr>
        <w:t xml:space="preserve">.  </w:t>
      </w:r>
      <w:r w:rsidR="008D2A5D">
        <w:rPr>
          <w:szCs w:val="22"/>
        </w:rPr>
        <w:t>T</w:t>
      </w:r>
      <w:r w:rsidRPr="00B23E6A">
        <w:rPr>
          <w:szCs w:val="22"/>
        </w:rPr>
        <w:t xml:space="preserve">his </w:t>
      </w:r>
      <w:r w:rsidRPr="00B23E6A" w:rsidR="00AF6660">
        <w:rPr>
          <w:szCs w:val="22"/>
        </w:rPr>
        <w:t>short-term</w:t>
      </w:r>
      <w:r w:rsidRPr="00B23E6A">
        <w:rPr>
          <w:szCs w:val="22"/>
        </w:rPr>
        <w:t xml:space="preserve"> renewal will afford the Commission an opportunity to review the Station’s compliance with the Act and the </w:t>
      </w:r>
      <w:r w:rsidRPr="00B23E6A" w:rsidR="00F00443">
        <w:rPr>
          <w:szCs w:val="22"/>
        </w:rPr>
        <w:t>Rules</w:t>
      </w:r>
      <w:r w:rsidRPr="00B23E6A">
        <w:rPr>
          <w:szCs w:val="22"/>
        </w:rPr>
        <w:t xml:space="preserve"> and to take whatever corrective actions, if any, that may be warranted at that time.</w:t>
      </w:r>
    </w:p>
    <w:p w:rsidR="00823C79" w:rsidRPr="00322EF1" w:rsidP="00823C79" w14:paraId="1E243C13" w14:textId="52C40A17">
      <w:pPr>
        <w:pStyle w:val="Heading1"/>
        <w:rPr>
          <w:rFonts w:ascii="Times New Roman" w:hAnsi="Times New Roman"/>
          <w:szCs w:val="22"/>
        </w:rPr>
      </w:pPr>
      <w:r w:rsidRPr="00322EF1">
        <w:rPr>
          <w:rFonts w:ascii="Times New Roman" w:hAnsi="Times New Roman"/>
          <w:szCs w:val="22"/>
        </w:rPr>
        <w:t>ordering clauses</w:t>
      </w:r>
    </w:p>
    <w:p w:rsidR="00823C79" w:rsidRPr="00322EF1" w:rsidP="00BC6EFB" w14:paraId="2A39BA6E" w14:textId="5A065A8F">
      <w:pPr>
        <w:pStyle w:val="ParaNum"/>
        <w:rPr>
          <w:szCs w:val="22"/>
        </w:rPr>
      </w:pPr>
      <w:r w:rsidRPr="00322EF1">
        <w:rPr>
          <w:szCs w:val="22"/>
        </w:rPr>
        <w:t>Accordingly,</w:t>
      </w:r>
      <w:r w:rsidRPr="00322EF1" w:rsidR="00653C8A">
        <w:rPr>
          <w:szCs w:val="22"/>
        </w:rPr>
        <w:t xml:space="preserve"> </w:t>
      </w:r>
      <w:r w:rsidRPr="00322EF1" w:rsidR="00DA4867">
        <w:rPr>
          <w:b/>
          <w:bCs/>
          <w:szCs w:val="22"/>
        </w:rPr>
        <w:t>IT IS ORDERED</w:t>
      </w:r>
      <w:r w:rsidRPr="00322EF1" w:rsidR="000875CB">
        <w:rPr>
          <w:szCs w:val="22"/>
        </w:rPr>
        <w:t>,</w:t>
      </w:r>
      <w:r w:rsidRPr="00322EF1" w:rsidR="004575A5">
        <w:rPr>
          <w:szCs w:val="22"/>
        </w:rPr>
        <w:t xml:space="preserve"> </w:t>
      </w:r>
      <w:r w:rsidRPr="00322EF1">
        <w:rPr>
          <w:szCs w:val="22"/>
        </w:rPr>
        <w:t xml:space="preserve">pursuant to Section 503(b) of the Communications Act of 1934, as amended, and Sections 0.283 and 1.80 of the Commission’s </w:t>
      </w:r>
      <w:r w:rsidR="003A2CC2">
        <w:rPr>
          <w:szCs w:val="22"/>
        </w:rPr>
        <w:t>r</w:t>
      </w:r>
      <w:r w:rsidRPr="00322EF1">
        <w:rPr>
          <w:szCs w:val="22"/>
        </w:rPr>
        <w:t xml:space="preserve">ules, that </w:t>
      </w:r>
      <w:r w:rsidRPr="00322EF1" w:rsidR="000875CB">
        <w:rPr>
          <w:szCs w:val="22"/>
        </w:rPr>
        <w:t>Zwerling Broadcasting System</w:t>
      </w:r>
      <w:r w:rsidRPr="00322EF1" w:rsidR="004575A5">
        <w:rPr>
          <w:szCs w:val="22"/>
        </w:rPr>
        <w:t xml:space="preserve">, Ltd, </w:t>
      </w:r>
      <w:r w:rsidRPr="00322EF1">
        <w:rPr>
          <w:szCs w:val="22"/>
        </w:rPr>
        <w:t xml:space="preserve">is hereby </w:t>
      </w:r>
      <w:r w:rsidRPr="00322EF1">
        <w:rPr>
          <w:b/>
          <w:bCs/>
          <w:szCs w:val="22"/>
        </w:rPr>
        <w:t>NOTIFIED</w:t>
      </w:r>
      <w:r w:rsidRPr="00322EF1">
        <w:rPr>
          <w:szCs w:val="22"/>
        </w:rPr>
        <w:t xml:space="preserve"> of </w:t>
      </w:r>
      <w:r w:rsidRPr="00322EF1" w:rsidR="00BA3C12">
        <w:rPr>
          <w:szCs w:val="22"/>
        </w:rPr>
        <w:t>its</w:t>
      </w:r>
      <w:r w:rsidRPr="00322EF1">
        <w:rPr>
          <w:szCs w:val="22"/>
        </w:rPr>
        <w:t xml:space="preserve"> </w:t>
      </w:r>
      <w:r w:rsidRPr="00322EF1">
        <w:rPr>
          <w:b/>
          <w:bCs/>
          <w:szCs w:val="22"/>
        </w:rPr>
        <w:t>APPARENT LIABILITY FOR FORFEITURE</w:t>
      </w:r>
      <w:r w:rsidRPr="00322EF1">
        <w:rPr>
          <w:szCs w:val="22"/>
        </w:rPr>
        <w:t xml:space="preserve"> in the amount of </w:t>
      </w:r>
      <w:r w:rsidRPr="00322EF1" w:rsidR="000E591C">
        <w:rPr>
          <w:szCs w:val="22"/>
        </w:rPr>
        <w:t>twenty</w:t>
      </w:r>
      <w:r w:rsidRPr="00322EF1" w:rsidR="00BA3C12">
        <w:rPr>
          <w:szCs w:val="22"/>
        </w:rPr>
        <w:t xml:space="preserve"> thousand dollars (</w:t>
      </w:r>
      <w:r w:rsidRPr="00322EF1">
        <w:rPr>
          <w:szCs w:val="22"/>
        </w:rPr>
        <w:t>$</w:t>
      </w:r>
      <w:r w:rsidRPr="00322EF1" w:rsidR="000E591C">
        <w:rPr>
          <w:szCs w:val="22"/>
        </w:rPr>
        <w:t>20</w:t>
      </w:r>
      <w:r w:rsidRPr="00322EF1">
        <w:rPr>
          <w:szCs w:val="22"/>
        </w:rPr>
        <w:t>,000</w:t>
      </w:r>
      <w:r w:rsidRPr="00322EF1" w:rsidR="00BA3C12">
        <w:rPr>
          <w:szCs w:val="22"/>
        </w:rPr>
        <w:t>)</w:t>
      </w:r>
      <w:r w:rsidRPr="00322EF1">
        <w:rPr>
          <w:szCs w:val="22"/>
        </w:rPr>
        <w:t xml:space="preserve"> for </w:t>
      </w:r>
      <w:r w:rsidRPr="00322EF1" w:rsidR="00BA3C12">
        <w:rPr>
          <w:szCs w:val="22"/>
        </w:rPr>
        <w:t>its</w:t>
      </w:r>
      <w:r w:rsidRPr="00322EF1">
        <w:rPr>
          <w:szCs w:val="22"/>
        </w:rPr>
        <w:t xml:space="preserve"> apparent willful and repeated violations of </w:t>
      </w:r>
      <w:r w:rsidRPr="00322EF1" w:rsidR="004575A5">
        <w:rPr>
          <w:szCs w:val="22"/>
        </w:rPr>
        <w:t xml:space="preserve">Section </w:t>
      </w:r>
      <w:r w:rsidR="003A2CC2">
        <w:rPr>
          <w:szCs w:val="22"/>
        </w:rPr>
        <w:t>301</w:t>
      </w:r>
      <w:r w:rsidRPr="00322EF1" w:rsidR="004575A5">
        <w:rPr>
          <w:szCs w:val="22"/>
        </w:rPr>
        <w:t xml:space="preserve"> of the Communications Act of 1934, as amended, and </w:t>
      </w:r>
      <w:r w:rsidRPr="00322EF1">
        <w:rPr>
          <w:szCs w:val="22"/>
        </w:rPr>
        <w:t xml:space="preserve">Sections </w:t>
      </w:r>
      <w:r w:rsidRPr="00322EF1" w:rsidR="004575A5">
        <w:rPr>
          <w:szCs w:val="22"/>
        </w:rPr>
        <w:t>73.1350, 73.1560(a)(1), 73.1635, 73.1690(b), and 73.1745(a) of the Commission’s rules</w:t>
      </w:r>
      <w:r w:rsidRPr="00322EF1">
        <w:rPr>
          <w:szCs w:val="22"/>
        </w:rPr>
        <w:t xml:space="preserve">. </w:t>
      </w:r>
    </w:p>
    <w:p w:rsidR="00823C79" w:rsidRPr="00322EF1" w:rsidP="00A5275A" w14:paraId="03B1C723" w14:textId="5E836E0D">
      <w:pPr>
        <w:pStyle w:val="ParaNum"/>
        <w:widowControl/>
        <w:rPr>
          <w:szCs w:val="22"/>
        </w:rPr>
      </w:pPr>
      <w:r w:rsidRPr="00322EF1">
        <w:rPr>
          <w:b/>
          <w:bCs/>
          <w:szCs w:val="22"/>
        </w:rPr>
        <w:t>IT IS FURTHER ORDERED</w:t>
      </w:r>
      <w:r w:rsidRPr="00322EF1">
        <w:rPr>
          <w:szCs w:val="22"/>
        </w:rPr>
        <w:t xml:space="preserve">, pursuant to Section 1.80 of the </w:t>
      </w:r>
      <w:r w:rsidR="003A2CC2">
        <w:rPr>
          <w:szCs w:val="22"/>
        </w:rPr>
        <w:t>Commission’s rules</w:t>
      </w:r>
      <w:r w:rsidRPr="00322EF1">
        <w:rPr>
          <w:szCs w:val="22"/>
        </w:rPr>
        <w:t xml:space="preserve">, that, within thirty (30) days of the release date of this </w:t>
      </w:r>
      <w:r w:rsidR="001E52F9">
        <w:rPr>
          <w:szCs w:val="22"/>
        </w:rPr>
        <w:t xml:space="preserve">Memorandum Opinion and Order and </w:t>
      </w:r>
      <w:r w:rsidRPr="00322EF1" w:rsidR="00C925F6">
        <w:rPr>
          <w:iCs/>
          <w:szCs w:val="22"/>
        </w:rPr>
        <w:t>Notice of Apparent Liability for Forfeiture</w:t>
      </w:r>
      <w:r w:rsidRPr="00322EF1">
        <w:rPr>
          <w:i/>
          <w:iCs/>
          <w:szCs w:val="22"/>
        </w:rPr>
        <w:t>,</w:t>
      </w:r>
      <w:r w:rsidRPr="00322EF1" w:rsidR="00214117">
        <w:rPr>
          <w:szCs w:val="22"/>
        </w:rPr>
        <w:t xml:space="preserve"> Zwerling Broadcasting System, Ltd</w:t>
      </w:r>
      <w:r w:rsidRPr="00322EF1" w:rsidR="00BA3C12">
        <w:rPr>
          <w:szCs w:val="22"/>
        </w:rPr>
        <w:t>,</w:t>
      </w:r>
      <w:r w:rsidRPr="00322EF1">
        <w:rPr>
          <w:szCs w:val="22"/>
        </w:rPr>
        <w:t xml:space="preserve"> </w:t>
      </w:r>
      <w:r w:rsidRPr="00322EF1">
        <w:rPr>
          <w:b/>
          <w:bCs/>
          <w:szCs w:val="22"/>
        </w:rPr>
        <w:t>SHALL PAY</w:t>
      </w:r>
      <w:r w:rsidRPr="00322EF1">
        <w:rPr>
          <w:szCs w:val="22"/>
        </w:rPr>
        <w:t xml:space="preserve"> the full amount of the proposed forfeiture or </w:t>
      </w:r>
      <w:r w:rsidRPr="00322EF1">
        <w:rPr>
          <w:b/>
          <w:bCs/>
          <w:szCs w:val="22"/>
        </w:rPr>
        <w:t>SHALL FILE</w:t>
      </w:r>
      <w:r w:rsidRPr="00322EF1">
        <w:rPr>
          <w:szCs w:val="22"/>
        </w:rPr>
        <w:t xml:space="preserve"> a written statement seeking reduction or cancellation of the proposed forfeiture.  </w:t>
      </w:r>
    </w:p>
    <w:p w:rsidR="00503655" w:rsidRPr="00503655" w:rsidP="00503655" w14:paraId="0742068F" w14:textId="77777777">
      <w:pPr>
        <w:pStyle w:val="ParaNum"/>
        <w:rPr>
          <w:szCs w:val="22"/>
        </w:rPr>
      </w:pPr>
      <w:r w:rsidRPr="00503655">
        <w:rPr>
          <w:szCs w:val="22"/>
        </w:rPr>
        <w:t xml:space="preserve">Payment of the forfeiture must be made by credit card, ACH (Automated Clearing House) debit from a bank account using CORES (the Commission’s online payment system),  or by wire transfer.  Payments by check or money order to pay a forfeiture are no longer accepted.  Below are instructions that payors should follow based on the form of payment selected:  </w:t>
      </w:r>
    </w:p>
    <w:p w:rsidR="00767221" w:rsidRPr="00767221" w:rsidP="00C95891" w14:paraId="54163E6E" w14:textId="35D6D98C">
      <w:pPr>
        <w:pStyle w:val="ListParagraph"/>
        <w:numPr>
          <w:ilvl w:val="0"/>
          <w:numId w:val="14"/>
        </w:numPr>
        <w:ind w:left="1080"/>
        <w:rPr>
          <w:szCs w:val="22"/>
        </w:rPr>
      </w:pPr>
      <w:r w:rsidRPr="00503655">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5" w:history="1">
        <w:r w:rsidRPr="004B691C">
          <w:rPr>
            <w:rStyle w:val="Hyperlink"/>
          </w:rPr>
          <w:t>https://www.fcc.gov/licensing-databases/fees/wire-transfer</w:t>
        </w:r>
      </w:hyperlink>
      <w:r w:rsidRPr="00503655">
        <w:t>.</w:t>
      </w:r>
      <w:r>
        <w:br/>
      </w:r>
    </w:p>
    <w:p w:rsidR="00767221" w:rsidP="009357B4" w14:paraId="23A8572F" w14:textId="0C2566AA">
      <w:pPr>
        <w:pStyle w:val="ListParagraph"/>
        <w:numPr>
          <w:ilvl w:val="0"/>
          <w:numId w:val="14"/>
        </w:numPr>
        <w:ind w:left="1080"/>
        <w:rPr>
          <w:szCs w:val="22"/>
        </w:rPr>
      </w:pPr>
      <w:r w:rsidRPr="00767221">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r>
        <w:rPr>
          <w:szCs w:val="22"/>
        </w:rPr>
        <w:br/>
      </w:r>
    </w:p>
    <w:p w:rsidR="00503655" w:rsidRPr="00767221" w:rsidP="009357B4" w14:paraId="18880433" w14:textId="11E05144">
      <w:pPr>
        <w:pStyle w:val="ListParagraph"/>
        <w:numPr>
          <w:ilvl w:val="0"/>
          <w:numId w:val="14"/>
        </w:numPr>
        <w:ind w:left="1080"/>
        <w:rPr>
          <w:szCs w:val="22"/>
        </w:rPr>
      </w:pPr>
      <w:r w:rsidRPr="00767221">
        <w:rPr>
          <w:szCs w:val="22"/>
        </w:rPr>
        <w:t>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00767221">
        <w:rPr>
          <w:szCs w:val="22"/>
        </w:rPr>
        <w:br/>
      </w:r>
    </w:p>
    <w:p w:rsidR="00503655" w:rsidRPr="00503655" w:rsidP="00503655" w14:paraId="3515CC61" w14:textId="18615CF1">
      <w:pPr>
        <w:pStyle w:val="ParaNum"/>
        <w:rPr>
          <w:szCs w:val="22"/>
        </w:rPr>
      </w:pPr>
      <w:r w:rsidRPr="00503655">
        <w:rPr>
          <w:szCs w:val="22"/>
        </w:rPr>
        <w:t xml:space="preserve">Any request for making full payment over time under an installment plan should be sent to:  Associate Managing Director—Financial Operations, Federal Communications Commission, 45 L Street, N.E., Washington, DC 20554.  Questions regarding payment procedures should be directed to the Financial Operations Group Help Desk by phone, 1-877-480-3201 (option #6), or by e-mail at </w:t>
      </w:r>
      <w:hyperlink r:id="rId6" w:history="1">
        <w:r w:rsidRPr="004B691C" w:rsidR="00767221">
          <w:rPr>
            <w:rStyle w:val="Hyperlink"/>
            <w:szCs w:val="22"/>
          </w:rPr>
          <w:t>ARINQUIRIES@fcc.gov</w:t>
        </w:r>
      </w:hyperlink>
      <w:r w:rsidRPr="00503655">
        <w:rPr>
          <w:szCs w:val="22"/>
        </w:rPr>
        <w:t>.</w:t>
      </w:r>
    </w:p>
    <w:p w:rsidR="00503655" w:rsidRPr="00503655" w:rsidP="00503655" w14:paraId="204E7364" w14:textId="650D09D9">
      <w:pPr>
        <w:pStyle w:val="ParaNum"/>
        <w:rPr>
          <w:szCs w:val="22"/>
        </w:rPr>
      </w:pPr>
      <w:r w:rsidRPr="00503655">
        <w:rPr>
          <w:szCs w:val="22"/>
        </w:rPr>
        <w:t xml:space="preserve">Any written response seeking reduction or cancellation of the proposed forfeiture must include a detailed factual statement supported by appropriate documentation and affidavits pursuant to sections 1.16 and 1.80(g)(3) of the Commission’s rules.  The written response must be filed with the Office of the Secretary, Federal Communications Commission, 45 L Street NE, Washington DC 20554, ATTN:  Albert Shuldiner, Chief, Audio Division, Media Bureau, and MUST INCLUDE the NAL/Acct. No. referenced above.  Filings can be sent by commercial overnight courier, or by first-class or overnight U.S. Postal Service mail.  All filings must be addressed to the Commission’s Secretary, Office of the Secretary, Federal Communications Commission.  A courtesy copy emailed to </w:t>
      </w:r>
      <w:hyperlink r:id="rId7" w:history="1">
        <w:r w:rsidRPr="006E735B" w:rsidR="005641BF">
          <w:rPr>
            <w:rStyle w:val="Hyperlink"/>
            <w:szCs w:val="22"/>
          </w:rPr>
          <w:t>Heather.Dixon@fcc.gov</w:t>
        </w:r>
      </w:hyperlink>
      <w:r w:rsidRPr="00503655">
        <w:rPr>
          <w:szCs w:val="22"/>
        </w:rPr>
        <w:t xml:space="preserve"> will assist in processing the response.</w:t>
      </w:r>
    </w:p>
    <w:p w:rsidR="001A5FF1" w:rsidRPr="001A5FF1" w:rsidP="005565D6" w14:paraId="197D4A6A" w14:textId="769C8CD0">
      <w:pPr>
        <w:pStyle w:val="ListParagraph"/>
        <w:numPr>
          <w:ilvl w:val="0"/>
          <w:numId w:val="15"/>
        </w:numPr>
        <w:ind w:left="1080"/>
        <w:rPr>
          <w:szCs w:val="22"/>
        </w:rPr>
      </w:pPr>
      <w:r w:rsidRPr="00503655">
        <w:t>Commercial overnight mail (other than U.S. Postal Service Express Mail and Priority Mail) must be sent to 9050 Junction Drive, Annapolis Junction, MD 20701.</w:t>
      </w:r>
      <w:r>
        <w:br/>
      </w:r>
    </w:p>
    <w:p w:rsidR="00503655" w:rsidRPr="001A5FF1" w:rsidP="005565D6" w14:paraId="284B90A3" w14:textId="0182FF00">
      <w:pPr>
        <w:pStyle w:val="ListParagraph"/>
        <w:numPr>
          <w:ilvl w:val="0"/>
          <w:numId w:val="15"/>
        </w:numPr>
        <w:ind w:left="1080"/>
        <w:rPr>
          <w:szCs w:val="22"/>
        </w:rPr>
      </w:pPr>
      <w:r w:rsidRPr="001A5FF1">
        <w:rPr>
          <w:szCs w:val="22"/>
        </w:rPr>
        <w:t>Postal Service first-class, Express, and Priority mail must be addressed to 45 L Street, NE, Washington, DC 20554.</w:t>
      </w:r>
    </w:p>
    <w:p w:rsidR="00503655" w:rsidP="001A5FF1" w14:paraId="467ABB40" w14:textId="77777777"/>
    <w:p w:rsidR="00823C79" w:rsidRPr="00322EF1" w:rsidP="00823C79" w14:paraId="07073B2F" w14:textId="018BCDB2">
      <w:pPr>
        <w:pStyle w:val="ParaNum"/>
        <w:rPr>
          <w:szCs w:val="22"/>
        </w:rPr>
      </w:pPr>
      <w:r w:rsidRPr="00DD6D6B">
        <w:rPr>
          <w:b/>
          <w:bCs/>
          <w:szCs w:val="22"/>
        </w:rPr>
        <w:t>IT IS FURTHER ORDERED</w:t>
      </w:r>
      <w:r w:rsidRPr="00DD6D6B">
        <w:rPr>
          <w:szCs w:val="22"/>
        </w:rPr>
        <w:t xml:space="preserve"> that, pursuant to Section 73.3526(e)(10) of the </w:t>
      </w:r>
      <w:r w:rsidR="00DD6D6B">
        <w:rPr>
          <w:szCs w:val="22"/>
        </w:rPr>
        <w:t xml:space="preserve">Commission’s </w:t>
      </w:r>
      <w:r w:rsidR="00A24BF6">
        <w:rPr>
          <w:szCs w:val="22"/>
        </w:rPr>
        <w:t>r</w:t>
      </w:r>
      <w:r w:rsidRPr="00DD6D6B">
        <w:rPr>
          <w:szCs w:val="22"/>
        </w:rPr>
        <w:t xml:space="preserve">ules, </w:t>
      </w:r>
      <w:r w:rsidRPr="00DD6D6B" w:rsidR="0021642C">
        <w:rPr>
          <w:szCs w:val="22"/>
        </w:rPr>
        <w:t>Zwerling Broadcast System, Ltd</w:t>
      </w:r>
      <w:r w:rsidRPr="00DD6D6B">
        <w:rPr>
          <w:szCs w:val="22"/>
        </w:rPr>
        <w:t xml:space="preserve">, </w:t>
      </w:r>
      <w:r w:rsidRPr="00DD6D6B" w:rsidR="0021642C">
        <w:rPr>
          <w:b/>
          <w:bCs/>
          <w:szCs w:val="22"/>
        </w:rPr>
        <w:t>SHALL PLACE</w:t>
      </w:r>
      <w:r w:rsidRPr="00DD6D6B" w:rsidR="0021642C">
        <w:rPr>
          <w:szCs w:val="22"/>
        </w:rPr>
        <w:t xml:space="preserve"> </w:t>
      </w:r>
      <w:r w:rsidRPr="00DD6D6B">
        <w:rPr>
          <w:szCs w:val="22"/>
        </w:rPr>
        <w:t xml:space="preserve">a copy of this </w:t>
      </w:r>
      <w:r w:rsidR="00A24BF6">
        <w:rPr>
          <w:szCs w:val="22"/>
        </w:rPr>
        <w:t xml:space="preserve">Memorandum Opinion and Order and </w:t>
      </w:r>
      <w:r w:rsidRPr="00DD6D6B" w:rsidR="00C925F6">
        <w:rPr>
          <w:iCs/>
          <w:szCs w:val="22"/>
        </w:rPr>
        <w:t>Notice of Apparent Liability</w:t>
      </w:r>
      <w:r w:rsidRPr="00322EF1" w:rsidR="00C925F6">
        <w:rPr>
          <w:iCs/>
          <w:szCs w:val="22"/>
        </w:rPr>
        <w:t xml:space="preserve"> for Forfeiture</w:t>
      </w:r>
      <w:r w:rsidRPr="00322EF1">
        <w:rPr>
          <w:szCs w:val="22"/>
        </w:rPr>
        <w:t xml:space="preserve"> in the </w:t>
      </w:r>
      <w:r w:rsidR="00CA4DEB">
        <w:rPr>
          <w:szCs w:val="22"/>
        </w:rPr>
        <w:t xml:space="preserve">online </w:t>
      </w:r>
      <w:r w:rsidRPr="00322EF1">
        <w:rPr>
          <w:szCs w:val="22"/>
        </w:rPr>
        <w:t>public inspection file of Station</w:t>
      </w:r>
      <w:r w:rsidRPr="00322EF1" w:rsidR="00BA3C12">
        <w:rPr>
          <w:szCs w:val="22"/>
        </w:rPr>
        <w:t xml:space="preserve"> </w:t>
      </w:r>
      <w:r w:rsidRPr="00322EF1" w:rsidR="0021642C">
        <w:rPr>
          <w:szCs w:val="22"/>
        </w:rPr>
        <w:t>KSCO(AM)</w:t>
      </w:r>
      <w:r w:rsidRPr="00322EF1" w:rsidR="00382DDD">
        <w:rPr>
          <w:szCs w:val="22"/>
        </w:rPr>
        <w:t xml:space="preserve">, Santa Cruz, California (Facility ID No. </w:t>
      </w:r>
      <w:r w:rsidRPr="00322EF1" w:rsidR="00382DDD">
        <w:rPr>
          <w:snapToGrid/>
          <w:kern w:val="0"/>
          <w:szCs w:val="22"/>
        </w:rPr>
        <w:t>41594).</w:t>
      </w:r>
    </w:p>
    <w:p w:rsidR="00973E44" w:rsidRPr="00322EF1" w:rsidP="00973E44" w14:paraId="3124EB44" w14:textId="04566F97">
      <w:pPr>
        <w:pStyle w:val="ParaNum"/>
        <w:rPr>
          <w:szCs w:val="22"/>
        </w:rPr>
      </w:pPr>
      <w:r w:rsidRPr="00322EF1">
        <w:rPr>
          <w:b/>
          <w:bCs/>
          <w:szCs w:val="22"/>
        </w:rPr>
        <w:t>IT IS FURTHER ORDERED</w:t>
      </w:r>
      <w:r w:rsidRPr="00322EF1">
        <w:rPr>
          <w:szCs w:val="22"/>
        </w:rPr>
        <w:t xml:space="preserve"> that copies of this </w:t>
      </w:r>
      <w:r w:rsidRPr="00322EF1" w:rsidR="00C925F6">
        <w:rPr>
          <w:iCs/>
          <w:szCs w:val="22"/>
        </w:rPr>
        <w:t>Memorandum Opinion and Order and Notice of Apparent Liability for Forfeiture</w:t>
      </w:r>
      <w:r w:rsidRPr="00322EF1" w:rsidR="00C925F6">
        <w:rPr>
          <w:szCs w:val="22"/>
        </w:rPr>
        <w:t xml:space="preserve"> </w:t>
      </w:r>
      <w:r w:rsidRPr="00322EF1" w:rsidR="00382DDD">
        <w:rPr>
          <w:b/>
          <w:bCs/>
          <w:szCs w:val="22"/>
        </w:rPr>
        <w:t>SHALL BE SENT</w:t>
      </w:r>
      <w:r w:rsidRPr="00322EF1">
        <w:rPr>
          <w:szCs w:val="22"/>
        </w:rPr>
        <w:t>, by First Class and Certified Mail, Return Receipt Requested, to</w:t>
      </w:r>
      <w:r w:rsidRPr="00322EF1" w:rsidR="00BA3C12">
        <w:rPr>
          <w:szCs w:val="22"/>
        </w:rPr>
        <w:t xml:space="preserve"> </w:t>
      </w:r>
      <w:r w:rsidRPr="00322EF1" w:rsidR="00DC50DD">
        <w:rPr>
          <w:szCs w:val="22"/>
        </w:rPr>
        <w:t xml:space="preserve">Michael Zwerling, </w:t>
      </w:r>
      <w:r w:rsidRPr="00322EF1" w:rsidR="00382DDD">
        <w:rPr>
          <w:szCs w:val="22"/>
        </w:rPr>
        <w:t xml:space="preserve">Zwerling Broadcast System, Ltd, </w:t>
      </w:r>
      <w:r w:rsidRPr="00322EF1" w:rsidR="00DC50DD">
        <w:rPr>
          <w:szCs w:val="22"/>
        </w:rPr>
        <w:t>2300 Portola Drive, Santa Cruz, CA 95062.</w:t>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BA3C12">
        <w:rPr>
          <w:szCs w:val="22"/>
        </w:rPr>
        <w:tab/>
      </w:r>
      <w:r w:rsidRPr="00322EF1" w:rsidR="00BA3C12">
        <w:rPr>
          <w:szCs w:val="22"/>
        </w:rPr>
        <w:tab/>
      </w:r>
      <w:r w:rsidRPr="00322EF1" w:rsidR="00BA3C12">
        <w:rPr>
          <w:szCs w:val="22"/>
        </w:rPr>
        <w:tab/>
      </w:r>
      <w:r w:rsidRPr="00322EF1" w:rsidR="00BA3C12">
        <w:rPr>
          <w:szCs w:val="22"/>
        </w:rPr>
        <w:tab/>
      </w:r>
      <w:r w:rsidRPr="00322EF1" w:rsidR="00BA3C12">
        <w:rPr>
          <w:szCs w:val="22"/>
        </w:rPr>
        <w:tab/>
      </w:r>
      <w:r w:rsidRPr="00322EF1">
        <w:rPr>
          <w:szCs w:val="22"/>
        </w:rPr>
        <w:br/>
      </w:r>
    </w:p>
    <w:p w:rsidR="00BA3C12" w:rsidRPr="00322EF1" w:rsidP="00BA3C12" w14:paraId="46D66C94" w14:textId="7C21B4EA">
      <w:pPr>
        <w:tabs>
          <w:tab w:val="left" w:pos="4320"/>
        </w:tabs>
        <w:rPr>
          <w:szCs w:val="22"/>
        </w:rPr>
      </w:pPr>
      <w:r w:rsidRPr="00322EF1">
        <w:rPr>
          <w:szCs w:val="22"/>
        </w:rPr>
        <w:tab/>
        <w:t>FEDERAL COMMUNICATIONS COMMISSION</w:t>
      </w:r>
    </w:p>
    <w:p w:rsidR="00BA3C12" w:rsidRPr="00322EF1" w:rsidP="00B56A9D" w14:paraId="2B1045A1" w14:textId="77777777">
      <w:pPr>
        <w:rPr>
          <w:szCs w:val="22"/>
        </w:rPr>
      </w:pPr>
    </w:p>
    <w:p w:rsidR="00BA3C12" w:rsidRPr="00322EF1" w:rsidP="00B56A9D" w14:paraId="2A4BFF7E" w14:textId="77777777">
      <w:pPr>
        <w:rPr>
          <w:szCs w:val="22"/>
        </w:rPr>
      </w:pPr>
    </w:p>
    <w:p w:rsidR="00BA3C12" w:rsidRPr="00322EF1" w:rsidP="00B56A9D" w14:paraId="40953B9F" w14:textId="77777777">
      <w:pPr>
        <w:rPr>
          <w:szCs w:val="22"/>
        </w:rPr>
      </w:pPr>
    </w:p>
    <w:p w:rsidR="00BA3C12" w:rsidRPr="00322EF1" w:rsidP="00B56A9D" w14:paraId="381D1B1A" w14:textId="77777777">
      <w:pPr>
        <w:rPr>
          <w:szCs w:val="22"/>
        </w:rPr>
      </w:pPr>
    </w:p>
    <w:p w:rsidR="00BA3C12" w:rsidRPr="00322EF1" w:rsidP="00B56A9D" w14:paraId="4FA59434" w14:textId="228AA7C5">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Albert Shuldiner</w:t>
      </w:r>
    </w:p>
    <w:p w:rsidR="00BA3C12" w:rsidRPr="00322EF1" w:rsidP="00B56A9D" w14:paraId="1E336DFA" w14:textId="7C6836D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Chief, Audio Division</w:t>
      </w:r>
    </w:p>
    <w:p w:rsidR="00823C79" w:rsidRPr="00322EF1" w:rsidP="00823C79" w14:paraId="36300E69" w14:textId="3A0EEC24">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t>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4726BD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A27FE" w14:paraId="342E7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14DEF06C" w14:textId="6800693F">
    <w:pPr>
      <w:pStyle w:val="Footer"/>
      <w:framePr w:wrap="around" w:vAnchor="text" w:hAnchor="margin" w:xAlign="center" w:y="1"/>
    </w:pPr>
    <w:r>
      <w:fldChar w:fldCharType="begin"/>
    </w:r>
    <w:r>
      <w:instrText xml:space="preserve">PAGE  </w:instrText>
    </w:r>
    <w:r>
      <w:fldChar w:fldCharType="separate"/>
    </w:r>
    <w:r w:rsidR="002A7EC5">
      <w:rPr>
        <w:noProof/>
      </w:rPr>
      <w:t>5</w:t>
    </w:r>
    <w:r>
      <w:fldChar w:fldCharType="end"/>
    </w:r>
  </w:p>
  <w:p w:rsidR="007A27FE" w14:paraId="47BA0DE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14:paraId="264EF7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268A" w14:paraId="37620F97" w14:textId="77777777">
      <w:r>
        <w:separator/>
      </w:r>
    </w:p>
  </w:footnote>
  <w:footnote w:type="continuationSeparator" w:id="1">
    <w:p w:rsidR="00C0268A" w:rsidP="00C721AC" w14:paraId="4B4C0D73" w14:textId="77777777">
      <w:pPr>
        <w:spacing w:before="120"/>
        <w:rPr>
          <w:sz w:val="20"/>
        </w:rPr>
      </w:pPr>
      <w:r>
        <w:rPr>
          <w:sz w:val="20"/>
        </w:rPr>
        <w:t xml:space="preserve">(Continued from previous page)  </w:t>
      </w:r>
      <w:r>
        <w:rPr>
          <w:sz w:val="20"/>
        </w:rPr>
        <w:separator/>
      </w:r>
    </w:p>
  </w:footnote>
  <w:footnote w:type="continuationNotice" w:id="2">
    <w:p w:rsidR="00C0268A" w:rsidP="00C721AC" w14:paraId="658D5D67" w14:textId="77777777">
      <w:pPr>
        <w:jc w:val="right"/>
        <w:rPr>
          <w:sz w:val="20"/>
        </w:rPr>
      </w:pPr>
      <w:r>
        <w:rPr>
          <w:sz w:val="20"/>
        </w:rPr>
        <w:t>(continued….)</w:t>
      </w:r>
    </w:p>
  </w:footnote>
  <w:footnote w:id="3">
    <w:p w:rsidR="005E3EA9" w14:paraId="000DEBC7" w14:textId="62F0246D">
      <w:pPr>
        <w:pStyle w:val="FootnoteText"/>
      </w:pPr>
      <w:r>
        <w:rPr>
          <w:rStyle w:val="FootnoteReference"/>
        </w:rPr>
        <w:footnoteRef/>
      </w:r>
      <w:r>
        <w:t xml:space="preserve"> </w:t>
      </w:r>
      <w:r w:rsidRPr="005E5565">
        <w:rPr>
          <w:i/>
          <w:iCs/>
        </w:rPr>
        <w:t>See</w:t>
      </w:r>
      <w:r>
        <w:t xml:space="preserve"> Application File No. 155525.</w:t>
      </w:r>
    </w:p>
  </w:footnote>
  <w:footnote w:id="4">
    <w:p w:rsidR="00991756" w14:paraId="06F2A800" w14:textId="7040D1AB">
      <w:pPr>
        <w:pStyle w:val="FootnoteText"/>
      </w:pPr>
      <w:r>
        <w:rPr>
          <w:rStyle w:val="FootnoteReference"/>
        </w:rPr>
        <w:footnoteRef/>
      </w:r>
      <w:r>
        <w:t xml:space="preserve"> </w:t>
      </w:r>
      <w:r w:rsidRPr="005E3EA9" w:rsidR="008D4FFF">
        <w:rPr>
          <w:i/>
          <w:iCs/>
        </w:rPr>
        <w:t>See</w:t>
      </w:r>
      <w:r w:rsidR="008D4FFF">
        <w:t xml:space="preserve"> Application File No. BL-</w:t>
      </w:r>
      <w:r w:rsidR="005E3EA9">
        <w:t>12621.</w:t>
      </w:r>
    </w:p>
  </w:footnote>
  <w:footnote w:id="5">
    <w:p w:rsidR="00F264CE" w14:paraId="0039E2AE" w14:textId="3138B81E">
      <w:pPr>
        <w:pStyle w:val="FootnoteText"/>
      </w:pPr>
      <w:r>
        <w:rPr>
          <w:rStyle w:val="FootnoteReference"/>
        </w:rPr>
        <w:footnoteRef/>
      </w:r>
      <w:r>
        <w:t xml:space="preserve"> </w:t>
      </w:r>
      <w:r>
        <w:t xml:space="preserve">Letter from </w:t>
      </w:r>
      <w:r w:rsidR="00565842">
        <w:t>Robert D. Greenberg, Supervisory Engineer, Audio Service Division, Mass Media Bureau, to Michael L. Zwerling, President, Zwerling Broad. System, Ltd</w:t>
      </w:r>
      <w:r w:rsidR="00157260">
        <w:t xml:space="preserve"> (MB Oct. 30, 1996).</w:t>
      </w:r>
    </w:p>
  </w:footnote>
  <w:footnote w:id="6">
    <w:p w:rsidR="00157260" w14:paraId="676BEF7D" w14:textId="4C5F8F60">
      <w:pPr>
        <w:pStyle w:val="FootnoteText"/>
      </w:pPr>
      <w:r>
        <w:rPr>
          <w:rStyle w:val="FootnoteReference"/>
        </w:rPr>
        <w:footnoteRef/>
      </w:r>
      <w:r>
        <w:t xml:space="preserve"> </w:t>
      </w:r>
      <w:r w:rsidRPr="00B53F73">
        <w:rPr>
          <w:i/>
          <w:iCs/>
        </w:rPr>
        <w:t>Id</w:t>
      </w:r>
      <w:r>
        <w:t>. at 2.</w:t>
      </w:r>
    </w:p>
  </w:footnote>
  <w:footnote w:id="7">
    <w:p w:rsidR="00A50B03" w14:paraId="256B344D" w14:textId="080437F4">
      <w:pPr>
        <w:pStyle w:val="FootnoteText"/>
      </w:pPr>
      <w:r>
        <w:rPr>
          <w:rStyle w:val="FootnoteReference"/>
        </w:rPr>
        <w:footnoteRef/>
      </w:r>
      <w:r>
        <w:t xml:space="preserve"> </w:t>
      </w:r>
      <w:r w:rsidR="00AD1A37">
        <w:t>E</w:t>
      </w:r>
      <w:r w:rsidR="0008274A">
        <w:t>-</w:t>
      </w:r>
      <w:r w:rsidR="00AD1A37">
        <w:t>mail</w:t>
      </w:r>
      <w:r w:rsidR="0008274A">
        <w:t xml:space="preserve"> from </w:t>
      </w:r>
      <w:r w:rsidR="0024061B">
        <w:t>Tree Sitter</w:t>
      </w:r>
      <w:r w:rsidR="00D82142">
        <w:t xml:space="preserve"> to David Har</w:t>
      </w:r>
      <w:r w:rsidR="00EB7C06">
        <w:t xml:space="preserve">tshorn, </w:t>
      </w:r>
      <w:r w:rsidR="00AA4AFD">
        <w:t xml:space="preserve">FCC </w:t>
      </w:r>
      <w:r w:rsidR="00EB7C06">
        <w:t>San Francisco Office</w:t>
      </w:r>
      <w:r w:rsidR="00AA4AFD">
        <w:t xml:space="preserve"> (April 18, 2016 </w:t>
      </w:r>
      <w:r w:rsidR="00122565">
        <w:t>9:38</w:t>
      </w:r>
      <w:r w:rsidR="00201356">
        <w:t xml:space="preserve"> </w:t>
      </w:r>
      <w:r w:rsidR="00C55E22">
        <w:t xml:space="preserve">PM </w:t>
      </w:r>
      <w:r w:rsidR="00201356">
        <w:t>PDT</w:t>
      </w:r>
      <w:r w:rsidR="00C55E22">
        <w:t>); E-mail from Tree Sitter to David Hartshorn, FCC San Francisco Office (April 25, 2016 8:03 AM PDT).</w:t>
      </w:r>
    </w:p>
  </w:footnote>
  <w:footnote w:id="8">
    <w:p w:rsidR="00D002DD" w14:paraId="3B7F8F14" w14:textId="5A0E40E7">
      <w:pPr>
        <w:pStyle w:val="FootnoteText"/>
      </w:pPr>
      <w:r>
        <w:rPr>
          <w:rStyle w:val="FootnoteReference"/>
        </w:rPr>
        <w:footnoteRef/>
      </w:r>
      <w:r>
        <w:t xml:space="preserve"> </w:t>
      </w:r>
      <w:r w:rsidRPr="00F30E49" w:rsidR="00F30E49">
        <w:t xml:space="preserve">E-mail from </w:t>
      </w:r>
      <w:r w:rsidR="00F30E49">
        <w:t>Michael Zwerling</w:t>
      </w:r>
      <w:r w:rsidRPr="00F30E49" w:rsidR="00F30E49">
        <w:t>,</w:t>
      </w:r>
      <w:r w:rsidR="00F30E49">
        <w:t xml:space="preserve"> Zwerling Broad. System, Ltd</w:t>
      </w:r>
      <w:r w:rsidRPr="00F30E49" w:rsidR="00F30E49">
        <w:t xml:space="preserve">, to </w:t>
      </w:r>
      <w:r w:rsidR="00F30E49">
        <w:t>Victoria McCauley</w:t>
      </w:r>
      <w:r w:rsidRPr="00F30E49" w:rsidR="00F30E49">
        <w:t xml:space="preserve">, </w:t>
      </w:r>
      <w:r w:rsidR="009C7B82">
        <w:t>Attorney/Advisor, Audio Division, Media Bureau</w:t>
      </w:r>
      <w:r w:rsidRPr="00F30E49" w:rsidR="00F30E49">
        <w:t xml:space="preserve"> (</w:t>
      </w:r>
      <w:r w:rsidR="009C7B82">
        <w:t>Mar. 18, 2022</w:t>
      </w:r>
      <w:r w:rsidRPr="00F30E49" w:rsidR="00F30E49">
        <w:t xml:space="preserve">, </w:t>
      </w:r>
      <w:r w:rsidR="009C7B82">
        <w:t>11</w:t>
      </w:r>
      <w:r w:rsidRPr="00F30E49" w:rsidR="00F30E49">
        <w:t>:</w:t>
      </w:r>
      <w:r w:rsidR="009C7B82">
        <w:t>19</w:t>
      </w:r>
      <w:r w:rsidRPr="00F30E49" w:rsidR="00F30E49">
        <w:t xml:space="preserve"> EDT)</w:t>
      </w:r>
      <w:r w:rsidR="008D2A5D">
        <w:t xml:space="preserve"> (Zwerling Email)</w:t>
      </w:r>
      <w:r w:rsidRPr="00F30E49" w:rsidR="00F30E49">
        <w:t>.</w:t>
      </w:r>
      <w:r w:rsidR="001D3B83">
        <w:t xml:space="preserve"> </w:t>
      </w:r>
      <w:r w:rsidR="007C2131">
        <w:t xml:space="preserve"> </w:t>
      </w:r>
      <w:r w:rsidR="00B272EA">
        <w:t>Some of the</w:t>
      </w:r>
      <w:r w:rsidR="00D53D02">
        <w:t xml:space="preserve"> Station’s non-conforming operations </w:t>
      </w:r>
      <w:r w:rsidR="007C2131">
        <w:t xml:space="preserve">pre-date </w:t>
      </w:r>
      <w:r w:rsidR="0054136E">
        <w:t>November 22, 2013</w:t>
      </w:r>
      <w:r w:rsidR="00D53D02">
        <w:t>(the date the Station’s current license term commenced</w:t>
      </w:r>
      <w:r w:rsidR="00421616">
        <w:t>)</w:t>
      </w:r>
      <w:r w:rsidR="00D53D02">
        <w:t xml:space="preserve">. </w:t>
      </w:r>
      <w:r w:rsidR="007C2131">
        <w:t xml:space="preserve"> </w:t>
      </w:r>
      <w:r w:rsidRPr="00B272EA" w:rsidR="0054136E">
        <w:rPr>
          <w:i/>
          <w:iCs/>
        </w:rPr>
        <w:t>Broadcast Actions</w:t>
      </w:r>
      <w:r w:rsidR="0054136E">
        <w:t xml:space="preserve">, Public Notice, Report No. </w:t>
      </w:r>
      <w:r w:rsidR="00B6010C">
        <w:t xml:space="preserve">48124, at </w:t>
      </w:r>
      <w:r w:rsidR="00DF3428">
        <w:t>44</w:t>
      </w:r>
      <w:r w:rsidR="00B6010C">
        <w:t xml:space="preserve"> (MB Nov. 27, 2013).  </w:t>
      </w:r>
      <w:r w:rsidR="00ED21AD">
        <w:t xml:space="preserve">Because we are barred from considering any violations that pre-date the Station’s current license term, we do not </w:t>
      </w:r>
      <w:r w:rsidR="00C10673">
        <w:t>address</w:t>
      </w:r>
      <w:r w:rsidR="00ED21AD">
        <w:t xml:space="preserve"> </w:t>
      </w:r>
      <w:r w:rsidR="00B272EA">
        <w:t>any</w:t>
      </w:r>
      <w:r w:rsidR="00C10673">
        <w:t xml:space="preserve"> non-conforming operations that occurred prior to November 22, 2013, herein.  47 U.S.C. § 503(b)(6) (allowing </w:t>
      </w:r>
      <w:r w:rsidRPr="00706015" w:rsidR="00706015">
        <w:t xml:space="preserve">the Commission to issue a Notice of Apparent Liability for Forfeiture if (1) the violation charged did not occur more than one year prior to the date of issuance of the Notice of Apparent Liability for Forfeiture or (2) the violation charged did not occur </w:t>
      </w:r>
      <w:r w:rsidR="00B6010C">
        <w:t>“</w:t>
      </w:r>
      <w:r w:rsidRPr="00706015" w:rsidR="00706015">
        <w:t>prior to the date of commencement of the current license term</w:t>
      </w:r>
      <w:r w:rsidR="00B6010C">
        <w:t>”</w:t>
      </w:r>
      <w:r w:rsidR="00C10673">
        <w:t>).</w:t>
      </w:r>
    </w:p>
  </w:footnote>
  <w:footnote w:id="9">
    <w:p w:rsidR="008C3359" w14:paraId="7D35670D" w14:textId="437FBA61">
      <w:pPr>
        <w:pStyle w:val="FootnoteText"/>
      </w:pPr>
      <w:r>
        <w:rPr>
          <w:rStyle w:val="FootnoteReference"/>
        </w:rPr>
        <w:footnoteRef/>
      </w:r>
      <w:r>
        <w:t xml:space="preserve"> </w:t>
      </w:r>
      <w:r w:rsidRPr="008C3359">
        <w:rPr>
          <w:i/>
          <w:iCs/>
        </w:rPr>
        <w:t>Id</w:t>
      </w:r>
      <w:r>
        <w:t>.</w:t>
      </w:r>
    </w:p>
  </w:footnote>
  <w:footnote w:id="10">
    <w:p w:rsidR="008C3359" w14:paraId="15B1B90E" w14:textId="7DCEEEB3">
      <w:pPr>
        <w:pStyle w:val="FootnoteText"/>
      </w:pPr>
      <w:r>
        <w:rPr>
          <w:rStyle w:val="FootnoteReference"/>
        </w:rPr>
        <w:footnoteRef/>
      </w:r>
      <w:r>
        <w:t xml:space="preserve"> </w:t>
      </w:r>
      <w:r w:rsidRPr="008C3359">
        <w:rPr>
          <w:i/>
          <w:iCs/>
        </w:rPr>
        <w:t>Id</w:t>
      </w:r>
      <w:r>
        <w:t>.</w:t>
      </w:r>
    </w:p>
  </w:footnote>
  <w:footnote w:id="11">
    <w:p w:rsidR="008C3359" w14:paraId="01AF26F1" w14:textId="10CA6700">
      <w:pPr>
        <w:pStyle w:val="FootnoteText"/>
      </w:pPr>
      <w:r>
        <w:rPr>
          <w:rStyle w:val="FootnoteReference"/>
        </w:rPr>
        <w:footnoteRef/>
      </w:r>
      <w:r>
        <w:t xml:space="preserve"> </w:t>
      </w:r>
      <w:r w:rsidRPr="008C3359">
        <w:rPr>
          <w:i/>
          <w:iCs/>
        </w:rPr>
        <w:t>Id</w:t>
      </w:r>
      <w:r>
        <w:t>.</w:t>
      </w:r>
    </w:p>
  </w:footnote>
  <w:footnote w:id="12">
    <w:p w:rsidR="00220F01" w14:paraId="0F02FD27" w14:textId="5252B5D5">
      <w:pPr>
        <w:pStyle w:val="FootnoteText"/>
      </w:pPr>
      <w:r>
        <w:rPr>
          <w:rStyle w:val="FootnoteReference"/>
        </w:rPr>
        <w:footnoteRef/>
      </w:r>
      <w:r>
        <w:t xml:space="preserve"> </w:t>
      </w:r>
      <w:r w:rsidR="006C2F58">
        <w:t>Letter from Bill Graff, Chief Engineer, KSCO, to FCC Audio Filings Team (</w:t>
      </w:r>
      <w:r w:rsidR="00BB141C">
        <w:t>rec’d Sept. 9, 2022)</w:t>
      </w:r>
      <w:r w:rsidR="00F03D51">
        <w:t>.</w:t>
      </w:r>
      <w:r w:rsidR="006C2F58">
        <w:t xml:space="preserve"> </w:t>
      </w:r>
    </w:p>
  </w:footnote>
  <w:footnote w:id="13">
    <w:p w:rsidR="003B6240" w14:paraId="10F4A72B" w14:textId="6E2BBA35">
      <w:pPr>
        <w:pStyle w:val="FootnoteText"/>
      </w:pPr>
      <w:r>
        <w:rPr>
          <w:rStyle w:val="FootnoteReference"/>
        </w:rPr>
        <w:footnoteRef/>
      </w:r>
      <w:r>
        <w:t xml:space="preserve"> </w:t>
      </w:r>
      <w:r w:rsidRPr="00A7124B">
        <w:rPr>
          <w:i/>
          <w:iCs/>
        </w:rPr>
        <w:t>Zwerling Broad. System, Ltd</w:t>
      </w:r>
      <w:r>
        <w:t xml:space="preserve">, Letter Order, at 1 (MB Oct. </w:t>
      </w:r>
      <w:r w:rsidR="00AC122D">
        <w:t>5, 2022).</w:t>
      </w:r>
    </w:p>
  </w:footnote>
  <w:footnote w:id="14">
    <w:p w:rsidR="009225B9" w14:paraId="14EFFB5A" w14:textId="4B51956E">
      <w:pPr>
        <w:pStyle w:val="FootnoteText"/>
      </w:pPr>
      <w:r>
        <w:rPr>
          <w:rStyle w:val="FootnoteReference"/>
        </w:rPr>
        <w:footnoteRef/>
      </w:r>
      <w:r>
        <w:t xml:space="preserve"> </w:t>
      </w:r>
      <w:r w:rsidRPr="00922936">
        <w:rPr>
          <w:i/>
          <w:iCs/>
        </w:rPr>
        <w:t>Id</w:t>
      </w:r>
      <w:r>
        <w:t>.</w:t>
      </w:r>
    </w:p>
  </w:footnote>
  <w:footnote w:id="15">
    <w:p w:rsidR="009225B9" w14:paraId="19D20329" w14:textId="6EC07DAF">
      <w:pPr>
        <w:pStyle w:val="FootnoteText"/>
      </w:pPr>
      <w:r>
        <w:rPr>
          <w:rStyle w:val="FootnoteReference"/>
        </w:rPr>
        <w:footnoteRef/>
      </w:r>
      <w:r>
        <w:t xml:space="preserve"> </w:t>
      </w:r>
      <w:r w:rsidRPr="009225B9">
        <w:rPr>
          <w:i/>
          <w:iCs/>
        </w:rPr>
        <w:t>Id</w:t>
      </w:r>
      <w:r>
        <w:t>.</w:t>
      </w:r>
    </w:p>
  </w:footnote>
  <w:footnote w:id="16">
    <w:p w:rsidR="00922936" w14:paraId="75106BDD" w14:textId="027B5950">
      <w:pPr>
        <w:pStyle w:val="FootnoteText"/>
      </w:pPr>
      <w:r>
        <w:rPr>
          <w:rStyle w:val="FootnoteReference"/>
        </w:rPr>
        <w:footnoteRef/>
      </w:r>
      <w:r>
        <w:t xml:space="preserve"> </w:t>
      </w:r>
      <w:r w:rsidRPr="00922936">
        <w:rPr>
          <w:i/>
          <w:iCs/>
        </w:rPr>
        <w:t>Id</w:t>
      </w:r>
      <w:r>
        <w:t>. at 2.</w:t>
      </w:r>
    </w:p>
  </w:footnote>
  <w:footnote w:id="17">
    <w:p w:rsidR="00922936" w14:paraId="00F3153E" w14:textId="6D458852">
      <w:pPr>
        <w:pStyle w:val="FootnoteText"/>
      </w:pPr>
      <w:r>
        <w:rPr>
          <w:rStyle w:val="FootnoteReference"/>
        </w:rPr>
        <w:footnoteRef/>
      </w:r>
      <w:r>
        <w:t xml:space="preserve"> </w:t>
      </w:r>
      <w:r w:rsidRPr="00922936">
        <w:rPr>
          <w:i/>
          <w:iCs/>
        </w:rPr>
        <w:t>Id</w:t>
      </w:r>
      <w:r>
        <w:t>.</w:t>
      </w:r>
    </w:p>
  </w:footnote>
  <w:footnote w:id="18">
    <w:p w:rsidR="00A2189B" w:rsidP="00A2189B" w14:paraId="68C42B3B" w14:textId="2D9A4E37">
      <w:pPr>
        <w:pStyle w:val="FootnoteText"/>
      </w:pPr>
      <w:r>
        <w:rPr>
          <w:rStyle w:val="FootnoteReference"/>
        </w:rPr>
        <w:footnoteRef/>
      </w:r>
      <w:r>
        <w:t xml:space="preserve"> </w:t>
      </w:r>
      <w:r>
        <w:t xml:space="preserve">47 U.S.C. </w:t>
      </w:r>
      <w:r w:rsidRPr="00F00F50">
        <w:t>§</w:t>
      </w:r>
      <w:r>
        <w:t xml:space="preserve"> 301; 47 CFR </w:t>
      </w:r>
      <w:r w:rsidRPr="00F00F50">
        <w:t>§</w:t>
      </w:r>
      <w:r w:rsidRPr="00F00F50" w:rsidR="00795892">
        <w:t>§</w:t>
      </w:r>
      <w:r>
        <w:t xml:space="preserve"> 73.1350</w:t>
      </w:r>
      <w:r w:rsidR="007431C6">
        <w:t>(a)</w:t>
      </w:r>
      <w:r w:rsidR="00795892">
        <w:t>, 73.1745(a)</w:t>
      </w:r>
      <w:r>
        <w:t>.</w:t>
      </w:r>
    </w:p>
  </w:footnote>
  <w:footnote w:id="19">
    <w:p w:rsidR="00A2189B" w:rsidP="00A2189B" w14:paraId="48BB5764" w14:textId="77777777">
      <w:pPr>
        <w:pStyle w:val="FootnoteText"/>
      </w:pPr>
      <w:r>
        <w:rPr>
          <w:rStyle w:val="FootnoteReference"/>
        </w:rPr>
        <w:footnoteRef/>
      </w:r>
      <w:r>
        <w:t xml:space="preserve"> </w:t>
      </w:r>
      <w:r>
        <w:t xml:space="preserve">47 CFR </w:t>
      </w:r>
      <w:r w:rsidRPr="00F00F50">
        <w:t>§</w:t>
      </w:r>
      <w:r>
        <w:t xml:space="preserve"> 73.1560(a).</w:t>
      </w:r>
    </w:p>
  </w:footnote>
  <w:footnote w:id="20">
    <w:p w:rsidR="00A2189B" w:rsidP="00A2189B" w14:paraId="561472D1" w14:textId="77777777">
      <w:pPr>
        <w:pStyle w:val="FootnoteText"/>
      </w:pPr>
      <w:r>
        <w:rPr>
          <w:rStyle w:val="FootnoteReference"/>
        </w:rPr>
        <w:footnoteRef/>
      </w:r>
      <w:r>
        <w:t xml:space="preserve"> </w:t>
      </w:r>
      <w:r>
        <w:t xml:space="preserve">47 CFR </w:t>
      </w:r>
      <w:r w:rsidRPr="00F00F50">
        <w:t>§</w:t>
      </w:r>
      <w:r>
        <w:t xml:space="preserve"> 73.1635 (requiring </w:t>
      </w:r>
      <w:r w:rsidRPr="008F7913">
        <w:rPr>
          <w:szCs w:val="22"/>
        </w:rPr>
        <w:t xml:space="preserve">a licensee </w:t>
      </w:r>
      <w:r>
        <w:rPr>
          <w:szCs w:val="22"/>
        </w:rPr>
        <w:t>to</w:t>
      </w:r>
      <w:r w:rsidRPr="008F7913">
        <w:rPr>
          <w:szCs w:val="22"/>
        </w:rPr>
        <w:t xml:space="preserve"> request special temporary authority to operate for a limited time at variance from the terms of its authorization</w:t>
      </w:r>
      <w:r>
        <w:rPr>
          <w:szCs w:val="22"/>
        </w:rPr>
        <w:t xml:space="preserve"> and to do so</w:t>
      </w:r>
      <w:r w:rsidRPr="008F7913">
        <w:rPr>
          <w:szCs w:val="22"/>
        </w:rPr>
        <w:t xml:space="preserve"> ten days prior to beginning operation at variance from the terms of its authorization</w:t>
      </w:r>
      <w:r>
        <w:rPr>
          <w:szCs w:val="22"/>
        </w:rPr>
        <w:t>)</w:t>
      </w:r>
      <w:r>
        <w:t>.</w:t>
      </w:r>
    </w:p>
  </w:footnote>
  <w:footnote w:id="21">
    <w:p w:rsidR="00A2189B" w:rsidP="00A2189B" w14:paraId="69858D72" w14:textId="77777777">
      <w:pPr>
        <w:pStyle w:val="FootnoteText"/>
      </w:pPr>
      <w:r>
        <w:rPr>
          <w:rStyle w:val="FootnoteReference"/>
        </w:rPr>
        <w:footnoteRef/>
      </w:r>
      <w:r>
        <w:t xml:space="preserve"> </w:t>
      </w:r>
      <w:r>
        <w:t>47 CFR § 73.1690(b)(4) (</w:t>
      </w:r>
      <w:r>
        <w:rPr>
          <w:szCs w:val="22"/>
        </w:rPr>
        <w:t>requiring an AM licensee to obtain a construction permit prior to making changes</w:t>
      </w:r>
      <w:r w:rsidRPr="00E07D25">
        <w:rPr>
          <w:szCs w:val="22"/>
        </w:rPr>
        <w:t xml:space="preserve"> </w:t>
      </w:r>
      <w:r>
        <w:rPr>
          <w:szCs w:val="22"/>
        </w:rPr>
        <w:t>“</w:t>
      </w:r>
      <w:r w:rsidRPr="00E07D25">
        <w:rPr>
          <w:szCs w:val="22"/>
        </w:rPr>
        <w:t>in the directional radiation characteristics of an AM directional antenna system</w:t>
      </w:r>
      <w:r>
        <w:rPr>
          <w:szCs w:val="22"/>
        </w:rPr>
        <w:t>”).</w:t>
      </w:r>
    </w:p>
  </w:footnote>
  <w:footnote w:id="22">
    <w:p w:rsidR="00467570" w:rsidRPr="00F00F50" w:rsidP="00467570" w14:paraId="347E8E75" w14:textId="3A1D9EA9">
      <w:pPr>
        <w:pStyle w:val="FootnoteText"/>
      </w:pPr>
      <w:r w:rsidRPr="00F00F50">
        <w:rPr>
          <w:rStyle w:val="FootnoteReference"/>
        </w:rPr>
        <w:footnoteRef/>
      </w:r>
      <w:r w:rsidRPr="00F00F50">
        <w:t xml:space="preserve"> </w:t>
      </w:r>
      <w:r w:rsidR="00B272EA">
        <w:t>47 U.S.C. § 503(b).</w:t>
      </w:r>
    </w:p>
  </w:footnote>
  <w:footnote w:id="23">
    <w:p w:rsidR="00467570" w14:paraId="589A319B" w14:textId="142E0BF2">
      <w:pPr>
        <w:pStyle w:val="FootnoteText"/>
      </w:pPr>
      <w:r>
        <w:rPr>
          <w:rStyle w:val="FootnoteReference"/>
        </w:rPr>
        <w:footnoteRef/>
      </w:r>
      <w:r>
        <w:t xml:space="preserve"> </w:t>
      </w:r>
      <w:r w:rsidRPr="00B419C7" w:rsidR="00B419C7">
        <w:t>47 U.S.C. § 503(b)(2)(E); 47 CFR § 1.80(b)(10).</w:t>
      </w:r>
    </w:p>
  </w:footnote>
  <w:footnote w:id="24">
    <w:p w:rsidR="00B419C7" w14:paraId="6F2D6698" w14:textId="481D7EA6">
      <w:pPr>
        <w:pStyle w:val="FootnoteText"/>
      </w:pPr>
      <w:r>
        <w:rPr>
          <w:rStyle w:val="FootnoteReference"/>
        </w:rPr>
        <w:footnoteRef/>
      </w:r>
      <w:r>
        <w:t xml:space="preserve"> </w:t>
      </w:r>
      <w:r w:rsidRPr="00961A65" w:rsidR="00961A65">
        <w:t>47 CFR § 1.80(b)(10).</w:t>
      </w:r>
    </w:p>
  </w:footnote>
  <w:footnote w:id="25">
    <w:p w:rsidR="00961A65" w14:paraId="6DE983F4" w14:textId="5F020E30">
      <w:pPr>
        <w:pStyle w:val="FootnoteText"/>
      </w:pPr>
      <w:r>
        <w:rPr>
          <w:rStyle w:val="FootnoteReference"/>
        </w:rPr>
        <w:footnoteRef/>
      </w:r>
      <w:r>
        <w:t xml:space="preserve"> </w:t>
      </w:r>
      <w:r w:rsidRPr="00961A65">
        <w:rPr>
          <w:i/>
          <w:iCs/>
        </w:rPr>
        <w:t>Id</w:t>
      </w:r>
      <w:r w:rsidRPr="00961A65">
        <w:t>. at Table 3.</w:t>
      </w:r>
    </w:p>
  </w:footnote>
  <w:footnote w:id="26">
    <w:p w:rsidR="00961A65" w14:paraId="555D9A5B" w14:textId="2D806AF2">
      <w:pPr>
        <w:pStyle w:val="FootnoteText"/>
      </w:pPr>
      <w:r>
        <w:rPr>
          <w:rStyle w:val="FootnoteReference"/>
        </w:rPr>
        <w:footnoteRef/>
      </w:r>
      <w:r>
        <w:t xml:space="preserve"> </w:t>
      </w:r>
      <w:r w:rsidRPr="008A0DB7" w:rsidR="008A0DB7">
        <w:rPr>
          <w:i/>
          <w:iCs/>
        </w:rPr>
        <w:t>Id</w:t>
      </w:r>
      <w:r w:rsidR="008A0DB7">
        <w:t>.</w:t>
      </w:r>
    </w:p>
  </w:footnote>
  <w:footnote w:id="27">
    <w:p w:rsidR="00AB0C87" w14:paraId="6707E016" w14:textId="26F0C85B">
      <w:pPr>
        <w:pStyle w:val="FootnoteText"/>
      </w:pPr>
      <w:r>
        <w:rPr>
          <w:rStyle w:val="FootnoteReference"/>
        </w:rPr>
        <w:footnoteRef/>
      </w:r>
      <w:r>
        <w:t xml:space="preserve"> </w:t>
      </w:r>
      <w:r w:rsidRPr="00B56601" w:rsidR="00B56601">
        <w:rPr>
          <w:i/>
          <w:iCs/>
        </w:rPr>
        <w:t>The Commission</w:t>
      </w:r>
      <w:r w:rsidR="00603D4A">
        <w:rPr>
          <w:i/>
          <w:iCs/>
        </w:rPr>
        <w:t>’</w:t>
      </w:r>
      <w:r w:rsidRPr="00B56601" w:rsidR="00B56601">
        <w:rPr>
          <w:i/>
          <w:iCs/>
        </w:rPr>
        <w:t>s Forfeiture Policy Statement and Amendment to Section 1.80 of the Rules to Incorporate the Forfeiture Guidelines</w:t>
      </w:r>
      <w:r w:rsidRPr="00B56601" w:rsidR="00B56601">
        <w:t xml:space="preserve">, Report and Order, 12 FCC Rcd 17087 (1997), </w:t>
      </w:r>
      <w:r w:rsidRPr="00E701CE" w:rsidR="00B56601">
        <w:rPr>
          <w:i/>
          <w:iCs/>
        </w:rPr>
        <w:t>recons. denied</w:t>
      </w:r>
      <w:r w:rsidRPr="00B56601" w:rsidR="00B56601">
        <w:t>, 15 FCC Rcd 303 (1999); 47 CFR § 1.80(b)</w:t>
      </w:r>
      <w:r w:rsidR="004B0C2B">
        <w:t>(10), Table 1</w:t>
      </w:r>
      <w:r w:rsidRPr="00B56601" w:rsidR="00B56601">
        <w:t>.</w:t>
      </w:r>
    </w:p>
  </w:footnote>
  <w:footnote w:id="28">
    <w:p w:rsidR="00B86D8F" w:rsidRPr="00B86D8F" w:rsidP="00B86D8F" w14:paraId="732B737C" w14:textId="524CB9FB">
      <w:pPr>
        <w:pStyle w:val="ParaNum"/>
        <w:numPr>
          <w:ilvl w:val="0"/>
          <w:numId w:val="0"/>
        </w:numPr>
        <w:rPr>
          <w:iCs/>
          <w:szCs w:val="22"/>
        </w:rPr>
      </w:pPr>
      <w:r>
        <w:rPr>
          <w:rStyle w:val="FootnoteReference"/>
        </w:rPr>
        <w:footnoteRef/>
      </w:r>
      <w:r>
        <w:t xml:space="preserve"> </w:t>
      </w:r>
      <w:r w:rsidRPr="00C676AF" w:rsidR="00C676AF">
        <w:rPr>
          <w:sz w:val="20"/>
        </w:rPr>
        <w:t>Even if we were to accept</w:t>
      </w:r>
      <w:r w:rsidRPr="00B86D8F">
        <w:rPr>
          <w:iCs/>
          <w:sz w:val="20"/>
        </w:rPr>
        <w:t xml:space="preserve"> the Station</w:t>
      </w:r>
      <w:r w:rsidR="00C676AF">
        <w:rPr>
          <w:iCs/>
          <w:sz w:val="20"/>
        </w:rPr>
        <w:t>’s claims about</w:t>
      </w:r>
      <w:r w:rsidRPr="00B86D8F">
        <w:rPr>
          <w:iCs/>
          <w:sz w:val="20"/>
        </w:rPr>
        <w:t xml:space="preserve"> providing safety information to its listeners, we note that this </w:t>
      </w:r>
      <w:r w:rsidR="00C676AF">
        <w:rPr>
          <w:iCs/>
          <w:sz w:val="20"/>
        </w:rPr>
        <w:t>would</w:t>
      </w:r>
      <w:r w:rsidRPr="00B86D8F">
        <w:rPr>
          <w:iCs/>
          <w:sz w:val="20"/>
        </w:rPr>
        <w:t xml:space="preserve"> not excuse its non-conforming operations.  Neither does its desire to improve its nighttime coverage of its primary service area</w:t>
      </w:r>
      <w:r w:rsidRPr="00C676AF" w:rsidR="00C676AF">
        <w:rPr>
          <w:iCs/>
          <w:sz w:val="20"/>
        </w:rPr>
        <w:t>, because any variation from authorized operation requires prior Commission review and approval</w:t>
      </w:r>
      <w:r w:rsidR="00C676AF">
        <w:rPr>
          <w:iCs/>
          <w:sz w:val="20"/>
        </w:rPr>
        <w:t>.</w:t>
      </w:r>
      <w:r>
        <w:rPr>
          <w:iCs/>
          <w:szCs w:val="22"/>
        </w:rPr>
        <w:t xml:space="preserve"> </w:t>
      </w:r>
    </w:p>
  </w:footnote>
  <w:footnote w:id="29">
    <w:p w:rsidR="007A27FE" w:rsidRPr="00F00F50" w:rsidP="00F00F50" w14:paraId="0CB6E570" w14:textId="77777777">
      <w:pPr>
        <w:pStyle w:val="FootnoteText"/>
      </w:pPr>
      <w:r w:rsidRPr="00F00F50">
        <w:rPr>
          <w:rStyle w:val="FootnoteReference"/>
        </w:rPr>
        <w:footnoteRef/>
      </w:r>
      <w:r w:rsidRPr="00F00F50">
        <w:t xml:space="preserve"> </w:t>
      </w:r>
      <w:r w:rsidRPr="00F00F50">
        <w:t>47 U.S.C. § 309(k).</w:t>
      </w:r>
    </w:p>
  </w:footnote>
  <w:footnote w:id="30">
    <w:p w:rsidR="007A27FE" w:rsidRPr="00F00F50" w:rsidP="00F00F50" w14:paraId="5F8CB82D" w14:textId="77777777">
      <w:pPr>
        <w:pStyle w:val="FootnoteText"/>
      </w:pPr>
      <w:r w:rsidRPr="00F00F50">
        <w:rPr>
          <w:rStyle w:val="FootnoteReference"/>
        </w:rPr>
        <w:footnoteRef/>
      </w:r>
      <w:r w:rsidRPr="00F00F50">
        <w:t xml:space="preserve"> </w:t>
      </w:r>
      <w:r w:rsidRPr="00F00F50">
        <w:t xml:space="preserve">47 U.S.C. § 309(k)(1).  </w:t>
      </w:r>
    </w:p>
  </w:footnote>
  <w:footnote w:id="31">
    <w:p w:rsidR="007A27FE" w:rsidRPr="00F00F50" w:rsidP="00F00F50" w14:paraId="348282EB" w14:textId="77777777">
      <w:pPr>
        <w:pStyle w:val="FootnoteText"/>
      </w:pPr>
      <w:r w:rsidRPr="00F00F50">
        <w:rPr>
          <w:rStyle w:val="FootnoteReference"/>
        </w:rPr>
        <w:footnoteRef/>
      </w:r>
      <w:r w:rsidRPr="00F00F50">
        <w:t xml:space="preserve"> </w:t>
      </w:r>
      <w:r w:rsidRPr="00F00F50">
        <w:t>47 U.S.C. § 309(k)(2), (k)(3).</w:t>
      </w:r>
    </w:p>
  </w:footnote>
  <w:footnote w:id="32">
    <w:p w:rsidR="008D2A5D" w14:paraId="7DCEB8FA" w14:textId="511A1475">
      <w:pPr>
        <w:pStyle w:val="FootnoteText"/>
      </w:pPr>
      <w:r>
        <w:rPr>
          <w:rStyle w:val="FootnoteReference"/>
        </w:rPr>
        <w:footnoteRef/>
      </w:r>
      <w:r>
        <w:t xml:space="preserve"> </w:t>
      </w:r>
      <w:r w:rsidRPr="008D2A5D">
        <w:rPr>
          <w:i/>
          <w:iCs/>
        </w:rPr>
        <w:t>See</w:t>
      </w:r>
      <w:r>
        <w:t xml:space="preserve"> Zwerling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6ACD14A6" w14:textId="70C7EB39">
    <w:pPr>
      <w:pStyle w:val="Header"/>
      <w:rPr>
        <w:b w:val="0"/>
      </w:rPr>
    </w:pPr>
    <w:r>
      <w:tab/>
    </w:r>
    <w:r>
      <w:t>Federal Communications Commission</w:t>
    </w:r>
    <w:r>
      <w:tab/>
      <w:t xml:space="preserve">DA </w:t>
    </w:r>
    <w:r w:rsidR="00FC6E9B">
      <w:t>22</w:t>
    </w:r>
    <w:r>
      <w:t>-</w:t>
    </w:r>
    <w:r w:rsidR="00C5699A">
      <w:t>1102</w:t>
    </w:r>
  </w:p>
  <w:p w:rsidR="007A27FE" w14:paraId="589E1EF6" w14:textId="71FF36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27FE" w14:paraId="4516AA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78ED22C4" w14:textId="71B2772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 xml:space="preserve">Federal Communications </w:t>
    </w:r>
    <w:r>
      <w:rPr>
        <w:spacing w:val="-2"/>
      </w:rPr>
      <w:t>Commission</w:t>
    </w:r>
    <w:r>
      <w:rPr>
        <w:spacing w:val="-2"/>
      </w:rPr>
      <w:tab/>
    </w:r>
    <w:r>
      <w:t>DA</w:t>
    </w:r>
    <w:r>
      <w:rPr>
        <w:spacing w:val="-2"/>
      </w:rPr>
      <w:t xml:space="preserve"> </w:t>
    </w:r>
    <w:r w:rsidR="00FC6E9B">
      <w:rPr>
        <w:spacing w:val="-2"/>
      </w:rPr>
      <w:t>22</w:t>
    </w:r>
    <w:r>
      <w:rPr>
        <w:spacing w:val="-2"/>
      </w:rPr>
      <w:t>-</w:t>
    </w:r>
    <w:r w:rsidR="00C5699A">
      <w:rPr>
        <w:spacing w:val="-2"/>
      </w:rPr>
      <w:t>1102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37692"/>
    <w:multiLevelType w:val="hybridMultilevel"/>
    <w:tmpl w:val="16A4D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5"/>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9F"/>
    <w:rsid w:val="00000993"/>
    <w:rsid w:val="0000558E"/>
    <w:rsid w:val="00015CA0"/>
    <w:rsid w:val="0001682F"/>
    <w:rsid w:val="00031F80"/>
    <w:rsid w:val="00035FDE"/>
    <w:rsid w:val="00036039"/>
    <w:rsid w:val="00037F15"/>
    <w:rsid w:val="00037F90"/>
    <w:rsid w:val="00037F9B"/>
    <w:rsid w:val="0004626A"/>
    <w:rsid w:val="00051FBB"/>
    <w:rsid w:val="000528AC"/>
    <w:rsid w:val="0005369A"/>
    <w:rsid w:val="00055B36"/>
    <w:rsid w:val="00062FC5"/>
    <w:rsid w:val="00063A70"/>
    <w:rsid w:val="00073E55"/>
    <w:rsid w:val="0008274A"/>
    <w:rsid w:val="000875BF"/>
    <w:rsid w:val="000875CB"/>
    <w:rsid w:val="00087EBE"/>
    <w:rsid w:val="00091235"/>
    <w:rsid w:val="0009390B"/>
    <w:rsid w:val="00093C93"/>
    <w:rsid w:val="00095F84"/>
    <w:rsid w:val="00096D8C"/>
    <w:rsid w:val="000A4D7E"/>
    <w:rsid w:val="000B1F6B"/>
    <w:rsid w:val="000B5F32"/>
    <w:rsid w:val="000C0B65"/>
    <w:rsid w:val="000C2224"/>
    <w:rsid w:val="000C280A"/>
    <w:rsid w:val="000C3770"/>
    <w:rsid w:val="000C7145"/>
    <w:rsid w:val="000C7A69"/>
    <w:rsid w:val="000D032D"/>
    <w:rsid w:val="000D42E0"/>
    <w:rsid w:val="000E05FE"/>
    <w:rsid w:val="000E1031"/>
    <w:rsid w:val="000E2EBC"/>
    <w:rsid w:val="000E3D42"/>
    <w:rsid w:val="000E4FD4"/>
    <w:rsid w:val="000E591C"/>
    <w:rsid w:val="000E79AC"/>
    <w:rsid w:val="0010592A"/>
    <w:rsid w:val="00111AEA"/>
    <w:rsid w:val="00111BE6"/>
    <w:rsid w:val="00116C69"/>
    <w:rsid w:val="00122565"/>
    <w:rsid w:val="00122BD5"/>
    <w:rsid w:val="0012318B"/>
    <w:rsid w:val="00130739"/>
    <w:rsid w:val="00133F79"/>
    <w:rsid w:val="00135F47"/>
    <w:rsid w:val="00141C9A"/>
    <w:rsid w:val="00144C52"/>
    <w:rsid w:val="00144FFF"/>
    <w:rsid w:val="00151252"/>
    <w:rsid w:val="00154802"/>
    <w:rsid w:val="00157260"/>
    <w:rsid w:val="00167361"/>
    <w:rsid w:val="00170E62"/>
    <w:rsid w:val="00170F29"/>
    <w:rsid w:val="0017588A"/>
    <w:rsid w:val="00176E88"/>
    <w:rsid w:val="00182388"/>
    <w:rsid w:val="00183C91"/>
    <w:rsid w:val="0018575B"/>
    <w:rsid w:val="00191AD4"/>
    <w:rsid w:val="00194256"/>
    <w:rsid w:val="00194A66"/>
    <w:rsid w:val="00196A30"/>
    <w:rsid w:val="001978F2"/>
    <w:rsid w:val="001A4C6A"/>
    <w:rsid w:val="001A5FF1"/>
    <w:rsid w:val="001B056E"/>
    <w:rsid w:val="001B2166"/>
    <w:rsid w:val="001B3B74"/>
    <w:rsid w:val="001B3F22"/>
    <w:rsid w:val="001C2BC1"/>
    <w:rsid w:val="001C2EDC"/>
    <w:rsid w:val="001C4C5D"/>
    <w:rsid w:val="001C732B"/>
    <w:rsid w:val="001D3B83"/>
    <w:rsid w:val="001D4D95"/>
    <w:rsid w:val="001D6BCF"/>
    <w:rsid w:val="001E01CA"/>
    <w:rsid w:val="001E4CDA"/>
    <w:rsid w:val="001E52F9"/>
    <w:rsid w:val="001E621D"/>
    <w:rsid w:val="001F3152"/>
    <w:rsid w:val="001F5E5A"/>
    <w:rsid w:val="00200346"/>
    <w:rsid w:val="0020044B"/>
    <w:rsid w:val="00201356"/>
    <w:rsid w:val="0020302C"/>
    <w:rsid w:val="002035CA"/>
    <w:rsid w:val="00204D3C"/>
    <w:rsid w:val="002063FA"/>
    <w:rsid w:val="002071BB"/>
    <w:rsid w:val="00207AE3"/>
    <w:rsid w:val="00214117"/>
    <w:rsid w:val="0021642C"/>
    <w:rsid w:val="00220F01"/>
    <w:rsid w:val="0022320C"/>
    <w:rsid w:val="00224066"/>
    <w:rsid w:val="00226435"/>
    <w:rsid w:val="00226D8F"/>
    <w:rsid w:val="0022793E"/>
    <w:rsid w:val="00230C1D"/>
    <w:rsid w:val="00231A50"/>
    <w:rsid w:val="00232A4B"/>
    <w:rsid w:val="00235E60"/>
    <w:rsid w:val="0024061B"/>
    <w:rsid w:val="00240A26"/>
    <w:rsid w:val="002514F9"/>
    <w:rsid w:val="00261899"/>
    <w:rsid w:val="00265BE1"/>
    <w:rsid w:val="00270F04"/>
    <w:rsid w:val="0027307F"/>
    <w:rsid w:val="00275CF5"/>
    <w:rsid w:val="0028301F"/>
    <w:rsid w:val="00285017"/>
    <w:rsid w:val="0029108F"/>
    <w:rsid w:val="00294018"/>
    <w:rsid w:val="00297E1E"/>
    <w:rsid w:val="002A02B5"/>
    <w:rsid w:val="002A0B8A"/>
    <w:rsid w:val="002A2D2E"/>
    <w:rsid w:val="002A5040"/>
    <w:rsid w:val="002A7259"/>
    <w:rsid w:val="002A7EC5"/>
    <w:rsid w:val="002B07BA"/>
    <w:rsid w:val="002B124C"/>
    <w:rsid w:val="002B7F72"/>
    <w:rsid w:val="002C00E8"/>
    <w:rsid w:val="002C2030"/>
    <w:rsid w:val="002C3FD0"/>
    <w:rsid w:val="002C434C"/>
    <w:rsid w:val="002C4CAB"/>
    <w:rsid w:val="002C5816"/>
    <w:rsid w:val="002D1C08"/>
    <w:rsid w:val="002D6681"/>
    <w:rsid w:val="002F1427"/>
    <w:rsid w:val="00301290"/>
    <w:rsid w:val="00302C79"/>
    <w:rsid w:val="003070E7"/>
    <w:rsid w:val="0031466A"/>
    <w:rsid w:val="00320208"/>
    <w:rsid w:val="003210F4"/>
    <w:rsid w:val="00321B85"/>
    <w:rsid w:val="00322EF1"/>
    <w:rsid w:val="003271CB"/>
    <w:rsid w:val="00340F29"/>
    <w:rsid w:val="00343749"/>
    <w:rsid w:val="00346346"/>
    <w:rsid w:val="00350627"/>
    <w:rsid w:val="00350A20"/>
    <w:rsid w:val="00350A21"/>
    <w:rsid w:val="003514F6"/>
    <w:rsid w:val="0035242F"/>
    <w:rsid w:val="0036258F"/>
    <w:rsid w:val="003660ED"/>
    <w:rsid w:val="003671B7"/>
    <w:rsid w:val="003713E4"/>
    <w:rsid w:val="00371EFC"/>
    <w:rsid w:val="00373F66"/>
    <w:rsid w:val="003815D5"/>
    <w:rsid w:val="00382CC8"/>
    <w:rsid w:val="00382DDD"/>
    <w:rsid w:val="003857F5"/>
    <w:rsid w:val="003937A6"/>
    <w:rsid w:val="003A0A6D"/>
    <w:rsid w:val="003A2CC2"/>
    <w:rsid w:val="003A2FD5"/>
    <w:rsid w:val="003A6472"/>
    <w:rsid w:val="003B046B"/>
    <w:rsid w:val="003B0550"/>
    <w:rsid w:val="003B1F8C"/>
    <w:rsid w:val="003B256E"/>
    <w:rsid w:val="003B28AA"/>
    <w:rsid w:val="003B3C5F"/>
    <w:rsid w:val="003B6240"/>
    <w:rsid w:val="003B694F"/>
    <w:rsid w:val="003C5134"/>
    <w:rsid w:val="003C5384"/>
    <w:rsid w:val="003C6D2A"/>
    <w:rsid w:val="003C6DFA"/>
    <w:rsid w:val="003D1FF1"/>
    <w:rsid w:val="003D4925"/>
    <w:rsid w:val="003D4D70"/>
    <w:rsid w:val="003E0F96"/>
    <w:rsid w:val="003E2B64"/>
    <w:rsid w:val="003E3DA0"/>
    <w:rsid w:val="003E7881"/>
    <w:rsid w:val="003F171C"/>
    <w:rsid w:val="003F1DA9"/>
    <w:rsid w:val="003F7EC7"/>
    <w:rsid w:val="00412FC5"/>
    <w:rsid w:val="00413E0D"/>
    <w:rsid w:val="00421616"/>
    <w:rsid w:val="00422276"/>
    <w:rsid w:val="00423A49"/>
    <w:rsid w:val="004242F1"/>
    <w:rsid w:val="00427AA0"/>
    <w:rsid w:val="0043040E"/>
    <w:rsid w:val="004309EE"/>
    <w:rsid w:val="00434934"/>
    <w:rsid w:val="004357CF"/>
    <w:rsid w:val="00436575"/>
    <w:rsid w:val="00437E6D"/>
    <w:rsid w:val="00443DFA"/>
    <w:rsid w:val="00444002"/>
    <w:rsid w:val="00445A00"/>
    <w:rsid w:val="00445DBE"/>
    <w:rsid w:val="00446AD1"/>
    <w:rsid w:val="00450D9F"/>
    <w:rsid w:val="00451B0F"/>
    <w:rsid w:val="00455E80"/>
    <w:rsid w:val="004564EC"/>
    <w:rsid w:val="004575A5"/>
    <w:rsid w:val="00467570"/>
    <w:rsid w:val="00467D70"/>
    <w:rsid w:val="0047124F"/>
    <w:rsid w:val="0047259F"/>
    <w:rsid w:val="00474438"/>
    <w:rsid w:val="00492257"/>
    <w:rsid w:val="004924F0"/>
    <w:rsid w:val="004926DC"/>
    <w:rsid w:val="004B0C2B"/>
    <w:rsid w:val="004B139D"/>
    <w:rsid w:val="004B45F8"/>
    <w:rsid w:val="004B691C"/>
    <w:rsid w:val="004B6A9F"/>
    <w:rsid w:val="004C2EE3"/>
    <w:rsid w:val="004C641A"/>
    <w:rsid w:val="004C6F89"/>
    <w:rsid w:val="004D1B60"/>
    <w:rsid w:val="004D3E76"/>
    <w:rsid w:val="004D458E"/>
    <w:rsid w:val="004D6AD1"/>
    <w:rsid w:val="004D6FC7"/>
    <w:rsid w:val="004D736F"/>
    <w:rsid w:val="004E15A0"/>
    <w:rsid w:val="004E4961"/>
    <w:rsid w:val="004E4A22"/>
    <w:rsid w:val="004F61DD"/>
    <w:rsid w:val="00500D62"/>
    <w:rsid w:val="00503655"/>
    <w:rsid w:val="00511968"/>
    <w:rsid w:val="005131F4"/>
    <w:rsid w:val="00515603"/>
    <w:rsid w:val="00516F99"/>
    <w:rsid w:val="0052032A"/>
    <w:rsid w:val="0053083C"/>
    <w:rsid w:val="005309FD"/>
    <w:rsid w:val="005326AD"/>
    <w:rsid w:val="00535873"/>
    <w:rsid w:val="00540A52"/>
    <w:rsid w:val="005410D5"/>
    <w:rsid w:val="0054136E"/>
    <w:rsid w:val="00543D39"/>
    <w:rsid w:val="00544B38"/>
    <w:rsid w:val="005451DA"/>
    <w:rsid w:val="0055614C"/>
    <w:rsid w:val="005565D6"/>
    <w:rsid w:val="00563297"/>
    <w:rsid w:val="005641BF"/>
    <w:rsid w:val="00565842"/>
    <w:rsid w:val="00580DBC"/>
    <w:rsid w:val="00584E8F"/>
    <w:rsid w:val="005872E3"/>
    <w:rsid w:val="00590CBF"/>
    <w:rsid w:val="0059139C"/>
    <w:rsid w:val="0059519E"/>
    <w:rsid w:val="00596A6C"/>
    <w:rsid w:val="005A03E4"/>
    <w:rsid w:val="005A409C"/>
    <w:rsid w:val="005B4E3A"/>
    <w:rsid w:val="005B6508"/>
    <w:rsid w:val="005B6958"/>
    <w:rsid w:val="005B6AED"/>
    <w:rsid w:val="005C2F78"/>
    <w:rsid w:val="005C57AE"/>
    <w:rsid w:val="005D0B73"/>
    <w:rsid w:val="005D4BD1"/>
    <w:rsid w:val="005D54A5"/>
    <w:rsid w:val="005D7A0B"/>
    <w:rsid w:val="005E0715"/>
    <w:rsid w:val="005E11EA"/>
    <w:rsid w:val="005E14C2"/>
    <w:rsid w:val="005E3EA9"/>
    <w:rsid w:val="005E4A5E"/>
    <w:rsid w:val="005E5271"/>
    <w:rsid w:val="005E5565"/>
    <w:rsid w:val="005E577F"/>
    <w:rsid w:val="005F076B"/>
    <w:rsid w:val="005F076E"/>
    <w:rsid w:val="005F185D"/>
    <w:rsid w:val="005F3F7C"/>
    <w:rsid w:val="005F60CC"/>
    <w:rsid w:val="006008AA"/>
    <w:rsid w:val="00600EE7"/>
    <w:rsid w:val="00603341"/>
    <w:rsid w:val="00603D4A"/>
    <w:rsid w:val="00603F16"/>
    <w:rsid w:val="00605EA6"/>
    <w:rsid w:val="006067AF"/>
    <w:rsid w:val="00607BA5"/>
    <w:rsid w:val="0061180A"/>
    <w:rsid w:val="00615DCD"/>
    <w:rsid w:val="00617A26"/>
    <w:rsid w:val="00617DAD"/>
    <w:rsid w:val="00626EB6"/>
    <w:rsid w:val="006312EE"/>
    <w:rsid w:val="006328B9"/>
    <w:rsid w:val="00641B7C"/>
    <w:rsid w:val="006451EC"/>
    <w:rsid w:val="00646069"/>
    <w:rsid w:val="00646E55"/>
    <w:rsid w:val="00653C8A"/>
    <w:rsid w:val="00654762"/>
    <w:rsid w:val="00655D03"/>
    <w:rsid w:val="00657DB9"/>
    <w:rsid w:val="00657F34"/>
    <w:rsid w:val="00664F69"/>
    <w:rsid w:val="006765AF"/>
    <w:rsid w:val="00676EE4"/>
    <w:rsid w:val="00683198"/>
    <w:rsid w:val="00683388"/>
    <w:rsid w:val="00683F84"/>
    <w:rsid w:val="00691F4F"/>
    <w:rsid w:val="0069338C"/>
    <w:rsid w:val="0069444E"/>
    <w:rsid w:val="006947F3"/>
    <w:rsid w:val="006A3030"/>
    <w:rsid w:val="006A4E68"/>
    <w:rsid w:val="006A5284"/>
    <w:rsid w:val="006A6A81"/>
    <w:rsid w:val="006A7E53"/>
    <w:rsid w:val="006B2232"/>
    <w:rsid w:val="006B31FC"/>
    <w:rsid w:val="006B375F"/>
    <w:rsid w:val="006B4B9C"/>
    <w:rsid w:val="006B79D2"/>
    <w:rsid w:val="006C099C"/>
    <w:rsid w:val="006C0C09"/>
    <w:rsid w:val="006C2AF8"/>
    <w:rsid w:val="006C2F58"/>
    <w:rsid w:val="006D2F83"/>
    <w:rsid w:val="006D63B6"/>
    <w:rsid w:val="006E2C72"/>
    <w:rsid w:val="006E3B63"/>
    <w:rsid w:val="006E49FF"/>
    <w:rsid w:val="006E542A"/>
    <w:rsid w:val="006E735B"/>
    <w:rsid w:val="006E7664"/>
    <w:rsid w:val="006F3EA9"/>
    <w:rsid w:val="006F4AD3"/>
    <w:rsid w:val="006F665C"/>
    <w:rsid w:val="006F7393"/>
    <w:rsid w:val="006F791D"/>
    <w:rsid w:val="0070224F"/>
    <w:rsid w:val="0070420E"/>
    <w:rsid w:val="00706015"/>
    <w:rsid w:val="00706560"/>
    <w:rsid w:val="007115F7"/>
    <w:rsid w:val="00713BAC"/>
    <w:rsid w:val="00716282"/>
    <w:rsid w:val="0071681C"/>
    <w:rsid w:val="007168C5"/>
    <w:rsid w:val="00724906"/>
    <w:rsid w:val="00731487"/>
    <w:rsid w:val="00732728"/>
    <w:rsid w:val="00733B16"/>
    <w:rsid w:val="007431C6"/>
    <w:rsid w:val="00752C33"/>
    <w:rsid w:val="007534FC"/>
    <w:rsid w:val="00753874"/>
    <w:rsid w:val="00761609"/>
    <w:rsid w:val="0076277A"/>
    <w:rsid w:val="007656B5"/>
    <w:rsid w:val="00767221"/>
    <w:rsid w:val="007674BD"/>
    <w:rsid w:val="00782F15"/>
    <w:rsid w:val="00784FB6"/>
    <w:rsid w:val="00785689"/>
    <w:rsid w:val="00793B7E"/>
    <w:rsid w:val="00793E3B"/>
    <w:rsid w:val="00795892"/>
    <w:rsid w:val="00796A32"/>
    <w:rsid w:val="0079754B"/>
    <w:rsid w:val="00797DE1"/>
    <w:rsid w:val="007A1E6D"/>
    <w:rsid w:val="007A27FE"/>
    <w:rsid w:val="007A669E"/>
    <w:rsid w:val="007B0EB2"/>
    <w:rsid w:val="007B1571"/>
    <w:rsid w:val="007B1717"/>
    <w:rsid w:val="007B44F9"/>
    <w:rsid w:val="007B6120"/>
    <w:rsid w:val="007C2131"/>
    <w:rsid w:val="007C3CA7"/>
    <w:rsid w:val="007C40D7"/>
    <w:rsid w:val="007C7601"/>
    <w:rsid w:val="007E02FF"/>
    <w:rsid w:val="007E5388"/>
    <w:rsid w:val="007F20EF"/>
    <w:rsid w:val="007F2A77"/>
    <w:rsid w:val="007F379D"/>
    <w:rsid w:val="007F4E27"/>
    <w:rsid w:val="007F66D8"/>
    <w:rsid w:val="007F7673"/>
    <w:rsid w:val="00805506"/>
    <w:rsid w:val="00806DDB"/>
    <w:rsid w:val="008078C3"/>
    <w:rsid w:val="00810B6F"/>
    <w:rsid w:val="008159F0"/>
    <w:rsid w:val="00820289"/>
    <w:rsid w:val="008217E1"/>
    <w:rsid w:val="00822CE0"/>
    <w:rsid w:val="00823C79"/>
    <w:rsid w:val="0083360C"/>
    <w:rsid w:val="00834C5A"/>
    <w:rsid w:val="00835C30"/>
    <w:rsid w:val="00841AB1"/>
    <w:rsid w:val="00852E7A"/>
    <w:rsid w:val="0085305E"/>
    <w:rsid w:val="0085640A"/>
    <w:rsid w:val="0085796B"/>
    <w:rsid w:val="008740B4"/>
    <w:rsid w:val="00874C88"/>
    <w:rsid w:val="00877305"/>
    <w:rsid w:val="00877AD1"/>
    <w:rsid w:val="0088199B"/>
    <w:rsid w:val="008969F0"/>
    <w:rsid w:val="008A0DB7"/>
    <w:rsid w:val="008A59F1"/>
    <w:rsid w:val="008A6CF5"/>
    <w:rsid w:val="008A72CD"/>
    <w:rsid w:val="008B404B"/>
    <w:rsid w:val="008B61A5"/>
    <w:rsid w:val="008B7E51"/>
    <w:rsid w:val="008C2AF1"/>
    <w:rsid w:val="008C3359"/>
    <w:rsid w:val="008C3A04"/>
    <w:rsid w:val="008C3F51"/>
    <w:rsid w:val="008C5BD0"/>
    <w:rsid w:val="008C68F1"/>
    <w:rsid w:val="008D0E3B"/>
    <w:rsid w:val="008D1F8B"/>
    <w:rsid w:val="008D2A5D"/>
    <w:rsid w:val="008D4FFF"/>
    <w:rsid w:val="008D6EEC"/>
    <w:rsid w:val="008D77BC"/>
    <w:rsid w:val="008D7DFA"/>
    <w:rsid w:val="008E02FD"/>
    <w:rsid w:val="008E2E8F"/>
    <w:rsid w:val="008E3B6A"/>
    <w:rsid w:val="008F1ED9"/>
    <w:rsid w:val="008F5544"/>
    <w:rsid w:val="008F7913"/>
    <w:rsid w:val="0090283D"/>
    <w:rsid w:val="009207EE"/>
    <w:rsid w:val="00921803"/>
    <w:rsid w:val="009225B9"/>
    <w:rsid w:val="00922936"/>
    <w:rsid w:val="00924C27"/>
    <w:rsid w:val="0092568A"/>
    <w:rsid w:val="00926503"/>
    <w:rsid w:val="009270E9"/>
    <w:rsid w:val="009276F8"/>
    <w:rsid w:val="00932F29"/>
    <w:rsid w:val="00933A74"/>
    <w:rsid w:val="009354D8"/>
    <w:rsid w:val="009357B4"/>
    <w:rsid w:val="0093597B"/>
    <w:rsid w:val="00941308"/>
    <w:rsid w:val="009466A1"/>
    <w:rsid w:val="00953333"/>
    <w:rsid w:val="009543BD"/>
    <w:rsid w:val="00957218"/>
    <w:rsid w:val="00961A65"/>
    <w:rsid w:val="00965848"/>
    <w:rsid w:val="00967636"/>
    <w:rsid w:val="0097071A"/>
    <w:rsid w:val="009726D8"/>
    <w:rsid w:val="00973561"/>
    <w:rsid w:val="00973E44"/>
    <w:rsid w:val="00976F14"/>
    <w:rsid w:val="00977204"/>
    <w:rsid w:val="009845CE"/>
    <w:rsid w:val="00987297"/>
    <w:rsid w:val="00991756"/>
    <w:rsid w:val="009924D2"/>
    <w:rsid w:val="0099266F"/>
    <w:rsid w:val="009979B1"/>
    <w:rsid w:val="00997ED9"/>
    <w:rsid w:val="009A111E"/>
    <w:rsid w:val="009B2FE4"/>
    <w:rsid w:val="009B53C2"/>
    <w:rsid w:val="009C009F"/>
    <w:rsid w:val="009C40B2"/>
    <w:rsid w:val="009C4F99"/>
    <w:rsid w:val="009C7B82"/>
    <w:rsid w:val="009D17E5"/>
    <w:rsid w:val="009D277E"/>
    <w:rsid w:val="009D36C5"/>
    <w:rsid w:val="009D4FAA"/>
    <w:rsid w:val="009D64DA"/>
    <w:rsid w:val="009E41F4"/>
    <w:rsid w:val="009E4FB4"/>
    <w:rsid w:val="009F1B99"/>
    <w:rsid w:val="009F2834"/>
    <w:rsid w:val="009F32D4"/>
    <w:rsid w:val="009F64D6"/>
    <w:rsid w:val="009F76DB"/>
    <w:rsid w:val="00A0029E"/>
    <w:rsid w:val="00A00A10"/>
    <w:rsid w:val="00A07CFD"/>
    <w:rsid w:val="00A07D05"/>
    <w:rsid w:val="00A07D90"/>
    <w:rsid w:val="00A11A35"/>
    <w:rsid w:val="00A15B19"/>
    <w:rsid w:val="00A16F1E"/>
    <w:rsid w:val="00A202AF"/>
    <w:rsid w:val="00A2189B"/>
    <w:rsid w:val="00A24BF6"/>
    <w:rsid w:val="00A26828"/>
    <w:rsid w:val="00A30A4E"/>
    <w:rsid w:val="00A32C3B"/>
    <w:rsid w:val="00A429ED"/>
    <w:rsid w:val="00A4432D"/>
    <w:rsid w:val="00A451E3"/>
    <w:rsid w:val="00A45F4F"/>
    <w:rsid w:val="00A5023B"/>
    <w:rsid w:val="00A50B03"/>
    <w:rsid w:val="00A50CE5"/>
    <w:rsid w:val="00A5275A"/>
    <w:rsid w:val="00A566CD"/>
    <w:rsid w:val="00A600A9"/>
    <w:rsid w:val="00A60F00"/>
    <w:rsid w:val="00A62A47"/>
    <w:rsid w:val="00A672D6"/>
    <w:rsid w:val="00A70742"/>
    <w:rsid w:val="00A7124B"/>
    <w:rsid w:val="00A80ABA"/>
    <w:rsid w:val="00A81E3F"/>
    <w:rsid w:val="00A95F32"/>
    <w:rsid w:val="00A96DBC"/>
    <w:rsid w:val="00AA4745"/>
    <w:rsid w:val="00AA4AFD"/>
    <w:rsid w:val="00AA55B7"/>
    <w:rsid w:val="00AA5B9E"/>
    <w:rsid w:val="00AB0C87"/>
    <w:rsid w:val="00AB1A51"/>
    <w:rsid w:val="00AB2407"/>
    <w:rsid w:val="00AB3124"/>
    <w:rsid w:val="00AB4314"/>
    <w:rsid w:val="00AB53DF"/>
    <w:rsid w:val="00AC122D"/>
    <w:rsid w:val="00AC2C40"/>
    <w:rsid w:val="00AD139C"/>
    <w:rsid w:val="00AD1A37"/>
    <w:rsid w:val="00AD3682"/>
    <w:rsid w:val="00AD3C9B"/>
    <w:rsid w:val="00AD700D"/>
    <w:rsid w:val="00AE1741"/>
    <w:rsid w:val="00AE59AB"/>
    <w:rsid w:val="00AF0E0A"/>
    <w:rsid w:val="00AF57C0"/>
    <w:rsid w:val="00AF6660"/>
    <w:rsid w:val="00B00CB1"/>
    <w:rsid w:val="00B038CA"/>
    <w:rsid w:val="00B07E5C"/>
    <w:rsid w:val="00B10C80"/>
    <w:rsid w:val="00B11AA8"/>
    <w:rsid w:val="00B124A1"/>
    <w:rsid w:val="00B16695"/>
    <w:rsid w:val="00B16A85"/>
    <w:rsid w:val="00B22430"/>
    <w:rsid w:val="00B23E6A"/>
    <w:rsid w:val="00B272EA"/>
    <w:rsid w:val="00B27596"/>
    <w:rsid w:val="00B33E98"/>
    <w:rsid w:val="00B35E7B"/>
    <w:rsid w:val="00B37C28"/>
    <w:rsid w:val="00B419C7"/>
    <w:rsid w:val="00B4517D"/>
    <w:rsid w:val="00B45A8D"/>
    <w:rsid w:val="00B47E2A"/>
    <w:rsid w:val="00B51132"/>
    <w:rsid w:val="00B53F73"/>
    <w:rsid w:val="00B5541D"/>
    <w:rsid w:val="00B56601"/>
    <w:rsid w:val="00B56A9D"/>
    <w:rsid w:val="00B6010C"/>
    <w:rsid w:val="00B67A6E"/>
    <w:rsid w:val="00B811F7"/>
    <w:rsid w:val="00B81EB7"/>
    <w:rsid w:val="00B86D8F"/>
    <w:rsid w:val="00B927C8"/>
    <w:rsid w:val="00B934CB"/>
    <w:rsid w:val="00BA3C12"/>
    <w:rsid w:val="00BA3FD8"/>
    <w:rsid w:val="00BA5DC6"/>
    <w:rsid w:val="00BA6196"/>
    <w:rsid w:val="00BB141C"/>
    <w:rsid w:val="00BB29F1"/>
    <w:rsid w:val="00BB6D1F"/>
    <w:rsid w:val="00BB7D4E"/>
    <w:rsid w:val="00BC0747"/>
    <w:rsid w:val="00BC3D27"/>
    <w:rsid w:val="00BC6D8C"/>
    <w:rsid w:val="00BC6EFB"/>
    <w:rsid w:val="00BD2339"/>
    <w:rsid w:val="00BD606F"/>
    <w:rsid w:val="00BE2B0D"/>
    <w:rsid w:val="00BE78B2"/>
    <w:rsid w:val="00BF3202"/>
    <w:rsid w:val="00C00AA9"/>
    <w:rsid w:val="00C01329"/>
    <w:rsid w:val="00C015E0"/>
    <w:rsid w:val="00C0268A"/>
    <w:rsid w:val="00C043D9"/>
    <w:rsid w:val="00C0513A"/>
    <w:rsid w:val="00C10673"/>
    <w:rsid w:val="00C11219"/>
    <w:rsid w:val="00C140EA"/>
    <w:rsid w:val="00C16563"/>
    <w:rsid w:val="00C2071F"/>
    <w:rsid w:val="00C26031"/>
    <w:rsid w:val="00C318E8"/>
    <w:rsid w:val="00C32400"/>
    <w:rsid w:val="00C34006"/>
    <w:rsid w:val="00C35836"/>
    <w:rsid w:val="00C35F3C"/>
    <w:rsid w:val="00C4169A"/>
    <w:rsid w:val="00C426B1"/>
    <w:rsid w:val="00C43480"/>
    <w:rsid w:val="00C51F85"/>
    <w:rsid w:val="00C5415D"/>
    <w:rsid w:val="00C55E22"/>
    <w:rsid w:val="00C5699A"/>
    <w:rsid w:val="00C60515"/>
    <w:rsid w:val="00C655BF"/>
    <w:rsid w:val="00C657F0"/>
    <w:rsid w:val="00C65864"/>
    <w:rsid w:val="00C66160"/>
    <w:rsid w:val="00C676AF"/>
    <w:rsid w:val="00C721AC"/>
    <w:rsid w:val="00C72CEE"/>
    <w:rsid w:val="00C732F9"/>
    <w:rsid w:val="00C73B8C"/>
    <w:rsid w:val="00C75845"/>
    <w:rsid w:val="00C765DF"/>
    <w:rsid w:val="00C7720A"/>
    <w:rsid w:val="00C8631C"/>
    <w:rsid w:val="00C877DA"/>
    <w:rsid w:val="00C90D6A"/>
    <w:rsid w:val="00C92150"/>
    <w:rsid w:val="00C925F6"/>
    <w:rsid w:val="00C95891"/>
    <w:rsid w:val="00CA247E"/>
    <w:rsid w:val="00CA31B8"/>
    <w:rsid w:val="00CA4A5E"/>
    <w:rsid w:val="00CA4DEB"/>
    <w:rsid w:val="00CB169F"/>
    <w:rsid w:val="00CB58A1"/>
    <w:rsid w:val="00CC028A"/>
    <w:rsid w:val="00CC6D32"/>
    <w:rsid w:val="00CC72B6"/>
    <w:rsid w:val="00CE6C46"/>
    <w:rsid w:val="00CF0027"/>
    <w:rsid w:val="00CF2D1C"/>
    <w:rsid w:val="00CF52A5"/>
    <w:rsid w:val="00D002DD"/>
    <w:rsid w:val="00D00F74"/>
    <w:rsid w:val="00D0218D"/>
    <w:rsid w:val="00D0648F"/>
    <w:rsid w:val="00D127C0"/>
    <w:rsid w:val="00D13E17"/>
    <w:rsid w:val="00D13E3E"/>
    <w:rsid w:val="00D1426A"/>
    <w:rsid w:val="00D16625"/>
    <w:rsid w:val="00D2119D"/>
    <w:rsid w:val="00D25FB5"/>
    <w:rsid w:val="00D307A9"/>
    <w:rsid w:val="00D354C0"/>
    <w:rsid w:val="00D43D5E"/>
    <w:rsid w:val="00D44223"/>
    <w:rsid w:val="00D4548E"/>
    <w:rsid w:val="00D50F78"/>
    <w:rsid w:val="00D51467"/>
    <w:rsid w:val="00D53D02"/>
    <w:rsid w:val="00D542CE"/>
    <w:rsid w:val="00D543E9"/>
    <w:rsid w:val="00D5799E"/>
    <w:rsid w:val="00D63571"/>
    <w:rsid w:val="00D65010"/>
    <w:rsid w:val="00D72F40"/>
    <w:rsid w:val="00D7657A"/>
    <w:rsid w:val="00D77FF5"/>
    <w:rsid w:val="00D80577"/>
    <w:rsid w:val="00D82142"/>
    <w:rsid w:val="00D83B83"/>
    <w:rsid w:val="00D85F6E"/>
    <w:rsid w:val="00D90069"/>
    <w:rsid w:val="00D9179C"/>
    <w:rsid w:val="00D9213F"/>
    <w:rsid w:val="00D9312F"/>
    <w:rsid w:val="00D97BD2"/>
    <w:rsid w:val="00D97E03"/>
    <w:rsid w:val="00DA0125"/>
    <w:rsid w:val="00DA2529"/>
    <w:rsid w:val="00DA392C"/>
    <w:rsid w:val="00DA4867"/>
    <w:rsid w:val="00DB106B"/>
    <w:rsid w:val="00DB130A"/>
    <w:rsid w:val="00DB1D87"/>
    <w:rsid w:val="00DB2EBB"/>
    <w:rsid w:val="00DB3DC9"/>
    <w:rsid w:val="00DB6E56"/>
    <w:rsid w:val="00DC10A1"/>
    <w:rsid w:val="00DC1EB6"/>
    <w:rsid w:val="00DC2E96"/>
    <w:rsid w:val="00DC50DD"/>
    <w:rsid w:val="00DC655F"/>
    <w:rsid w:val="00DD0B59"/>
    <w:rsid w:val="00DD6D6B"/>
    <w:rsid w:val="00DD7777"/>
    <w:rsid w:val="00DD7EBD"/>
    <w:rsid w:val="00DE1B30"/>
    <w:rsid w:val="00DE49D1"/>
    <w:rsid w:val="00DE554F"/>
    <w:rsid w:val="00DE7F37"/>
    <w:rsid w:val="00DF104B"/>
    <w:rsid w:val="00DF3428"/>
    <w:rsid w:val="00DF62B6"/>
    <w:rsid w:val="00E01AD7"/>
    <w:rsid w:val="00E01F0E"/>
    <w:rsid w:val="00E05338"/>
    <w:rsid w:val="00E06381"/>
    <w:rsid w:val="00E07225"/>
    <w:rsid w:val="00E07D25"/>
    <w:rsid w:val="00E148B0"/>
    <w:rsid w:val="00E170C2"/>
    <w:rsid w:val="00E35A0E"/>
    <w:rsid w:val="00E44AA4"/>
    <w:rsid w:val="00E461E0"/>
    <w:rsid w:val="00E463B0"/>
    <w:rsid w:val="00E47BA1"/>
    <w:rsid w:val="00E5409F"/>
    <w:rsid w:val="00E546AD"/>
    <w:rsid w:val="00E5667D"/>
    <w:rsid w:val="00E646F7"/>
    <w:rsid w:val="00E701CE"/>
    <w:rsid w:val="00E71903"/>
    <w:rsid w:val="00E81FC7"/>
    <w:rsid w:val="00E85896"/>
    <w:rsid w:val="00EA1461"/>
    <w:rsid w:val="00EA56B0"/>
    <w:rsid w:val="00EB26BA"/>
    <w:rsid w:val="00EB399F"/>
    <w:rsid w:val="00EB79C0"/>
    <w:rsid w:val="00EB7C06"/>
    <w:rsid w:val="00EC2CF3"/>
    <w:rsid w:val="00EC31CF"/>
    <w:rsid w:val="00ED087E"/>
    <w:rsid w:val="00ED1374"/>
    <w:rsid w:val="00ED1F89"/>
    <w:rsid w:val="00ED21AD"/>
    <w:rsid w:val="00ED5860"/>
    <w:rsid w:val="00ED7CAC"/>
    <w:rsid w:val="00EE61E1"/>
    <w:rsid w:val="00EE6488"/>
    <w:rsid w:val="00EE795D"/>
    <w:rsid w:val="00EF315D"/>
    <w:rsid w:val="00EF4310"/>
    <w:rsid w:val="00F00443"/>
    <w:rsid w:val="00F00F50"/>
    <w:rsid w:val="00F021FA"/>
    <w:rsid w:val="00F023EB"/>
    <w:rsid w:val="00F03D1B"/>
    <w:rsid w:val="00F03D51"/>
    <w:rsid w:val="00F07914"/>
    <w:rsid w:val="00F07997"/>
    <w:rsid w:val="00F07F20"/>
    <w:rsid w:val="00F122B5"/>
    <w:rsid w:val="00F1233A"/>
    <w:rsid w:val="00F178E3"/>
    <w:rsid w:val="00F20509"/>
    <w:rsid w:val="00F25568"/>
    <w:rsid w:val="00F2612F"/>
    <w:rsid w:val="00F264CE"/>
    <w:rsid w:val="00F30E49"/>
    <w:rsid w:val="00F4426C"/>
    <w:rsid w:val="00F45A1D"/>
    <w:rsid w:val="00F50649"/>
    <w:rsid w:val="00F52F1B"/>
    <w:rsid w:val="00F607A2"/>
    <w:rsid w:val="00F60CDF"/>
    <w:rsid w:val="00F62E97"/>
    <w:rsid w:val="00F630AC"/>
    <w:rsid w:val="00F64209"/>
    <w:rsid w:val="00F71C84"/>
    <w:rsid w:val="00F76006"/>
    <w:rsid w:val="00F83608"/>
    <w:rsid w:val="00F93BF5"/>
    <w:rsid w:val="00FA08B9"/>
    <w:rsid w:val="00FA0A60"/>
    <w:rsid w:val="00FA2382"/>
    <w:rsid w:val="00FA2D89"/>
    <w:rsid w:val="00FA74CD"/>
    <w:rsid w:val="00FB6D3C"/>
    <w:rsid w:val="00FC1030"/>
    <w:rsid w:val="00FC28D0"/>
    <w:rsid w:val="00FC4D73"/>
    <w:rsid w:val="00FC6E9B"/>
    <w:rsid w:val="00FC7359"/>
    <w:rsid w:val="00FD07A9"/>
    <w:rsid w:val="00FD26DB"/>
    <w:rsid w:val="00FD3A8A"/>
    <w:rsid w:val="00FD3CC4"/>
    <w:rsid w:val="00FD7745"/>
    <w:rsid w:val="00FE4E51"/>
    <w:rsid w:val="00FE7BFA"/>
    <w:rsid w:val="00FF3A70"/>
    <w:rsid w:val="00FF4406"/>
    <w:rsid w:val="00FF6215"/>
    <w:rsid w:val="00FF7FC2"/>
    <w:rsid w:val="50A111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F1793E"/>
  <w15:chartTrackingRefBased/>
  <w15:docId w15:val="{D6D2BA76-F052-4870-8F07-88783C3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699A"/>
    <w:pPr>
      <w:widowControl w:val="0"/>
    </w:pPr>
    <w:rPr>
      <w:snapToGrid w:val="0"/>
      <w:kern w:val="28"/>
      <w:sz w:val="22"/>
    </w:rPr>
  </w:style>
  <w:style w:type="paragraph" w:styleId="Heading1">
    <w:name w:val="heading 1"/>
    <w:basedOn w:val="Normal"/>
    <w:next w:val="ParaNum"/>
    <w:qFormat/>
    <w:rsid w:val="00C5699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699A"/>
    <w:pPr>
      <w:keepNext/>
      <w:numPr>
        <w:ilvl w:val="1"/>
        <w:numId w:val="3"/>
      </w:numPr>
      <w:spacing w:after="120"/>
      <w:outlineLvl w:val="1"/>
    </w:pPr>
    <w:rPr>
      <w:b/>
    </w:rPr>
  </w:style>
  <w:style w:type="paragraph" w:styleId="Heading3">
    <w:name w:val="heading 3"/>
    <w:basedOn w:val="Normal"/>
    <w:next w:val="ParaNum"/>
    <w:qFormat/>
    <w:rsid w:val="00C5699A"/>
    <w:pPr>
      <w:keepNext/>
      <w:numPr>
        <w:ilvl w:val="2"/>
        <w:numId w:val="3"/>
      </w:numPr>
      <w:tabs>
        <w:tab w:val="left" w:pos="2160"/>
      </w:tabs>
      <w:spacing w:after="120"/>
      <w:outlineLvl w:val="2"/>
    </w:pPr>
    <w:rPr>
      <w:b/>
    </w:rPr>
  </w:style>
  <w:style w:type="paragraph" w:styleId="Heading4">
    <w:name w:val="heading 4"/>
    <w:basedOn w:val="Normal"/>
    <w:next w:val="ParaNum"/>
    <w:qFormat/>
    <w:rsid w:val="00C5699A"/>
    <w:pPr>
      <w:keepNext/>
      <w:numPr>
        <w:ilvl w:val="3"/>
        <w:numId w:val="3"/>
      </w:numPr>
      <w:tabs>
        <w:tab w:val="left" w:pos="2880"/>
      </w:tabs>
      <w:spacing w:after="120"/>
      <w:outlineLvl w:val="3"/>
    </w:pPr>
    <w:rPr>
      <w:b/>
    </w:rPr>
  </w:style>
  <w:style w:type="paragraph" w:styleId="Heading5">
    <w:name w:val="heading 5"/>
    <w:basedOn w:val="Normal"/>
    <w:next w:val="ParaNum"/>
    <w:qFormat/>
    <w:rsid w:val="00C5699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699A"/>
    <w:pPr>
      <w:numPr>
        <w:ilvl w:val="5"/>
        <w:numId w:val="3"/>
      </w:numPr>
      <w:tabs>
        <w:tab w:val="left" w:pos="4320"/>
      </w:tabs>
      <w:spacing w:after="120"/>
      <w:outlineLvl w:val="5"/>
    </w:pPr>
    <w:rPr>
      <w:b/>
    </w:rPr>
  </w:style>
  <w:style w:type="paragraph" w:styleId="Heading7">
    <w:name w:val="heading 7"/>
    <w:basedOn w:val="Normal"/>
    <w:next w:val="ParaNum"/>
    <w:qFormat/>
    <w:rsid w:val="00C5699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699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699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69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699A"/>
  </w:style>
  <w:style w:type="paragraph" w:customStyle="1" w:styleId="ParaNum">
    <w:name w:val="ParaNum"/>
    <w:basedOn w:val="Normal"/>
    <w:link w:val="ParaNumChar"/>
    <w:rsid w:val="00C5699A"/>
    <w:pPr>
      <w:numPr>
        <w:numId w:val="2"/>
      </w:numPr>
      <w:tabs>
        <w:tab w:val="clear" w:pos="1080"/>
        <w:tab w:val="num" w:pos="1440"/>
      </w:tabs>
      <w:spacing w:after="120"/>
    </w:pPr>
  </w:style>
  <w:style w:type="paragraph" w:styleId="EndnoteText">
    <w:name w:val="endnote text"/>
    <w:basedOn w:val="Normal"/>
    <w:semiHidden/>
    <w:rsid w:val="00C5699A"/>
    <w:rPr>
      <w:sz w:val="20"/>
    </w:rPr>
  </w:style>
  <w:style w:type="character" w:styleId="EndnoteReference">
    <w:name w:val="endnote reference"/>
    <w:semiHidden/>
    <w:rsid w:val="00C5699A"/>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C5699A"/>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C5699A"/>
    <w:rPr>
      <w:rFonts w:ascii="Times New Roman" w:hAnsi="Times New Roman"/>
      <w:dstrike w:val="0"/>
      <w:color w:val="auto"/>
      <w:sz w:val="20"/>
      <w:vertAlign w:val="superscript"/>
    </w:rPr>
  </w:style>
  <w:style w:type="paragraph" w:styleId="TOC1">
    <w:name w:val="toc 1"/>
    <w:basedOn w:val="Normal"/>
    <w:next w:val="Normal"/>
    <w:semiHidden/>
    <w:rsid w:val="00C569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699A"/>
    <w:pPr>
      <w:tabs>
        <w:tab w:val="left" w:pos="720"/>
        <w:tab w:val="right" w:leader="dot" w:pos="9360"/>
      </w:tabs>
      <w:suppressAutoHyphens/>
      <w:ind w:left="720" w:right="720" w:hanging="360"/>
    </w:pPr>
    <w:rPr>
      <w:noProof/>
    </w:rPr>
  </w:style>
  <w:style w:type="paragraph" w:styleId="TOC3">
    <w:name w:val="toc 3"/>
    <w:basedOn w:val="Normal"/>
    <w:next w:val="Normal"/>
    <w:semiHidden/>
    <w:rsid w:val="00C569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69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69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69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69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69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69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699A"/>
    <w:pPr>
      <w:tabs>
        <w:tab w:val="right" w:pos="9360"/>
      </w:tabs>
      <w:suppressAutoHyphens/>
    </w:pPr>
  </w:style>
  <w:style w:type="character" w:customStyle="1" w:styleId="EquationCaption">
    <w:name w:val="_Equation Caption"/>
    <w:rsid w:val="00C5699A"/>
  </w:style>
  <w:style w:type="paragraph" w:styleId="Header">
    <w:name w:val="header"/>
    <w:basedOn w:val="Normal"/>
    <w:autoRedefine/>
    <w:rsid w:val="00C5699A"/>
    <w:pPr>
      <w:tabs>
        <w:tab w:val="center" w:pos="4680"/>
        <w:tab w:val="right" w:pos="9360"/>
      </w:tabs>
    </w:pPr>
    <w:rPr>
      <w:b/>
    </w:rPr>
  </w:style>
  <w:style w:type="paragraph" w:styleId="Footer">
    <w:name w:val="footer"/>
    <w:basedOn w:val="Normal"/>
    <w:link w:val="FooterChar"/>
    <w:uiPriority w:val="99"/>
    <w:rsid w:val="00C5699A"/>
    <w:pPr>
      <w:tabs>
        <w:tab w:val="center" w:pos="4320"/>
        <w:tab w:val="right" w:pos="8640"/>
      </w:tabs>
    </w:pPr>
  </w:style>
  <w:style w:type="character" w:styleId="PageNumber">
    <w:name w:val="page number"/>
    <w:basedOn w:val="DefaultParagraphFont"/>
    <w:rsid w:val="00C5699A"/>
  </w:style>
  <w:style w:type="paragraph" w:styleId="BlockText">
    <w:name w:val="Block Text"/>
    <w:basedOn w:val="Normal"/>
    <w:rsid w:val="00C5699A"/>
    <w:pPr>
      <w:spacing w:after="240"/>
      <w:ind w:left="1440" w:right="1440"/>
    </w:pPr>
  </w:style>
  <w:style w:type="paragraph" w:customStyle="1" w:styleId="Paratitle">
    <w:name w:val="Para title"/>
    <w:basedOn w:val="Normal"/>
    <w:rsid w:val="00C5699A"/>
    <w:pPr>
      <w:tabs>
        <w:tab w:val="center" w:pos="9270"/>
      </w:tabs>
      <w:spacing w:after="240"/>
    </w:pPr>
    <w:rPr>
      <w:spacing w:val="-2"/>
    </w:rPr>
  </w:style>
  <w:style w:type="paragraph" w:customStyle="1" w:styleId="Bullet">
    <w:name w:val="Bullet"/>
    <w:basedOn w:val="Normal"/>
    <w:rsid w:val="00C5699A"/>
    <w:pPr>
      <w:tabs>
        <w:tab w:val="left" w:pos="2160"/>
      </w:tabs>
      <w:spacing w:after="220"/>
      <w:ind w:left="2160" w:hanging="720"/>
    </w:pPr>
  </w:style>
  <w:style w:type="paragraph" w:customStyle="1" w:styleId="TableFormat">
    <w:name w:val="TableFormat"/>
    <w:basedOn w:val="Bullet"/>
    <w:rsid w:val="00C5699A"/>
    <w:pPr>
      <w:tabs>
        <w:tab w:val="clear" w:pos="2160"/>
        <w:tab w:val="left" w:pos="5040"/>
      </w:tabs>
      <w:ind w:left="5040" w:hanging="3600"/>
    </w:pPr>
  </w:style>
  <w:style w:type="paragraph" w:customStyle="1" w:styleId="TOCTitle">
    <w:name w:val="TOC Title"/>
    <w:basedOn w:val="Normal"/>
    <w:rsid w:val="00C569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699A"/>
    <w:pPr>
      <w:jc w:val="center"/>
    </w:pPr>
    <w:rPr>
      <w:rFonts w:ascii="Times New Roman Bold" w:hAnsi="Times New Roman Bold"/>
      <w:b/>
      <w:bCs/>
      <w:caps/>
      <w:szCs w:val="22"/>
    </w:rPr>
  </w:style>
  <w:style w:type="character" w:styleId="Hyperlink">
    <w:name w:val="Hyperlink"/>
    <w:rsid w:val="00C5699A"/>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uiPriority w:val="99"/>
    <w:rsid w:val="007534FC"/>
    <w:rPr>
      <w:sz w:val="16"/>
      <w:szCs w:val="16"/>
    </w:rPr>
  </w:style>
  <w:style w:type="paragraph" w:styleId="CommentText">
    <w:name w:val="annotation text"/>
    <w:basedOn w:val="Normal"/>
    <w:link w:val="CommentTextChar"/>
    <w:uiPriority w:val="99"/>
    <w:rsid w:val="007534FC"/>
    <w:pPr>
      <w:widowControl/>
    </w:pPr>
    <w:rPr>
      <w:snapToGrid/>
      <w:kern w:val="0"/>
      <w:sz w:val="20"/>
    </w:rPr>
  </w:style>
  <w:style w:type="character" w:customStyle="1" w:styleId="CommentTextChar">
    <w:name w:val="Comment Text Char"/>
    <w:basedOn w:val="DefaultParagraphFont"/>
    <w:link w:val="CommentText"/>
    <w:uiPriority w:val="99"/>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C5699A"/>
    <w:rPr>
      <w:snapToGrid w:val="0"/>
      <w:kern w:val="28"/>
      <w:sz w:val="22"/>
    </w:rPr>
  </w:style>
  <w:style w:type="character" w:customStyle="1" w:styleId="FootnoteTextChar2Char">
    <w:name w:val="Footnote Text Char2 Char"/>
    <w:aliases w:val="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 w:type="paragraph" w:styleId="ListParagraph">
    <w:name w:val="List Paragraph"/>
    <w:basedOn w:val="Normal"/>
    <w:uiPriority w:val="34"/>
    <w:qFormat/>
    <w:rsid w:val="0021642C"/>
    <w:pPr>
      <w:ind w:left="720"/>
      <w:contextualSpacing/>
    </w:pPr>
  </w:style>
  <w:style w:type="character" w:styleId="UnresolvedMention">
    <w:name w:val="Unresolved Mention"/>
    <w:basedOn w:val="DefaultParagraphFont"/>
    <w:uiPriority w:val="99"/>
    <w:semiHidden/>
    <w:unhideWhenUsed/>
    <w:rsid w:val="0021642C"/>
    <w:rPr>
      <w:color w:val="605E5C"/>
      <w:shd w:val="clear" w:color="auto" w:fill="E1DFDD"/>
    </w:rPr>
  </w:style>
  <w:style w:type="paragraph" w:styleId="Revision">
    <w:name w:val="Revision"/>
    <w:hidden/>
    <w:uiPriority w:val="99"/>
    <w:semiHidden/>
    <w:rsid w:val="000055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mailto:ARINQUIRIES@fcc.gov" TargetMode="External" /><Relationship Id="rId7" Type="http://schemas.openxmlformats.org/officeDocument/2006/relationships/hyperlink" Target="mailto:Heather.Dix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