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77777777">
      <w:pPr>
        <w:jc w:val="center"/>
        <w:rPr>
          <w:b/>
          <w:szCs w:val="22"/>
        </w:rPr>
      </w:pPr>
      <w:r w:rsidRPr="00322EF1">
        <w:rPr>
          <w:b/>
          <w:kern w:val="0"/>
          <w:szCs w:val="22"/>
        </w:rPr>
        <w:t>Before</w:t>
      </w:r>
      <w:r w:rsidRPr="00322EF1">
        <w:rPr>
          <w:b/>
          <w:szCs w:val="22"/>
        </w:rPr>
        <w:t xml:space="preserve"> the</w:t>
      </w:r>
    </w:p>
    <w:p w:rsidR="00921803" w:rsidRPr="00322EF1" w:rsidP="00921803" w14:paraId="03B806B7"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45E652DD"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724C7D" w:rsidRPr="00F16341" w:rsidP="00724C7D" w14:paraId="6A739053" w14:textId="77777777">
            <w:pPr>
              <w:tabs>
                <w:tab w:val="center" w:pos="4680"/>
              </w:tabs>
              <w:suppressAutoHyphens/>
              <w:rPr>
                <w:b/>
                <w:bCs/>
                <w:spacing w:val="-2"/>
                <w:szCs w:val="22"/>
              </w:rPr>
            </w:pPr>
            <w:bookmarkStart w:id="0" w:name="_Hlk92709973"/>
            <w:r>
              <w:rPr>
                <w:b/>
                <w:bCs/>
                <w:spacing w:val="-2"/>
                <w:szCs w:val="22"/>
              </w:rPr>
              <w:t>AUGUSTUS FOUNDATION, INC.</w:t>
            </w:r>
          </w:p>
          <w:bookmarkEnd w:id="0"/>
          <w:p w:rsidR="00724C7D" w:rsidRPr="00B51E6A" w:rsidP="00724C7D" w14:paraId="6E74C24D" w14:textId="77777777">
            <w:pPr>
              <w:tabs>
                <w:tab w:val="center" w:pos="4680"/>
              </w:tabs>
              <w:suppressAutoHyphens/>
              <w:rPr>
                <w:spacing w:val="-2"/>
                <w:szCs w:val="22"/>
              </w:rPr>
            </w:pPr>
          </w:p>
          <w:p w:rsidR="00724C7D" w:rsidRPr="00B51E6A" w:rsidP="00724C7D" w14:paraId="104EF15F" w14:textId="77777777">
            <w:pPr>
              <w:tabs>
                <w:tab w:val="center" w:pos="4680"/>
              </w:tabs>
              <w:suppressAutoHyphens/>
              <w:rPr>
                <w:spacing w:val="-2"/>
                <w:szCs w:val="22"/>
              </w:rPr>
            </w:pPr>
            <w:r w:rsidRPr="00B51E6A">
              <w:rPr>
                <w:spacing w:val="-2"/>
                <w:szCs w:val="22"/>
              </w:rPr>
              <w:t>Application for Renewal of License</w:t>
            </w:r>
          </w:p>
          <w:p w:rsidR="00031F80" w:rsidRPr="00322EF1" w:rsidP="00724C7D" w14:paraId="2ADC0318" w14:textId="4D1557CB">
            <w:pPr>
              <w:tabs>
                <w:tab w:val="center" w:pos="4680"/>
              </w:tabs>
              <w:suppressAutoHyphens/>
              <w:rPr>
                <w:spacing w:val="-2"/>
                <w:szCs w:val="22"/>
              </w:rPr>
            </w:pPr>
            <w:r>
              <w:rPr>
                <w:spacing w:val="-2"/>
                <w:szCs w:val="22"/>
              </w:rPr>
              <w:t>Station WALQ(AM), Carrville, Alabama</w:t>
            </w: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DE1B30" w:rsidRPr="00322EF1" w14:paraId="18661E2B" w14:textId="77777777">
            <w:pPr>
              <w:tabs>
                <w:tab w:val="center" w:pos="4680"/>
              </w:tabs>
              <w:suppressAutoHyphens/>
              <w:rPr>
                <w:b/>
                <w:spacing w:val="-2"/>
                <w:szCs w:val="22"/>
              </w:rPr>
            </w:pPr>
            <w:r w:rsidRPr="00322EF1">
              <w:rPr>
                <w:b/>
                <w:spacing w:val="-2"/>
                <w:szCs w:val="22"/>
              </w:rPr>
              <w:t>)</w:t>
            </w:r>
          </w:p>
          <w:p w:rsidR="003E2B64" w:rsidRPr="00322EF1" w14:paraId="1092142B" w14:textId="20A02360">
            <w:pPr>
              <w:tabs>
                <w:tab w:val="center" w:pos="4680"/>
              </w:tabs>
              <w:suppressAutoHyphens/>
              <w:rPr>
                <w:b/>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D7657A" w:rsidRPr="00322EF1" w:rsidP="00031F80" w14:paraId="4C5342AF" w14:textId="77777777">
            <w:pPr>
              <w:widowControl/>
              <w:autoSpaceDE w:val="0"/>
              <w:autoSpaceDN w:val="0"/>
              <w:adjustRightInd w:val="0"/>
              <w:rPr>
                <w:snapToGrid/>
                <w:kern w:val="0"/>
                <w:szCs w:val="22"/>
              </w:rPr>
            </w:pPr>
          </w:p>
          <w:p w:rsidR="00031F80" w:rsidRPr="00322EF1" w:rsidP="00031F80" w14:paraId="7DC47538" w14:textId="1062E811">
            <w:pPr>
              <w:widowControl/>
              <w:autoSpaceDE w:val="0"/>
              <w:autoSpaceDN w:val="0"/>
              <w:adjustRightInd w:val="0"/>
              <w:rPr>
                <w:snapToGrid/>
                <w:kern w:val="0"/>
                <w:szCs w:val="22"/>
              </w:rPr>
            </w:pPr>
            <w:r w:rsidRPr="00322EF1">
              <w:rPr>
                <w:snapToGrid/>
                <w:kern w:val="0"/>
                <w:szCs w:val="22"/>
              </w:rPr>
              <w:t xml:space="preserve">NAL/Acct. No. </w:t>
            </w:r>
            <w:r w:rsidRPr="00322EF1" w:rsidR="00D97BD2">
              <w:rPr>
                <w:bCs/>
                <w:szCs w:val="22"/>
              </w:rPr>
              <w:t>MB-</w:t>
            </w:r>
            <w:r w:rsidRPr="00B67330" w:rsidR="00B67330">
              <w:rPr>
                <w:bCs/>
                <w:szCs w:val="22"/>
              </w:rPr>
              <w:t>202241410025</w:t>
            </w:r>
          </w:p>
          <w:p w:rsidR="00031F80" w:rsidRPr="00322EF1" w:rsidP="00031F80" w14:paraId="08E92CBF" w14:textId="6F35195A">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00724C7D">
              <w:rPr>
                <w:snapToGrid/>
                <w:kern w:val="0"/>
                <w:szCs w:val="22"/>
              </w:rPr>
              <w:t>0021956404</w:t>
            </w:r>
          </w:p>
          <w:p w:rsidR="00031F80" w:rsidRPr="00322EF1" w:rsidP="00031F80" w14:paraId="306BFF8C" w14:textId="4C419F41">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00724C7D">
              <w:rPr>
                <w:spacing w:val="-2"/>
                <w:szCs w:val="22"/>
              </w:rPr>
              <w:t>68309</w:t>
            </w:r>
          </w:p>
          <w:p w:rsidR="00D9312F" w:rsidRPr="00322EF1" w:rsidP="00031F80" w14:paraId="229C3A2C" w14:textId="6B734D86">
            <w:pPr>
              <w:widowControl/>
              <w:autoSpaceDE w:val="0"/>
              <w:autoSpaceDN w:val="0"/>
              <w:adjustRightInd w:val="0"/>
              <w:rPr>
                <w:snapToGrid/>
                <w:kern w:val="0"/>
                <w:szCs w:val="22"/>
              </w:rPr>
            </w:pPr>
            <w:r w:rsidRPr="00322EF1">
              <w:rPr>
                <w:snapToGrid/>
                <w:kern w:val="0"/>
                <w:szCs w:val="22"/>
              </w:rPr>
              <w:t xml:space="preserve">Application File No. </w:t>
            </w:r>
            <w:r w:rsidR="00724C7D">
              <w:rPr>
                <w:spacing w:val="-2"/>
                <w:szCs w:val="22"/>
              </w:rPr>
              <w:t>193952</w:t>
            </w:r>
          </w:p>
          <w:p w:rsidR="00031F80" w:rsidRPr="00322EF1" w:rsidP="00031F80" w14:paraId="43317D23" w14:textId="38156B27">
            <w:pPr>
              <w:tabs>
                <w:tab w:val="center" w:pos="4680"/>
              </w:tabs>
              <w:suppressAutoHyphens/>
              <w:rPr>
                <w:spacing w:val="-2"/>
                <w:szCs w:val="22"/>
              </w:rPr>
            </w:pPr>
          </w:p>
        </w:tc>
      </w:tr>
    </w:tbl>
    <w:p w:rsidR="004C2EE3" w:rsidRPr="00322EF1" w:rsidP="0070224F" w14:paraId="2E3258B7" w14:textId="77777777">
      <w:pPr>
        <w:rPr>
          <w:szCs w:val="22"/>
        </w:rPr>
      </w:pPr>
    </w:p>
    <w:p w:rsidR="003E2B64" w:rsidRPr="00322EF1" w:rsidP="00F021FA" w14:paraId="2A4429FB" w14:textId="77777777">
      <w:pPr>
        <w:pStyle w:val="StyleBoldCentered"/>
        <w:rPr>
          <w:rFonts w:ascii="Times New Roman" w:hAnsi="Times New Roman"/>
        </w:rPr>
      </w:pPr>
      <w:r w:rsidRPr="00322EF1">
        <w:rPr>
          <w:rFonts w:ascii="Times New Roman" w:hAnsi="Times New Roman"/>
        </w:rPr>
        <w:t xml:space="preserve">MEMORANDUM OPINION AND ORDER AND </w:t>
      </w:r>
    </w:p>
    <w:p w:rsidR="00FA2382" w:rsidRPr="00322EF1" w:rsidP="00F021FA" w14:paraId="6F586C16" w14:textId="6BC2C673">
      <w:pPr>
        <w:pStyle w:val="StyleBoldCentered"/>
        <w:rPr>
          <w:rFonts w:ascii="Times New Roman" w:hAnsi="Times New Roman"/>
        </w:rPr>
      </w:pPr>
      <w:r w:rsidRPr="00322EF1">
        <w:rPr>
          <w:rFonts w:ascii="Times New Roman" w:hAnsi="Times New Roman"/>
        </w:rPr>
        <w:t>notice of apparent liability for forfeiture</w:t>
      </w:r>
    </w:p>
    <w:p w:rsidR="004C2EE3" w:rsidRPr="00322EF1" w14:paraId="0BC8BF86" w14:textId="77777777">
      <w:pPr>
        <w:tabs>
          <w:tab w:val="left" w:pos="-720"/>
        </w:tabs>
        <w:suppressAutoHyphens/>
        <w:spacing w:line="227" w:lineRule="auto"/>
        <w:rPr>
          <w:spacing w:val="-2"/>
          <w:szCs w:val="22"/>
        </w:rPr>
      </w:pPr>
    </w:p>
    <w:p w:rsidR="004C2EE3" w:rsidRPr="00322EF1" w:rsidP="00133F79" w14:paraId="2F68399E" w14:textId="5B1E6EF8">
      <w:pPr>
        <w:tabs>
          <w:tab w:val="left" w:pos="720"/>
          <w:tab w:val="right" w:pos="9360"/>
        </w:tabs>
        <w:suppressAutoHyphens/>
        <w:spacing w:line="227" w:lineRule="auto"/>
        <w:rPr>
          <w:spacing w:val="-2"/>
          <w:szCs w:val="22"/>
        </w:rPr>
      </w:pPr>
      <w:r w:rsidRPr="00322EF1">
        <w:rPr>
          <w:b/>
          <w:spacing w:val="-2"/>
          <w:szCs w:val="22"/>
        </w:rPr>
        <w:t xml:space="preserve">Adopted:  </w:t>
      </w:r>
      <w:r w:rsidR="000E4FD4">
        <w:rPr>
          <w:b/>
          <w:spacing w:val="-2"/>
          <w:szCs w:val="22"/>
        </w:rPr>
        <w:t>October</w:t>
      </w:r>
      <w:r w:rsidRPr="00322EF1" w:rsidR="003D4D70">
        <w:rPr>
          <w:b/>
          <w:spacing w:val="-2"/>
          <w:szCs w:val="22"/>
        </w:rPr>
        <w:t xml:space="preserve"> </w:t>
      </w:r>
      <w:r w:rsidR="00B67330">
        <w:rPr>
          <w:b/>
          <w:spacing w:val="-2"/>
          <w:szCs w:val="22"/>
        </w:rPr>
        <w:t>19</w:t>
      </w:r>
      <w:r w:rsidRPr="00322EF1" w:rsidR="006D2F83">
        <w:rPr>
          <w:b/>
          <w:spacing w:val="-2"/>
          <w:szCs w:val="22"/>
        </w:rPr>
        <w:t>, 20</w:t>
      </w:r>
      <w:r w:rsidRPr="00322EF1" w:rsidR="00FC6E9B">
        <w:rPr>
          <w:b/>
          <w:spacing w:val="-2"/>
          <w:szCs w:val="22"/>
        </w:rPr>
        <w:t>22</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0E4FD4">
        <w:rPr>
          <w:b/>
          <w:spacing w:val="-2"/>
          <w:szCs w:val="22"/>
        </w:rPr>
        <w:t>October</w:t>
      </w:r>
      <w:r w:rsidRPr="00322EF1" w:rsidR="003D4D70">
        <w:rPr>
          <w:b/>
          <w:spacing w:val="-2"/>
          <w:szCs w:val="22"/>
        </w:rPr>
        <w:t xml:space="preserve"> </w:t>
      </w:r>
      <w:r w:rsidR="00B67330">
        <w:rPr>
          <w:b/>
          <w:spacing w:val="-2"/>
          <w:szCs w:val="22"/>
        </w:rPr>
        <w:t>19</w:t>
      </w:r>
      <w:r w:rsidRPr="00322EF1" w:rsidR="0018575B">
        <w:rPr>
          <w:b/>
          <w:spacing w:val="-2"/>
          <w:szCs w:val="22"/>
        </w:rPr>
        <w:t>,</w:t>
      </w:r>
      <w:r w:rsidRPr="00322EF1" w:rsidR="006D2F83">
        <w:rPr>
          <w:b/>
          <w:spacing w:val="-2"/>
          <w:szCs w:val="22"/>
        </w:rPr>
        <w:t xml:space="preserve"> 20</w:t>
      </w:r>
      <w:r w:rsidRPr="00322EF1" w:rsidR="00FC6E9B">
        <w:rPr>
          <w:b/>
          <w:spacing w:val="-2"/>
          <w:szCs w:val="22"/>
        </w:rPr>
        <w:t>22</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B35E7B" w:rsidRPr="00322EF1" w:rsidP="002C00E8" w14:paraId="3B7034F4" w14:textId="77777777">
      <w:pPr>
        <w:pStyle w:val="Heading1"/>
        <w:rPr>
          <w:rFonts w:ascii="Times New Roman" w:hAnsi="Times New Roman"/>
          <w:szCs w:val="22"/>
        </w:rPr>
      </w:pPr>
      <w:r w:rsidRPr="00322EF1">
        <w:rPr>
          <w:rFonts w:ascii="Times New Roman" w:hAnsi="Times New Roman"/>
          <w:szCs w:val="22"/>
        </w:rPr>
        <w:t>INTRODUCTION</w:t>
      </w:r>
    </w:p>
    <w:p w:rsidR="004E15A0" w:rsidP="00654762" w14:paraId="3EE0C875" w14:textId="3A43066E">
      <w:pPr>
        <w:pStyle w:val="ParaNum"/>
        <w:rPr>
          <w:szCs w:val="22"/>
        </w:rPr>
      </w:pPr>
      <w:r w:rsidRPr="003A1D38">
        <w:rPr>
          <w:szCs w:val="22"/>
        </w:rPr>
        <w:t xml:space="preserve">In this </w:t>
      </w:r>
      <w:r w:rsidRPr="003A1D38" w:rsidR="003E2B64">
        <w:rPr>
          <w:szCs w:val="22"/>
        </w:rPr>
        <w:t xml:space="preserve">Memorandum Opinion and Order and </w:t>
      </w:r>
      <w:r w:rsidRPr="003A1D38">
        <w:rPr>
          <w:szCs w:val="22"/>
        </w:rPr>
        <w:t xml:space="preserve">Notice of Apparent Liability for Forfeiture, we find </w:t>
      </w:r>
      <w:bookmarkStart w:id="1" w:name="_Hlk117066055"/>
      <w:r w:rsidRPr="003A1D38" w:rsidR="00C5058A">
        <w:rPr>
          <w:szCs w:val="22"/>
        </w:rPr>
        <w:t>Augustus Foundation, Inc.</w:t>
      </w:r>
      <w:r w:rsidRPr="003A1D38">
        <w:rPr>
          <w:szCs w:val="22"/>
        </w:rPr>
        <w:t xml:space="preserve"> </w:t>
      </w:r>
      <w:bookmarkEnd w:id="1"/>
      <w:r w:rsidRPr="003A1D38">
        <w:rPr>
          <w:szCs w:val="22"/>
        </w:rPr>
        <w:t>(</w:t>
      </w:r>
      <w:r w:rsidRPr="003A1D38" w:rsidR="00C5058A">
        <w:rPr>
          <w:szCs w:val="22"/>
        </w:rPr>
        <w:t>Augustus</w:t>
      </w:r>
      <w:r w:rsidRPr="003A1D38">
        <w:rPr>
          <w:szCs w:val="22"/>
        </w:rPr>
        <w:t xml:space="preserve">), </w:t>
      </w:r>
      <w:r w:rsidR="005B3217">
        <w:rPr>
          <w:szCs w:val="22"/>
        </w:rPr>
        <w:t xml:space="preserve">apparently willfully and repeatedly violated </w:t>
      </w:r>
      <w:r w:rsidRPr="003A1D38" w:rsidR="00C21307">
        <w:rPr>
          <w:szCs w:val="22"/>
        </w:rPr>
        <w:t xml:space="preserve">(1) Section 73.561(d) of the </w:t>
      </w:r>
      <w:r w:rsidR="006E0AF3">
        <w:rPr>
          <w:szCs w:val="22"/>
        </w:rPr>
        <w:t>Commission’s rules (Rules)</w:t>
      </w:r>
      <w:r>
        <w:rPr>
          <w:rStyle w:val="FootnoteReference"/>
          <w:szCs w:val="22"/>
        </w:rPr>
        <w:footnoteReference w:id="3"/>
      </w:r>
      <w:r w:rsidRPr="003A1D38" w:rsidR="00C21307">
        <w:rPr>
          <w:szCs w:val="22"/>
        </w:rPr>
        <w:t xml:space="preserve"> by </w:t>
      </w:r>
      <w:r w:rsidR="00207239">
        <w:rPr>
          <w:szCs w:val="22"/>
        </w:rPr>
        <w:t>failing to obtain Commission authorization</w:t>
      </w:r>
      <w:r w:rsidRPr="003A1D38" w:rsidR="00C21307">
        <w:rPr>
          <w:szCs w:val="22"/>
        </w:rPr>
        <w:t xml:space="preserve"> </w:t>
      </w:r>
      <w:r w:rsidR="00207239">
        <w:rPr>
          <w:szCs w:val="22"/>
        </w:rPr>
        <w:t xml:space="preserve">for </w:t>
      </w:r>
      <w:r w:rsidR="008C293F">
        <w:rPr>
          <w:szCs w:val="22"/>
        </w:rPr>
        <w:t>the Station’s silence between November 16, 2021, and March 16, 2022</w:t>
      </w:r>
      <w:r w:rsidRPr="003A1D38" w:rsidR="00C21307">
        <w:rPr>
          <w:szCs w:val="22"/>
        </w:rPr>
        <w:t xml:space="preserve">, </w:t>
      </w:r>
      <w:r w:rsidR="005B3217">
        <w:rPr>
          <w:szCs w:val="22"/>
        </w:rPr>
        <w:t>(2) s</w:t>
      </w:r>
      <w:r w:rsidRPr="003A1D38" w:rsidR="005B3217">
        <w:rPr>
          <w:szCs w:val="22"/>
        </w:rPr>
        <w:t>ection 301 of the Communications Act of 1934, as amended (Act),</w:t>
      </w:r>
      <w:r>
        <w:rPr>
          <w:rStyle w:val="FootnoteReference"/>
          <w:szCs w:val="22"/>
        </w:rPr>
        <w:footnoteReference w:id="4"/>
      </w:r>
      <w:r w:rsidRPr="003A1D38" w:rsidR="005B3217">
        <w:rPr>
          <w:szCs w:val="22"/>
        </w:rPr>
        <w:t xml:space="preserve"> and sections 73.1350, 73.1560, 73.1635, and 73.1745(a) of the Rules</w:t>
      </w:r>
      <w:r>
        <w:rPr>
          <w:rStyle w:val="FootnoteReference"/>
          <w:szCs w:val="22"/>
        </w:rPr>
        <w:footnoteReference w:id="5"/>
      </w:r>
      <w:r w:rsidRPr="003A1D38" w:rsidR="005B3217">
        <w:rPr>
          <w:szCs w:val="22"/>
        </w:rPr>
        <w:t xml:space="preserve"> by operating </w:t>
      </w:r>
      <w:r w:rsidR="005B3217">
        <w:rPr>
          <w:szCs w:val="22"/>
        </w:rPr>
        <w:t>WALQ(AM)</w:t>
      </w:r>
      <w:r w:rsidRPr="003A1D38" w:rsidR="005B3217">
        <w:rPr>
          <w:szCs w:val="22"/>
        </w:rPr>
        <w:t xml:space="preserve">, </w:t>
      </w:r>
      <w:r w:rsidR="005B3217">
        <w:rPr>
          <w:szCs w:val="22"/>
        </w:rPr>
        <w:t xml:space="preserve">Carrville, Alabama </w:t>
      </w:r>
      <w:r w:rsidRPr="003A1D38" w:rsidR="005B3217">
        <w:rPr>
          <w:szCs w:val="22"/>
        </w:rPr>
        <w:t>(Station)</w:t>
      </w:r>
      <w:r w:rsidR="005B3217">
        <w:rPr>
          <w:szCs w:val="22"/>
        </w:rPr>
        <w:t>,</w:t>
      </w:r>
      <w:r w:rsidRPr="003A1D38" w:rsidR="005B3217">
        <w:rPr>
          <w:szCs w:val="22"/>
        </w:rPr>
        <w:t xml:space="preserve"> at a variance from its authorized parameters</w:t>
      </w:r>
      <w:r w:rsidR="005B3217">
        <w:rPr>
          <w:szCs w:val="22"/>
        </w:rPr>
        <w:t xml:space="preserve"> between September 22, 2022, and the present without Commission authorization to do so</w:t>
      </w:r>
      <w:r w:rsidRPr="003A1D38" w:rsidR="005B3217">
        <w:rPr>
          <w:szCs w:val="22"/>
        </w:rPr>
        <w:t xml:space="preserve">, </w:t>
      </w:r>
      <w:r w:rsidR="00793EFB">
        <w:rPr>
          <w:szCs w:val="22"/>
        </w:rPr>
        <w:t xml:space="preserve">and </w:t>
      </w:r>
      <w:r w:rsidRPr="003A1D38" w:rsidR="00C21307">
        <w:rPr>
          <w:szCs w:val="22"/>
        </w:rPr>
        <w:t>(3) section 73.3539 of the Commission’s Rules (Rules) by failing to timely file a license renewal</w:t>
      </w:r>
      <w:r w:rsidRPr="00F03E36" w:rsidR="00C21307">
        <w:rPr>
          <w:szCs w:val="22"/>
        </w:rPr>
        <w:t xml:space="preserve"> application for the Station</w:t>
      </w:r>
      <w:r w:rsidR="00611F02">
        <w:rPr>
          <w:szCs w:val="22"/>
        </w:rPr>
        <w:t>.</w:t>
      </w:r>
      <w:r>
        <w:rPr>
          <w:rStyle w:val="FootnoteReference"/>
          <w:sz w:val="22"/>
          <w:szCs w:val="22"/>
        </w:rPr>
        <w:footnoteReference w:id="6"/>
      </w:r>
      <w:r w:rsidRPr="00322EF1" w:rsidR="00E05338">
        <w:rPr>
          <w:szCs w:val="22"/>
        </w:rPr>
        <w:t xml:space="preserve">  </w:t>
      </w:r>
      <w:r w:rsidRPr="00322EF1">
        <w:rPr>
          <w:szCs w:val="22"/>
        </w:rPr>
        <w:t xml:space="preserve">Based upon our review of the facts and circumstances before us, we conclude that </w:t>
      </w:r>
      <w:r w:rsidR="00C21307">
        <w:rPr>
          <w:szCs w:val="22"/>
        </w:rPr>
        <w:t>Augustus</w:t>
      </w:r>
      <w:r w:rsidRPr="00322EF1">
        <w:rPr>
          <w:szCs w:val="22"/>
        </w:rPr>
        <w:t xml:space="preserve"> is apparently liable for a monetary forfeiture in the amount </w:t>
      </w:r>
      <w:r w:rsidRPr="00F1302E">
        <w:rPr>
          <w:szCs w:val="22"/>
        </w:rPr>
        <w:t xml:space="preserve">of </w:t>
      </w:r>
      <w:r w:rsidRPr="00F1302E" w:rsidR="00793EFB">
        <w:rPr>
          <w:szCs w:val="22"/>
        </w:rPr>
        <w:t>eleven</w:t>
      </w:r>
      <w:r w:rsidRPr="00F1302E" w:rsidR="00E05338">
        <w:rPr>
          <w:szCs w:val="22"/>
        </w:rPr>
        <w:t xml:space="preserve"> </w:t>
      </w:r>
      <w:r w:rsidRPr="00F1302E">
        <w:rPr>
          <w:szCs w:val="22"/>
        </w:rPr>
        <w:t>thousand dollars ($</w:t>
      </w:r>
      <w:r w:rsidRPr="00F1302E" w:rsidR="00F1302E">
        <w:rPr>
          <w:szCs w:val="22"/>
        </w:rPr>
        <w:t>11</w:t>
      </w:r>
      <w:r w:rsidRPr="00F1302E">
        <w:rPr>
          <w:szCs w:val="22"/>
        </w:rPr>
        <w:t>,000).</w:t>
      </w:r>
      <w:r w:rsidRPr="00F1302E" w:rsidR="00654762">
        <w:rPr>
          <w:szCs w:val="22"/>
        </w:rPr>
        <w:t xml:space="preserve">  Upon</w:t>
      </w:r>
      <w:r w:rsidRPr="00322EF1" w:rsidR="00654762">
        <w:rPr>
          <w:szCs w:val="22"/>
        </w:rPr>
        <w:t xml:space="preserve"> resolution of the forfeiture proceeding commenced herein and so long as there are no other issues that would preclude such action, we will </w:t>
      </w:r>
      <w:r w:rsidR="005E3EA9">
        <w:rPr>
          <w:szCs w:val="22"/>
        </w:rPr>
        <w:t xml:space="preserve">grant </w:t>
      </w:r>
      <w:r w:rsidR="00C21307">
        <w:rPr>
          <w:szCs w:val="22"/>
        </w:rPr>
        <w:t>Augustus’</w:t>
      </w:r>
      <w:r w:rsidR="005E3EA9">
        <w:rPr>
          <w:szCs w:val="22"/>
        </w:rPr>
        <w:t xml:space="preserve"> pending application</w:t>
      </w:r>
      <w:r w:rsidR="003A1D38">
        <w:rPr>
          <w:szCs w:val="22"/>
        </w:rPr>
        <w:t xml:space="preserve"> (Renewal Application)</w:t>
      </w:r>
      <w:r w:rsidR="005E3EA9">
        <w:rPr>
          <w:szCs w:val="22"/>
        </w:rPr>
        <w:t xml:space="preserve"> to renew</w:t>
      </w:r>
      <w:r w:rsidRPr="00322EF1" w:rsidR="00654762">
        <w:rPr>
          <w:szCs w:val="22"/>
        </w:rPr>
        <w:t xml:space="preserve"> the Station’s license for a period of two years.</w:t>
      </w:r>
      <w:r>
        <w:rPr>
          <w:rStyle w:val="FootnoteReference"/>
          <w:szCs w:val="22"/>
        </w:rPr>
        <w:footnoteReference w:id="7"/>
      </w:r>
    </w:p>
    <w:p w:rsidR="002C00E8" w:rsidP="00E05338" w14:paraId="52C5B9FA" w14:textId="19AB6A48">
      <w:pPr>
        <w:pStyle w:val="Heading1"/>
        <w:rPr>
          <w:rFonts w:ascii="Times New Roman" w:hAnsi="Times New Roman"/>
          <w:szCs w:val="22"/>
        </w:rPr>
      </w:pPr>
      <w:r w:rsidRPr="00322EF1">
        <w:rPr>
          <w:rFonts w:ascii="Times New Roman" w:hAnsi="Times New Roman"/>
          <w:szCs w:val="22"/>
        </w:rPr>
        <w:t>BACKGROUND</w:t>
      </w:r>
    </w:p>
    <w:p w:rsidR="003A1D38" w:rsidP="003A1D38" w14:paraId="0450FACB" w14:textId="0A01B32C">
      <w:pPr>
        <w:pStyle w:val="ParaNum"/>
      </w:pPr>
      <w:r>
        <w:t xml:space="preserve">The Station is a Class D AM station, authorized to operate only during daytime hours.  </w:t>
      </w:r>
      <w:r w:rsidR="00BC400D">
        <w:t>It</w:t>
      </w:r>
      <w:r>
        <w:t xml:space="preserve"> is authorized to operate non-directionally with a nominal power of 25 kilowatts, </w:t>
      </w:r>
      <w:r w:rsidR="003E33B8">
        <w:t>subject to a requirement to operate</w:t>
      </w:r>
      <w:r>
        <w:t xml:space="preserve"> non-directionally at 1 kilowatt during critical hours.</w:t>
      </w:r>
      <w:r>
        <w:rPr>
          <w:rStyle w:val="FootnoteReference"/>
        </w:rPr>
        <w:footnoteReference w:id="8"/>
      </w:r>
      <w:r>
        <w:t xml:space="preserve">  </w:t>
      </w:r>
    </w:p>
    <w:p w:rsidR="00FC53E4" w:rsidP="003B1D0E" w14:paraId="2E826195" w14:textId="0C9B8D23">
      <w:pPr>
        <w:pStyle w:val="ParaNum"/>
        <w:widowControl/>
      </w:pPr>
      <w:r w:rsidRPr="003A1D38">
        <w:t xml:space="preserve">Augustus acquired the Station’s license from </w:t>
      </w:r>
      <w:r w:rsidRPr="003A1D38">
        <w:t>Westburg</w:t>
      </w:r>
      <w:r w:rsidRPr="003A1D38">
        <w:t xml:space="preserve"> Broadcasting Montgomery, LLC (</w:t>
      </w:r>
      <w:r w:rsidRPr="00081F0C">
        <w:t>Westburg</w:t>
      </w:r>
      <w:r w:rsidRPr="003A1D38">
        <w:t>) on November 30, 2020.</w:t>
      </w:r>
      <w:r>
        <w:rPr>
          <w:rStyle w:val="FootnoteReference"/>
          <w:rFonts w:eastAsia="Calibri"/>
          <w:snapToGrid/>
          <w:sz w:val="22"/>
          <w:szCs w:val="22"/>
        </w:rPr>
        <w:footnoteReference w:id="9"/>
      </w:r>
      <w:r w:rsidRPr="003A1D38">
        <w:t xml:space="preserve">  Prior to this acquisition, on June 17, 2020, we had renewed the Station’s license for a term of one year</w:t>
      </w:r>
      <w:r>
        <w:t xml:space="preserve"> based on </w:t>
      </w:r>
      <w:r w:rsidR="00081F0C">
        <w:t xml:space="preserve">its </w:t>
      </w:r>
      <w:r>
        <w:t>spotty operational history during that license term</w:t>
      </w:r>
      <w:r w:rsidRPr="003A1D38">
        <w:t>.</w:t>
      </w:r>
      <w:r>
        <w:rPr>
          <w:rStyle w:val="FootnoteReference"/>
        </w:rPr>
        <w:footnoteReference w:id="10"/>
      </w:r>
      <w:r w:rsidRPr="003A1D38">
        <w:t xml:space="preserve">  </w:t>
      </w:r>
    </w:p>
    <w:p w:rsidR="00674476" w:rsidP="003F71B0" w14:paraId="0426E475" w14:textId="520031C1">
      <w:pPr>
        <w:pStyle w:val="ParaNum"/>
        <w:rPr>
          <w:rFonts w:eastAsia="Calibri"/>
          <w:snapToGrid/>
          <w:szCs w:val="22"/>
        </w:rPr>
      </w:pPr>
      <w:r w:rsidRPr="003F71B0">
        <w:t xml:space="preserve">When Augustus acquired the Station, </w:t>
      </w:r>
      <w:r w:rsidR="00081F0C">
        <w:t>the Station</w:t>
      </w:r>
      <w:r w:rsidRPr="003F71B0">
        <w:t xml:space="preserve"> was operating with its licensed facilities.  The Station continued to do so until March 22, 2021, when it went silent.  </w:t>
      </w:r>
      <w:r w:rsidRPr="003F71B0">
        <w:rPr>
          <w:rFonts w:eastAsia="Calibri"/>
          <w:snapToGrid/>
          <w:szCs w:val="22"/>
        </w:rPr>
        <w:t>Augustus requested special temporary authority</w:t>
      </w:r>
      <w:r w:rsidR="00B8611D">
        <w:rPr>
          <w:rFonts w:eastAsia="Calibri"/>
          <w:snapToGrid/>
          <w:szCs w:val="22"/>
        </w:rPr>
        <w:t xml:space="preserve"> (STA)</w:t>
      </w:r>
      <w:r w:rsidRPr="003F71B0">
        <w:rPr>
          <w:rFonts w:eastAsia="Calibri"/>
          <w:snapToGrid/>
          <w:szCs w:val="22"/>
        </w:rPr>
        <w:t xml:space="preserve"> for </w:t>
      </w:r>
      <w:r w:rsidR="00081F0C">
        <w:rPr>
          <w:rFonts w:eastAsia="Calibri"/>
          <w:snapToGrid/>
          <w:szCs w:val="22"/>
        </w:rPr>
        <w:t>the Station to remain off the air</w:t>
      </w:r>
      <w:r w:rsidR="006920E4">
        <w:rPr>
          <w:rFonts w:eastAsia="Calibri"/>
          <w:snapToGrid/>
          <w:szCs w:val="22"/>
        </w:rPr>
        <w:t xml:space="preserve">, stating </w:t>
      </w:r>
      <w:r w:rsidRPr="003F71B0" w:rsidR="006920E4">
        <w:rPr>
          <w:rFonts w:eastAsia="Calibri"/>
          <w:snapToGrid/>
          <w:szCs w:val="22"/>
        </w:rPr>
        <w:t>that the Station’s transmitter was damaged in a storm</w:t>
      </w:r>
      <w:r w:rsidR="006920E4">
        <w:rPr>
          <w:rFonts w:eastAsia="Calibri"/>
          <w:snapToGrid/>
          <w:szCs w:val="22"/>
        </w:rPr>
        <w:t>, and</w:t>
      </w:r>
      <w:r w:rsidRPr="003F71B0" w:rsidR="006920E4">
        <w:rPr>
          <w:rFonts w:eastAsia="Calibri"/>
          <w:snapToGrid/>
          <w:szCs w:val="22"/>
        </w:rPr>
        <w:t xml:space="preserve"> that it was awaiting the parts needed to repair the transmitter</w:t>
      </w:r>
      <w:r w:rsidR="006920E4">
        <w:rPr>
          <w:rFonts w:eastAsia="Calibri"/>
          <w:snapToGrid/>
          <w:szCs w:val="22"/>
        </w:rPr>
        <w:t xml:space="preserve"> </w:t>
      </w:r>
      <w:r>
        <w:rPr>
          <w:rStyle w:val="FootnoteReference"/>
          <w:rFonts w:eastAsia="Calibri"/>
          <w:snapToGrid/>
          <w:szCs w:val="22"/>
        </w:rPr>
        <w:footnoteReference w:id="11"/>
      </w:r>
      <w:r w:rsidRPr="003F71B0" w:rsidR="00A7759B">
        <w:rPr>
          <w:rFonts w:eastAsia="Calibri"/>
          <w:snapToGrid/>
          <w:szCs w:val="22"/>
        </w:rPr>
        <w:t xml:space="preserve">  </w:t>
      </w:r>
      <w:r>
        <w:rPr>
          <w:rFonts w:eastAsia="Calibri"/>
          <w:snapToGrid/>
          <w:szCs w:val="22"/>
        </w:rPr>
        <w:t>We granted its request for silent STA on May 19, 2021.</w:t>
      </w:r>
      <w:r>
        <w:rPr>
          <w:rStyle w:val="FootnoteReference"/>
          <w:rFonts w:eastAsia="Calibri"/>
          <w:snapToGrid/>
          <w:szCs w:val="22"/>
        </w:rPr>
        <w:footnoteReference w:id="12"/>
      </w:r>
      <w:r>
        <w:rPr>
          <w:rFonts w:eastAsia="Calibri"/>
          <w:snapToGrid/>
          <w:szCs w:val="22"/>
        </w:rPr>
        <w:t xml:space="preserve">  </w:t>
      </w:r>
      <w:r w:rsidR="00AE0A37">
        <w:rPr>
          <w:rFonts w:eastAsia="Calibri"/>
          <w:snapToGrid/>
          <w:szCs w:val="22"/>
        </w:rPr>
        <w:t>Th</w:t>
      </w:r>
      <w:r w:rsidR="006348B0">
        <w:rPr>
          <w:rFonts w:eastAsia="Calibri"/>
          <w:snapToGrid/>
          <w:szCs w:val="22"/>
        </w:rPr>
        <w:t>is silent</w:t>
      </w:r>
      <w:r>
        <w:rPr>
          <w:rFonts w:eastAsia="Calibri"/>
          <w:snapToGrid/>
          <w:szCs w:val="22"/>
        </w:rPr>
        <w:t xml:space="preserve"> STA expired on November 15, 2021.</w:t>
      </w:r>
    </w:p>
    <w:p w:rsidR="00A7759B" w:rsidRPr="002A63C7" w:rsidP="003F71B0" w14:paraId="50000888" w14:textId="56CAEFA2">
      <w:pPr>
        <w:pStyle w:val="ParaNum"/>
        <w:rPr>
          <w:rFonts w:eastAsia="Calibri"/>
          <w:snapToGrid/>
          <w:szCs w:val="22"/>
        </w:rPr>
      </w:pPr>
      <w:r w:rsidRPr="002A63C7">
        <w:rPr>
          <w:szCs w:val="22"/>
        </w:rPr>
        <w:t xml:space="preserve">The Station was silent until March 17, 2022, when it </w:t>
      </w:r>
      <w:r w:rsidRPr="002A63C7">
        <w:rPr>
          <w:rFonts w:eastAsia="Calibri"/>
          <w:snapToGrid/>
          <w:szCs w:val="22"/>
        </w:rPr>
        <w:t>resumed operations with its licensed facilities</w:t>
      </w:r>
      <w:r w:rsidR="009F7DD7">
        <w:rPr>
          <w:rFonts w:eastAsia="Calibri"/>
          <w:snapToGrid/>
          <w:szCs w:val="22"/>
        </w:rPr>
        <w:t>.  However, shortly thereafter,</w:t>
      </w:r>
      <w:r w:rsidR="009166A3">
        <w:rPr>
          <w:rFonts w:eastAsia="Calibri"/>
          <w:snapToGrid/>
          <w:szCs w:val="22"/>
        </w:rPr>
        <w:t xml:space="preserve"> on March 21, 2022,</w:t>
      </w:r>
      <w:r w:rsidR="009F7DD7">
        <w:rPr>
          <w:rFonts w:eastAsia="Calibri"/>
          <w:snapToGrid/>
          <w:szCs w:val="22"/>
        </w:rPr>
        <w:t xml:space="preserve"> the Station </w:t>
      </w:r>
      <w:r w:rsidR="009166A3">
        <w:rPr>
          <w:rFonts w:eastAsia="Calibri"/>
          <w:snapToGrid/>
          <w:szCs w:val="22"/>
        </w:rPr>
        <w:t>began operating with reduced power</w:t>
      </w:r>
      <w:r w:rsidRPr="002A63C7">
        <w:rPr>
          <w:rFonts w:eastAsia="Calibri"/>
          <w:snapToGrid/>
          <w:szCs w:val="22"/>
        </w:rPr>
        <w:t xml:space="preserve"> </w:t>
      </w:r>
      <w:r w:rsidR="00216D3F">
        <w:rPr>
          <w:rFonts w:eastAsia="Calibri"/>
          <w:snapToGrid/>
          <w:szCs w:val="22"/>
        </w:rPr>
        <w:t>after its main transmitter was damaged</w:t>
      </w:r>
      <w:r w:rsidRPr="002A63C7">
        <w:rPr>
          <w:rFonts w:eastAsia="Calibri"/>
          <w:snapToGrid/>
          <w:szCs w:val="22"/>
        </w:rPr>
        <w:t>.  Augustus requested STA for the Station’s  reduced power operations</w:t>
      </w:r>
      <w:r w:rsidRPr="002A63C7" w:rsidR="00674476">
        <w:rPr>
          <w:rFonts w:eastAsia="Calibri"/>
          <w:snapToGrid/>
          <w:szCs w:val="22"/>
        </w:rPr>
        <w:t xml:space="preserve">, which we granted on </w:t>
      </w:r>
      <w:r w:rsidR="00E54217">
        <w:rPr>
          <w:rFonts w:eastAsia="Calibri"/>
          <w:snapToGrid/>
          <w:szCs w:val="22"/>
        </w:rPr>
        <w:t xml:space="preserve">March </w:t>
      </w:r>
      <w:r w:rsidR="005D0D55">
        <w:rPr>
          <w:rFonts w:eastAsia="Calibri"/>
          <w:snapToGrid/>
          <w:szCs w:val="22"/>
        </w:rPr>
        <w:t>25,</w:t>
      </w:r>
      <w:r w:rsidRPr="002A63C7" w:rsidR="00674476">
        <w:rPr>
          <w:rFonts w:eastAsia="Calibri"/>
          <w:snapToGrid/>
          <w:szCs w:val="22"/>
        </w:rPr>
        <w:t xml:space="preserve"> 2022</w:t>
      </w:r>
      <w:r w:rsidRPr="002A63C7">
        <w:rPr>
          <w:rFonts w:eastAsia="Calibri"/>
          <w:snapToGrid/>
          <w:szCs w:val="22"/>
        </w:rPr>
        <w:t>.</w:t>
      </w:r>
      <w:r>
        <w:rPr>
          <w:rStyle w:val="FootnoteReference"/>
          <w:rFonts w:eastAsia="Calibri"/>
          <w:snapToGrid/>
          <w:sz w:val="22"/>
          <w:szCs w:val="22"/>
        </w:rPr>
        <w:footnoteReference w:id="13"/>
      </w:r>
      <w:r w:rsidRPr="002A63C7">
        <w:rPr>
          <w:rFonts w:eastAsia="Calibri"/>
          <w:snapToGrid/>
          <w:szCs w:val="22"/>
        </w:rPr>
        <w:t xml:space="preserve">  </w:t>
      </w:r>
      <w:r w:rsidRPr="002A63C7" w:rsidR="002A63C7">
        <w:rPr>
          <w:rStyle w:val="CommentReference"/>
          <w:sz w:val="22"/>
          <w:szCs w:val="22"/>
        </w:rPr>
        <w:t xml:space="preserve">Although </w:t>
      </w:r>
      <w:r w:rsidR="00AE0A37">
        <w:rPr>
          <w:rStyle w:val="CommentReference"/>
          <w:sz w:val="22"/>
          <w:szCs w:val="22"/>
        </w:rPr>
        <w:t>this reduced power</w:t>
      </w:r>
      <w:r w:rsidRPr="002A63C7" w:rsidR="00674476">
        <w:rPr>
          <w:rStyle w:val="CommentReference"/>
          <w:sz w:val="22"/>
          <w:szCs w:val="22"/>
        </w:rPr>
        <w:t xml:space="preserve"> </w:t>
      </w:r>
      <w:r w:rsidRPr="002A63C7" w:rsidR="002A63C7">
        <w:rPr>
          <w:rStyle w:val="CommentReference"/>
          <w:sz w:val="22"/>
          <w:szCs w:val="22"/>
        </w:rPr>
        <w:t xml:space="preserve">STA expired on September 21, 2022, the </w:t>
      </w:r>
      <w:r w:rsidRPr="002A63C7">
        <w:rPr>
          <w:rStyle w:val="CommentReference"/>
          <w:sz w:val="22"/>
          <w:szCs w:val="22"/>
        </w:rPr>
        <w:t>Station</w:t>
      </w:r>
      <w:r w:rsidRPr="002A63C7">
        <w:rPr>
          <w:szCs w:val="22"/>
        </w:rPr>
        <w:t xml:space="preserve"> continues to operate at reduced power.</w:t>
      </w:r>
    </w:p>
    <w:p w:rsidR="00963BC4" w:rsidRPr="008409F4" w:rsidP="008409F4" w14:paraId="6F80D4F8" w14:textId="432C67B1">
      <w:pPr>
        <w:pStyle w:val="ParaNum"/>
        <w:widowControl/>
        <w:rPr>
          <w:szCs w:val="22"/>
        </w:rPr>
      </w:pPr>
      <w:r>
        <w:rPr>
          <w:szCs w:val="22"/>
        </w:rPr>
        <w:t xml:space="preserve">Augustus </w:t>
      </w:r>
      <w:r w:rsidR="007E3C47">
        <w:rPr>
          <w:szCs w:val="22"/>
        </w:rPr>
        <w:t>filed</w:t>
      </w:r>
      <w:r w:rsidRPr="00683723">
        <w:rPr>
          <w:szCs w:val="22"/>
        </w:rPr>
        <w:t xml:space="preserve"> </w:t>
      </w:r>
      <w:r>
        <w:rPr>
          <w:szCs w:val="22"/>
        </w:rPr>
        <w:t>the Renewal Application</w:t>
      </w:r>
      <w:r w:rsidRPr="00683723">
        <w:rPr>
          <w:szCs w:val="22"/>
        </w:rPr>
        <w:t xml:space="preserve"> </w:t>
      </w:r>
      <w:r w:rsidR="007E3C47">
        <w:rPr>
          <w:szCs w:val="22"/>
        </w:rPr>
        <w:t>on</w:t>
      </w:r>
      <w:r>
        <w:rPr>
          <w:szCs w:val="22"/>
        </w:rPr>
        <w:t xml:space="preserve"> June 27, 2022</w:t>
      </w:r>
      <w:r w:rsidRPr="00683723">
        <w:rPr>
          <w:szCs w:val="22"/>
        </w:rPr>
        <w:t>.</w:t>
      </w:r>
      <w:r>
        <w:rPr>
          <w:rStyle w:val="FootnoteReference"/>
          <w:szCs w:val="22"/>
        </w:rPr>
        <w:footnoteReference w:id="14"/>
      </w:r>
      <w:r w:rsidR="00EB1B5D">
        <w:t xml:space="preserve">  </w:t>
      </w:r>
      <w:r w:rsidR="004D1224">
        <w:rPr>
          <w:szCs w:val="22"/>
        </w:rPr>
        <w:t xml:space="preserve">Augustus </w:t>
      </w:r>
      <w:r w:rsidR="00131D44">
        <w:rPr>
          <w:szCs w:val="22"/>
        </w:rPr>
        <w:t xml:space="preserve">acknowledged that the Renewal Application was </w:t>
      </w:r>
      <w:r w:rsidR="00F50E72">
        <w:rPr>
          <w:szCs w:val="22"/>
        </w:rPr>
        <w:t xml:space="preserve">not timely filed, and </w:t>
      </w:r>
      <w:r w:rsidR="004D1224">
        <w:rPr>
          <w:szCs w:val="22"/>
        </w:rPr>
        <w:t xml:space="preserve">indicated that </w:t>
      </w:r>
      <w:r w:rsidR="00850AA4">
        <w:rPr>
          <w:szCs w:val="22"/>
        </w:rPr>
        <w:t>the board member responsible for the Station</w:t>
      </w:r>
      <w:r w:rsidR="003E33B8">
        <w:rPr>
          <w:szCs w:val="22"/>
        </w:rPr>
        <w:t>’</w:t>
      </w:r>
      <w:r w:rsidR="00850AA4">
        <w:rPr>
          <w:szCs w:val="22"/>
        </w:rPr>
        <w:t>s daily operations was unable to file in a timely manner due to health issues</w:t>
      </w:r>
      <w:r>
        <w:rPr>
          <w:szCs w:val="22"/>
        </w:rPr>
        <w:t>.</w:t>
      </w:r>
      <w:r>
        <w:rPr>
          <w:rStyle w:val="FootnoteReference"/>
          <w:szCs w:val="22"/>
        </w:rPr>
        <w:footnoteReference w:id="15"/>
      </w:r>
      <w:r w:rsidR="003E020E">
        <w:rPr>
          <w:szCs w:val="22"/>
        </w:rPr>
        <w:t xml:space="preserve">  C</w:t>
      </w:r>
      <w:r w:rsidRPr="003E020E" w:rsidR="003E020E">
        <w:rPr>
          <w:szCs w:val="22"/>
        </w:rPr>
        <w:t xml:space="preserve">oncurrent with the filing of the </w:t>
      </w:r>
      <w:r w:rsidR="003E020E">
        <w:rPr>
          <w:szCs w:val="22"/>
        </w:rPr>
        <w:t xml:space="preserve">Renewal </w:t>
      </w:r>
      <w:r w:rsidRPr="003E020E" w:rsidR="003E020E">
        <w:rPr>
          <w:szCs w:val="22"/>
        </w:rPr>
        <w:t xml:space="preserve">Application, </w:t>
      </w:r>
      <w:r w:rsidR="003E020E">
        <w:rPr>
          <w:szCs w:val="22"/>
        </w:rPr>
        <w:t>Augustus</w:t>
      </w:r>
      <w:r w:rsidRPr="003E020E" w:rsidR="003E020E">
        <w:rPr>
          <w:szCs w:val="22"/>
        </w:rPr>
        <w:t xml:space="preserve"> sought</w:t>
      </w:r>
      <w:r w:rsidR="00EB1B5D">
        <w:rPr>
          <w:szCs w:val="22"/>
        </w:rPr>
        <w:t xml:space="preserve"> STA</w:t>
      </w:r>
      <w:r w:rsidR="000F6101">
        <w:rPr>
          <w:szCs w:val="22"/>
        </w:rPr>
        <w:t>, citing the fact that the Station’s license term had expired</w:t>
      </w:r>
      <w:r w:rsidR="00B0488D">
        <w:rPr>
          <w:szCs w:val="22"/>
        </w:rPr>
        <w:t xml:space="preserve"> and the fact that it had filed and was awaiting approval of the Renewal Application</w:t>
      </w:r>
      <w:r w:rsidRPr="003E020E" w:rsidR="003E020E">
        <w:rPr>
          <w:szCs w:val="22"/>
        </w:rPr>
        <w:t>.</w:t>
      </w:r>
      <w:r>
        <w:rPr>
          <w:rFonts w:eastAsia="Calibri"/>
          <w:snapToGrid/>
          <w:szCs w:val="22"/>
          <w:vertAlign w:val="superscript"/>
        </w:rPr>
        <w:footnoteReference w:id="16"/>
      </w:r>
      <w:r w:rsidR="00B0488D">
        <w:rPr>
          <w:szCs w:val="22"/>
        </w:rPr>
        <w:t xml:space="preserve">  </w:t>
      </w:r>
      <w:r w:rsidR="00772BBF">
        <w:rPr>
          <w:szCs w:val="22"/>
        </w:rPr>
        <w:t>We dismissed this STA request because</w:t>
      </w:r>
      <w:r w:rsidR="00B0488D">
        <w:rPr>
          <w:szCs w:val="22"/>
        </w:rPr>
        <w:t xml:space="preserve"> the </w:t>
      </w:r>
      <w:r w:rsidR="00E54217">
        <w:rPr>
          <w:szCs w:val="22"/>
        </w:rPr>
        <w:t xml:space="preserve">reduced power </w:t>
      </w:r>
      <w:r w:rsidR="00B0488D">
        <w:rPr>
          <w:szCs w:val="22"/>
        </w:rPr>
        <w:t>S</w:t>
      </w:r>
      <w:r w:rsidR="00DD2D21">
        <w:rPr>
          <w:szCs w:val="22"/>
        </w:rPr>
        <w:t xml:space="preserve">TA </w:t>
      </w:r>
      <w:r w:rsidR="00E54217">
        <w:rPr>
          <w:szCs w:val="22"/>
        </w:rPr>
        <w:t xml:space="preserve">granted on March </w:t>
      </w:r>
      <w:r w:rsidR="005D0D55">
        <w:rPr>
          <w:szCs w:val="22"/>
        </w:rPr>
        <w:t>25,</w:t>
      </w:r>
      <w:r w:rsidR="00E54217">
        <w:rPr>
          <w:szCs w:val="22"/>
        </w:rPr>
        <w:t xml:space="preserve"> 2022, remained in effect</w:t>
      </w:r>
      <w:r w:rsidRPr="003E020E" w:rsidR="003E020E">
        <w:rPr>
          <w:szCs w:val="22"/>
        </w:rPr>
        <w:t>.</w:t>
      </w:r>
    </w:p>
    <w:p w:rsidR="007534FC" w:rsidRPr="00322EF1" w:rsidP="007534FC" w14:paraId="31B44373" w14:textId="4E56EE1B">
      <w:pPr>
        <w:pStyle w:val="Heading1"/>
        <w:rPr>
          <w:rFonts w:ascii="Times New Roman" w:hAnsi="Times New Roman"/>
          <w:szCs w:val="22"/>
        </w:rPr>
      </w:pPr>
      <w:r w:rsidRPr="00322EF1">
        <w:rPr>
          <w:rFonts w:ascii="Times New Roman" w:hAnsi="Times New Roman"/>
          <w:szCs w:val="22"/>
        </w:rPr>
        <w:t>DISCUSSION</w:t>
      </w:r>
    </w:p>
    <w:p w:rsidR="00A2189B" w:rsidRPr="00322EF1" w:rsidP="00677CDA" w14:paraId="6B5DCAFD" w14:textId="469722BE">
      <w:pPr>
        <w:pStyle w:val="Heading2"/>
      </w:pPr>
      <w:r>
        <w:t>Operational History</w:t>
      </w:r>
      <w:r>
        <w:rPr>
          <w:rStyle w:val="FootnoteReference"/>
        </w:rPr>
        <w:footnoteReference w:id="17"/>
      </w:r>
    </w:p>
    <w:p w:rsidR="003A1D38" w:rsidRPr="00733A2A" w:rsidP="00733A2A" w14:paraId="53D08899" w14:textId="695E6775">
      <w:pPr>
        <w:pStyle w:val="ParaNum"/>
      </w:pPr>
      <w:r>
        <w:t xml:space="preserve">We </w:t>
      </w:r>
      <w:r w:rsidR="00AA096F">
        <w:rPr>
          <w:szCs w:val="22"/>
        </w:rPr>
        <w:t xml:space="preserve">find that the Station’s unauthorized silence between </w:t>
      </w:r>
      <w:r w:rsidR="00E626A9">
        <w:rPr>
          <w:szCs w:val="22"/>
        </w:rPr>
        <w:t>November 16, 2021</w:t>
      </w:r>
      <w:r w:rsidR="00AA096F">
        <w:rPr>
          <w:szCs w:val="22"/>
        </w:rPr>
        <w:t xml:space="preserve"> and </w:t>
      </w:r>
      <w:r w:rsidR="00E626A9">
        <w:rPr>
          <w:szCs w:val="22"/>
        </w:rPr>
        <w:t xml:space="preserve">March </w:t>
      </w:r>
      <w:r w:rsidR="006E5322">
        <w:rPr>
          <w:szCs w:val="22"/>
        </w:rPr>
        <w:t>16, 2022,</w:t>
      </w:r>
      <w:r w:rsidR="00AA096F">
        <w:rPr>
          <w:szCs w:val="22"/>
        </w:rPr>
        <w:t xml:space="preserve"> </w:t>
      </w:r>
      <w:r w:rsidR="00502C4F">
        <w:rPr>
          <w:szCs w:val="22"/>
        </w:rPr>
        <w:t xml:space="preserve">apparently </w:t>
      </w:r>
      <w:r w:rsidR="00AA096F">
        <w:rPr>
          <w:szCs w:val="22"/>
        </w:rPr>
        <w:t>violated section 73.561(d) of the Rules.</w:t>
      </w:r>
      <w:r>
        <w:rPr>
          <w:rStyle w:val="FootnoteReference"/>
          <w:szCs w:val="22"/>
        </w:rPr>
        <w:footnoteReference w:id="18"/>
      </w:r>
      <w:r w:rsidR="00AA096F">
        <w:rPr>
          <w:szCs w:val="22"/>
        </w:rPr>
        <w:t xml:space="preserve">  </w:t>
      </w:r>
      <w:r w:rsidR="00B94506">
        <w:rPr>
          <w:szCs w:val="22"/>
        </w:rPr>
        <w:t xml:space="preserve">In addition, we find that </w:t>
      </w:r>
      <w:r w:rsidR="006941A2">
        <w:rPr>
          <w:szCs w:val="22"/>
        </w:rPr>
        <w:t xml:space="preserve">Augustus’ failure </w:t>
      </w:r>
      <w:r w:rsidR="006941A2">
        <w:rPr>
          <w:szCs w:val="22"/>
        </w:rPr>
        <w:t>to maintain its STA to operate the Station at</w:t>
      </w:r>
      <w:r w:rsidR="00B94506">
        <w:rPr>
          <w:szCs w:val="22"/>
        </w:rPr>
        <w:t xml:space="preserve"> reduced power operations </w:t>
      </w:r>
      <w:r w:rsidR="00502C4F">
        <w:rPr>
          <w:szCs w:val="22"/>
        </w:rPr>
        <w:t xml:space="preserve">apparently </w:t>
      </w:r>
      <w:r w:rsidR="00935466">
        <w:rPr>
          <w:szCs w:val="22"/>
        </w:rPr>
        <w:t>violated</w:t>
      </w:r>
      <w:r w:rsidR="00B94506">
        <w:rPr>
          <w:szCs w:val="22"/>
        </w:rPr>
        <w:t xml:space="preserve"> </w:t>
      </w:r>
      <w:r w:rsidR="001803D0">
        <w:rPr>
          <w:szCs w:val="22"/>
        </w:rPr>
        <w:t>s</w:t>
      </w:r>
      <w:r w:rsidRPr="00733A2A" w:rsidR="000A15CA">
        <w:rPr>
          <w:szCs w:val="22"/>
        </w:rPr>
        <w:t>ection 301 of the Act, and sections 73.1350, 73.1560(a)(1), 73.1635, and 73.1745(a) of the Rules</w:t>
      </w:r>
      <w:r w:rsidRPr="00733A2A">
        <w:rPr>
          <w:szCs w:val="22"/>
        </w:rPr>
        <w:t>.</w:t>
      </w:r>
      <w:r>
        <w:rPr>
          <w:rStyle w:val="FootnoteReference"/>
          <w:szCs w:val="22"/>
        </w:rPr>
        <w:footnoteReference w:id="19"/>
      </w:r>
      <w:r w:rsidRPr="00733A2A">
        <w:rPr>
          <w:szCs w:val="22"/>
        </w:rPr>
        <w:t xml:space="preserve">  Below, we propose </w:t>
      </w:r>
      <w:r w:rsidR="00935466">
        <w:rPr>
          <w:szCs w:val="22"/>
        </w:rPr>
        <w:t xml:space="preserve">forfeitures totaling </w:t>
      </w:r>
      <w:r w:rsidR="00502C4F">
        <w:rPr>
          <w:szCs w:val="22"/>
        </w:rPr>
        <w:t>eight</w:t>
      </w:r>
      <w:r w:rsidR="00C17A05">
        <w:rPr>
          <w:szCs w:val="22"/>
        </w:rPr>
        <w:t xml:space="preserve"> thousand dollars (</w:t>
      </w:r>
      <w:r w:rsidR="00935466">
        <w:rPr>
          <w:szCs w:val="22"/>
        </w:rPr>
        <w:t>$</w:t>
      </w:r>
      <w:r w:rsidR="00502C4F">
        <w:rPr>
          <w:szCs w:val="22"/>
        </w:rPr>
        <w:t>8</w:t>
      </w:r>
      <w:r w:rsidR="00935466">
        <w:rPr>
          <w:szCs w:val="22"/>
        </w:rPr>
        <w:t>,000</w:t>
      </w:r>
      <w:r w:rsidR="00C17A05">
        <w:rPr>
          <w:szCs w:val="22"/>
        </w:rPr>
        <w:t xml:space="preserve">) </w:t>
      </w:r>
      <w:r w:rsidRPr="00733A2A">
        <w:rPr>
          <w:szCs w:val="22"/>
        </w:rPr>
        <w:t xml:space="preserve">for these </w:t>
      </w:r>
      <w:r w:rsidR="00502C4F">
        <w:rPr>
          <w:szCs w:val="22"/>
        </w:rPr>
        <w:t xml:space="preserve">apparent </w:t>
      </w:r>
      <w:r w:rsidRPr="00733A2A">
        <w:rPr>
          <w:szCs w:val="22"/>
        </w:rPr>
        <w:t>violations.</w:t>
      </w:r>
    </w:p>
    <w:p w:rsidR="00B8495F" w:rsidP="00677CDA" w14:paraId="5BF6DAD1" w14:textId="39A8B2CD">
      <w:pPr>
        <w:pStyle w:val="Heading2"/>
      </w:pPr>
      <w:r>
        <w:t>Late-Filed Renewal Application</w:t>
      </w:r>
    </w:p>
    <w:p w:rsidR="00B8495F" w:rsidP="00542808" w14:paraId="0EDE6D1A" w14:textId="2723EE22">
      <w:pPr>
        <w:pStyle w:val="ParaNum"/>
      </w:pPr>
      <w:r>
        <w:t xml:space="preserve">We find that Augustus </w:t>
      </w:r>
      <w:r w:rsidR="00502C4F">
        <w:t xml:space="preserve">apparently </w:t>
      </w:r>
      <w:r>
        <w:t>violated Section 73.</w:t>
      </w:r>
      <w:r w:rsidR="00420E73">
        <w:t>3539(a)</w:t>
      </w:r>
      <w:r w:rsidR="00C17A05">
        <w:t xml:space="preserve"> of the Rules</w:t>
      </w:r>
      <w:r w:rsidR="00420E73">
        <w:t>.</w:t>
      </w:r>
      <w:r>
        <w:rPr>
          <w:rStyle w:val="FootnoteReference"/>
        </w:rPr>
        <w:footnoteReference w:id="20"/>
      </w:r>
      <w:r w:rsidR="00420E73">
        <w:t xml:space="preserve">  </w:t>
      </w:r>
      <w:r w:rsidR="001E626A">
        <w:t xml:space="preserve">An application for renewal of the Station’s license should have been filed by February 1, 2021, the first day of the fourth full calendar month prior to the Station’s license expiration date of June 17, 2021.  </w:t>
      </w:r>
      <w:r w:rsidR="00CA5475">
        <w:t>Augustus</w:t>
      </w:r>
      <w:r w:rsidRPr="00903125" w:rsidR="00903125">
        <w:t xml:space="preserve"> did not file the Application</w:t>
      </w:r>
      <w:r w:rsidR="003874F8">
        <w:t xml:space="preserve"> by that date</w:t>
      </w:r>
      <w:r w:rsidRPr="00903125" w:rsidR="00903125">
        <w:t>.</w:t>
      </w:r>
      <w:r>
        <w:rPr>
          <w:rStyle w:val="FootnoteReference"/>
        </w:rPr>
        <w:footnoteReference w:id="21"/>
      </w:r>
      <w:r w:rsidR="00420E73">
        <w:t xml:space="preserve">  Below, we propose a forfeiture of</w:t>
      </w:r>
      <w:r w:rsidR="00246027">
        <w:t xml:space="preserve"> </w:t>
      </w:r>
      <w:r w:rsidR="00C17A05">
        <w:t>three thousand</w:t>
      </w:r>
      <w:r w:rsidR="00246027">
        <w:t xml:space="preserve"> dollars ($</w:t>
      </w:r>
      <w:r w:rsidR="00C17A05">
        <w:t>3,0</w:t>
      </w:r>
      <w:r w:rsidR="00246027">
        <w:t>00)</w:t>
      </w:r>
      <w:r w:rsidR="00420E73">
        <w:t xml:space="preserve"> </w:t>
      </w:r>
      <w:r w:rsidR="00246027">
        <w:t>for</w:t>
      </w:r>
      <w:r w:rsidR="00420E73">
        <w:t xml:space="preserve"> this </w:t>
      </w:r>
      <w:r w:rsidR="00502C4F">
        <w:t xml:space="preserve">apparent </w:t>
      </w:r>
      <w:r w:rsidR="00420E73">
        <w:t>violation.</w:t>
      </w:r>
    </w:p>
    <w:p w:rsidR="00823C79" w:rsidRPr="00322EF1" w:rsidP="00677CDA" w14:paraId="4CB311F0" w14:textId="75D3DDF4">
      <w:pPr>
        <w:pStyle w:val="Heading2"/>
      </w:pPr>
      <w:r w:rsidRPr="00322EF1">
        <w:t>Proposed Forfeiture</w:t>
      </w:r>
    </w:p>
    <w:p w:rsidR="006675FE" w:rsidP="007B6120" w14:paraId="5928013B" w14:textId="5B0875E0">
      <w:pPr>
        <w:pStyle w:val="ParaNum"/>
        <w:rPr>
          <w:szCs w:val="22"/>
        </w:rPr>
      </w:pPr>
      <w:r w:rsidRPr="006675FE">
        <w:rPr>
          <w:szCs w:val="22"/>
        </w:rPr>
        <w:t xml:space="preserve">This NAL is issued pursuant to section 503(b)(1)(B) of the Act. </w:t>
      </w:r>
      <w:r w:rsidR="007D49DC">
        <w:rPr>
          <w:szCs w:val="22"/>
        </w:rPr>
        <w:t xml:space="preserve"> </w:t>
      </w:r>
      <w:r w:rsidRPr="006675FE">
        <w:rPr>
          <w:szCs w:val="22"/>
        </w:rPr>
        <w:t xml:space="preserve">Under that provision, a person who is found to have willfully or repeatedly failed to comply with any provision of the Act or any </w:t>
      </w:r>
      <w:r w:rsidRPr="006675FE">
        <w:rPr>
          <w:szCs w:val="22"/>
        </w:rPr>
        <w:t>rule, regulation, or order issued by the Commission shall be liable to the United States for a forfeiture penalty.</w:t>
      </w:r>
      <w:r>
        <w:rPr>
          <w:rStyle w:val="FootnoteReference"/>
          <w:szCs w:val="22"/>
        </w:rPr>
        <w:footnoteReference w:id="22"/>
      </w:r>
      <w:r w:rsidR="007D49DC">
        <w:rPr>
          <w:szCs w:val="22"/>
        </w:rPr>
        <w:t xml:space="preserve">  </w:t>
      </w:r>
      <w:r w:rsidRPr="006675FE">
        <w:rPr>
          <w:szCs w:val="22"/>
        </w:rPr>
        <w:t xml:space="preserve">Section 312(f)(1) of the Act defines willful as </w:t>
      </w:r>
      <w:r w:rsidR="007D49DC">
        <w:rPr>
          <w:szCs w:val="22"/>
        </w:rPr>
        <w:t>“</w:t>
      </w:r>
      <w:r w:rsidRPr="006675FE">
        <w:rPr>
          <w:szCs w:val="22"/>
        </w:rPr>
        <w:t>the conscious and deliberate commission or omission of [any] act, irrespective of any intent to violate</w:t>
      </w:r>
      <w:r w:rsidR="007D49DC">
        <w:rPr>
          <w:szCs w:val="22"/>
        </w:rPr>
        <w:t>”</w:t>
      </w:r>
      <w:r w:rsidRPr="006675FE">
        <w:rPr>
          <w:szCs w:val="22"/>
        </w:rPr>
        <w:t xml:space="preserve"> the law.</w:t>
      </w:r>
      <w:r>
        <w:rPr>
          <w:rStyle w:val="FootnoteReference"/>
          <w:szCs w:val="22"/>
        </w:rPr>
        <w:footnoteReference w:id="23"/>
      </w:r>
      <w:r w:rsidRPr="006675FE">
        <w:rPr>
          <w:szCs w:val="22"/>
        </w:rPr>
        <w:t xml:space="preserve"> </w:t>
      </w:r>
      <w:r w:rsidR="007D49DC">
        <w:rPr>
          <w:szCs w:val="22"/>
        </w:rPr>
        <w:t xml:space="preserve"> </w:t>
      </w:r>
      <w:r w:rsidRPr="006675FE">
        <w:rPr>
          <w:szCs w:val="22"/>
        </w:rPr>
        <w:t>The legislative history to section 312(f)(1) of the Act clarifies that this definition of willful applies to both sections 312 and 503(b) of the Act,</w:t>
      </w:r>
      <w:r>
        <w:rPr>
          <w:rStyle w:val="FootnoteReference"/>
          <w:szCs w:val="22"/>
        </w:rPr>
        <w:footnoteReference w:id="24"/>
      </w:r>
      <w:r w:rsidRPr="006675FE">
        <w:rPr>
          <w:szCs w:val="22"/>
        </w:rPr>
        <w:t xml:space="preserve"> and the Commission has so interpreted the term in the section 503(b) context.</w:t>
      </w:r>
      <w:r>
        <w:rPr>
          <w:rStyle w:val="FootnoteReference"/>
          <w:szCs w:val="22"/>
        </w:rPr>
        <w:footnoteReference w:id="25"/>
      </w:r>
      <w:r w:rsidRPr="006675FE">
        <w:rPr>
          <w:szCs w:val="22"/>
        </w:rPr>
        <w:t xml:space="preserve"> </w:t>
      </w:r>
      <w:r w:rsidR="00E73485">
        <w:rPr>
          <w:szCs w:val="22"/>
        </w:rPr>
        <w:t xml:space="preserve"> </w:t>
      </w:r>
      <w:r w:rsidRPr="006675FE">
        <w:rPr>
          <w:szCs w:val="22"/>
        </w:rPr>
        <w:t xml:space="preserve">Section 312(f)(2) of the Act provides that </w:t>
      </w:r>
      <w:r w:rsidR="00D47CEA">
        <w:rPr>
          <w:szCs w:val="22"/>
        </w:rPr>
        <w:t>“</w:t>
      </w:r>
      <w:r w:rsidRPr="006675FE">
        <w:rPr>
          <w:szCs w:val="22"/>
        </w:rPr>
        <w:t xml:space="preserve">[t]he term </w:t>
      </w:r>
      <w:r w:rsidR="00287D1F">
        <w:rPr>
          <w:szCs w:val="22"/>
        </w:rPr>
        <w:t>‘</w:t>
      </w:r>
      <w:r w:rsidRPr="006675FE">
        <w:rPr>
          <w:szCs w:val="22"/>
        </w:rPr>
        <w:t>repeated,</w:t>
      </w:r>
      <w:r w:rsidR="00287D1F">
        <w:rPr>
          <w:szCs w:val="22"/>
        </w:rPr>
        <w:t>’</w:t>
      </w:r>
      <w:r w:rsidRPr="006675FE">
        <w:rPr>
          <w:szCs w:val="22"/>
        </w:rPr>
        <w:t xml:space="preserve"> when used with reference to the commission or omission of any act, means the commission or omission of such act more than once or, if such commission or omission is continuous, for more than one day.</w:t>
      </w:r>
      <w:r w:rsidR="00D47CEA">
        <w:rPr>
          <w:szCs w:val="22"/>
        </w:rPr>
        <w:t>”</w:t>
      </w:r>
      <w:r>
        <w:rPr>
          <w:rStyle w:val="FootnoteReference"/>
          <w:szCs w:val="22"/>
        </w:rPr>
        <w:footnoteReference w:id="26"/>
      </w:r>
    </w:p>
    <w:p w:rsidR="008B0B92" w:rsidRPr="004F584D" w:rsidP="004F584D" w14:paraId="60B393C2" w14:textId="7EFCF254">
      <w:pPr>
        <w:pStyle w:val="ParaNum"/>
        <w:rPr>
          <w:iCs/>
          <w:szCs w:val="22"/>
        </w:rPr>
      </w:pPr>
      <w:r>
        <w:rPr>
          <w:iCs/>
          <w:szCs w:val="22"/>
        </w:rPr>
        <w:t>T</w:t>
      </w:r>
      <w:r w:rsidRPr="004F584D">
        <w:rPr>
          <w:iCs/>
          <w:szCs w:val="22"/>
        </w:rPr>
        <w:t xml:space="preserve">he Commission's </w:t>
      </w:r>
      <w:r w:rsidRPr="00A12164">
        <w:rPr>
          <w:i/>
          <w:szCs w:val="22"/>
        </w:rPr>
        <w:t>Forfeiture Policy Statement</w:t>
      </w:r>
      <w:r w:rsidRPr="004F584D">
        <w:rPr>
          <w:iCs/>
          <w:szCs w:val="22"/>
        </w:rPr>
        <w:t xml:space="preserve"> and section 1.80(b)(</w:t>
      </w:r>
      <w:r w:rsidR="00A12164">
        <w:rPr>
          <w:iCs/>
          <w:szCs w:val="22"/>
        </w:rPr>
        <w:t>10</w:t>
      </w:r>
      <w:r w:rsidRPr="004F584D">
        <w:rPr>
          <w:iCs/>
          <w:szCs w:val="22"/>
        </w:rPr>
        <w:t xml:space="preserve">) of the Rules establish a </w:t>
      </w:r>
      <w:r w:rsidRPr="000A5C37" w:rsidR="00A12164">
        <w:rPr>
          <w:szCs w:val="22"/>
        </w:rPr>
        <w:t xml:space="preserve">of </w:t>
      </w:r>
      <w:r w:rsidRPr="000877AC" w:rsidR="00A12164">
        <w:rPr>
          <w:szCs w:val="22"/>
        </w:rPr>
        <w:t>$5,000 for unauthorized discontinuance of service</w:t>
      </w:r>
      <w:r w:rsidR="00A12164">
        <w:rPr>
          <w:szCs w:val="22"/>
        </w:rPr>
        <w:t xml:space="preserve">, and </w:t>
      </w:r>
      <w:r w:rsidRPr="000877AC" w:rsidR="00A12164">
        <w:rPr>
          <w:szCs w:val="22"/>
        </w:rPr>
        <w:t xml:space="preserve">a base forfeiture amount </w:t>
      </w:r>
      <w:r w:rsidR="00736FB5">
        <w:rPr>
          <w:szCs w:val="22"/>
        </w:rPr>
        <w:t xml:space="preserve">of </w:t>
      </w:r>
      <w:r w:rsidRPr="000877AC" w:rsidR="00A12164">
        <w:rPr>
          <w:szCs w:val="22"/>
        </w:rPr>
        <w:t>$3,000 for failure to file required forms or information</w:t>
      </w:r>
      <w:r w:rsidRPr="004F584D">
        <w:rPr>
          <w:iCs/>
          <w:szCs w:val="22"/>
        </w:rPr>
        <w:t>.</w:t>
      </w:r>
      <w:r>
        <w:rPr>
          <w:rStyle w:val="FootnoteReference"/>
          <w:iCs/>
          <w:sz w:val="22"/>
          <w:szCs w:val="22"/>
        </w:rPr>
        <w:footnoteReference w:id="27"/>
      </w:r>
      <w:r w:rsidRPr="004F584D">
        <w:rPr>
          <w:iCs/>
          <w:szCs w:val="22"/>
        </w:rPr>
        <w:t xml:space="preserve"> </w:t>
      </w:r>
      <w:r w:rsidR="00F60812">
        <w:rPr>
          <w:iCs/>
          <w:szCs w:val="22"/>
        </w:rPr>
        <w:t xml:space="preserve"> </w:t>
      </w:r>
      <w:r w:rsidRPr="004F584D">
        <w:rPr>
          <w:iCs/>
          <w:szCs w:val="22"/>
        </w:rPr>
        <w:t xml:space="preserve">In determining the appropriate forfeiture amount, we may adjust the base amount upward or downward by considering the factors enumerated in section 503(b)(2)(E) of the Act, including </w:t>
      </w:r>
      <w:r w:rsidR="00F60812">
        <w:rPr>
          <w:iCs/>
          <w:szCs w:val="22"/>
        </w:rPr>
        <w:t>“</w:t>
      </w:r>
      <w:r w:rsidRPr="004F584D">
        <w:rPr>
          <w:iCs/>
          <w:szCs w:val="22"/>
        </w:rPr>
        <w:t>the nature, circumstances, extent and gravity of the violation, and, with respect to the violator, the degree of culpability, any history of prior offenses, ability to pay, and such other matters as justice may require.</w:t>
      </w:r>
      <w:r w:rsidR="00F60812">
        <w:rPr>
          <w:iCs/>
          <w:szCs w:val="22"/>
        </w:rPr>
        <w:t>”</w:t>
      </w:r>
      <w:r>
        <w:rPr>
          <w:rStyle w:val="FootnoteReference"/>
          <w:iCs/>
          <w:szCs w:val="22"/>
        </w:rPr>
        <w:footnoteReference w:id="28"/>
      </w:r>
    </w:p>
    <w:p w:rsidR="002D43EF" w:rsidRPr="00D25320" w:rsidP="00C85C00" w14:paraId="7D3ADBE8" w14:textId="4E208035">
      <w:pPr>
        <w:pStyle w:val="ParaNum"/>
        <w:rPr>
          <w:iCs/>
          <w:szCs w:val="22"/>
        </w:rPr>
      </w:pPr>
      <w:r>
        <w:rPr>
          <w:szCs w:val="22"/>
        </w:rPr>
        <w:t xml:space="preserve">As noted above, the Station was silent without Commission authorization between </w:t>
      </w:r>
      <w:r w:rsidR="00736FB5">
        <w:rPr>
          <w:szCs w:val="22"/>
        </w:rPr>
        <w:t>November 16, 202</w:t>
      </w:r>
      <w:r w:rsidR="003409D0">
        <w:rPr>
          <w:szCs w:val="22"/>
        </w:rPr>
        <w:t>1</w:t>
      </w:r>
      <w:r w:rsidR="00736FB5">
        <w:rPr>
          <w:szCs w:val="22"/>
        </w:rPr>
        <w:t xml:space="preserve">, </w:t>
      </w:r>
      <w:r>
        <w:rPr>
          <w:szCs w:val="22"/>
        </w:rPr>
        <w:t xml:space="preserve">and </w:t>
      </w:r>
      <w:r w:rsidR="00736FB5">
        <w:rPr>
          <w:szCs w:val="22"/>
        </w:rPr>
        <w:t>March 16, 202</w:t>
      </w:r>
      <w:r w:rsidR="003409D0">
        <w:rPr>
          <w:szCs w:val="22"/>
        </w:rPr>
        <w:t>2</w:t>
      </w:r>
      <w:r>
        <w:rPr>
          <w:szCs w:val="22"/>
        </w:rPr>
        <w:t xml:space="preserve">.  </w:t>
      </w:r>
      <w:r w:rsidR="001E7E3D">
        <w:rPr>
          <w:szCs w:val="22"/>
        </w:rPr>
        <w:t xml:space="preserve">Taking into consideration all of the factors required by section 503(b)(2)(E) of the Act and </w:t>
      </w:r>
      <w:r w:rsidRPr="001803D0" w:rsidR="001E7E3D">
        <w:rPr>
          <w:szCs w:val="22"/>
        </w:rPr>
        <w:t xml:space="preserve">the </w:t>
      </w:r>
      <w:r w:rsidRPr="003409D0" w:rsidR="001E7E3D">
        <w:rPr>
          <w:i/>
          <w:iCs/>
          <w:szCs w:val="22"/>
        </w:rPr>
        <w:t>Forfeiture Policy Statement</w:t>
      </w:r>
      <w:r w:rsidRPr="001803D0" w:rsidR="001E7E3D">
        <w:rPr>
          <w:szCs w:val="22"/>
        </w:rPr>
        <w:t xml:space="preserve">, </w:t>
      </w:r>
      <w:r w:rsidRPr="001803D0" w:rsidR="00934C3D">
        <w:rPr>
          <w:szCs w:val="22"/>
        </w:rPr>
        <w:t>we propose a</w:t>
      </w:r>
      <w:r w:rsidRPr="001803D0" w:rsidR="00B7339B">
        <w:rPr>
          <w:szCs w:val="22"/>
        </w:rPr>
        <w:t xml:space="preserve"> </w:t>
      </w:r>
      <w:r w:rsidRPr="001803D0" w:rsidR="00656D5A">
        <w:rPr>
          <w:szCs w:val="22"/>
        </w:rPr>
        <w:t>forfeiture</w:t>
      </w:r>
      <w:r w:rsidRPr="001803D0" w:rsidR="00B7339B">
        <w:rPr>
          <w:szCs w:val="22"/>
        </w:rPr>
        <w:t xml:space="preserve"> for the full $5,000 amount</w:t>
      </w:r>
      <w:r w:rsidRPr="001803D0" w:rsidR="00656D5A">
        <w:rPr>
          <w:szCs w:val="22"/>
        </w:rPr>
        <w:t xml:space="preserve"> </w:t>
      </w:r>
      <w:r w:rsidRPr="001803D0" w:rsidR="00CA1355">
        <w:rPr>
          <w:szCs w:val="22"/>
        </w:rPr>
        <w:t xml:space="preserve">for </w:t>
      </w:r>
      <w:r w:rsidRPr="001803D0" w:rsidR="001E7E3D">
        <w:rPr>
          <w:szCs w:val="22"/>
        </w:rPr>
        <w:t xml:space="preserve">this </w:t>
      </w:r>
      <w:r w:rsidR="00502C4F">
        <w:rPr>
          <w:szCs w:val="22"/>
        </w:rPr>
        <w:t xml:space="preserve">apparent </w:t>
      </w:r>
      <w:r w:rsidRPr="001803D0" w:rsidR="001E7E3D">
        <w:rPr>
          <w:szCs w:val="22"/>
        </w:rPr>
        <w:t xml:space="preserve">violation of section 73.561(d). </w:t>
      </w:r>
      <w:r w:rsidRPr="001803D0" w:rsidR="00B7339B">
        <w:rPr>
          <w:szCs w:val="22"/>
        </w:rPr>
        <w:t xml:space="preserve"> We</w:t>
      </w:r>
      <w:r w:rsidR="00B7339B">
        <w:rPr>
          <w:szCs w:val="22"/>
        </w:rPr>
        <w:t xml:space="preserve"> likewise propose a forfeiture for the full</w:t>
      </w:r>
      <w:r w:rsidR="001E7E3D">
        <w:rPr>
          <w:szCs w:val="22"/>
        </w:rPr>
        <w:t xml:space="preserve"> </w:t>
      </w:r>
      <w:r w:rsidRPr="00C85C00" w:rsidR="00CA1355">
        <w:rPr>
          <w:szCs w:val="22"/>
        </w:rPr>
        <w:t xml:space="preserve">$3,000 </w:t>
      </w:r>
      <w:r w:rsidR="00B7339B">
        <w:rPr>
          <w:szCs w:val="22"/>
        </w:rPr>
        <w:t xml:space="preserve">amount in relation to </w:t>
      </w:r>
      <w:r w:rsidR="00586C6B">
        <w:rPr>
          <w:szCs w:val="22"/>
        </w:rPr>
        <w:t>the Station’s</w:t>
      </w:r>
      <w:r w:rsidR="00C85C00">
        <w:rPr>
          <w:szCs w:val="22"/>
        </w:rPr>
        <w:t xml:space="preserve"> </w:t>
      </w:r>
      <w:r w:rsidRPr="00C85C00" w:rsidR="00ED7D3C">
        <w:rPr>
          <w:szCs w:val="22"/>
        </w:rPr>
        <w:t>failure to request an extension of its STA to operate the Station at reduced power</w:t>
      </w:r>
      <w:r w:rsidR="005A4F18">
        <w:rPr>
          <w:szCs w:val="22"/>
        </w:rPr>
        <w:t xml:space="preserve">, which resulted in </w:t>
      </w:r>
      <w:r w:rsidR="00D537FC">
        <w:rPr>
          <w:szCs w:val="22"/>
        </w:rPr>
        <w:t xml:space="preserve">the Station’s reduced power operations between September 22, 2022, and the present </w:t>
      </w:r>
      <w:r w:rsidR="00502C4F">
        <w:rPr>
          <w:szCs w:val="22"/>
        </w:rPr>
        <w:t>in apparent violation of</w:t>
      </w:r>
      <w:r w:rsidR="005A4F18">
        <w:rPr>
          <w:szCs w:val="22"/>
        </w:rPr>
        <w:t xml:space="preserve"> </w:t>
      </w:r>
      <w:r w:rsidR="001803D0">
        <w:rPr>
          <w:szCs w:val="22"/>
        </w:rPr>
        <w:t>s</w:t>
      </w:r>
      <w:r w:rsidRPr="00733A2A" w:rsidR="001803D0">
        <w:rPr>
          <w:szCs w:val="22"/>
        </w:rPr>
        <w:t>ection 301 of the Act, and sections 73.1350, 73.1560(a)(1), 73.1635, and 73.1745(a)</w:t>
      </w:r>
      <w:r w:rsidR="005A4F18">
        <w:rPr>
          <w:szCs w:val="22"/>
        </w:rPr>
        <w:t>.</w:t>
      </w:r>
      <w:r w:rsidR="00B7339B">
        <w:rPr>
          <w:szCs w:val="22"/>
        </w:rPr>
        <w:t xml:space="preserve"> </w:t>
      </w:r>
      <w:r w:rsidR="003409D0">
        <w:rPr>
          <w:szCs w:val="22"/>
        </w:rPr>
        <w:t xml:space="preserve"> </w:t>
      </w:r>
      <w:r w:rsidR="00B7339B">
        <w:rPr>
          <w:szCs w:val="22"/>
        </w:rPr>
        <w:t>Finally, we propose a forfeiture for the full</w:t>
      </w:r>
      <w:r w:rsidRPr="00C85C00" w:rsidR="00EB34F5">
        <w:rPr>
          <w:szCs w:val="22"/>
        </w:rPr>
        <w:t xml:space="preserve">  $</w:t>
      </w:r>
      <w:r w:rsidRPr="00C85C00" w:rsidR="008A5ED1">
        <w:rPr>
          <w:szCs w:val="22"/>
        </w:rPr>
        <w:t>3</w:t>
      </w:r>
      <w:r w:rsidRPr="00C85C00" w:rsidR="00EB34F5">
        <w:rPr>
          <w:szCs w:val="22"/>
        </w:rPr>
        <w:t>,</w:t>
      </w:r>
      <w:r w:rsidRPr="00C85C00" w:rsidR="008A5ED1">
        <w:rPr>
          <w:szCs w:val="22"/>
        </w:rPr>
        <w:t>0</w:t>
      </w:r>
      <w:r w:rsidRPr="00C85C00" w:rsidR="00EB34F5">
        <w:rPr>
          <w:szCs w:val="22"/>
        </w:rPr>
        <w:t xml:space="preserve">00 </w:t>
      </w:r>
      <w:r w:rsidR="00B7339B">
        <w:rPr>
          <w:szCs w:val="22"/>
        </w:rPr>
        <w:t xml:space="preserve">amount </w:t>
      </w:r>
      <w:r w:rsidRPr="00C85C00" w:rsidR="00EB34F5">
        <w:rPr>
          <w:szCs w:val="22"/>
        </w:rPr>
        <w:t xml:space="preserve">for </w:t>
      </w:r>
      <w:r w:rsidR="00A31513">
        <w:rPr>
          <w:szCs w:val="22"/>
        </w:rPr>
        <w:t xml:space="preserve">Augustus’ </w:t>
      </w:r>
      <w:r w:rsidRPr="00C85C00" w:rsidR="00EB34F5">
        <w:rPr>
          <w:szCs w:val="22"/>
        </w:rPr>
        <w:t xml:space="preserve">failure to file </w:t>
      </w:r>
      <w:r w:rsidR="00A31513">
        <w:rPr>
          <w:szCs w:val="22"/>
        </w:rPr>
        <w:t>the Renewal Application by February 1, 202</w:t>
      </w:r>
      <w:r w:rsidR="00896E97">
        <w:rPr>
          <w:szCs w:val="22"/>
        </w:rPr>
        <w:t>1,</w:t>
      </w:r>
      <w:r w:rsidR="005A4F18">
        <w:rPr>
          <w:szCs w:val="22"/>
        </w:rPr>
        <w:t xml:space="preserve"> </w:t>
      </w:r>
      <w:r w:rsidR="00896E97">
        <w:rPr>
          <w:szCs w:val="22"/>
        </w:rPr>
        <w:t xml:space="preserve">which </w:t>
      </w:r>
      <w:r w:rsidR="00502C4F">
        <w:rPr>
          <w:szCs w:val="22"/>
        </w:rPr>
        <w:t xml:space="preserve">apparently </w:t>
      </w:r>
      <w:r w:rsidR="00896E97">
        <w:rPr>
          <w:szCs w:val="22"/>
        </w:rPr>
        <w:t>violated</w:t>
      </w:r>
      <w:r w:rsidR="005A4F18">
        <w:rPr>
          <w:szCs w:val="22"/>
        </w:rPr>
        <w:t xml:space="preserve"> section 73.3539 of the Rules</w:t>
      </w:r>
      <w:r w:rsidRPr="00C85C00" w:rsidR="00EB34F5">
        <w:rPr>
          <w:szCs w:val="22"/>
        </w:rPr>
        <w:t>.</w:t>
      </w:r>
      <w:r w:rsidRPr="00C85C00" w:rsidR="000877AC">
        <w:rPr>
          <w:szCs w:val="22"/>
        </w:rPr>
        <w:t xml:space="preserve">  </w:t>
      </w:r>
    </w:p>
    <w:p w:rsidR="006C2AF8" w:rsidRPr="00322EF1" w:rsidP="00677CDA" w14:paraId="520F50D4" w14:textId="5A0071EB">
      <w:pPr>
        <w:pStyle w:val="Heading2"/>
        <w:rPr>
          <w:rStyle w:val="ssleftalign"/>
        </w:rPr>
      </w:pPr>
      <w:r w:rsidRPr="00322EF1">
        <w:rPr>
          <w:rStyle w:val="ssleftalign"/>
        </w:rPr>
        <w:t>Renewal Application</w:t>
      </w:r>
    </w:p>
    <w:p w:rsidR="00AF6660" w:rsidRPr="00322EF1" w:rsidP="00B53F73" w14:paraId="130EF57E" w14:textId="77777777">
      <w:pPr>
        <w:pStyle w:val="ParaNum"/>
        <w:widowControl/>
        <w:rPr>
          <w:szCs w:val="22"/>
        </w:rPr>
      </w:pPr>
      <w:r w:rsidRPr="00322EF1">
        <w:rPr>
          <w:szCs w:val="22"/>
        </w:rPr>
        <w:t xml:space="preserve">In evaluating an application for </w:t>
      </w:r>
      <w:r w:rsidRPr="00322EF1" w:rsidR="00C925F6">
        <w:rPr>
          <w:szCs w:val="22"/>
        </w:rPr>
        <w:t>license renewal, the Commission’</w:t>
      </w:r>
      <w:r w:rsidRPr="00322EF1">
        <w:rPr>
          <w:szCs w:val="22"/>
        </w:rPr>
        <w:t>s decision is governed by Section 309(k) of the Act.</w:t>
      </w:r>
      <w:r>
        <w:rPr>
          <w:rStyle w:val="FootnoteReference"/>
          <w:sz w:val="22"/>
          <w:szCs w:val="22"/>
        </w:rPr>
        <w:footnoteReference w:id="29"/>
      </w:r>
      <w:r w:rsidRPr="00322EF1">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30"/>
      </w:r>
      <w:r w:rsidRPr="00322EF1">
        <w:rPr>
          <w:szCs w:val="22"/>
        </w:rPr>
        <w:t xml:space="preserve">  If, however, the licensee fails to meet that standard, the Commission may deny the application—after notice and opportunity for a hearing under Section 309(e) of the Act—or grant the application “on terms and </w:t>
      </w:r>
      <w:r w:rsidRPr="00322EF1">
        <w:rPr>
          <w:szCs w:val="22"/>
        </w:rPr>
        <w:t>conditions that are appropriate, including a renewal for a term less than the maximum otherwise permitted.”</w:t>
      </w:r>
      <w:r>
        <w:rPr>
          <w:rStyle w:val="FootnoteReference"/>
          <w:sz w:val="22"/>
          <w:szCs w:val="22"/>
        </w:rPr>
        <w:footnoteReference w:id="31"/>
      </w:r>
      <w:r w:rsidRPr="00322EF1">
        <w:rPr>
          <w:szCs w:val="22"/>
        </w:rPr>
        <w:t xml:space="preserve">  </w:t>
      </w:r>
    </w:p>
    <w:p w:rsidR="00B1296A" w:rsidP="00B1296A" w14:paraId="00B1CD3A" w14:textId="737F0A2B">
      <w:pPr>
        <w:pStyle w:val="ParaNum"/>
        <w:rPr>
          <w:szCs w:val="22"/>
        </w:rPr>
      </w:pPr>
      <w:r w:rsidRPr="001B2166">
        <w:rPr>
          <w:szCs w:val="22"/>
        </w:rPr>
        <w:t xml:space="preserve">In this case, </w:t>
      </w:r>
      <w:r w:rsidR="003D125E">
        <w:rPr>
          <w:szCs w:val="22"/>
        </w:rPr>
        <w:t>Augustus’</w:t>
      </w:r>
      <w:r w:rsidRPr="001B2166">
        <w:rPr>
          <w:szCs w:val="22"/>
        </w:rPr>
        <w:t xml:space="preserve"> </w:t>
      </w:r>
      <w:r w:rsidRPr="001B2166" w:rsidR="000C3770">
        <w:rPr>
          <w:szCs w:val="22"/>
        </w:rPr>
        <w:t>operation of the Station during its most recent license term does not warrant</w:t>
      </w:r>
      <w:r w:rsidRPr="001B2166">
        <w:rPr>
          <w:szCs w:val="22"/>
        </w:rPr>
        <w:t xml:space="preserve"> routine license renewal.  </w:t>
      </w:r>
      <w:r w:rsidRPr="001B2166" w:rsidR="00095F84">
        <w:rPr>
          <w:color w:val="000000"/>
          <w:szCs w:val="22"/>
        </w:rPr>
        <w:t>As</w:t>
      </w:r>
      <w:r w:rsidRPr="001B2166" w:rsidR="00AD139C">
        <w:rPr>
          <w:color w:val="000000"/>
          <w:szCs w:val="22"/>
        </w:rPr>
        <w:t xml:space="preserve"> discussed above,</w:t>
      </w:r>
      <w:r w:rsidRPr="001B2166" w:rsidR="00095F84">
        <w:rPr>
          <w:color w:val="000000"/>
          <w:szCs w:val="22"/>
        </w:rPr>
        <w:t xml:space="preserve"> </w:t>
      </w:r>
      <w:r w:rsidR="00216CC2">
        <w:rPr>
          <w:color w:val="000000"/>
          <w:szCs w:val="22"/>
        </w:rPr>
        <w:t xml:space="preserve">the Station was silent without Commission authorization.  In addition, Augustus failed to </w:t>
      </w:r>
      <w:r w:rsidR="00F74429">
        <w:rPr>
          <w:color w:val="000000"/>
          <w:szCs w:val="22"/>
        </w:rPr>
        <w:t xml:space="preserve">request an extension of its </w:t>
      </w:r>
      <w:r w:rsidR="00CC451C">
        <w:rPr>
          <w:color w:val="000000"/>
          <w:szCs w:val="22"/>
        </w:rPr>
        <w:t xml:space="preserve">reduced power </w:t>
      </w:r>
      <w:r w:rsidR="00F74429">
        <w:rPr>
          <w:color w:val="000000"/>
          <w:szCs w:val="22"/>
        </w:rPr>
        <w:t xml:space="preserve">STA, </w:t>
      </w:r>
      <w:r w:rsidR="00514E57">
        <w:rPr>
          <w:color w:val="000000"/>
          <w:szCs w:val="22"/>
        </w:rPr>
        <w:t>and has engaged</w:t>
      </w:r>
      <w:r w:rsidR="00F74429">
        <w:rPr>
          <w:color w:val="000000"/>
          <w:szCs w:val="22"/>
        </w:rPr>
        <w:t xml:space="preserve"> in </w:t>
      </w:r>
      <w:r w:rsidR="00CC451C">
        <w:rPr>
          <w:color w:val="000000"/>
          <w:szCs w:val="22"/>
        </w:rPr>
        <w:t>unauthorized</w:t>
      </w:r>
      <w:r w:rsidR="00514E57">
        <w:rPr>
          <w:color w:val="000000"/>
          <w:szCs w:val="22"/>
        </w:rPr>
        <w:t xml:space="preserve"> reduced power</w:t>
      </w:r>
      <w:r w:rsidR="00CC451C">
        <w:rPr>
          <w:color w:val="000000"/>
          <w:szCs w:val="22"/>
        </w:rPr>
        <w:t xml:space="preserve"> operation of the Station </w:t>
      </w:r>
      <w:r w:rsidR="003F1020">
        <w:rPr>
          <w:color w:val="000000"/>
          <w:szCs w:val="22"/>
        </w:rPr>
        <w:t xml:space="preserve">since </w:t>
      </w:r>
      <w:r w:rsidR="00CC451C">
        <w:rPr>
          <w:color w:val="000000"/>
          <w:szCs w:val="22"/>
        </w:rPr>
        <w:t>that STA expired</w:t>
      </w:r>
      <w:r>
        <w:rPr>
          <w:color w:val="000000"/>
          <w:szCs w:val="22"/>
        </w:rPr>
        <w:t xml:space="preserve">.  </w:t>
      </w:r>
      <w:r w:rsidR="00CC451C">
        <w:rPr>
          <w:color w:val="000000"/>
          <w:szCs w:val="22"/>
        </w:rPr>
        <w:t>Finally</w:t>
      </w:r>
      <w:r>
        <w:rPr>
          <w:color w:val="000000"/>
          <w:szCs w:val="22"/>
        </w:rPr>
        <w:t xml:space="preserve">, Augustus filed the Renewal Application more than a year </w:t>
      </w:r>
      <w:r w:rsidR="007E6926">
        <w:rPr>
          <w:color w:val="000000"/>
          <w:szCs w:val="22"/>
        </w:rPr>
        <w:t>late</w:t>
      </w:r>
      <w:r w:rsidR="00C32800">
        <w:rPr>
          <w:color w:val="000000"/>
          <w:szCs w:val="22"/>
        </w:rPr>
        <w:t>.</w:t>
      </w:r>
    </w:p>
    <w:p w:rsidR="00D136AE" w:rsidRPr="00D136AE" w:rsidP="00B1296A" w14:paraId="793C343F" w14:textId="4FE3433A">
      <w:pPr>
        <w:pStyle w:val="ParaNum"/>
        <w:rPr>
          <w:szCs w:val="22"/>
        </w:rPr>
      </w:pPr>
      <w:r w:rsidRPr="00B1296A">
        <w:rPr>
          <w:color w:val="000000"/>
          <w:szCs w:val="22"/>
        </w:rPr>
        <w:t xml:space="preserve">Despite </w:t>
      </w:r>
      <w:r w:rsidR="00514E57">
        <w:rPr>
          <w:color w:val="000000"/>
          <w:szCs w:val="22"/>
        </w:rPr>
        <w:t>this</w:t>
      </w:r>
      <w:r w:rsidRPr="00B1296A">
        <w:rPr>
          <w:color w:val="000000"/>
          <w:szCs w:val="22"/>
        </w:rPr>
        <w:t xml:space="preserve">, we find that </w:t>
      </w:r>
      <w:r w:rsidR="007E6926">
        <w:rPr>
          <w:color w:val="000000"/>
          <w:szCs w:val="22"/>
        </w:rPr>
        <w:t>Augustus’</w:t>
      </w:r>
      <w:r w:rsidRPr="00B1296A">
        <w:rPr>
          <w:color w:val="000000"/>
          <w:szCs w:val="22"/>
        </w:rPr>
        <w:t xml:space="preserve"> </w:t>
      </w:r>
      <w:r w:rsidR="00502C4F">
        <w:rPr>
          <w:color w:val="000000"/>
          <w:szCs w:val="22"/>
        </w:rPr>
        <w:t xml:space="preserve">apparent </w:t>
      </w:r>
      <w:r w:rsidRPr="00B1296A">
        <w:rPr>
          <w:color w:val="000000"/>
          <w:szCs w:val="22"/>
        </w:rPr>
        <w:t xml:space="preserve">violations of </w:t>
      </w:r>
      <w:r>
        <w:rPr>
          <w:color w:val="000000"/>
          <w:szCs w:val="22"/>
        </w:rPr>
        <w:t xml:space="preserve">the Act and </w:t>
      </w:r>
      <w:r w:rsidRPr="00B1296A">
        <w:rPr>
          <w:szCs w:val="22"/>
        </w:rPr>
        <w:t>the Rules</w:t>
      </w:r>
      <w:r w:rsidRPr="00B1296A">
        <w:rPr>
          <w:color w:val="000000"/>
          <w:szCs w:val="22"/>
        </w:rPr>
        <w:t xml:space="preserve"> do not constitute “serious violations</w:t>
      </w:r>
      <w:r w:rsidRPr="00B1296A" w:rsidR="00423A49">
        <w:rPr>
          <w:color w:val="000000"/>
          <w:szCs w:val="22"/>
        </w:rPr>
        <w:t>” under section 309(</w:t>
      </w:r>
      <w:r w:rsidRPr="00B1296A" w:rsidR="008D2A5D">
        <w:rPr>
          <w:color w:val="000000"/>
          <w:szCs w:val="22"/>
        </w:rPr>
        <w:t>k</w:t>
      </w:r>
      <w:r w:rsidRPr="00B1296A" w:rsidR="00423A49">
        <w:rPr>
          <w:color w:val="000000"/>
          <w:szCs w:val="22"/>
        </w:rPr>
        <w:t>) of the Act.</w:t>
      </w:r>
      <w:r w:rsidRPr="00B1296A">
        <w:rPr>
          <w:color w:val="000000"/>
          <w:szCs w:val="22"/>
        </w:rPr>
        <w:t xml:space="preserve"> </w:t>
      </w:r>
      <w:r w:rsidRPr="00B1296A" w:rsidR="00423A49">
        <w:rPr>
          <w:color w:val="000000"/>
          <w:szCs w:val="22"/>
        </w:rPr>
        <w:t xml:space="preserve"> </w:t>
      </w:r>
      <w:r w:rsidRPr="00B1296A">
        <w:rPr>
          <w:color w:val="000000"/>
          <w:szCs w:val="22"/>
        </w:rPr>
        <w:t>Moreover, we find no evidence of violations that, when considered together, constitute a pattern of abuse.</w:t>
      </w:r>
      <w:r w:rsidRPr="00B1296A" w:rsidR="00423A49">
        <w:rPr>
          <w:color w:val="000000"/>
          <w:szCs w:val="22"/>
        </w:rPr>
        <w:t xml:space="preserve">  Finally</w:t>
      </w:r>
      <w:r w:rsidRPr="00B1296A">
        <w:rPr>
          <w:color w:val="000000"/>
          <w:szCs w:val="22"/>
        </w:rPr>
        <w:t>, we find that the Station served the public interest, convenience, and necessity during the subject license term.</w:t>
      </w:r>
      <w:r w:rsidRPr="00B1296A" w:rsidR="00423A49">
        <w:rPr>
          <w:color w:val="000000"/>
          <w:szCs w:val="22"/>
        </w:rPr>
        <w:t xml:space="preserve">  </w:t>
      </w:r>
    </w:p>
    <w:p w:rsidR="00226D8F" w:rsidRPr="00B1296A" w:rsidP="00B1296A" w14:paraId="209B2FFF" w14:textId="612E61E5">
      <w:pPr>
        <w:pStyle w:val="ParaNum"/>
        <w:rPr>
          <w:szCs w:val="22"/>
        </w:rPr>
      </w:pPr>
      <w:r w:rsidRPr="00B1296A">
        <w:rPr>
          <w:color w:val="000000"/>
          <w:szCs w:val="22"/>
        </w:rPr>
        <w:t>Based on these findings, we</w:t>
      </w:r>
      <w:r w:rsidRPr="00B1296A" w:rsidR="00111AEA">
        <w:rPr>
          <w:color w:val="000000"/>
          <w:szCs w:val="22"/>
        </w:rPr>
        <w:t xml:space="preserve"> do not conclude that designation </w:t>
      </w:r>
      <w:r w:rsidR="00D136AE">
        <w:rPr>
          <w:color w:val="000000"/>
          <w:szCs w:val="22"/>
        </w:rPr>
        <w:t xml:space="preserve">of the Renewal Application </w:t>
      </w:r>
      <w:r w:rsidRPr="00B1296A" w:rsidR="00111AEA">
        <w:rPr>
          <w:color w:val="000000"/>
          <w:szCs w:val="22"/>
        </w:rPr>
        <w:t>for evidentiary hearing is warranted here</w:t>
      </w:r>
      <w:r w:rsidRPr="00B1296A" w:rsidR="009D277E">
        <w:rPr>
          <w:color w:val="000000"/>
          <w:szCs w:val="22"/>
        </w:rPr>
        <w:t xml:space="preserve">, particularly in light of </w:t>
      </w:r>
      <w:r w:rsidRPr="00B1296A" w:rsidR="00DA0125">
        <w:rPr>
          <w:color w:val="000000"/>
          <w:szCs w:val="22"/>
        </w:rPr>
        <w:t>the forfeiture</w:t>
      </w:r>
      <w:r w:rsidRPr="00B1296A" w:rsidR="009D277E">
        <w:rPr>
          <w:color w:val="000000"/>
          <w:szCs w:val="22"/>
        </w:rPr>
        <w:t xml:space="preserve"> </w:t>
      </w:r>
      <w:r w:rsidRPr="00B1296A" w:rsidR="00DA0125">
        <w:rPr>
          <w:color w:val="000000"/>
          <w:szCs w:val="22"/>
        </w:rPr>
        <w:t>proposed herein</w:t>
      </w:r>
      <w:r w:rsidRPr="00B1296A">
        <w:rPr>
          <w:color w:val="000000"/>
          <w:szCs w:val="22"/>
        </w:rPr>
        <w:t>.</w:t>
      </w:r>
      <w:r w:rsidRPr="00B1296A" w:rsidR="00111AEA">
        <w:rPr>
          <w:color w:val="000000"/>
          <w:szCs w:val="22"/>
        </w:rPr>
        <w:t xml:space="preserve">  </w:t>
      </w:r>
      <w:r w:rsidRPr="00B1296A" w:rsidR="003C6DFA">
        <w:rPr>
          <w:color w:val="000000"/>
          <w:szCs w:val="22"/>
        </w:rPr>
        <w:t>Instead</w:t>
      </w:r>
      <w:r w:rsidRPr="00B1296A">
        <w:rPr>
          <w:color w:val="000000"/>
          <w:szCs w:val="22"/>
        </w:rPr>
        <w:t>, we put in place</w:t>
      </w:r>
      <w:r w:rsidRPr="00B1296A" w:rsidR="00111AEA">
        <w:rPr>
          <w:color w:val="000000"/>
          <w:szCs w:val="22"/>
        </w:rPr>
        <w:t xml:space="preserve"> additional measures to ensure that </w:t>
      </w:r>
      <w:r w:rsidRPr="00B1296A" w:rsidR="000E591C">
        <w:rPr>
          <w:color w:val="000000"/>
          <w:szCs w:val="22"/>
        </w:rPr>
        <w:t>the Station</w:t>
      </w:r>
      <w:r w:rsidRPr="00B1296A" w:rsidR="00111AEA">
        <w:rPr>
          <w:color w:val="000000"/>
          <w:szCs w:val="22"/>
        </w:rPr>
        <w:t xml:space="preserve"> complies with the Act and the Rules in the future.</w:t>
      </w:r>
      <w:r w:rsidRPr="00B1296A" w:rsidR="00111AEA">
        <w:rPr>
          <w:szCs w:val="22"/>
        </w:rPr>
        <w:t xml:space="preserve">  </w:t>
      </w:r>
      <w:r w:rsidRPr="00B1296A">
        <w:rPr>
          <w:szCs w:val="22"/>
        </w:rPr>
        <w:t>Specifically</w:t>
      </w:r>
      <w:r w:rsidRPr="00B1296A">
        <w:rPr>
          <w:szCs w:val="22"/>
        </w:rPr>
        <w:t xml:space="preserve">, pursuant to Section 309(k)(2) of the Act, </w:t>
      </w:r>
      <w:r w:rsidRPr="00B1296A" w:rsidR="00AF6660">
        <w:rPr>
          <w:szCs w:val="22"/>
        </w:rPr>
        <w:t xml:space="preserve">upon resolution of the forfeiture proceeding commenced herein and so long as there are no other issues that would preclude grant, </w:t>
      </w:r>
      <w:r w:rsidRPr="00B1296A">
        <w:rPr>
          <w:szCs w:val="22"/>
        </w:rPr>
        <w:t xml:space="preserve">we </w:t>
      </w:r>
      <w:r w:rsidRPr="00B1296A">
        <w:rPr>
          <w:szCs w:val="22"/>
        </w:rPr>
        <w:t>will</w:t>
      </w:r>
      <w:r w:rsidRPr="00B1296A" w:rsidR="00AF6660">
        <w:rPr>
          <w:szCs w:val="22"/>
        </w:rPr>
        <w:t xml:space="preserve"> renew the Station’s license for a term of two years</w:t>
      </w:r>
      <w:r w:rsidRPr="00B1296A">
        <w:rPr>
          <w:szCs w:val="22"/>
        </w:rPr>
        <w:t xml:space="preserve">.  </w:t>
      </w:r>
      <w:r w:rsidRPr="00B1296A" w:rsidR="008D2A5D">
        <w:rPr>
          <w:szCs w:val="22"/>
        </w:rPr>
        <w:t>T</w:t>
      </w:r>
      <w:r w:rsidRPr="00B1296A">
        <w:rPr>
          <w:szCs w:val="22"/>
        </w:rPr>
        <w:t xml:space="preserve">his </w:t>
      </w:r>
      <w:r w:rsidRPr="00B1296A" w:rsidR="00AF6660">
        <w:rPr>
          <w:szCs w:val="22"/>
        </w:rPr>
        <w:t>short-term</w:t>
      </w:r>
      <w:r w:rsidRPr="00B1296A">
        <w:rPr>
          <w:szCs w:val="22"/>
        </w:rPr>
        <w:t xml:space="preserve"> renewal will afford the Commission an opportunity to review the Station’s compliance with the Act and the </w:t>
      </w:r>
      <w:r w:rsidRPr="00B1296A" w:rsidR="00F00443">
        <w:rPr>
          <w:szCs w:val="22"/>
        </w:rPr>
        <w:t>Rules</w:t>
      </w:r>
      <w:r w:rsidRPr="00B1296A">
        <w:rPr>
          <w:szCs w:val="22"/>
        </w:rPr>
        <w:t xml:space="preserve"> and to take whatever corrective actions, if any, that may be warranted at that time.</w:t>
      </w:r>
    </w:p>
    <w:p w:rsidR="00823C79" w:rsidRPr="00322EF1" w:rsidP="00823C79" w14:paraId="1E243C13" w14:textId="52C40A17">
      <w:pPr>
        <w:pStyle w:val="Heading1"/>
        <w:rPr>
          <w:rFonts w:ascii="Times New Roman" w:hAnsi="Times New Roman"/>
          <w:szCs w:val="22"/>
        </w:rPr>
      </w:pPr>
      <w:r w:rsidRPr="00322EF1">
        <w:rPr>
          <w:rFonts w:ascii="Times New Roman" w:hAnsi="Times New Roman"/>
          <w:szCs w:val="22"/>
        </w:rPr>
        <w:t>ordering clauses</w:t>
      </w:r>
    </w:p>
    <w:p w:rsidR="00281E2A" w:rsidP="00BC6EFB" w14:paraId="23E2D279" w14:textId="00EFCE2C">
      <w:pPr>
        <w:pStyle w:val="ParaNum"/>
        <w:rPr>
          <w:szCs w:val="22"/>
        </w:rPr>
      </w:pPr>
      <w:r w:rsidRPr="00322EF1">
        <w:rPr>
          <w:szCs w:val="22"/>
        </w:rPr>
        <w:t>Accordingly,</w:t>
      </w:r>
      <w:r w:rsidRPr="00322EF1" w:rsidR="00653C8A">
        <w:rPr>
          <w:szCs w:val="22"/>
        </w:rPr>
        <w:t xml:space="preserve"> </w:t>
      </w:r>
      <w:r w:rsidRPr="00322EF1" w:rsidR="00DA4867">
        <w:rPr>
          <w:b/>
          <w:bCs/>
          <w:szCs w:val="22"/>
        </w:rPr>
        <w:t>IT IS ORDERED</w:t>
      </w:r>
      <w:r w:rsidRPr="00322EF1" w:rsidR="000875CB">
        <w:rPr>
          <w:szCs w:val="22"/>
        </w:rPr>
        <w:t>,</w:t>
      </w:r>
      <w:r w:rsidRPr="00322EF1" w:rsidR="004575A5">
        <w:rPr>
          <w:szCs w:val="22"/>
        </w:rPr>
        <w:t xml:space="preserve"> </w:t>
      </w:r>
      <w:r w:rsidRPr="00FF74C5" w:rsidR="00FF74C5">
        <w:rPr>
          <w:szCs w:val="22"/>
        </w:rPr>
        <w:t xml:space="preserve">that </w:t>
      </w:r>
      <w:r w:rsidR="00FF74C5">
        <w:rPr>
          <w:szCs w:val="22"/>
        </w:rPr>
        <w:t xml:space="preserve">Augustus Foundation, Inc., </w:t>
      </w:r>
      <w:r w:rsidRPr="00FF74C5" w:rsidR="00FF74C5">
        <w:rPr>
          <w:b/>
          <w:bCs/>
          <w:szCs w:val="22"/>
        </w:rPr>
        <w:t>IS HEREBY ADMONISHED</w:t>
      </w:r>
      <w:r w:rsidRPr="00FF74C5" w:rsidR="00FF74C5">
        <w:rPr>
          <w:szCs w:val="22"/>
        </w:rPr>
        <w:t xml:space="preserve"> for </w:t>
      </w:r>
      <w:r w:rsidR="00FF74C5">
        <w:rPr>
          <w:szCs w:val="22"/>
        </w:rPr>
        <w:t xml:space="preserve">its </w:t>
      </w:r>
      <w:r w:rsidRPr="00FF74C5" w:rsidR="00FF74C5">
        <w:rPr>
          <w:szCs w:val="22"/>
        </w:rPr>
        <w:t xml:space="preserve">violation of Section 1.17 of the </w:t>
      </w:r>
      <w:r w:rsidR="00FF74C5">
        <w:rPr>
          <w:szCs w:val="22"/>
        </w:rPr>
        <w:t>Commission’s rules</w:t>
      </w:r>
      <w:r w:rsidRPr="00FF74C5" w:rsidR="00FF74C5">
        <w:rPr>
          <w:szCs w:val="22"/>
        </w:rPr>
        <w:t>.</w:t>
      </w:r>
    </w:p>
    <w:p w:rsidR="00823C79" w:rsidRPr="00322EF1" w:rsidP="00BC6EFB" w14:paraId="2A39BA6E" w14:textId="285F7AA5">
      <w:pPr>
        <w:pStyle w:val="ParaNum"/>
        <w:rPr>
          <w:szCs w:val="22"/>
        </w:rPr>
      </w:pPr>
      <w:r w:rsidRPr="00281E2A">
        <w:rPr>
          <w:b/>
          <w:bCs/>
          <w:szCs w:val="22"/>
        </w:rPr>
        <w:t>IT IS FURTHER ORDERED</w:t>
      </w:r>
      <w:r>
        <w:rPr>
          <w:szCs w:val="22"/>
        </w:rPr>
        <w:t xml:space="preserve">, </w:t>
      </w:r>
      <w:r w:rsidRPr="00322EF1">
        <w:rPr>
          <w:szCs w:val="22"/>
        </w:rPr>
        <w:t xml:space="preserve">pursuant to Section 503(b) of the Communications Act of 1934, as amended, and Sections 0.283 and 1.80 of the Commission’s </w:t>
      </w:r>
      <w:r w:rsidR="003A2CC2">
        <w:rPr>
          <w:szCs w:val="22"/>
        </w:rPr>
        <w:t>r</w:t>
      </w:r>
      <w:r w:rsidRPr="00322EF1">
        <w:rPr>
          <w:szCs w:val="22"/>
        </w:rPr>
        <w:t xml:space="preserve">ules, that </w:t>
      </w:r>
      <w:r>
        <w:rPr>
          <w:szCs w:val="22"/>
        </w:rPr>
        <w:t>Augustus Foundation, Inc.</w:t>
      </w:r>
      <w:r w:rsidRPr="00322EF1" w:rsidR="004575A5">
        <w:rPr>
          <w:szCs w:val="22"/>
        </w:rPr>
        <w:t xml:space="preserve">, </w:t>
      </w:r>
      <w:r w:rsidRPr="00322EF1">
        <w:rPr>
          <w:szCs w:val="22"/>
        </w:rPr>
        <w:t xml:space="preserve">is hereby </w:t>
      </w:r>
      <w:r w:rsidRPr="00322EF1">
        <w:rPr>
          <w:b/>
          <w:bCs/>
          <w:szCs w:val="22"/>
        </w:rPr>
        <w:t>NOTIFIED</w:t>
      </w:r>
      <w:r w:rsidRPr="00322EF1">
        <w:rPr>
          <w:szCs w:val="22"/>
        </w:rPr>
        <w:t xml:space="preserve"> of </w:t>
      </w:r>
      <w:r w:rsidRPr="00322EF1" w:rsidR="00BA3C12">
        <w:rPr>
          <w:szCs w:val="22"/>
        </w:rPr>
        <w:t>its</w:t>
      </w:r>
      <w:r w:rsidRPr="00322EF1">
        <w:rPr>
          <w:szCs w:val="22"/>
        </w:rPr>
        <w:t xml:space="preserve"> </w:t>
      </w:r>
      <w:r w:rsidRPr="00322EF1">
        <w:rPr>
          <w:b/>
          <w:bCs/>
          <w:szCs w:val="22"/>
        </w:rPr>
        <w:t>APPARENT LIABILITY FOR FORFEITURE</w:t>
      </w:r>
      <w:r w:rsidRPr="00322EF1">
        <w:rPr>
          <w:szCs w:val="22"/>
        </w:rPr>
        <w:t xml:space="preserve"> in the amount of </w:t>
      </w:r>
      <w:r w:rsidRPr="003B70DF" w:rsidR="009F7CFD">
        <w:rPr>
          <w:szCs w:val="22"/>
        </w:rPr>
        <w:t>eleven</w:t>
      </w:r>
      <w:r w:rsidRPr="003B70DF" w:rsidR="00BA3C12">
        <w:rPr>
          <w:szCs w:val="22"/>
        </w:rPr>
        <w:t xml:space="preserve"> thousand dollars (</w:t>
      </w:r>
      <w:r w:rsidRPr="003B70DF">
        <w:rPr>
          <w:szCs w:val="22"/>
        </w:rPr>
        <w:t>$</w:t>
      </w:r>
      <w:r w:rsidRPr="003B70DF" w:rsidR="009F7CFD">
        <w:rPr>
          <w:szCs w:val="22"/>
        </w:rPr>
        <w:t>11</w:t>
      </w:r>
      <w:r w:rsidRPr="003B70DF">
        <w:rPr>
          <w:szCs w:val="22"/>
        </w:rPr>
        <w:t>,000</w:t>
      </w:r>
      <w:r w:rsidRPr="003B70DF" w:rsidR="00BA3C12">
        <w:rPr>
          <w:szCs w:val="22"/>
        </w:rPr>
        <w:t>)</w:t>
      </w:r>
      <w:r w:rsidRPr="003B70DF">
        <w:rPr>
          <w:szCs w:val="22"/>
        </w:rPr>
        <w:t xml:space="preserve"> for </w:t>
      </w:r>
      <w:r w:rsidRPr="003B70DF" w:rsidR="00BA3C12">
        <w:rPr>
          <w:szCs w:val="22"/>
        </w:rPr>
        <w:t>its</w:t>
      </w:r>
      <w:r w:rsidRPr="003B70DF">
        <w:rPr>
          <w:szCs w:val="22"/>
        </w:rPr>
        <w:t xml:space="preserve"> apparent willful</w:t>
      </w:r>
      <w:r w:rsidRPr="00322EF1">
        <w:rPr>
          <w:szCs w:val="22"/>
        </w:rPr>
        <w:t xml:space="preserve"> and repeated violations of </w:t>
      </w:r>
      <w:r w:rsidR="009F7CFD">
        <w:rPr>
          <w:szCs w:val="22"/>
        </w:rPr>
        <w:t xml:space="preserve">section 301 of the Communications Act of 1934, as amended, and </w:t>
      </w:r>
      <w:r>
        <w:rPr>
          <w:szCs w:val="22"/>
        </w:rPr>
        <w:t>s</w:t>
      </w:r>
      <w:r w:rsidRPr="00322EF1">
        <w:rPr>
          <w:szCs w:val="22"/>
        </w:rPr>
        <w:t xml:space="preserve">ections </w:t>
      </w:r>
      <w:r w:rsidR="009F7CFD">
        <w:rPr>
          <w:szCs w:val="22"/>
        </w:rPr>
        <w:t>73.561(</w:t>
      </w:r>
      <w:r w:rsidR="00D3235B">
        <w:rPr>
          <w:szCs w:val="22"/>
        </w:rPr>
        <w:t xml:space="preserve">d), </w:t>
      </w:r>
      <w:r w:rsidRPr="00322EF1" w:rsidR="004575A5">
        <w:rPr>
          <w:szCs w:val="22"/>
        </w:rPr>
        <w:t>73.1350, 73.1560(a)(1), 73.1635, and 73.1745(a) of the Commission’s rules</w:t>
      </w:r>
      <w:r w:rsidRPr="00322EF1">
        <w:rPr>
          <w:szCs w:val="22"/>
        </w:rPr>
        <w:t xml:space="preserve">. </w:t>
      </w:r>
    </w:p>
    <w:p w:rsidR="00823C79" w:rsidRPr="00322EF1" w:rsidP="00A5275A" w14:paraId="03B1C723" w14:textId="20B54B06">
      <w:pPr>
        <w:pStyle w:val="ParaNum"/>
        <w:widowControl/>
        <w:rPr>
          <w:szCs w:val="22"/>
        </w:rPr>
      </w:pPr>
      <w:r w:rsidRPr="00322EF1">
        <w:rPr>
          <w:b/>
          <w:bCs/>
          <w:szCs w:val="22"/>
        </w:rPr>
        <w:t>IT IS FURTHER ORDERED</w:t>
      </w:r>
      <w:r w:rsidRPr="00322EF1">
        <w:rPr>
          <w:szCs w:val="22"/>
        </w:rPr>
        <w:t xml:space="preserve">, pursuant to Section 1.80 of the </w:t>
      </w:r>
      <w:r w:rsidR="003A2CC2">
        <w:rPr>
          <w:szCs w:val="22"/>
        </w:rPr>
        <w:t>Commission’s rules</w:t>
      </w:r>
      <w:r w:rsidRPr="00322EF1">
        <w:rPr>
          <w:szCs w:val="22"/>
        </w:rPr>
        <w:t xml:space="preserve">, that, within thirty (30) days of the release date of this </w:t>
      </w:r>
      <w:r w:rsidR="001E52F9">
        <w:rPr>
          <w:szCs w:val="22"/>
        </w:rPr>
        <w:t xml:space="preserve">Memorandum Opinion and Order and </w:t>
      </w:r>
      <w:r w:rsidRPr="00322EF1" w:rsidR="00C925F6">
        <w:rPr>
          <w:iCs/>
          <w:szCs w:val="22"/>
        </w:rPr>
        <w:t>Notice of Apparent Liability for Forfeiture</w:t>
      </w:r>
      <w:r w:rsidRPr="00322EF1">
        <w:rPr>
          <w:i/>
          <w:iCs/>
          <w:szCs w:val="22"/>
        </w:rPr>
        <w:t>,</w:t>
      </w:r>
      <w:r w:rsidRPr="00322EF1" w:rsidR="00214117">
        <w:rPr>
          <w:szCs w:val="22"/>
        </w:rPr>
        <w:t xml:space="preserve"> </w:t>
      </w:r>
      <w:r w:rsidR="00281E2A">
        <w:rPr>
          <w:szCs w:val="22"/>
        </w:rPr>
        <w:t>Augustus Foundation, Inc.</w:t>
      </w:r>
      <w:r w:rsidRPr="00322EF1" w:rsidR="00BA3C12">
        <w:rPr>
          <w:szCs w:val="22"/>
        </w:rPr>
        <w:t>,</w:t>
      </w:r>
      <w:r w:rsidRPr="00322EF1">
        <w:rPr>
          <w:szCs w:val="22"/>
        </w:rPr>
        <w:t xml:space="preserve"> </w:t>
      </w:r>
      <w:r w:rsidRPr="00322EF1">
        <w:rPr>
          <w:b/>
          <w:bCs/>
          <w:szCs w:val="22"/>
        </w:rPr>
        <w:t>SHALL PAY</w:t>
      </w:r>
      <w:r w:rsidRPr="00322EF1">
        <w:rPr>
          <w:szCs w:val="22"/>
        </w:rPr>
        <w:t xml:space="preserve"> the full amount of the proposed forfeiture or </w:t>
      </w:r>
      <w:r w:rsidRPr="00322EF1">
        <w:rPr>
          <w:b/>
          <w:bCs/>
          <w:szCs w:val="22"/>
        </w:rPr>
        <w:t>SHALL FILE</w:t>
      </w:r>
      <w:r w:rsidRPr="00322EF1">
        <w:rPr>
          <w:szCs w:val="22"/>
        </w:rPr>
        <w:t xml:space="preserve"> a written statement seeking reduction or cancellation of the proposed forfeiture.  </w:t>
      </w:r>
    </w:p>
    <w:p w:rsidR="00503655" w:rsidRPr="00503655" w:rsidP="00503655" w14:paraId="0742068F" w14:textId="77777777">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767221" w:rsidRPr="00767221" w:rsidP="00C95891" w14:paraId="54163E6E" w14:textId="35D6D98C">
      <w:pPr>
        <w:pStyle w:val="ListParagraph"/>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4B691C">
          <w:rPr>
            <w:rStyle w:val="Hyperlink"/>
          </w:rPr>
          <w:t>https://www.fcc.gov/licensing-</w:t>
        </w:r>
        <w:r w:rsidRPr="004B691C">
          <w:rPr>
            <w:rStyle w:val="Hyperlink"/>
          </w:rPr>
          <w:t>databases/fees/wire-transfer</w:t>
        </w:r>
      </w:hyperlink>
      <w:r w:rsidRPr="00503655">
        <w:t>.</w:t>
      </w:r>
      <w:r>
        <w:br/>
      </w:r>
    </w:p>
    <w:p w:rsidR="00767221" w:rsidP="009357B4" w14:paraId="23A8572F" w14:textId="0C2566AA">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503655" w:rsidRPr="00767221" w:rsidP="009357B4" w14:paraId="18880433" w14:textId="11E05144">
      <w:pPr>
        <w:pStyle w:val="ListParagraph"/>
        <w:numPr>
          <w:ilvl w:val="0"/>
          <w:numId w:val="14"/>
        </w:numPr>
        <w:ind w:left="1080"/>
        <w:rPr>
          <w:szCs w:val="22"/>
        </w:rPr>
      </w:pPr>
      <w:r w:rsidRPr="00767221">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00767221">
        <w:rPr>
          <w:szCs w:val="22"/>
        </w:rPr>
        <w:br/>
      </w:r>
    </w:p>
    <w:p w:rsidR="00503655" w:rsidRPr="00503655" w:rsidP="00503655" w14:paraId="3515CC61" w14:textId="18615CF1">
      <w:pPr>
        <w:pStyle w:val="ParaNum"/>
        <w:rPr>
          <w:szCs w:val="22"/>
        </w:rPr>
      </w:pPr>
      <w:r w:rsidRPr="00503655">
        <w:rPr>
          <w:szCs w:val="22"/>
        </w:rPr>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4B691C" w:rsidR="00767221">
          <w:rPr>
            <w:rStyle w:val="Hyperlink"/>
            <w:szCs w:val="22"/>
          </w:rPr>
          <w:t>ARINQUIRIES@fcc.gov</w:t>
        </w:r>
      </w:hyperlink>
      <w:r w:rsidRPr="00503655">
        <w:rPr>
          <w:szCs w:val="22"/>
        </w:rPr>
        <w:t>.</w:t>
      </w:r>
    </w:p>
    <w:p w:rsidR="00503655" w:rsidRPr="00503655" w:rsidP="00503655" w14:paraId="204E7364" w14:textId="650D09D9">
      <w:pPr>
        <w:pStyle w:val="ParaNum"/>
        <w:rPr>
          <w:szCs w:val="22"/>
        </w:rPr>
      </w:pPr>
      <w:r w:rsidRPr="00503655">
        <w:rPr>
          <w:szCs w:val="22"/>
        </w:rPr>
        <w:t xml:space="preserve">Any written response seeking reduction or cancellation of the proposed forfeiture must include a detailed factual statement supported by appropriate documentation and affidavits pursuant to sections 1.16 and 1.80(g)(3) of the Commission’s rules.  The written response must be filed with the Office of the Secretary, Federal Communications Commission, 45 L Street NE, Washington DC 20554, ATTN:  Albert Shuldiner, Chief, Audio Division, Media Bureau, and MUST INCLUDE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6E735B" w:rsidR="005641BF">
          <w:rPr>
            <w:rStyle w:val="Hyperlink"/>
            <w:szCs w:val="22"/>
          </w:rPr>
          <w:t>Heather.Dixon@fcc.gov</w:t>
        </w:r>
      </w:hyperlink>
      <w:r w:rsidRPr="00503655">
        <w:rPr>
          <w:szCs w:val="22"/>
        </w:rPr>
        <w:t xml:space="preserve"> will assist in processing the response.</w:t>
      </w:r>
    </w:p>
    <w:p w:rsidR="001A5FF1" w:rsidRPr="001A5FF1" w:rsidP="005565D6" w14:paraId="197D4A6A" w14:textId="769C8CD0">
      <w:pPr>
        <w:pStyle w:val="ListParagraph"/>
        <w:numPr>
          <w:ilvl w:val="0"/>
          <w:numId w:val="15"/>
        </w:numPr>
        <w:ind w:left="1080"/>
        <w:rPr>
          <w:szCs w:val="22"/>
        </w:rPr>
      </w:pPr>
      <w:r w:rsidRPr="00503655">
        <w:t>Commercial overnight mail (other than U.S. Postal Service Express Mail and Priority Mail) must be sent to 9050 Junction Drive, Annapolis Junction, MD 20701.</w:t>
      </w:r>
      <w:r>
        <w:br/>
      </w:r>
    </w:p>
    <w:p w:rsidR="00503655" w:rsidRPr="001A5FF1" w:rsidP="005565D6" w14:paraId="284B90A3" w14:textId="0182FF00">
      <w:pPr>
        <w:pStyle w:val="ListParagraph"/>
        <w:numPr>
          <w:ilvl w:val="0"/>
          <w:numId w:val="15"/>
        </w:numPr>
        <w:ind w:left="1080"/>
        <w:rPr>
          <w:szCs w:val="22"/>
        </w:rPr>
      </w:pPr>
      <w:r w:rsidRPr="001A5FF1">
        <w:rPr>
          <w:szCs w:val="22"/>
        </w:rPr>
        <w:t>Postal Service first-class, Express, and Priority mail must be addressed to 45 L Street, NE, Washington, DC 20554.</w:t>
      </w:r>
    </w:p>
    <w:p w:rsidR="00503655" w:rsidP="001A5FF1" w14:paraId="467ABB40" w14:textId="77777777"/>
    <w:p w:rsidR="00823C79" w:rsidRPr="00322EF1" w:rsidP="00823C79" w14:paraId="07073B2F" w14:textId="658751BA">
      <w:pPr>
        <w:pStyle w:val="ParaNum"/>
        <w:rPr>
          <w:szCs w:val="22"/>
        </w:rPr>
      </w:pPr>
      <w:r w:rsidRPr="00DD6D6B">
        <w:rPr>
          <w:b/>
          <w:bCs/>
          <w:szCs w:val="22"/>
        </w:rPr>
        <w:t>IT IS FURTHER ORDERED</w:t>
      </w:r>
      <w:r w:rsidRPr="00DD6D6B">
        <w:rPr>
          <w:szCs w:val="22"/>
        </w:rPr>
        <w:t xml:space="preserve"> that, pursuant to Section 73.3526(e)(10) of the </w:t>
      </w:r>
      <w:r w:rsidR="00DD6D6B">
        <w:rPr>
          <w:szCs w:val="22"/>
        </w:rPr>
        <w:t xml:space="preserve">Commission’s </w:t>
      </w:r>
      <w:r w:rsidR="00A24BF6">
        <w:rPr>
          <w:szCs w:val="22"/>
        </w:rPr>
        <w:t>r</w:t>
      </w:r>
      <w:r w:rsidRPr="00DD6D6B">
        <w:rPr>
          <w:szCs w:val="22"/>
        </w:rPr>
        <w:t xml:space="preserve">ules, </w:t>
      </w:r>
      <w:r w:rsidR="00281E2A">
        <w:rPr>
          <w:szCs w:val="22"/>
        </w:rPr>
        <w:t>Augustus Foundation, Inc.</w:t>
      </w:r>
      <w:r w:rsidRPr="00DD6D6B">
        <w:rPr>
          <w:szCs w:val="22"/>
        </w:rPr>
        <w:t xml:space="preserve">, </w:t>
      </w:r>
      <w:r w:rsidRPr="00DD6D6B" w:rsidR="0021642C">
        <w:rPr>
          <w:b/>
          <w:bCs/>
          <w:szCs w:val="22"/>
        </w:rPr>
        <w:t>SHALL PLACE</w:t>
      </w:r>
      <w:r w:rsidRPr="00DD6D6B" w:rsidR="0021642C">
        <w:rPr>
          <w:szCs w:val="22"/>
        </w:rPr>
        <w:t xml:space="preserve"> </w:t>
      </w:r>
      <w:r w:rsidRPr="00DD6D6B">
        <w:rPr>
          <w:szCs w:val="22"/>
        </w:rPr>
        <w:t xml:space="preserve">a copy of this </w:t>
      </w:r>
      <w:r w:rsidR="00A24BF6">
        <w:rPr>
          <w:szCs w:val="22"/>
        </w:rPr>
        <w:t xml:space="preserve">Memorandum Opinion and Order and </w:t>
      </w:r>
      <w:r w:rsidRPr="00DD6D6B" w:rsidR="00C925F6">
        <w:rPr>
          <w:iCs/>
          <w:szCs w:val="22"/>
        </w:rPr>
        <w:t>Notice of Apparent Liability</w:t>
      </w:r>
      <w:r w:rsidRPr="00322EF1" w:rsidR="00C925F6">
        <w:rPr>
          <w:iCs/>
          <w:szCs w:val="22"/>
        </w:rPr>
        <w:t xml:space="preserve"> for Forfeiture</w:t>
      </w:r>
      <w:r w:rsidRPr="00322EF1">
        <w:rPr>
          <w:szCs w:val="22"/>
        </w:rPr>
        <w:t xml:space="preserve"> in the </w:t>
      </w:r>
      <w:r w:rsidR="00CA4DEB">
        <w:rPr>
          <w:szCs w:val="22"/>
        </w:rPr>
        <w:t xml:space="preserve">online </w:t>
      </w:r>
      <w:r w:rsidRPr="00322EF1">
        <w:rPr>
          <w:szCs w:val="22"/>
        </w:rPr>
        <w:t>public inspection file of Station</w:t>
      </w:r>
      <w:r w:rsidRPr="00322EF1" w:rsidR="00BA3C12">
        <w:rPr>
          <w:szCs w:val="22"/>
        </w:rPr>
        <w:t xml:space="preserve"> </w:t>
      </w:r>
      <w:r w:rsidR="00281E2A">
        <w:rPr>
          <w:szCs w:val="22"/>
        </w:rPr>
        <w:t>WALQ(AM), Carrville, Alabama</w:t>
      </w:r>
      <w:r w:rsidRPr="00322EF1" w:rsidR="00382DDD">
        <w:rPr>
          <w:szCs w:val="22"/>
        </w:rPr>
        <w:t xml:space="preserve"> (Facility ID No. </w:t>
      </w:r>
      <w:r w:rsidR="00281E2A">
        <w:rPr>
          <w:snapToGrid/>
          <w:kern w:val="0"/>
          <w:szCs w:val="22"/>
        </w:rPr>
        <w:t>68309</w:t>
      </w:r>
      <w:r w:rsidRPr="00322EF1" w:rsidR="00382DDD">
        <w:rPr>
          <w:snapToGrid/>
          <w:kern w:val="0"/>
          <w:szCs w:val="22"/>
        </w:rPr>
        <w:t>).</w:t>
      </w:r>
    </w:p>
    <w:p w:rsidR="003572C6" w14:paraId="7E6B8732" w14:textId="77777777">
      <w:pPr>
        <w:widowControl/>
        <w:rPr>
          <w:b/>
          <w:bCs/>
          <w:szCs w:val="22"/>
        </w:rPr>
      </w:pPr>
      <w:r>
        <w:rPr>
          <w:b/>
          <w:bCs/>
          <w:szCs w:val="22"/>
        </w:rPr>
        <w:br w:type="page"/>
      </w:r>
    </w:p>
    <w:p w:rsidR="00973E44" w:rsidRPr="00322EF1" w:rsidP="00973E44" w14:paraId="3124EB44" w14:textId="5C96D6F8">
      <w:pPr>
        <w:pStyle w:val="ParaNum"/>
        <w:rPr>
          <w:szCs w:val="22"/>
        </w:rPr>
      </w:pPr>
      <w:r w:rsidRPr="00322EF1">
        <w:rPr>
          <w:b/>
          <w:bCs/>
          <w:szCs w:val="22"/>
        </w:rPr>
        <w:t>IT IS FURTHER ORDERED</w:t>
      </w:r>
      <w:r w:rsidRPr="00322EF1">
        <w:rPr>
          <w:szCs w:val="22"/>
        </w:rPr>
        <w:t xml:space="preserve"> that copies of this </w:t>
      </w:r>
      <w:r w:rsidRPr="00322EF1" w:rsidR="00C925F6">
        <w:rPr>
          <w:iCs/>
          <w:szCs w:val="22"/>
        </w:rPr>
        <w:t>Memorandum Opinion and Order and Notice of Apparent Liability for Forfeiture</w:t>
      </w:r>
      <w:r w:rsidRPr="00322EF1" w:rsidR="00C925F6">
        <w:rPr>
          <w:szCs w:val="22"/>
        </w:rPr>
        <w:t xml:space="preserve"> </w:t>
      </w:r>
      <w:r w:rsidRPr="00322EF1" w:rsidR="00382DDD">
        <w:rPr>
          <w:b/>
          <w:bCs/>
          <w:szCs w:val="22"/>
        </w:rPr>
        <w:t>SHALL BE SENT</w:t>
      </w:r>
      <w:r w:rsidRPr="00322EF1">
        <w:rPr>
          <w:szCs w:val="22"/>
        </w:rPr>
        <w:t>, by First Class and Certified Mail, Return Receipt Requested, to</w:t>
      </w:r>
      <w:r w:rsidRPr="00322EF1" w:rsidR="00BA3C12">
        <w:rPr>
          <w:szCs w:val="22"/>
        </w:rPr>
        <w:t xml:space="preserve"> </w:t>
      </w:r>
      <w:r w:rsidR="00281E2A">
        <w:rPr>
          <w:szCs w:val="22"/>
        </w:rPr>
        <w:t xml:space="preserve">Augustus Foundation, </w:t>
      </w:r>
      <w:r w:rsidR="00DC245B">
        <w:rPr>
          <w:szCs w:val="22"/>
        </w:rPr>
        <w:t>I</w:t>
      </w:r>
      <w:r w:rsidR="00281E2A">
        <w:rPr>
          <w:szCs w:val="22"/>
        </w:rPr>
        <w:t>nc., 2902 Main Street, La Marque, TX 77568</w:t>
      </w:r>
      <w:r w:rsidRPr="00322EF1" w:rsidR="00DC50DD">
        <w:rPr>
          <w:szCs w:val="22"/>
        </w:rPr>
        <w:t>.</w:t>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Pr>
          <w:szCs w:val="22"/>
        </w:rPr>
        <w:br/>
      </w:r>
    </w:p>
    <w:p w:rsidR="00BA3C12" w:rsidRPr="00322EF1" w:rsidP="00BA3C12" w14:paraId="46D66C94" w14:textId="7C21B4EA">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4ECF" w14:paraId="1E534F68" w14:textId="77777777">
      <w:r>
        <w:separator/>
      </w:r>
    </w:p>
  </w:footnote>
  <w:footnote w:type="continuationSeparator" w:id="1">
    <w:p w:rsidR="00644ECF" w:rsidP="00C721AC" w14:paraId="6D02B2B3" w14:textId="77777777">
      <w:pPr>
        <w:spacing w:before="120"/>
        <w:rPr>
          <w:sz w:val="20"/>
        </w:rPr>
      </w:pPr>
      <w:r>
        <w:rPr>
          <w:sz w:val="20"/>
        </w:rPr>
        <w:t xml:space="preserve">(Continued from previous page)  </w:t>
      </w:r>
      <w:r>
        <w:rPr>
          <w:sz w:val="20"/>
        </w:rPr>
        <w:separator/>
      </w:r>
    </w:p>
  </w:footnote>
  <w:footnote w:type="continuationNotice" w:id="2">
    <w:p w:rsidR="00644ECF" w:rsidP="00C721AC" w14:paraId="44615270" w14:textId="77777777">
      <w:pPr>
        <w:jc w:val="right"/>
        <w:rPr>
          <w:sz w:val="20"/>
        </w:rPr>
      </w:pPr>
      <w:r>
        <w:rPr>
          <w:sz w:val="20"/>
        </w:rPr>
        <w:t>(continued….)</w:t>
      </w:r>
    </w:p>
  </w:footnote>
  <w:footnote w:id="3">
    <w:p w:rsidR="006E0AF3" w14:paraId="694CA514" w14:textId="5BCA6F3C">
      <w:pPr>
        <w:pStyle w:val="FootnoteText"/>
      </w:pPr>
      <w:r>
        <w:rPr>
          <w:rStyle w:val="FootnoteReference"/>
        </w:rPr>
        <w:footnoteRef/>
      </w:r>
      <w:r>
        <w:t xml:space="preserve"> 47 CFR § 73.561(d).</w:t>
      </w:r>
    </w:p>
  </w:footnote>
  <w:footnote w:id="4">
    <w:p w:rsidR="006E0AF3" w14:paraId="1C1E0F7F" w14:textId="78F7173A">
      <w:pPr>
        <w:pStyle w:val="FootnoteText"/>
      </w:pPr>
      <w:r>
        <w:rPr>
          <w:rStyle w:val="FootnoteReference"/>
        </w:rPr>
        <w:footnoteRef/>
      </w:r>
      <w:r>
        <w:t xml:space="preserve"> </w:t>
      </w:r>
      <w:r>
        <w:t>47 U.S.C. § 301.</w:t>
      </w:r>
    </w:p>
  </w:footnote>
  <w:footnote w:id="5">
    <w:p w:rsidR="006E0AF3" w14:paraId="385A7544" w14:textId="53EADE83">
      <w:pPr>
        <w:pStyle w:val="FootnoteText"/>
      </w:pPr>
      <w:r>
        <w:rPr>
          <w:rStyle w:val="FootnoteReference"/>
        </w:rPr>
        <w:footnoteRef/>
      </w:r>
      <w:r>
        <w:t xml:space="preserve"> </w:t>
      </w:r>
      <w:r>
        <w:t>47 CFR §§ 73.1350, 73.1560, 73.1635, 73.1745(a).</w:t>
      </w:r>
    </w:p>
  </w:footnote>
  <w:footnote w:id="6">
    <w:p w:rsidR="006E0AF3" w:rsidP="006E0AF3" w14:paraId="5DE60B18" w14:textId="77777777">
      <w:pPr>
        <w:pStyle w:val="FootnoteText"/>
      </w:pPr>
      <w:r>
        <w:rPr>
          <w:rStyle w:val="FootnoteReference"/>
        </w:rPr>
        <w:footnoteRef/>
      </w:r>
      <w:r>
        <w:t xml:space="preserve"> </w:t>
      </w:r>
      <w:r>
        <w:rPr>
          <w:i/>
        </w:rPr>
        <w:t xml:space="preserve">See </w:t>
      </w:r>
      <w:r>
        <w:t>47 CFR § 73.3539.</w:t>
      </w:r>
    </w:p>
  </w:footnote>
  <w:footnote w:id="7">
    <w:p w:rsidR="005E3EA9" w14:paraId="000DEBC7" w14:textId="78E445E9">
      <w:pPr>
        <w:pStyle w:val="FootnoteText"/>
      </w:pPr>
      <w:r>
        <w:rPr>
          <w:rStyle w:val="FootnoteReference"/>
        </w:rPr>
        <w:footnoteRef/>
      </w:r>
      <w:r>
        <w:t xml:space="preserve"> </w:t>
      </w:r>
      <w:r w:rsidRPr="005E5565">
        <w:rPr>
          <w:i/>
          <w:iCs/>
        </w:rPr>
        <w:t>See</w:t>
      </w:r>
      <w:r>
        <w:t xml:space="preserve"> Application File No. </w:t>
      </w:r>
      <w:r w:rsidR="005075F3">
        <w:rPr>
          <w:spacing w:val="-2"/>
          <w:szCs w:val="22"/>
        </w:rPr>
        <w:t>193952</w:t>
      </w:r>
      <w:r w:rsidR="00830B1B">
        <w:rPr>
          <w:spacing w:val="-2"/>
          <w:szCs w:val="22"/>
        </w:rPr>
        <w:t xml:space="preserve"> (Renewal Application)</w:t>
      </w:r>
      <w:r>
        <w:t>.</w:t>
      </w:r>
    </w:p>
  </w:footnote>
  <w:footnote w:id="8">
    <w:p w:rsidR="006968BB" w14:paraId="591C4520" w14:textId="782F90F6">
      <w:pPr>
        <w:pStyle w:val="FootnoteText"/>
      </w:pPr>
      <w:r>
        <w:rPr>
          <w:rStyle w:val="FootnoteReference"/>
        </w:rPr>
        <w:footnoteRef/>
      </w:r>
      <w:r>
        <w:t xml:space="preserve"> </w:t>
      </w:r>
      <w:r w:rsidRPr="00FC53E4" w:rsidR="00FC53E4">
        <w:rPr>
          <w:i/>
          <w:iCs/>
        </w:rPr>
        <w:t>See</w:t>
      </w:r>
      <w:r w:rsidR="00FC53E4">
        <w:t xml:space="preserve"> Application File No. </w:t>
      </w:r>
      <w:r>
        <w:t>BL-2008</w:t>
      </w:r>
      <w:r w:rsidR="00FC53E4">
        <w:t>1022ACO</w:t>
      </w:r>
      <w:r w:rsidR="00390F4C">
        <w:t xml:space="preserve">; </w:t>
      </w:r>
      <w:r w:rsidRPr="00AE0A37" w:rsidR="00390F4C">
        <w:rPr>
          <w:i/>
          <w:iCs/>
        </w:rPr>
        <w:t>Broadcast Actions</w:t>
      </w:r>
      <w:r w:rsidR="00390F4C">
        <w:t xml:space="preserve">, Public Notice, Report No. </w:t>
      </w:r>
      <w:r w:rsidRPr="00390F4C" w:rsidR="00390F4C">
        <w:t>46873</w:t>
      </w:r>
      <w:r w:rsidR="00390F4C">
        <w:t xml:space="preserve">, at </w:t>
      </w:r>
      <w:r w:rsidR="00AE0A37">
        <w:t>4</w:t>
      </w:r>
      <w:r w:rsidR="00390F4C">
        <w:t xml:space="preserve"> (MB </w:t>
      </w:r>
      <w:r w:rsidR="007A5ACF">
        <w:t>Dec. 1, 2008)</w:t>
      </w:r>
      <w:r w:rsidR="003E33B8">
        <w:t>, and 47 CFR § 73.187</w:t>
      </w:r>
      <w:r w:rsidR="007A5ACF">
        <w:t>.</w:t>
      </w:r>
    </w:p>
  </w:footnote>
  <w:footnote w:id="9">
    <w:p w:rsidR="00FC53E4" w:rsidP="00FC53E4" w14:paraId="2DE242B6" w14:textId="47F6BEC7">
      <w:pPr>
        <w:pStyle w:val="FootnoteText"/>
      </w:pPr>
      <w:r>
        <w:rPr>
          <w:rStyle w:val="FootnoteReference"/>
        </w:rPr>
        <w:footnoteRef/>
      </w:r>
      <w:r>
        <w:t xml:space="preserve"> </w:t>
      </w:r>
      <w:r w:rsidRPr="00C82426">
        <w:rPr>
          <w:i/>
          <w:iCs/>
        </w:rPr>
        <w:t>See</w:t>
      </w:r>
      <w:r>
        <w:t xml:space="preserve"> Application File No. </w:t>
      </w:r>
      <w:r w:rsidRPr="00251431">
        <w:t>BAL-2</w:t>
      </w:r>
      <w:r>
        <w:t>0200819AAN</w:t>
      </w:r>
      <w:r w:rsidR="00776976">
        <w:t xml:space="preserve">; </w:t>
      </w:r>
      <w:r w:rsidRPr="002E1F37" w:rsidR="00776976">
        <w:rPr>
          <w:i/>
          <w:iCs/>
        </w:rPr>
        <w:t>Broadcast Actions</w:t>
      </w:r>
      <w:r w:rsidR="00776976">
        <w:t xml:space="preserve">, Public Notice, Report No. </w:t>
      </w:r>
      <w:r w:rsidR="00A42C95">
        <w:t>49862, at 1 (MB Nov. 10, 2020)</w:t>
      </w:r>
      <w:r w:rsidR="00846BCA">
        <w:t xml:space="preserve">; </w:t>
      </w:r>
      <w:r w:rsidR="00846BCA">
        <w:t>Westburg</w:t>
      </w:r>
      <w:r w:rsidR="00846BCA">
        <w:t xml:space="preserve"> Broad. Mon</w:t>
      </w:r>
      <w:r w:rsidR="003B1D0E">
        <w:t>t</w:t>
      </w:r>
      <w:r w:rsidR="00846BCA">
        <w:t>gomery, LLC, Consummation Notice</w:t>
      </w:r>
      <w:r w:rsidR="002E1F37">
        <w:t xml:space="preserve">, Application File No. </w:t>
      </w:r>
      <w:r w:rsidRPr="002E1F37" w:rsidR="002E1F37">
        <w:t>BAL-20200819AAN</w:t>
      </w:r>
      <w:r w:rsidR="00846BCA">
        <w:t xml:space="preserve"> (filed Dec. 1, 2020).</w:t>
      </w:r>
    </w:p>
  </w:footnote>
  <w:footnote w:id="10">
    <w:p w:rsidR="00FC53E4" w14:paraId="24F7B529" w14:textId="77D2B070">
      <w:pPr>
        <w:pStyle w:val="FootnoteText"/>
      </w:pPr>
      <w:r>
        <w:rPr>
          <w:rStyle w:val="FootnoteReference"/>
        </w:rPr>
        <w:footnoteRef/>
      </w:r>
      <w:r>
        <w:t xml:space="preserve"> </w:t>
      </w:r>
      <w:r w:rsidRPr="00FC53E4">
        <w:rPr>
          <w:i/>
          <w:iCs/>
        </w:rPr>
        <w:t xml:space="preserve">See </w:t>
      </w:r>
      <w:r w:rsidRPr="00FC53E4">
        <w:rPr>
          <w:i/>
          <w:iCs/>
        </w:rPr>
        <w:t>Westburg</w:t>
      </w:r>
      <w:r w:rsidRPr="00FC53E4">
        <w:rPr>
          <w:i/>
          <w:iCs/>
        </w:rPr>
        <w:t xml:space="preserve"> Broad. Montgomery, LLC</w:t>
      </w:r>
      <w:r>
        <w:t xml:space="preserve">, Application File No. 97834, Letter Order, at 1 (MB June 17, 2020).  The Station’s previous license term ran from April 1, 2012, to April 1, 2020.  </w:t>
      </w:r>
      <w:r w:rsidRPr="00FC53E4">
        <w:rPr>
          <w:i/>
          <w:iCs/>
        </w:rPr>
        <w:t>Id</w:t>
      </w:r>
      <w:r>
        <w:t>.</w:t>
      </w:r>
    </w:p>
  </w:footnote>
  <w:footnote w:id="11">
    <w:p w:rsidR="00674476" w:rsidP="00674476" w14:paraId="1E3058C9" w14:textId="71F426BC">
      <w:pPr>
        <w:pStyle w:val="FootnoteText"/>
      </w:pPr>
      <w:r>
        <w:rPr>
          <w:rStyle w:val="FootnoteReference"/>
        </w:rPr>
        <w:footnoteRef/>
      </w:r>
      <w:r>
        <w:t xml:space="preserve"> </w:t>
      </w:r>
      <w:r w:rsidRPr="00390547">
        <w:rPr>
          <w:i/>
          <w:iCs/>
        </w:rPr>
        <w:t>See</w:t>
      </w:r>
      <w:r>
        <w:t xml:space="preserve"> Application File No. BLSTA-20210322AAD.  </w:t>
      </w:r>
    </w:p>
  </w:footnote>
  <w:footnote w:id="12">
    <w:p w:rsidR="008F1EB7" w14:paraId="07A0340C" w14:textId="28964FA9">
      <w:pPr>
        <w:pStyle w:val="FootnoteText"/>
      </w:pPr>
      <w:r>
        <w:rPr>
          <w:rStyle w:val="FootnoteReference"/>
        </w:rPr>
        <w:footnoteRef/>
      </w:r>
      <w:r>
        <w:t xml:space="preserve"> </w:t>
      </w:r>
      <w:r w:rsidRPr="00390547">
        <w:rPr>
          <w:i/>
          <w:iCs/>
        </w:rPr>
        <w:t xml:space="preserve">See </w:t>
      </w:r>
      <w:r>
        <w:t>Letter from Victoria McCauley, Attorney, Audio Division, to Bryan Covey, Augustus Foundation, Inc. (dated May 19, 2021).</w:t>
      </w:r>
    </w:p>
  </w:footnote>
  <w:footnote w:id="13">
    <w:p w:rsidR="00A7759B" w:rsidP="00A7759B" w14:paraId="3B846D6E" w14:textId="77777777">
      <w:pPr>
        <w:pStyle w:val="FootnoteText"/>
      </w:pPr>
      <w:r>
        <w:rPr>
          <w:rStyle w:val="FootnoteReference"/>
        </w:rPr>
        <w:footnoteRef/>
      </w:r>
      <w:r>
        <w:t xml:space="preserve"> </w:t>
      </w:r>
      <w:r w:rsidRPr="00FB40F2">
        <w:rPr>
          <w:i/>
          <w:iCs/>
        </w:rPr>
        <w:t>See</w:t>
      </w:r>
      <w:r>
        <w:t xml:space="preserve"> Application File No. BSTA-20220321AAD.  </w:t>
      </w:r>
      <w:r w:rsidRPr="00FB40F2">
        <w:rPr>
          <w:i/>
          <w:iCs/>
        </w:rPr>
        <w:t>See also</w:t>
      </w:r>
      <w:r>
        <w:t xml:space="preserve"> Letter from Jerome J. </w:t>
      </w:r>
      <w:r>
        <w:t>Manarchuk</w:t>
      </w:r>
      <w:r>
        <w:t>, Audio Division, Media Bureau, to Augustus Foundation, Inc. (dated Mar. 25, 2022).</w:t>
      </w:r>
    </w:p>
  </w:footnote>
  <w:footnote w:id="14">
    <w:p w:rsidR="00AE16A1" w:rsidRPr="00144B5F" w:rsidP="00963BC4" w14:paraId="453890D0" w14:textId="0ED9CE73">
      <w:pPr>
        <w:pStyle w:val="FootnoteText"/>
        <w:rPr>
          <w:i/>
          <w:iCs/>
        </w:rPr>
      </w:pPr>
      <w:r>
        <w:rPr>
          <w:rStyle w:val="FootnoteReference"/>
        </w:rPr>
        <w:footnoteRef/>
      </w:r>
      <w:r>
        <w:t xml:space="preserve"> </w:t>
      </w:r>
      <w:r w:rsidR="00EB1B5D">
        <w:t xml:space="preserve">An application for renewal of the Station’s license should have been filed by February 1, 2021, the first day of the fourth full calendar month prior to the Station’s license expiration date of June 17, 2021.  47 CFR § 73.3539(a).  </w:t>
      </w:r>
    </w:p>
  </w:footnote>
  <w:footnote w:id="15">
    <w:p w:rsidR="00850AA4" w14:paraId="3D302C56" w14:textId="045B7257">
      <w:pPr>
        <w:pStyle w:val="FootnoteText"/>
      </w:pPr>
      <w:r>
        <w:rPr>
          <w:rStyle w:val="FootnoteReference"/>
        </w:rPr>
        <w:footnoteRef/>
      </w:r>
      <w:r>
        <w:t xml:space="preserve"> </w:t>
      </w:r>
      <w:r w:rsidR="00562B40">
        <w:t>Renewal Application at Attach. 1 (WALQ AM STA PDF June 26 2022).</w:t>
      </w:r>
    </w:p>
  </w:footnote>
  <w:footnote w:id="16">
    <w:p w:rsidR="008F1EB7" w:rsidP="008F1EB7" w14:paraId="600C9AE3" w14:textId="77777777">
      <w:pPr>
        <w:pStyle w:val="FootnoteText"/>
      </w:pPr>
      <w:r>
        <w:rPr>
          <w:rStyle w:val="FootnoteReference"/>
        </w:rPr>
        <w:footnoteRef/>
      </w:r>
      <w:r>
        <w:t xml:space="preserve"> </w:t>
      </w:r>
      <w:r>
        <w:t xml:space="preserve">Application File No. BLSTA-20190703ADD, </w:t>
      </w:r>
      <w:r>
        <w:t>Exh</w:t>
      </w:r>
      <w:r>
        <w:t>. 1.</w:t>
      </w:r>
    </w:p>
  </w:footnote>
  <w:footnote w:id="17">
    <w:p w:rsidR="005D0D55" w:rsidP="005D0D55" w14:paraId="2F1CBC86" w14:textId="685AEA03">
      <w:pPr>
        <w:pStyle w:val="FootnoteText"/>
      </w:pPr>
      <w:r>
        <w:rPr>
          <w:rStyle w:val="FootnoteReference"/>
        </w:rPr>
        <w:footnoteRef/>
      </w:r>
      <w:r>
        <w:t xml:space="preserve"> </w:t>
      </w:r>
      <w:r w:rsidRPr="00803C58">
        <w:t xml:space="preserve">Section 309(k) of the Act limits that inquiry to whether, during the preceding license term, (1) the station served the public interest, convenience, and necessity, (2) </w:t>
      </w:r>
      <w:r>
        <w:t>“th</w:t>
      </w:r>
      <w:r w:rsidRPr="00803C58">
        <w:t xml:space="preserve">ere have been no serious violations by the </w:t>
      </w:r>
      <w:r w:rsidRPr="00803C58">
        <w:rPr>
          <w:i/>
          <w:iCs/>
        </w:rPr>
        <w:t>licensee</w:t>
      </w:r>
      <w:r>
        <w:t>”</w:t>
      </w:r>
      <w:r w:rsidRPr="00803C58">
        <w:t xml:space="preserve"> of the Act or the Rules, and (3) </w:t>
      </w:r>
      <w:r>
        <w:t>“</w:t>
      </w:r>
      <w:r w:rsidRPr="00803C58">
        <w:t xml:space="preserve">there have been no other violations by the </w:t>
      </w:r>
      <w:r w:rsidRPr="00803C58">
        <w:rPr>
          <w:i/>
          <w:iCs/>
        </w:rPr>
        <w:t>licensee</w:t>
      </w:r>
      <w:r>
        <w:t xml:space="preserve">” </w:t>
      </w:r>
      <w:r w:rsidRPr="00803C58">
        <w:t xml:space="preserve">of the Act or the Rules </w:t>
      </w:r>
      <w:r>
        <w:t>“</w:t>
      </w:r>
      <w:r w:rsidRPr="00803C58">
        <w:t>which, taken together, would constitute a pattern of abuse.</w:t>
      </w:r>
      <w:r>
        <w:t>”</w:t>
      </w:r>
      <w:r w:rsidRPr="00803C58">
        <w:t xml:space="preserve"> </w:t>
      </w:r>
      <w:r w:rsidR="00830B1B">
        <w:t xml:space="preserve"> </w:t>
      </w:r>
      <w:r w:rsidRPr="00803C58">
        <w:t xml:space="preserve">47 USC § 309(k)(1) (emphasis added). </w:t>
      </w:r>
      <w:r>
        <w:t xml:space="preserve"> Accordingly, we have reviewed</w:t>
      </w:r>
      <w:r w:rsidRPr="003A1D38">
        <w:t xml:space="preserve"> the Station’s operational history only </w:t>
      </w:r>
      <w:r>
        <w:t>since</w:t>
      </w:r>
      <w:r w:rsidRPr="003A1D38">
        <w:t xml:space="preserve"> </w:t>
      </w:r>
      <w:r>
        <w:t xml:space="preserve">Augustus acquired </w:t>
      </w:r>
      <w:r w:rsidR="00935466">
        <w:t>its license on November 30, 2020.</w:t>
      </w:r>
      <w:r>
        <w:t xml:space="preserve"> </w:t>
      </w:r>
    </w:p>
  </w:footnote>
  <w:footnote w:id="18">
    <w:p w:rsidR="00B94506" w:rsidRPr="00EC64BA" w14:paraId="71FF657E" w14:textId="63594F02">
      <w:pPr>
        <w:pStyle w:val="FootnoteText"/>
        <w:rPr>
          <w:szCs w:val="22"/>
        </w:rPr>
      </w:pPr>
      <w:r>
        <w:rPr>
          <w:rStyle w:val="FootnoteReference"/>
        </w:rPr>
        <w:footnoteRef/>
      </w:r>
      <w:r>
        <w:t xml:space="preserve"> </w:t>
      </w:r>
      <w:r w:rsidR="00230E83">
        <w:t>47 CFR §73.561(d) (</w:t>
      </w:r>
      <w:r w:rsidR="00854312">
        <w:t xml:space="preserve">requiring </w:t>
      </w:r>
      <w:r w:rsidR="00DB66B5">
        <w:t>that</w:t>
      </w:r>
      <w:r w:rsidR="00854312">
        <w:t xml:space="preserve"> a broadcast station </w:t>
      </w:r>
      <w:r w:rsidR="00DB66B5">
        <w:t>obtain Commission authorization for</w:t>
      </w:r>
      <w:r w:rsidR="00854312">
        <w:t xml:space="preserve"> </w:t>
      </w:r>
      <w:r w:rsidR="00DB66B5">
        <w:t>discontinued operations</w:t>
      </w:r>
      <w:r w:rsidRPr="00854312" w:rsidR="00854312">
        <w:t xml:space="preserve"> exceeding 30 days</w:t>
      </w:r>
      <w:r w:rsidR="00DB66B5">
        <w:t>)</w:t>
      </w:r>
      <w:r w:rsidRPr="00854312" w:rsidR="00854312">
        <w:t>.</w:t>
      </w:r>
      <w:r w:rsidR="009617B5">
        <w:t xml:space="preserve">  </w:t>
      </w:r>
      <w:r w:rsidR="004467C8">
        <w:t xml:space="preserve">Augustus incorrectly certified </w:t>
      </w:r>
      <w:r w:rsidR="004467C8">
        <w:rPr>
          <w:color w:val="212121"/>
          <w:szCs w:val="22"/>
          <w:shd w:val="clear" w:color="auto" w:fill="FFFFFF"/>
        </w:rPr>
        <w:t xml:space="preserve">in the Renewal Application that the Station had not been silent for any period of more than 30 days during the preceding license term.  </w:t>
      </w:r>
      <w:r w:rsidR="004467C8">
        <w:t>Renewal Application, AM/FM/LPFM Certification, Adherence to Minimum Operating Schedule</w:t>
      </w:r>
      <w:r w:rsidR="00EC64BA">
        <w:t>.  We</w:t>
      </w:r>
      <w:r w:rsidR="00EC64BA">
        <w:rPr>
          <w:szCs w:val="22"/>
        </w:rPr>
        <w:t xml:space="preserve"> </w:t>
      </w:r>
      <w:r w:rsidRPr="009617B5" w:rsidR="009617B5">
        <w:rPr>
          <w:szCs w:val="22"/>
        </w:rPr>
        <w:t xml:space="preserve">admonish </w:t>
      </w:r>
      <w:r w:rsidR="00EC64BA">
        <w:rPr>
          <w:szCs w:val="22"/>
        </w:rPr>
        <w:t>Augustus</w:t>
      </w:r>
      <w:r w:rsidRPr="009617B5" w:rsidR="009617B5">
        <w:rPr>
          <w:szCs w:val="22"/>
        </w:rPr>
        <w:t xml:space="preserve"> for </w:t>
      </w:r>
      <w:r w:rsidR="00EC64BA">
        <w:rPr>
          <w:szCs w:val="22"/>
        </w:rPr>
        <w:t>this violation of section 1.17(a)(2) of the Rules.</w:t>
      </w:r>
      <w:r w:rsidR="000A7D91">
        <w:rPr>
          <w:szCs w:val="22"/>
        </w:rPr>
        <w:t xml:space="preserve">  </w:t>
      </w:r>
      <w:r w:rsidR="000A7D91">
        <w:t xml:space="preserve">47 CFR § 1.17(a)(2).  </w:t>
      </w:r>
    </w:p>
  </w:footnote>
  <w:footnote w:id="19">
    <w:p w:rsidR="00DD58B4" w14:paraId="0CC1E11F" w14:textId="6E15AFA5">
      <w:pPr>
        <w:pStyle w:val="FootnoteText"/>
      </w:pPr>
      <w:r>
        <w:rPr>
          <w:rStyle w:val="FootnoteReference"/>
        </w:rPr>
        <w:footnoteRef/>
      </w:r>
      <w:r>
        <w:t xml:space="preserve"> </w:t>
      </w:r>
      <w:r>
        <w:t xml:space="preserve">47 U.S.C. §301; </w:t>
      </w:r>
      <w:r w:rsidR="006A63FA">
        <w:t>47 CFR §§ 73.1350, 73.1560</w:t>
      </w:r>
      <w:r w:rsidR="005B75B3">
        <w:t xml:space="preserve">, </w:t>
      </w:r>
      <w:r w:rsidR="006A63FA">
        <w:t xml:space="preserve">73.1635, 73.1745.  </w:t>
      </w:r>
      <w:r w:rsidR="006A63FA">
        <w:rPr>
          <w:szCs w:val="22"/>
        </w:rPr>
        <w:t>S</w:t>
      </w:r>
      <w:r w:rsidRPr="00322EF1">
        <w:rPr>
          <w:szCs w:val="22"/>
        </w:rPr>
        <w:t>ection 301 of the Act and sections 73.1350(a), and 73.1745 of the Rules</w:t>
      </w:r>
      <w:r w:rsidR="006A63FA">
        <w:rPr>
          <w:szCs w:val="22"/>
        </w:rPr>
        <w:t xml:space="preserve"> each</w:t>
      </w:r>
      <w:r w:rsidRPr="00322EF1">
        <w:rPr>
          <w:szCs w:val="22"/>
        </w:rPr>
        <w:t xml:space="preserve"> require licensees to operate in accordance with their Commission-granted authorizations</w:t>
      </w:r>
      <w:r w:rsidR="006A63FA">
        <w:rPr>
          <w:szCs w:val="22"/>
        </w:rPr>
        <w:t xml:space="preserve">.  </w:t>
      </w:r>
      <w:r w:rsidRPr="00322EF1" w:rsidR="009F4C30">
        <w:rPr>
          <w:szCs w:val="22"/>
        </w:rPr>
        <w:t>Section 73.1560</w:t>
      </w:r>
      <w:r w:rsidR="005B75B3">
        <w:rPr>
          <w:szCs w:val="22"/>
        </w:rPr>
        <w:t xml:space="preserve"> </w:t>
      </w:r>
      <w:r w:rsidRPr="00322EF1" w:rsidR="009F4C30">
        <w:rPr>
          <w:szCs w:val="22"/>
        </w:rPr>
        <w:t>requires AM stations to maintain their antenna input power “as near as practicable to the authorized antenna input power” and specifies that it “may not be less than 90 percent nor greater than 105 percent of the authorized power.</w:t>
      </w:r>
      <w:r w:rsidR="009F4C30">
        <w:rPr>
          <w:szCs w:val="22"/>
        </w:rPr>
        <w:t xml:space="preserve">”  </w:t>
      </w:r>
      <w:r w:rsidR="00616EB7">
        <w:rPr>
          <w:szCs w:val="22"/>
        </w:rPr>
        <w:t xml:space="preserve">Section 73.1635 </w:t>
      </w:r>
      <w:r w:rsidR="0031409F">
        <w:rPr>
          <w:szCs w:val="22"/>
        </w:rPr>
        <w:t>requires a licensee to obtain STA</w:t>
      </w:r>
      <w:r w:rsidRPr="0031409F" w:rsidR="0031409F">
        <w:rPr>
          <w:szCs w:val="22"/>
        </w:rPr>
        <w:t xml:space="preserve"> </w:t>
      </w:r>
      <w:r w:rsidR="00230E83">
        <w:rPr>
          <w:szCs w:val="22"/>
        </w:rPr>
        <w:t>in order to operate</w:t>
      </w:r>
      <w:r w:rsidRPr="0031409F" w:rsidR="0031409F">
        <w:rPr>
          <w:szCs w:val="22"/>
        </w:rPr>
        <w:t xml:space="preserve"> </w:t>
      </w:r>
      <w:r w:rsidR="00230E83">
        <w:rPr>
          <w:szCs w:val="22"/>
        </w:rPr>
        <w:t>“</w:t>
      </w:r>
      <w:r w:rsidRPr="0031409F" w:rsidR="0031409F">
        <w:rPr>
          <w:szCs w:val="22"/>
        </w:rPr>
        <w:t>a broadcast facility for a limited period at a specified variance from the terms of the station authorization</w:t>
      </w:r>
      <w:r w:rsidR="00230E83">
        <w:rPr>
          <w:szCs w:val="22"/>
        </w:rPr>
        <w:t>.”</w:t>
      </w:r>
    </w:p>
  </w:footnote>
  <w:footnote w:id="20">
    <w:p w:rsidR="00420E73" w14:paraId="33E72F54" w14:textId="5725574F">
      <w:pPr>
        <w:pStyle w:val="FootnoteText"/>
      </w:pPr>
      <w:r>
        <w:rPr>
          <w:rStyle w:val="FootnoteReference"/>
        </w:rPr>
        <w:footnoteRef/>
      </w:r>
      <w:r>
        <w:t xml:space="preserve"> </w:t>
      </w:r>
      <w:r>
        <w:t>47 CFR § 73.3539(a) (requiring</w:t>
      </w:r>
      <w:r w:rsidRPr="00903125">
        <w:t xml:space="preserve"> applications for renewal of license for broadcast stations </w:t>
      </w:r>
      <w:r>
        <w:t>to</w:t>
      </w:r>
      <w:r w:rsidRPr="00903125">
        <w:t xml:space="preserve"> be filed </w:t>
      </w:r>
      <w:r>
        <w:t>“</w:t>
      </w:r>
      <w:r w:rsidRPr="00903125">
        <w:t>not later than the first day of the fourth full calendar month prior to the expiration date of the license sought to be renewe</w:t>
      </w:r>
      <w:r>
        <w:t>d”).</w:t>
      </w:r>
    </w:p>
  </w:footnote>
  <w:footnote w:id="21">
    <w:p w:rsidR="00F50E72" w14:paraId="0839C850" w14:textId="0AA7E60C">
      <w:pPr>
        <w:pStyle w:val="FootnoteText"/>
      </w:pPr>
      <w:r>
        <w:rPr>
          <w:rStyle w:val="FootnoteReference"/>
        </w:rPr>
        <w:footnoteRef/>
      </w:r>
      <w:r>
        <w:t xml:space="preserve"> </w:t>
      </w:r>
      <w:r w:rsidR="00542808">
        <w:t xml:space="preserve">Augustus did not file the Renewal Application prior to the June 17, 2021, license expiration date either.  However, we </w:t>
      </w:r>
      <w:r w:rsidRPr="00E863B4" w:rsidR="00542808">
        <w:t>did not</w:t>
      </w:r>
      <w:r w:rsidR="00542808">
        <w:t xml:space="preserve">—as is our standard procedure—notify Augustus of the license’s impending expiration.  </w:t>
      </w:r>
      <w:r w:rsidRPr="002A17AD" w:rsidR="00542808">
        <w:rPr>
          <w:i/>
          <w:iCs/>
        </w:rPr>
        <w:t>See</w:t>
      </w:r>
      <w:r w:rsidRPr="002A17AD" w:rsidR="00542808">
        <w:t xml:space="preserve"> </w:t>
      </w:r>
      <w:r w:rsidRPr="002A17AD" w:rsidR="00542808">
        <w:rPr>
          <w:i/>
          <w:iCs/>
        </w:rPr>
        <w:t>Atl. City Bd. of E</w:t>
      </w:r>
      <w:r w:rsidRPr="006A7BD1" w:rsidR="00542808">
        <w:rPr>
          <w:i/>
          <w:iCs/>
        </w:rPr>
        <w:t xml:space="preserve">duc., </w:t>
      </w:r>
      <w:r w:rsidRPr="006A7BD1" w:rsidR="00542808">
        <w:t>Memorandum Opinion and Order, 31 FCC Rcd 9380, 9384, n. 30 (2016) (noting that the Bureau “has modified its processing policies to promptly notify stations that have failed to file their renewal applications”)</w:t>
      </w:r>
      <w:r w:rsidRPr="006A7BD1" w:rsidR="00542808">
        <w:rPr>
          <w:i/>
          <w:iCs/>
        </w:rPr>
        <w:t>.  See also, e.g., Radio License Expirations</w:t>
      </w:r>
      <w:r w:rsidRPr="006A7BD1" w:rsidR="00542808">
        <w:t>, Public Notice, DA 22-491 (MB May 5, 2022</w:t>
      </w:r>
      <w:r w:rsidRPr="006A7BD1" w:rsidR="00542808">
        <w:rPr>
          <w:i/>
          <w:iCs/>
        </w:rPr>
        <w:t>); Radio License Expirations</w:t>
      </w:r>
      <w:r w:rsidRPr="006A7BD1" w:rsidR="00542808">
        <w:t xml:space="preserve">, Public Notice, DA 22-228 (MB Mar. 4, 2022); </w:t>
      </w:r>
      <w:r w:rsidRPr="006A7BD1" w:rsidR="00542808">
        <w:rPr>
          <w:i/>
          <w:iCs/>
        </w:rPr>
        <w:t>Radio License Expirations</w:t>
      </w:r>
      <w:r w:rsidRPr="006A7BD1" w:rsidR="00542808">
        <w:t>, Public Notice, DA 22-23 (MB Jan. 11, 2022) (all reminding licensees that had missed the deadline for filing renewal applications for their station licenses of the upcoming expiration date for those licenses).</w:t>
      </w:r>
      <w:r w:rsidRPr="006A7BD1" w:rsidR="00542808">
        <w:rPr>
          <w:i/>
          <w:iCs/>
          <w:sz w:val="23"/>
          <w:szCs w:val="23"/>
        </w:rPr>
        <w:t xml:space="preserve"> </w:t>
      </w:r>
      <w:r w:rsidR="00542808">
        <w:rPr>
          <w:i/>
          <w:iCs/>
          <w:sz w:val="23"/>
          <w:szCs w:val="23"/>
        </w:rPr>
        <w:t xml:space="preserve"> </w:t>
      </w:r>
      <w:r w:rsidRPr="006A7BD1" w:rsidR="00542808">
        <w:t xml:space="preserve">Nor did we cancel the Station’s license, its </w:t>
      </w:r>
      <w:r w:rsidR="00542808">
        <w:t>silent STA</w:t>
      </w:r>
      <w:r w:rsidRPr="006A7BD1" w:rsidR="00542808">
        <w:t xml:space="preserve">, or its call sign, or otherwise notify </w:t>
      </w:r>
      <w:r w:rsidR="00542808">
        <w:t>Augustus</w:t>
      </w:r>
      <w:r w:rsidRPr="006A7BD1" w:rsidR="00542808">
        <w:t xml:space="preserve"> of the license’s expiration.  </w:t>
      </w:r>
      <w:r w:rsidRPr="006A7BD1" w:rsidR="00542808">
        <w:rPr>
          <w:i/>
          <w:iCs/>
        </w:rPr>
        <w:t>Cf., e.g</w:t>
      </w:r>
      <w:r w:rsidRPr="006A7BD1" w:rsidR="00542808">
        <w:t xml:space="preserve">., </w:t>
      </w:r>
      <w:r w:rsidRPr="006A7BD1" w:rsidR="00542808">
        <w:rPr>
          <w:i/>
          <w:iCs/>
        </w:rPr>
        <w:t>Broadcast Actions</w:t>
      </w:r>
      <w:r w:rsidRPr="006A7BD1" w:rsidR="00542808">
        <w:t xml:space="preserve">, Public Notice, Report No. 49920 (MB Feb. 5, 2021) (cancelling radio station licenses for failure to file renewal </w:t>
      </w:r>
      <w:r w:rsidRPr="00CF5FED" w:rsidR="00542808">
        <w:t>applications</w:t>
      </w:r>
      <w:r w:rsidRPr="00CF5FED" w:rsidR="00542808">
        <w:rPr>
          <w:i/>
          <w:iCs/>
        </w:rPr>
        <w:t>).</w:t>
      </w:r>
      <w:r w:rsidRPr="00CF5FED" w:rsidR="00542808">
        <w:t xml:space="preserve"> </w:t>
      </w:r>
      <w:r w:rsidRPr="00CF5FED" w:rsidR="00542808">
        <w:rPr>
          <w:i/>
          <w:iCs/>
          <w:sz w:val="23"/>
          <w:szCs w:val="23"/>
        </w:rPr>
        <w:t xml:space="preserve"> </w:t>
      </w:r>
      <w:r w:rsidRPr="00CF5FED" w:rsidR="00542808">
        <w:t xml:space="preserve">Instead, we granted Augustus STA to operate the Station at reduced power on March 25, 2022.  </w:t>
      </w:r>
      <w:r w:rsidRPr="00CF5FED" w:rsidR="009111E8">
        <w:rPr>
          <w:i/>
          <w:iCs/>
        </w:rPr>
        <w:t>See supra</w:t>
      </w:r>
      <w:r w:rsidRPr="00CF5FED" w:rsidR="009111E8">
        <w:t xml:space="preserve"> note </w:t>
      </w:r>
      <w:r w:rsidRPr="00CF5FED" w:rsidR="00884AB9">
        <w:t>11</w:t>
      </w:r>
      <w:r w:rsidRPr="00CF5FED" w:rsidR="009111E8">
        <w:t>.</w:t>
      </w:r>
      <w:r w:rsidRPr="009111E8" w:rsidR="009111E8">
        <w:t xml:space="preserve">  </w:t>
      </w:r>
      <w:r w:rsidRPr="009111E8" w:rsidR="00542808">
        <w:t>Our grant of this STA after the date the Station’s license expired may have contributed to the Licensee’s confusion over the renewal deadline.</w:t>
      </w:r>
      <w:r w:rsidRPr="009111E8" w:rsidR="00542808">
        <w:rPr>
          <w:i/>
          <w:iCs/>
        </w:rPr>
        <w:t xml:space="preserve">  </w:t>
      </w:r>
      <w:r w:rsidRPr="00542808" w:rsidR="00542808">
        <w:t>Given these unique factors, we do not believe it would be appropriate to pursue enforcement action related to operation of the Station after June 17, 2021.</w:t>
      </w:r>
      <w:r w:rsidRPr="00B8495F" w:rsidR="00542808">
        <w:rPr>
          <w:i/>
          <w:iCs/>
        </w:rPr>
        <w:t xml:space="preserve">  See Redrock Broad., Inc., </w:t>
      </w:r>
      <w:r w:rsidRPr="00144B5F" w:rsidR="00542808">
        <w:t>Memorandum Opinion and Order and Notice of Apparent Liability for Forfeiture,</w:t>
      </w:r>
      <w:r w:rsidRPr="00B8495F" w:rsidR="00542808">
        <w:rPr>
          <w:i/>
          <w:iCs/>
        </w:rPr>
        <w:t xml:space="preserve"> </w:t>
      </w:r>
      <w:r w:rsidRPr="009111E8" w:rsidR="00542808">
        <w:t>36 FCC Rcd 11320, 11320, n.6 (MB 2021);</w:t>
      </w:r>
      <w:r w:rsidRPr="00B8495F" w:rsidR="00542808">
        <w:rPr>
          <w:i/>
          <w:iCs/>
        </w:rPr>
        <w:t xml:space="preserve"> Cultural Energy</w:t>
      </w:r>
      <w:r w:rsidRPr="00E4322E" w:rsidR="00542808">
        <w:t xml:space="preserve">, Memorandum Opinion and Order and Notice of Apparent Liability for Forfeiture, </w:t>
      </w:r>
      <w:r w:rsidR="00542808">
        <w:t>36 FCC Rcd 5524</w:t>
      </w:r>
      <w:r w:rsidRPr="00E4322E" w:rsidR="00542808">
        <w:t xml:space="preserve">, </w:t>
      </w:r>
      <w:r w:rsidR="00542808">
        <w:t xml:space="preserve">5524 </w:t>
      </w:r>
      <w:r w:rsidRPr="00E4322E" w:rsidR="00542808">
        <w:t>n. 6 (MB 2021) (</w:t>
      </w:r>
      <w:r w:rsidR="00542808">
        <w:t xml:space="preserve">both </w:t>
      </w:r>
      <w:r w:rsidRPr="00E4322E" w:rsidR="00542808">
        <w:t>declining to impose forfeiture for unauthorized operations where, among other things, (1) the Bureau had not</w:t>
      </w:r>
      <w:r w:rsidR="00542808">
        <w:t>—</w:t>
      </w:r>
      <w:r w:rsidRPr="00E4322E" w:rsidR="00542808">
        <w:t>as is its standard procedure</w:t>
      </w:r>
      <w:r w:rsidR="00542808">
        <w:t>—</w:t>
      </w:r>
      <w:r w:rsidRPr="00E4322E" w:rsidR="00542808">
        <w:t>notified the Licensee of the impending expiration of the Station</w:t>
      </w:r>
      <w:r w:rsidR="00542808">
        <w:t>’</w:t>
      </w:r>
      <w:r w:rsidRPr="00E4322E" w:rsidR="00542808">
        <w:t>s license, (2) the Bureau did not cancel the Station</w:t>
      </w:r>
      <w:r w:rsidR="00542808">
        <w:t>’</w:t>
      </w:r>
      <w:r w:rsidRPr="00E4322E" w:rsidR="00542808">
        <w:t>s license, or otherwise notify the Licensee of the license</w:t>
      </w:r>
      <w:r w:rsidR="00542808">
        <w:t>’</w:t>
      </w:r>
      <w:r w:rsidRPr="00E4322E" w:rsidR="00542808">
        <w:t>s expiration, and (3) the Licensee promptly filed the Application and a new request for STA to continue operating the Station as soon as it was made aware of the license's expiration).</w:t>
      </w:r>
      <w:r w:rsidR="00542808">
        <w:t xml:space="preserve">  </w:t>
      </w:r>
      <w:r w:rsidRPr="00502C4F" w:rsidR="00542808">
        <w:rPr>
          <w:i/>
          <w:iCs/>
        </w:rPr>
        <w:t>Cf. Ward Broad. Corp.</w:t>
      </w:r>
      <w:r w:rsidRPr="00542808" w:rsidR="00542808">
        <w:t>, Memorandum Opinion and Order and Notice of Apparent Liability for Forfeiture, 35 FCC Rcd 5592, 5592, para. 2 (MB 2020) (proposing a forfeiture for unauthorized operation of a station where renewal application was not filed prior to expiration of station’s license; Bureau notified licensee that station's license had expired, that all authority to operate the Station was terminated, and that the Station’s call letters were deleted from the Commission’s database, and thus licensee was “on notice” that any further operation of station was unauthorized).</w:t>
      </w:r>
      <w:r w:rsidR="0001079D">
        <w:t xml:space="preserve">  </w:t>
      </w:r>
      <w:r w:rsidRPr="00DD6C3D" w:rsidR="00DD6C3D">
        <w:t>We note, however, that if this case were in a different procedural posture (</w:t>
      </w:r>
      <w:r w:rsidRPr="00EE3D28" w:rsidR="00DD6C3D">
        <w:rPr>
          <w:i/>
          <w:iCs/>
        </w:rPr>
        <w:t>i.e</w:t>
      </w:r>
      <w:r w:rsidRPr="00DD6C3D" w:rsidR="00DD6C3D">
        <w:t>., had we cancelled the Station’s license and had that cancellation become final), we would not be able to accept and process a late-filed application to renew the Station’s license.</w:t>
      </w:r>
    </w:p>
  </w:footnote>
  <w:footnote w:id="22">
    <w:p w:rsidR="007D49DC" w14:paraId="076E02D2" w14:textId="61486904">
      <w:pPr>
        <w:pStyle w:val="FootnoteText"/>
      </w:pPr>
      <w:r>
        <w:rPr>
          <w:rStyle w:val="FootnoteReference"/>
        </w:rPr>
        <w:footnoteRef/>
      </w:r>
      <w:r>
        <w:t xml:space="preserve"> </w:t>
      </w:r>
      <w:r w:rsidRPr="007D49DC">
        <w:t xml:space="preserve">47 U.S.C. § 503(b)(1)(B). </w:t>
      </w:r>
      <w:r>
        <w:t xml:space="preserve"> </w:t>
      </w:r>
      <w:r w:rsidRPr="007D49DC">
        <w:rPr>
          <w:i/>
          <w:iCs/>
        </w:rPr>
        <w:t>See also</w:t>
      </w:r>
      <w:r w:rsidRPr="007D49DC">
        <w:t xml:space="preserve"> 47 CFR § 1.80(a)(1).</w:t>
      </w:r>
    </w:p>
  </w:footnote>
  <w:footnote w:id="23">
    <w:p w:rsidR="007D49DC" w14:paraId="1DA7CA07" w14:textId="7C396A14">
      <w:pPr>
        <w:pStyle w:val="FootnoteText"/>
      </w:pPr>
      <w:r>
        <w:rPr>
          <w:rStyle w:val="FootnoteReference"/>
        </w:rPr>
        <w:footnoteRef/>
      </w:r>
      <w:r>
        <w:t xml:space="preserve"> </w:t>
      </w:r>
      <w:r w:rsidRPr="00884637" w:rsidR="00884637">
        <w:t>47 U.S.C. § 312(f)(1).</w:t>
      </w:r>
    </w:p>
  </w:footnote>
  <w:footnote w:id="24">
    <w:p w:rsidR="00884637" w14:paraId="3C69FCB2" w14:textId="7DA6D560">
      <w:pPr>
        <w:pStyle w:val="FootnoteText"/>
      </w:pPr>
      <w:r>
        <w:rPr>
          <w:rStyle w:val="FootnoteReference"/>
        </w:rPr>
        <w:footnoteRef/>
      </w:r>
      <w:r>
        <w:t xml:space="preserve"> </w:t>
      </w:r>
      <w:r w:rsidRPr="00E73485" w:rsidR="00E73485">
        <w:rPr>
          <w:i/>
          <w:iCs/>
        </w:rPr>
        <w:t>See</w:t>
      </w:r>
      <w:r w:rsidRPr="00E73485" w:rsidR="00E73485">
        <w:t xml:space="preserve"> H.R. Rep. No. 97-765, 97th Cong. 2d Sess. 51 (1982).</w:t>
      </w:r>
    </w:p>
  </w:footnote>
  <w:footnote w:id="25">
    <w:p w:rsidR="00E73485" w14:paraId="5F1145A4" w14:textId="6C496ED2">
      <w:pPr>
        <w:pStyle w:val="FootnoteText"/>
      </w:pPr>
      <w:r>
        <w:rPr>
          <w:rStyle w:val="FootnoteReference"/>
        </w:rPr>
        <w:footnoteRef/>
      </w:r>
      <w:r>
        <w:t xml:space="preserve"> </w:t>
      </w:r>
      <w:r w:rsidRPr="00D47CEA" w:rsidR="00D47CEA">
        <w:rPr>
          <w:i/>
          <w:iCs/>
        </w:rPr>
        <w:t>See Southern California Broad. Co</w:t>
      </w:r>
      <w:r w:rsidRPr="00D47CEA" w:rsidR="00D47CEA">
        <w:t xml:space="preserve">., Memorandum Opinion and Order, 6 FCC Rcd 4387, 4388, para. 5 (1991), </w:t>
      </w:r>
      <w:r w:rsidRPr="00D47CEA" w:rsidR="00D47CEA">
        <w:rPr>
          <w:i/>
          <w:iCs/>
        </w:rPr>
        <w:t>recon. denied</w:t>
      </w:r>
      <w:r w:rsidRPr="00D47CEA" w:rsidR="00D47CEA">
        <w:t>, Memorandum Opinion and Order, 7 FCC Rcd 3454 (1992).</w:t>
      </w:r>
    </w:p>
  </w:footnote>
  <w:footnote w:id="26">
    <w:p w:rsidR="00D47CEA" w14:paraId="6173A4B5" w14:textId="11DD735E">
      <w:pPr>
        <w:pStyle w:val="FootnoteText"/>
      </w:pPr>
      <w:r>
        <w:rPr>
          <w:rStyle w:val="FootnoteReference"/>
        </w:rPr>
        <w:footnoteRef/>
      </w:r>
      <w:r>
        <w:t xml:space="preserve"> </w:t>
      </w:r>
      <w:r w:rsidRPr="008B0B92" w:rsidR="008B0B92">
        <w:t>47 U.S.C. § 312(f)(2).</w:t>
      </w:r>
    </w:p>
  </w:footnote>
  <w:footnote w:id="27">
    <w:p w:rsidR="00F60812" w:rsidP="00F60812" w14:paraId="12F153DB" w14:textId="77777777">
      <w:pPr>
        <w:pStyle w:val="FootnoteText"/>
      </w:pPr>
      <w:r>
        <w:rPr>
          <w:rStyle w:val="FootnoteReference"/>
        </w:rPr>
        <w:footnoteRef/>
      </w:r>
      <w:r>
        <w:t xml:space="preserve"> </w:t>
      </w:r>
      <w:r w:rsidRPr="00B56601">
        <w:rPr>
          <w:i/>
          <w:iCs/>
        </w:rPr>
        <w:t>The Commission</w:t>
      </w:r>
      <w:r>
        <w:rPr>
          <w:i/>
          <w:iCs/>
        </w:rPr>
        <w:t>’</w:t>
      </w:r>
      <w:r w:rsidRPr="00B56601">
        <w:rPr>
          <w:i/>
          <w:iCs/>
        </w:rPr>
        <w:t>s Forfeiture Policy Statement and Amendment to Section 1.80 of the Rules to Incorporate the Forfeiture Guidelines</w:t>
      </w:r>
      <w:r w:rsidRPr="00B56601">
        <w:t xml:space="preserve">, Report and Order, 12 FCC Rcd 17087 (1997), </w:t>
      </w:r>
      <w:r w:rsidRPr="00E701CE">
        <w:rPr>
          <w:i/>
          <w:iCs/>
        </w:rPr>
        <w:t>recons. denied</w:t>
      </w:r>
      <w:r w:rsidRPr="00B56601">
        <w:t>, 15 FCC Rcd 303 (1999); 47 CFR § 1.80(b)</w:t>
      </w:r>
      <w:r>
        <w:t>(10), Table 1</w:t>
      </w:r>
      <w:r w:rsidRPr="00B56601">
        <w:t>.</w:t>
      </w:r>
    </w:p>
  </w:footnote>
  <w:footnote w:id="28">
    <w:p w:rsidR="00F60812" w14:paraId="1DC64D5B" w14:textId="6240A627">
      <w:pPr>
        <w:pStyle w:val="FootnoteText"/>
      </w:pPr>
      <w:r>
        <w:rPr>
          <w:rStyle w:val="FootnoteReference"/>
        </w:rPr>
        <w:footnoteRef/>
      </w:r>
      <w:r>
        <w:t xml:space="preserve"> </w:t>
      </w:r>
      <w:r w:rsidRPr="00E977D4" w:rsidR="00E977D4">
        <w:t xml:space="preserve">47 U.S.C. § 503(b)(2)(E); </w:t>
      </w:r>
      <w:r w:rsidRPr="00E977D4" w:rsidR="00E977D4">
        <w:rPr>
          <w:i/>
          <w:iCs/>
        </w:rPr>
        <w:t>see also Forfeiture Policy Statement</w:t>
      </w:r>
      <w:r w:rsidRPr="00E977D4" w:rsidR="00E977D4">
        <w:t>, 12 FCC Rcd at 17100</w:t>
      </w:r>
      <w:r w:rsidRPr="003572C6" w:rsidR="00E977D4">
        <w:t>; 47 C.F.R. § 1.80(b)(</w:t>
      </w:r>
      <w:r w:rsidRPr="003572C6" w:rsidR="00075A5F">
        <w:t>10</w:t>
      </w:r>
      <w:r w:rsidRPr="003572C6" w:rsidR="00E977D4">
        <w:t>).</w:t>
      </w:r>
    </w:p>
  </w:footnote>
  <w:footnote w:id="29">
    <w:p w:rsidR="007A27FE" w:rsidRPr="00F00F50" w:rsidP="00F00F50" w14:paraId="0CB6E570" w14:textId="77777777">
      <w:pPr>
        <w:pStyle w:val="FootnoteText"/>
      </w:pPr>
      <w:r w:rsidRPr="00F00F50">
        <w:rPr>
          <w:rStyle w:val="FootnoteReference"/>
        </w:rPr>
        <w:footnoteRef/>
      </w:r>
      <w:r w:rsidRPr="00F00F50">
        <w:t xml:space="preserve"> </w:t>
      </w:r>
      <w:r w:rsidRPr="00F00F50">
        <w:t>47 U.S.C. § 309(k).</w:t>
      </w:r>
    </w:p>
  </w:footnote>
  <w:footnote w:id="30">
    <w:p w:rsidR="007A27FE" w:rsidRPr="00F00F50" w:rsidP="00F00F50" w14:paraId="5F8CB82D" w14:textId="34078BC8">
      <w:pPr>
        <w:pStyle w:val="FootnoteText"/>
      </w:pPr>
      <w:r w:rsidRPr="00F00F50">
        <w:rPr>
          <w:rStyle w:val="FootnoteReference"/>
        </w:rPr>
        <w:footnoteRef/>
      </w:r>
      <w:r w:rsidRPr="00F00F50">
        <w:t xml:space="preserve"> </w:t>
      </w:r>
      <w:r w:rsidRPr="003572C6" w:rsidR="003572C6">
        <w:rPr>
          <w:i/>
          <w:iCs/>
        </w:rPr>
        <w:t>Id</w:t>
      </w:r>
      <w:r w:rsidR="003572C6">
        <w:t>.</w:t>
      </w:r>
      <w:r w:rsidRPr="00F00F50">
        <w:t xml:space="preserve"> § 309(k)(1).  </w:t>
      </w:r>
    </w:p>
  </w:footnote>
  <w:footnote w:id="31">
    <w:p w:rsidR="007A27FE" w:rsidRPr="00F00F50" w:rsidP="00F00F50" w14:paraId="348282EB" w14:textId="3E3924A7">
      <w:pPr>
        <w:pStyle w:val="FootnoteText"/>
      </w:pPr>
      <w:r w:rsidRPr="00F00F50">
        <w:rPr>
          <w:rStyle w:val="FootnoteReference"/>
        </w:rPr>
        <w:footnoteRef/>
      </w:r>
      <w:r w:rsidRPr="00F00F50">
        <w:t xml:space="preserve"> </w:t>
      </w:r>
      <w:r w:rsidRPr="003572C6" w:rsidR="003572C6">
        <w:rPr>
          <w:i/>
          <w:iCs/>
        </w:rPr>
        <w:t>Id</w:t>
      </w:r>
      <w:r w:rsidRPr="00F00F50">
        <w:t>. § 309(k)(2), (k)(3).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6ACD14A6" w14:textId="317F07D7">
    <w:pPr>
      <w:pStyle w:val="Header"/>
      <w:rPr>
        <w:b w:val="0"/>
      </w:rPr>
    </w:pPr>
    <w:r>
      <w:tab/>
    </w:r>
    <w:r>
      <w:t>Federal Communications Commission</w:t>
    </w:r>
    <w:r>
      <w:tab/>
      <w:t xml:space="preserve">DA </w:t>
    </w:r>
    <w:r w:rsidR="00FC6E9B">
      <w:t>22</w:t>
    </w:r>
    <w:r>
      <w:t>-</w:t>
    </w:r>
    <w:r w:rsidR="00B67330">
      <w:t>1103</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78ED22C4" w14:textId="0116822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 xml:space="preserve">Federal Communications </w:t>
    </w:r>
    <w:r>
      <w:rPr>
        <w:spacing w:val="-2"/>
      </w:rPr>
      <w:t>Commission</w:t>
    </w:r>
    <w:r>
      <w:rPr>
        <w:spacing w:val="-2"/>
      </w:rPr>
      <w:tab/>
    </w:r>
    <w:r>
      <w:t>DA</w:t>
    </w:r>
    <w:r>
      <w:rPr>
        <w:spacing w:val="-2"/>
      </w:rPr>
      <w:t xml:space="preserve"> </w:t>
    </w:r>
    <w:r w:rsidR="00FC6E9B">
      <w:rPr>
        <w:spacing w:val="-2"/>
      </w:rPr>
      <w:t>22</w:t>
    </w:r>
    <w:r>
      <w:rPr>
        <w:spacing w:val="-2"/>
      </w:rPr>
      <w:t>-</w:t>
    </w:r>
    <w:r w:rsidR="00B67330">
      <w:rPr>
        <w:spacing w:val="-2"/>
      </w:rPr>
      <w:t>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num>
  <w:num w:numId="13">
    <w:abstractNumId w:val="2"/>
  </w:num>
  <w:num w:numId="14">
    <w:abstractNumId w:val="12"/>
  </w:num>
  <w:num w:numId="15">
    <w:abstractNumId w:val="3"/>
  </w:num>
  <w:num w:numId="16">
    <w:abstractNumId w:val="11"/>
    <w:lvlOverride w:ilvl="0">
      <w:startOverride w:val="1"/>
    </w:lvlOverride>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372D"/>
    <w:rsid w:val="0000558E"/>
    <w:rsid w:val="0001079D"/>
    <w:rsid w:val="00015284"/>
    <w:rsid w:val="00015CA0"/>
    <w:rsid w:val="0001682F"/>
    <w:rsid w:val="00026573"/>
    <w:rsid w:val="00031F80"/>
    <w:rsid w:val="00034A9F"/>
    <w:rsid w:val="00035FDE"/>
    <w:rsid w:val="00036039"/>
    <w:rsid w:val="00037F15"/>
    <w:rsid w:val="00037F90"/>
    <w:rsid w:val="00037F9B"/>
    <w:rsid w:val="0004626A"/>
    <w:rsid w:val="000516F8"/>
    <w:rsid w:val="00051FBB"/>
    <w:rsid w:val="000528AC"/>
    <w:rsid w:val="0005369A"/>
    <w:rsid w:val="00055B36"/>
    <w:rsid w:val="00062FC5"/>
    <w:rsid w:val="00063A70"/>
    <w:rsid w:val="00073E55"/>
    <w:rsid w:val="00075A5F"/>
    <w:rsid w:val="00081F0C"/>
    <w:rsid w:val="000875BF"/>
    <w:rsid w:val="000875CB"/>
    <w:rsid w:val="000877AC"/>
    <w:rsid w:val="00087EBE"/>
    <w:rsid w:val="00091235"/>
    <w:rsid w:val="0009390B"/>
    <w:rsid w:val="00093C93"/>
    <w:rsid w:val="00095F84"/>
    <w:rsid w:val="00096D8C"/>
    <w:rsid w:val="000A15CA"/>
    <w:rsid w:val="000A4D7E"/>
    <w:rsid w:val="000A5C37"/>
    <w:rsid w:val="000A7D91"/>
    <w:rsid w:val="000B1F6B"/>
    <w:rsid w:val="000B5F32"/>
    <w:rsid w:val="000C0B65"/>
    <w:rsid w:val="000C2224"/>
    <w:rsid w:val="000C280A"/>
    <w:rsid w:val="000C3770"/>
    <w:rsid w:val="000C7145"/>
    <w:rsid w:val="000C7A69"/>
    <w:rsid w:val="000D032D"/>
    <w:rsid w:val="000D42E0"/>
    <w:rsid w:val="000D784A"/>
    <w:rsid w:val="000E05FE"/>
    <w:rsid w:val="000E1031"/>
    <w:rsid w:val="000E2187"/>
    <w:rsid w:val="000E2EBC"/>
    <w:rsid w:val="000E3D42"/>
    <w:rsid w:val="000E4FD4"/>
    <w:rsid w:val="000E591C"/>
    <w:rsid w:val="000E79AC"/>
    <w:rsid w:val="000F6101"/>
    <w:rsid w:val="00111AEA"/>
    <w:rsid w:val="00111BE6"/>
    <w:rsid w:val="00116685"/>
    <w:rsid w:val="00116C69"/>
    <w:rsid w:val="00122BD5"/>
    <w:rsid w:val="0012318B"/>
    <w:rsid w:val="00130739"/>
    <w:rsid w:val="00131B6D"/>
    <w:rsid w:val="00131D44"/>
    <w:rsid w:val="00132A42"/>
    <w:rsid w:val="00133F79"/>
    <w:rsid w:val="00135F47"/>
    <w:rsid w:val="00141C9A"/>
    <w:rsid w:val="00144B5F"/>
    <w:rsid w:val="00144C52"/>
    <w:rsid w:val="00144FFF"/>
    <w:rsid w:val="00151252"/>
    <w:rsid w:val="00154802"/>
    <w:rsid w:val="00157260"/>
    <w:rsid w:val="00167361"/>
    <w:rsid w:val="00170E62"/>
    <w:rsid w:val="00170F29"/>
    <w:rsid w:val="0017588A"/>
    <w:rsid w:val="00176E88"/>
    <w:rsid w:val="001803D0"/>
    <w:rsid w:val="00182388"/>
    <w:rsid w:val="001829C2"/>
    <w:rsid w:val="00183C91"/>
    <w:rsid w:val="0018575B"/>
    <w:rsid w:val="00186206"/>
    <w:rsid w:val="00191AD4"/>
    <w:rsid w:val="00194256"/>
    <w:rsid w:val="00194A66"/>
    <w:rsid w:val="00196A30"/>
    <w:rsid w:val="001978F2"/>
    <w:rsid w:val="001A4C6A"/>
    <w:rsid w:val="001A5FF1"/>
    <w:rsid w:val="001B056E"/>
    <w:rsid w:val="001B2166"/>
    <w:rsid w:val="001B3B74"/>
    <w:rsid w:val="001B3F22"/>
    <w:rsid w:val="001C2BC1"/>
    <w:rsid w:val="001C2EDC"/>
    <w:rsid w:val="001C4C5D"/>
    <w:rsid w:val="001C732B"/>
    <w:rsid w:val="001D3B83"/>
    <w:rsid w:val="001D4D95"/>
    <w:rsid w:val="001D6BCF"/>
    <w:rsid w:val="001D6FAD"/>
    <w:rsid w:val="001E01CA"/>
    <w:rsid w:val="001E4CDA"/>
    <w:rsid w:val="001E52F9"/>
    <w:rsid w:val="001E621D"/>
    <w:rsid w:val="001E626A"/>
    <w:rsid w:val="001E7E3D"/>
    <w:rsid w:val="001F5E5A"/>
    <w:rsid w:val="00200346"/>
    <w:rsid w:val="0020044B"/>
    <w:rsid w:val="0020302C"/>
    <w:rsid w:val="002035CA"/>
    <w:rsid w:val="00204D3C"/>
    <w:rsid w:val="002063FA"/>
    <w:rsid w:val="002071BB"/>
    <w:rsid w:val="00207239"/>
    <w:rsid w:val="00207AE3"/>
    <w:rsid w:val="00213075"/>
    <w:rsid w:val="00214117"/>
    <w:rsid w:val="0021642C"/>
    <w:rsid w:val="00216CC2"/>
    <w:rsid w:val="00216D3F"/>
    <w:rsid w:val="00220F01"/>
    <w:rsid w:val="0022320C"/>
    <w:rsid w:val="00224066"/>
    <w:rsid w:val="00226435"/>
    <w:rsid w:val="00226D8F"/>
    <w:rsid w:val="0022793E"/>
    <w:rsid w:val="0023075E"/>
    <w:rsid w:val="00230C1D"/>
    <w:rsid w:val="00230E83"/>
    <w:rsid w:val="00231A50"/>
    <w:rsid w:val="00232A4B"/>
    <w:rsid w:val="002348ED"/>
    <w:rsid w:val="00235E60"/>
    <w:rsid w:val="00240A26"/>
    <w:rsid w:val="00246027"/>
    <w:rsid w:val="00251431"/>
    <w:rsid w:val="002514F9"/>
    <w:rsid w:val="00261899"/>
    <w:rsid w:val="00265BE1"/>
    <w:rsid w:val="00270F04"/>
    <w:rsid w:val="0027199C"/>
    <w:rsid w:val="0027307F"/>
    <w:rsid w:val="00275CF5"/>
    <w:rsid w:val="00281E2A"/>
    <w:rsid w:val="0028301F"/>
    <w:rsid w:val="002843A6"/>
    <w:rsid w:val="00285017"/>
    <w:rsid w:val="00287D1F"/>
    <w:rsid w:val="0029108F"/>
    <w:rsid w:val="00291181"/>
    <w:rsid w:val="00294018"/>
    <w:rsid w:val="00297E1E"/>
    <w:rsid w:val="002A02B5"/>
    <w:rsid w:val="002A0B8A"/>
    <w:rsid w:val="002A17AD"/>
    <w:rsid w:val="002A2D2E"/>
    <w:rsid w:val="002A5040"/>
    <w:rsid w:val="002A63C7"/>
    <w:rsid w:val="002A7259"/>
    <w:rsid w:val="002A7EC5"/>
    <w:rsid w:val="002B07BA"/>
    <w:rsid w:val="002B124C"/>
    <w:rsid w:val="002C00E8"/>
    <w:rsid w:val="002C2030"/>
    <w:rsid w:val="002C3FD0"/>
    <w:rsid w:val="002C434C"/>
    <w:rsid w:val="002C4CAB"/>
    <w:rsid w:val="002C5816"/>
    <w:rsid w:val="002D1C08"/>
    <w:rsid w:val="002D43EF"/>
    <w:rsid w:val="002D6681"/>
    <w:rsid w:val="002E1F37"/>
    <w:rsid w:val="002E44CA"/>
    <w:rsid w:val="002F10B9"/>
    <w:rsid w:val="00301290"/>
    <w:rsid w:val="00302C79"/>
    <w:rsid w:val="003070E7"/>
    <w:rsid w:val="0031409F"/>
    <w:rsid w:val="0031466A"/>
    <w:rsid w:val="00320208"/>
    <w:rsid w:val="003210F4"/>
    <w:rsid w:val="00322319"/>
    <w:rsid w:val="00322489"/>
    <w:rsid w:val="00322EF1"/>
    <w:rsid w:val="003271CB"/>
    <w:rsid w:val="003372C4"/>
    <w:rsid w:val="003409D0"/>
    <w:rsid w:val="00340F29"/>
    <w:rsid w:val="00343749"/>
    <w:rsid w:val="00345A37"/>
    <w:rsid w:val="00346346"/>
    <w:rsid w:val="00350627"/>
    <w:rsid w:val="00350A20"/>
    <w:rsid w:val="00350A21"/>
    <w:rsid w:val="003514F6"/>
    <w:rsid w:val="0035242F"/>
    <w:rsid w:val="003572C6"/>
    <w:rsid w:val="0036137F"/>
    <w:rsid w:val="0036258F"/>
    <w:rsid w:val="003660ED"/>
    <w:rsid w:val="003671B7"/>
    <w:rsid w:val="003713E4"/>
    <w:rsid w:val="00371EFC"/>
    <w:rsid w:val="00373F66"/>
    <w:rsid w:val="003815D5"/>
    <w:rsid w:val="00382CC8"/>
    <w:rsid w:val="00382DDD"/>
    <w:rsid w:val="003857F5"/>
    <w:rsid w:val="003874F8"/>
    <w:rsid w:val="00390547"/>
    <w:rsid w:val="00390F4C"/>
    <w:rsid w:val="003937A6"/>
    <w:rsid w:val="003A0A6D"/>
    <w:rsid w:val="003A1D38"/>
    <w:rsid w:val="003A20F5"/>
    <w:rsid w:val="003A2CC2"/>
    <w:rsid w:val="003A2FD5"/>
    <w:rsid w:val="003A6472"/>
    <w:rsid w:val="003B046B"/>
    <w:rsid w:val="003B0550"/>
    <w:rsid w:val="003B1D0E"/>
    <w:rsid w:val="003B1F8C"/>
    <w:rsid w:val="003B256E"/>
    <w:rsid w:val="003B28AA"/>
    <w:rsid w:val="003B3C5F"/>
    <w:rsid w:val="003B6240"/>
    <w:rsid w:val="003B694F"/>
    <w:rsid w:val="003B70DF"/>
    <w:rsid w:val="003C5134"/>
    <w:rsid w:val="003C5384"/>
    <w:rsid w:val="003C6D2A"/>
    <w:rsid w:val="003C6DFA"/>
    <w:rsid w:val="003D058D"/>
    <w:rsid w:val="003D125E"/>
    <w:rsid w:val="003D1FF1"/>
    <w:rsid w:val="003D4925"/>
    <w:rsid w:val="003D4D70"/>
    <w:rsid w:val="003E020E"/>
    <w:rsid w:val="003E0F96"/>
    <w:rsid w:val="003E2B64"/>
    <w:rsid w:val="003E33B8"/>
    <w:rsid w:val="003E3DA0"/>
    <w:rsid w:val="003E7881"/>
    <w:rsid w:val="003F1020"/>
    <w:rsid w:val="003F171C"/>
    <w:rsid w:val="003F1DA9"/>
    <w:rsid w:val="003F71B0"/>
    <w:rsid w:val="003F7EC7"/>
    <w:rsid w:val="00412FC5"/>
    <w:rsid w:val="00413E0D"/>
    <w:rsid w:val="00420E73"/>
    <w:rsid w:val="00421616"/>
    <w:rsid w:val="00422276"/>
    <w:rsid w:val="00423A49"/>
    <w:rsid w:val="004242F1"/>
    <w:rsid w:val="00427AA0"/>
    <w:rsid w:val="0043040E"/>
    <w:rsid w:val="004309EE"/>
    <w:rsid w:val="00434934"/>
    <w:rsid w:val="004357CF"/>
    <w:rsid w:val="004358D8"/>
    <w:rsid w:val="00436575"/>
    <w:rsid w:val="00437E6D"/>
    <w:rsid w:val="00443DFA"/>
    <w:rsid w:val="00444002"/>
    <w:rsid w:val="00445A00"/>
    <w:rsid w:val="00445DBE"/>
    <w:rsid w:val="004467C8"/>
    <w:rsid w:val="00446AD1"/>
    <w:rsid w:val="00450D9F"/>
    <w:rsid w:val="00451B0F"/>
    <w:rsid w:val="00455E80"/>
    <w:rsid w:val="004564EC"/>
    <w:rsid w:val="004575A5"/>
    <w:rsid w:val="0046218E"/>
    <w:rsid w:val="00467570"/>
    <w:rsid w:val="00467D70"/>
    <w:rsid w:val="0047124F"/>
    <w:rsid w:val="0047259F"/>
    <w:rsid w:val="004742CB"/>
    <w:rsid w:val="00474438"/>
    <w:rsid w:val="00492257"/>
    <w:rsid w:val="004924F0"/>
    <w:rsid w:val="004926DC"/>
    <w:rsid w:val="00494AC6"/>
    <w:rsid w:val="00494D31"/>
    <w:rsid w:val="004A2EEB"/>
    <w:rsid w:val="004B0C2B"/>
    <w:rsid w:val="004B139D"/>
    <w:rsid w:val="004B45F8"/>
    <w:rsid w:val="004B56BA"/>
    <w:rsid w:val="004B691C"/>
    <w:rsid w:val="004B6A9F"/>
    <w:rsid w:val="004C2EE3"/>
    <w:rsid w:val="004C641A"/>
    <w:rsid w:val="004D1224"/>
    <w:rsid w:val="004D1B60"/>
    <w:rsid w:val="004D3E76"/>
    <w:rsid w:val="004D458E"/>
    <w:rsid w:val="004D6AD1"/>
    <w:rsid w:val="004D6FC7"/>
    <w:rsid w:val="004D736F"/>
    <w:rsid w:val="004E15A0"/>
    <w:rsid w:val="004E4961"/>
    <w:rsid w:val="004E4A22"/>
    <w:rsid w:val="004F4D62"/>
    <w:rsid w:val="004F584D"/>
    <w:rsid w:val="004F61DD"/>
    <w:rsid w:val="00500D62"/>
    <w:rsid w:val="00502C4F"/>
    <w:rsid w:val="00503655"/>
    <w:rsid w:val="005075F3"/>
    <w:rsid w:val="00511968"/>
    <w:rsid w:val="005131F4"/>
    <w:rsid w:val="00514E57"/>
    <w:rsid w:val="00515603"/>
    <w:rsid w:val="00516F99"/>
    <w:rsid w:val="0052032A"/>
    <w:rsid w:val="0053083C"/>
    <w:rsid w:val="005309FD"/>
    <w:rsid w:val="005326AD"/>
    <w:rsid w:val="00535873"/>
    <w:rsid w:val="00540A52"/>
    <w:rsid w:val="005410D5"/>
    <w:rsid w:val="0054136E"/>
    <w:rsid w:val="00542808"/>
    <w:rsid w:val="00543D39"/>
    <w:rsid w:val="00544B38"/>
    <w:rsid w:val="005451DA"/>
    <w:rsid w:val="005560C5"/>
    <w:rsid w:val="0055614C"/>
    <w:rsid w:val="005565D6"/>
    <w:rsid w:val="00562B40"/>
    <w:rsid w:val="00563297"/>
    <w:rsid w:val="005641BF"/>
    <w:rsid w:val="00565842"/>
    <w:rsid w:val="00580DBC"/>
    <w:rsid w:val="00582CF2"/>
    <w:rsid w:val="00584E8F"/>
    <w:rsid w:val="00586C6B"/>
    <w:rsid w:val="005872E3"/>
    <w:rsid w:val="00590CBF"/>
    <w:rsid w:val="0059139C"/>
    <w:rsid w:val="00594F7F"/>
    <w:rsid w:val="00596A6C"/>
    <w:rsid w:val="005A03E4"/>
    <w:rsid w:val="005A409C"/>
    <w:rsid w:val="005A4F18"/>
    <w:rsid w:val="005B3217"/>
    <w:rsid w:val="005B4E3A"/>
    <w:rsid w:val="005B6508"/>
    <w:rsid w:val="005B6958"/>
    <w:rsid w:val="005B6AED"/>
    <w:rsid w:val="005B75B3"/>
    <w:rsid w:val="005C2F78"/>
    <w:rsid w:val="005C57AE"/>
    <w:rsid w:val="005D0B73"/>
    <w:rsid w:val="005D0D55"/>
    <w:rsid w:val="005D0D56"/>
    <w:rsid w:val="005D4BD1"/>
    <w:rsid w:val="005D54A5"/>
    <w:rsid w:val="005D7A0B"/>
    <w:rsid w:val="005E0715"/>
    <w:rsid w:val="005E11EA"/>
    <w:rsid w:val="005E14C2"/>
    <w:rsid w:val="005E3EA9"/>
    <w:rsid w:val="005E4A5E"/>
    <w:rsid w:val="005E5271"/>
    <w:rsid w:val="005E5565"/>
    <w:rsid w:val="005E577F"/>
    <w:rsid w:val="005F076B"/>
    <w:rsid w:val="005F076E"/>
    <w:rsid w:val="005F185D"/>
    <w:rsid w:val="005F3F7C"/>
    <w:rsid w:val="005F60CC"/>
    <w:rsid w:val="006008AA"/>
    <w:rsid w:val="00600EE7"/>
    <w:rsid w:val="00603341"/>
    <w:rsid w:val="00603D4A"/>
    <w:rsid w:val="00603F16"/>
    <w:rsid w:val="00605EA6"/>
    <w:rsid w:val="006067AF"/>
    <w:rsid w:val="00607BA5"/>
    <w:rsid w:val="0061180A"/>
    <w:rsid w:val="00611F02"/>
    <w:rsid w:val="00615DCD"/>
    <w:rsid w:val="00616EB7"/>
    <w:rsid w:val="00617A26"/>
    <w:rsid w:val="00617DAD"/>
    <w:rsid w:val="0062329A"/>
    <w:rsid w:val="00626EB6"/>
    <w:rsid w:val="006312EE"/>
    <w:rsid w:val="006324C2"/>
    <w:rsid w:val="006328B9"/>
    <w:rsid w:val="006348B0"/>
    <w:rsid w:val="00641B7C"/>
    <w:rsid w:val="00644027"/>
    <w:rsid w:val="00644ECF"/>
    <w:rsid w:val="006451EC"/>
    <w:rsid w:val="00645AD8"/>
    <w:rsid w:val="00646069"/>
    <w:rsid w:val="00646E55"/>
    <w:rsid w:val="006523B5"/>
    <w:rsid w:val="00653C8A"/>
    <w:rsid w:val="00654762"/>
    <w:rsid w:val="00655D03"/>
    <w:rsid w:val="00656D5A"/>
    <w:rsid w:val="00657DB9"/>
    <w:rsid w:val="00657F34"/>
    <w:rsid w:val="00664F69"/>
    <w:rsid w:val="006675FE"/>
    <w:rsid w:val="00670463"/>
    <w:rsid w:val="00674476"/>
    <w:rsid w:val="006765AF"/>
    <w:rsid w:val="00676EE4"/>
    <w:rsid w:val="00677CDA"/>
    <w:rsid w:val="00683198"/>
    <w:rsid w:val="00683388"/>
    <w:rsid w:val="00683723"/>
    <w:rsid w:val="00683F84"/>
    <w:rsid w:val="00691F4F"/>
    <w:rsid w:val="006920E4"/>
    <w:rsid w:val="0069338C"/>
    <w:rsid w:val="006941A2"/>
    <w:rsid w:val="006947F3"/>
    <w:rsid w:val="006968BB"/>
    <w:rsid w:val="006A3030"/>
    <w:rsid w:val="006A4E68"/>
    <w:rsid w:val="006A5284"/>
    <w:rsid w:val="006A63FA"/>
    <w:rsid w:val="006A6A81"/>
    <w:rsid w:val="006A7BD1"/>
    <w:rsid w:val="006A7E53"/>
    <w:rsid w:val="006B1DC3"/>
    <w:rsid w:val="006B2232"/>
    <w:rsid w:val="006B31FC"/>
    <w:rsid w:val="006B375F"/>
    <w:rsid w:val="006B4B9C"/>
    <w:rsid w:val="006B79D2"/>
    <w:rsid w:val="006C099C"/>
    <w:rsid w:val="006C0C09"/>
    <w:rsid w:val="006C2AF8"/>
    <w:rsid w:val="006C2F58"/>
    <w:rsid w:val="006D2F83"/>
    <w:rsid w:val="006D63B6"/>
    <w:rsid w:val="006E0AF3"/>
    <w:rsid w:val="006E2C72"/>
    <w:rsid w:val="006E49FF"/>
    <w:rsid w:val="006E5322"/>
    <w:rsid w:val="006E542A"/>
    <w:rsid w:val="006E735B"/>
    <w:rsid w:val="006E7664"/>
    <w:rsid w:val="006F0F20"/>
    <w:rsid w:val="006F3EA9"/>
    <w:rsid w:val="006F4AD3"/>
    <w:rsid w:val="006F665C"/>
    <w:rsid w:val="006F7393"/>
    <w:rsid w:val="006F791D"/>
    <w:rsid w:val="0070224F"/>
    <w:rsid w:val="0070420E"/>
    <w:rsid w:val="00706015"/>
    <w:rsid w:val="00706560"/>
    <w:rsid w:val="007115F7"/>
    <w:rsid w:val="00716282"/>
    <w:rsid w:val="0071681C"/>
    <w:rsid w:val="007168C5"/>
    <w:rsid w:val="007241C3"/>
    <w:rsid w:val="00724906"/>
    <w:rsid w:val="00724C7D"/>
    <w:rsid w:val="00731487"/>
    <w:rsid w:val="00732728"/>
    <w:rsid w:val="00733A2A"/>
    <w:rsid w:val="00733B16"/>
    <w:rsid w:val="00736FB5"/>
    <w:rsid w:val="007431C6"/>
    <w:rsid w:val="00752C33"/>
    <w:rsid w:val="007534FC"/>
    <w:rsid w:val="00761609"/>
    <w:rsid w:val="0076277A"/>
    <w:rsid w:val="007656B5"/>
    <w:rsid w:val="00767221"/>
    <w:rsid w:val="007674BD"/>
    <w:rsid w:val="00772BBF"/>
    <w:rsid w:val="00776976"/>
    <w:rsid w:val="00782F15"/>
    <w:rsid w:val="00784FB6"/>
    <w:rsid w:val="00785689"/>
    <w:rsid w:val="00793B7E"/>
    <w:rsid w:val="00793E3B"/>
    <w:rsid w:val="00793EFB"/>
    <w:rsid w:val="00795892"/>
    <w:rsid w:val="00796A32"/>
    <w:rsid w:val="0079754B"/>
    <w:rsid w:val="00797DE1"/>
    <w:rsid w:val="007A1E6D"/>
    <w:rsid w:val="007A2200"/>
    <w:rsid w:val="007A27FE"/>
    <w:rsid w:val="007A5ACF"/>
    <w:rsid w:val="007A669E"/>
    <w:rsid w:val="007B0EB2"/>
    <w:rsid w:val="007B1571"/>
    <w:rsid w:val="007B1717"/>
    <w:rsid w:val="007B44F9"/>
    <w:rsid w:val="007B6120"/>
    <w:rsid w:val="007C2131"/>
    <w:rsid w:val="007C3CA7"/>
    <w:rsid w:val="007C40D7"/>
    <w:rsid w:val="007C5362"/>
    <w:rsid w:val="007C7601"/>
    <w:rsid w:val="007D49DC"/>
    <w:rsid w:val="007E02FF"/>
    <w:rsid w:val="007E3C47"/>
    <w:rsid w:val="007E43C7"/>
    <w:rsid w:val="007E5388"/>
    <w:rsid w:val="007E6926"/>
    <w:rsid w:val="007F20EF"/>
    <w:rsid w:val="007F2A77"/>
    <w:rsid w:val="007F379D"/>
    <w:rsid w:val="007F4E27"/>
    <w:rsid w:val="007F66D8"/>
    <w:rsid w:val="007F7673"/>
    <w:rsid w:val="00801A8B"/>
    <w:rsid w:val="00803C58"/>
    <w:rsid w:val="00805506"/>
    <w:rsid w:val="00806DDB"/>
    <w:rsid w:val="008078C3"/>
    <w:rsid w:val="00810B6F"/>
    <w:rsid w:val="008159F0"/>
    <w:rsid w:val="00820289"/>
    <w:rsid w:val="008217E1"/>
    <w:rsid w:val="00822CE0"/>
    <w:rsid w:val="00823C79"/>
    <w:rsid w:val="00830B1B"/>
    <w:rsid w:val="0083360C"/>
    <w:rsid w:val="00834C5A"/>
    <w:rsid w:val="00835C30"/>
    <w:rsid w:val="008409F4"/>
    <w:rsid w:val="00841AB1"/>
    <w:rsid w:val="00846BCA"/>
    <w:rsid w:val="00850AA4"/>
    <w:rsid w:val="00852E7A"/>
    <w:rsid w:val="0085305E"/>
    <w:rsid w:val="00854312"/>
    <w:rsid w:val="0085640A"/>
    <w:rsid w:val="0085796B"/>
    <w:rsid w:val="008740B4"/>
    <w:rsid w:val="00874C88"/>
    <w:rsid w:val="00875542"/>
    <w:rsid w:val="00877AD1"/>
    <w:rsid w:val="0088199B"/>
    <w:rsid w:val="008829BD"/>
    <w:rsid w:val="00884637"/>
    <w:rsid w:val="00884AB9"/>
    <w:rsid w:val="00887D8E"/>
    <w:rsid w:val="008914A5"/>
    <w:rsid w:val="008969F0"/>
    <w:rsid w:val="00896E97"/>
    <w:rsid w:val="008A0DB7"/>
    <w:rsid w:val="008A1152"/>
    <w:rsid w:val="008A1C11"/>
    <w:rsid w:val="008A59F1"/>
    <w:rsid w:val="008A5ED1"/>
    <w:rsid w:val="008A6CF5"/>
    <w:rsid w:val="008A72CD"/>
    <w:rsid w:val="008B0B92"/>
    <w:rsid w:val="008B404B"/>
    <w:rsid w:val="008B5301"/>
    <w:rsid w:val="008B61A5"/>
    <w:rsid w:val="008B7E51"/>
    <w:rsid w:val="008C293F"/>
    <w:rsid w:val="008C2AF1"/>
    <w:rsid w:val="008C3359"/>
    <w:rsid w:val="008C3A04"/>
    <w:rsid w:val="008C3F51"/>
    <w:rsid w:val="008C5BD0"/>
    <w:rsid w:val="008C68F1"/>
    <w:rsid w:val="008D0E3B"/>
    <w:rsid w:val="008D1F8B"/>
    <w:rsid w:val="008D2A5D"/>
    <w:rsid w:val="008D4FFF"/>
    <w:rsid w:val="008D5EB4"/>
    <w:rsid w:val="008D6EEC"/>
    <w:rsid w:val="008D77BC"/>
    <w:rsid w:val="008D7DFA"/>
    <w:rsid w:val="008E02FD"/>
    <w:rsid w:val="008E2E8F"/>
    <w:rsid w:val="008E3B6A"/>
    <w:rsid w:val="008F1EB7"/>
    <w:rsid w:val="008F1ED9"/>
    <w:rsid w:val="008F5544"/>
    <w:rsid w:val="008F7913"/>
    <w:rsid w:val="0090283D"/>
    <w:rsid w:val="00903125"/>
    <w:rsid w:val="009111E8"/>
    <w:rsid w:val="009166A3"/>
    <w:rsid w:val="009207EE"/>
    <w:rsid w:val="00921803"/>
    <w:rsid w:val="009225B9"/>
    <w:rsid w:val="00922936"/>
    <w:rsid w:val="00924C27"/>
    <w:rsid w:val="0092568A"/>
    <w:rsid w:val="00926503"/>
    <w:rsid w:val="009270E9"/>
    <w:rsid w:val="009276F8"/>
    <w:rsid w:val="00932F29"/>
    <w:rsid w:val="00933A74"/>
    <w:rsid w:val="00934C3D"/>
    <w:rsid w:val="00935466"/>
    <w:rsid w:val="009354D8"/>
    <w:rsid w:val="009357B4"/>
    <w:rsid w:val="0093597B"/>
    <w:rsid w:val="00941308"/>
    <w:rsid w:val="009466A1"/>
    <w:rsid w:val="00953333"/>
    <w:rsid w:val="009543BD"/>
    <w:rsid w:val="00957218"/>
    <w:rsid w:val="009617B5"/>
    <w:rsid w:val="00961A65"/>
    <w:rsid w:val="00963BC4"/>
    <w:rsid w:val="00965848"/>
    <w:rsid w:val="00967636"/>
    <w:rsid w:val="0097071A"/>
    <w:rsid w:val="00970CEF"/>
    <w:rsid w:val="009726D8"/>
    <w:rsid w:val="00973561"/>
    <w:rsid w:val="00973E44"/>
    <w:rsid w:val="00976F14"/>
    <w:rsid w:val="00977204"/>
    <w:rsid w:val="009845CE"/>
    <w:rsid w:val="00987297"/>
    <w:rsid w:val="00991756"/>
    <w:rsid w:val="009924D2"/>
    <w:rsid w:val="0099266F"/>
    <w:rsid w:val="00992714"/>
    <w:rsid w:val="009979B1"/>
    <w:rsid w:val="00997ED9"/>
    <w:rsid w:val="009A111E"/>
    <w:rsid w:val="009B2FE4"/>
    <w:rsid w:val="009B53C2"/>
    <w:rsid w:val="009C009F"/>
    <w:rsid w:val="009C40B2"/>
    <w:rsid w:val="009C4F99"/>
    <w:rsid w:val="009C62A1"/>
    <w:rsid w:val="009C7B82"/>
    <w:rsid w:val="009D17E5"/>
    <w:rsid w:val="009D277E"/>
    <w:rsid w:val="009D36C5"/>
    <w:rsid w:val="009D4FAA"/>
    <w:rsid w:val="009D64DA"/>
    <w:rsid w:val="009E41F4"/>
    <w:rsid w:val="009E4FB4"/>
    <w:rsid w:val="009F1B99"/>
    <w:rsid w:val="009F2834"/>
    <w:rsid w:val="009F32D4"/>
    <w:rsid w:val="009F336D"/>
    <w:rsid w:val="009F4C30"/>
    <w:rsid w:val="009F64D6"/>
    <w:rsid w:val="009F76DB"/>
    <w:rsid w:val="009F7CFD"/>
    <w:rsid w:val="009F7DD7"/>
    <w:rsid w:val="00A0029E"/>
    <w:rsid w:val="00A00A10"/>
    <w:rsid w:val="00A07CFD"/>
    <w:rsid w:val="00A07D05"/>
    <w:rsid w:val="00A07D90"/>
    <w:rsid w:val="00A11A35"/>
    <w:rsid w:val="00A12164"/>
    <w:rsid w:val="00A15B19"/>
    <w:rsid w:val="00A16A6A"/>
    <w:rsid w:val="00A16F1E"/>
    <w:rsid w:val="00A202AF"/>
    <w:rsid w:val="00A2189B"/>
    <w:rsid w:val="00A24BF6"/>
    <w:rsid w:val="00A26828"/>
    <w:rsid w:val="00A30A4E"/>
    <w:rsid w:val="00A31513"/>
    <w:rsid w:val="00A32C3B"/>
    <w:rsid w:val="00A41A1F"/>
    <w:rsid w:val="00A429ED"/>
    <w:rsid w:val="00A42C95"/>
    <w:rsid w:val="00A4432D"/>
    <w:rsid w:val="00A451E3"/>
    <w:rsid w:val="00A45F4F"/>
    <w:rsid w:val="00A479D9"/>
    <w:rsid w:val="00A5023B"/>
    <w:rsid w:val="00A50CE5"/>
    <w:rsid w:val="00A5275A"/>
    <w:rsid w:val="00A566CD"/>
    <w:rsid w:val="00A600A9"/>
    <w:rsid w:val="00A60F00"/>
    <w:rsid w:val="00A62A47"/>
    <w:rsid w:val="00A672D6"/>
    <w:rsid w:val="00A70742"/>
    <w:rsid w:val="00A70C5F"/>
    <w:rsid w:val="00A7124B"/>
    <w:rsid w:val="00A7759B"/>
    <w:rsid w:val="00A80ABA"/>
    <w:rsid w:val="00A81E3F"/>
    <w:rsid w:val="00A95F32"/>
    <w:rsid w:val="00A96DBC"/>
    <w:rsid w:val="00AA096F"/>
    <w:rsid w:val="00AA4745"/>
    <w:rsid w:val="00AA55B7"/>
    <w:rsid w:val="00AA5B9E"/>
    <w:rsid w:val="00AB0C87"/>
    <w:rsid w:val="00AB1A51"/>
    <w:rsid w:val="00AB2407"/>
    <w:rsid w:val="00AB3124"/>
    <w:rsid w:val="00AB4314"/>
    <w:rsid w:val="00AB53DF"/>
    <w:rsid w:val="00AC122D"/>
    <w:rsid w:val="00AC2C40"/>
    <w:rsid w:val="00AD139C"/>
    <w:rsid w:val="00AD3682"/>
    <w:rsid w:val="00AD3C9B"/>
    <w:rsid w:val="00AD6C46"/>
    <w:rsid w:val="00AD6EEB"/>
    <w:rsid w:val="00AD700D"/>
    <w:rsid w:val="00AE0A37"/>
    <w:rsid w:val="00AE16A1"/>
    <w:rsid w:val="00AE1741"/>
    <w:rsid w:val="00AE59AB"/>
    <w:rsid w:val="00AF0E0A"/>
    <w:rsid w:val="00AF57C0"/>
    <w:rsid w:val="00AF6660"/>
    <w:rsid w:val="00AF7C81"/>
    <w:rsid w:val="00B00CB1"/>
    <w:rsid w:val="00B038CA"/>
    <w:rsid w:val="00B0488D"/>
    <w:rsid w:val="00B07E5C"/>
    <w:rsid w:val="00B10C80"/>
    <w:rsid w:val="00B11AA8"/>
    <w:rsid w:val="00B124A1"/>
    <w:rsid w:val="00B1296A"/>
    <w:rsid w:val="00B16695"/>
    <w:rsid w:val="00B16A85"/>
    <w:rsid w:val="00B22430"/>
    <w:rsid w:val="00B23E6A"/>
    <w:rsid w:val="00B272EA"/>
    <w:rsid w:val="00B27596"/>
    <w:rsid w:val="00B33E98"/>
    <w:rsid w:val="00B35E7B"/>
    <w:rsid w:val="00B37C28"/>
    <w:rsid w:val="00B419C7"/>
    <w:rsid w:val="00B445BD"/>
    <w:rsid w:val="00B45A8D"/>
    <w:rsid w:val="00B47E2A"/>
    <w:rsid w:val="00B51132"/>
    <w:rsid w:val="00B51E6A"/>
    <w:rsid w:val="00B53F73"/>
    <w:rsid w:val="00B5541D"/>
    <w:rsid w:val="00B56601"/>
    <w:rsid w:val="00B56A9D"/>
    <w:rsid w:val="00B6010C"/>
    <w:rsid w:val="00B67330"/>
    <w:rsid w:val="00B67A6E"/>
    <w:rsid w:val="00B7339B"/>
    <w:rsid w:val="00B811F7"/>
    <w:rsid w:val="00B81EB7"/>
    <w:rsid w:val="00B8495F"/>
    <w:rsid w:val="00B8611D"/>
    <w:rsid w:val="00B86D8F"/>
    <w:rsid w:val="00B927C8"/>
    <w:rsid w:val="00B934CB"/>
    <w:rsid w:val="00B94506"/>
    <w:rsid w:val="00B94527"/>
    <w:rsid w:val="00BA3C12"/>
    <w:rsid w:val="00BA3FD8"/>
    <w:rsid w:val="00BA5DC6"/>
    <w:rsid w:val="00BA6196"/>
    <w:rsid w:val="00BB141C"/>
    <w:rsid w:val="00BB29F1"/>
    <w:rsid w:val="00BB6D1F"/>
    <w:rsid w:val="00BB7D4E"/>
    <w:rsid w:val="00BC0747"/>
    <w:rsid w:val="00BC290A"/>
    <w:rsid w:val="00BC3D27"/>
    <w:rsid w:val="00BC400D"/>
    <w:rsid w:val="00BC6D8C"/>
    <w:rsid w:val="00BC6EFB"/>
    <w:rsid w:val="00BD2339"/>
    <w:rsid w:val="00BD606F"/>
    <w:rsid w:val="00BE2B0D"/>
    <w:rsid w:val="00BE78B2"/>
    <w:rsid w:val="00BF3202"/>
    <w:rsid w:val="00BF78C6"/>
    <w:rsid w:val="00C00AA9"/>
    <w:rsid w:val="00C01329"/>
    <w:rsid w:val="00C015E0"/>
    <w:rsid w:val="00C0513A"/>
    <w:rsid w:val="00C10673"/>
    <w:rsid w:val="00C11219"/>
    <w:rsid w:val="00C140EA"/>
    <w:rsid w:val="00C16563"/>
    <w:rsid w:val="00C17A05"/>
    <w:rsid w:val="00C2071F"/>
    <w:rsid w:val="00C21307"/>
    <w:rsid w:val="00C26031"/>
    <w:rsid w:val="00C318E8"/>
    <w:rsid w:val="00C31CC7"/>
    <w:rsid w:val="00C32400"/>
    <w:rsid w:val="00C32800"/>
    <w:rsid w:val="00C34006"/>
    <w:rsid w:val="00C35836"/>
    <w:rsid w:val="00C35F3C"/>
    <w:rsid w:val="00C4169A"/>
    <w:rsid w:val="00C426B1"/>
    <w:rsid w:val="00C43480"/>
    <w:rsid w:val="00C5058A"/>
    <w:rsid w:val="00C5415D"/>
    <w:rsid w:val="00C60515"/>
    <w:rsid w:val="00C655BF"/>
    <w:rsid w:val="00C657F0"/>
    <w:rsid w:val="00C65864"/>
    <w:rsid w:val="00C66160"/>
    <w:rsid w:val="00C676AF"/>
    <w:rsid w:val="00C721AC"/>
    <w:rsid w:val="00C72CEE"/>
    <w:rsid w:val="00C732F9"/>
    <w:rsid w:val="00C73B8C"/>
    <w:rsid w:val="00C75845"/>
    <w:rsid w:val="00C765DF"/>
    <w:rsid w:val="00C7720A"/>
    <w:rsid w:val="00C77E3E"/>
    <w:rsid w:val="00C82426"/>
    <w:rsid w:val="00C85C00"/>
    <w:rsid w:val="00C8631C"/>
    <w:rsid w:val="00C877DA"/>
    <w:rsid w:val="00C90D6A"/>
    <w:rsid w:val="00C92150"/>
    <w:rsid w:val="00C925F6"/>
    <w:rsid w:val="00C95891"/>
    <w:rsid w:val="00CA1355"/>
    <w:rsid w:val="00CA247E"/>
    <w:rsid w:val="00CA27FA"/>
    <w:rsid w:val="00CA31B8"/>
    <w:rsid w:val="00CA4A5E"/>
    <w:rsid w:val="00CA4DEB"/>
    <w:rsid w:val="00CA5475"/>
    <w:rsid w:val="00CB169F"/>
    <w:rsid w:val="00CB58A1"/>
    <w:rsid w:val="00CC028A"/>
    <w:rsid w:val="00CC451C"/>
    <w:rsid w:val="00CC6D32"/>
    <w:rsid w:val="00CC72B6"/>
    <w:rsid w:val="00CE6C46"/>
    <w:rsid w:val="00CF0027"/>
    <w:rsid w:val="00CF2484"/>
    <w:rsid w:val="00CF2D1C"/>
    <w:rsid w:val="00CF52A5"/>
    <w:rsid w:val="00CF5FED"/>
    <w:rsid w:val="00D002DD"/>
    <w:rsid w:val="00D00F74"/>
    <w:rsid w:val="00D0218D"/>
    <w:rsid w:val="00D0648F"/>
    <w:rsid w:val="00D127C0"/>
    <w:rsid w:val="00D136AE"/>
    <w:rsid w:val="00D13E17"/>
    <w:rsid w:val="00D13E3E"/>
    <w:rsid w:val="00D1426A"/>
    <w:rsid w:val="00D14605"/>
    <w:rsid w:val="00D16625"/>
    <w:rsid w:val="00D2119D"/>
    <w:rsid w:val="00D21F73"/>
    <w:rsid w:val="00D25320"/>
    <w:rsid w:val="00D25FB5"/>
    <w:rsid w:val="00D307A9"/>
    <w:rsid w:val="00D30F21"/>
    <w:rsid w:val="00D3235B"/>
    <w:rsid w:val="00D354C0"/>
    <w:rsid w:val="00D35EF3"/>
    <w:rsid w:val="00D43D5E"/>
    <w:rsid w:val="00D44223"/>
    <w:rsid w:val="00D4548E"/>
    <w:rsid w:val="00D47CEA"/>
    <w:rsid w:val="00D50F78"/>
    <w:rsid w:val="00D51467"/>
    <w:rsid w:val="00D537FC"/>
    <w:rsid w:val="00D53D02"/>
    <w:rsid w:val="00D542CE"/>
    <w:rsid w:val="00D543E9"/>
    <w:rsid w:val="00D5799E"/>
    <w:rsid w:val="00D60823"/>
    <w:rsid w:val="00D63571"/>
    <w:rsid w:val="00D65010"/>
    <w:rsid w:val="00D72F40"/>
    <w:rsid w:val="00D7657A"/>
    <w:rsid w:val="00D77FF5"/>
    <w:rsid w:val="00D80577"/>
    <w:rsid w:val="00D83B83"/>
    <w:rsid w:val="00D85F6E"/>
    <w:rsid w:val="00D90069"/>
    <w:rsid w:val="00D9179C"/>
    <w:rsid w:val="00D9213F"/>
    <w:rsid w:val="00D9312F"/>
    <w:rsid w:val="00D97BD2"/>
    <w:rsid w:val="00D97E03"/>
    <w:rsid w:val="00DA0125"/>
    <w:rsid w:val="00DA2529"/>
    <w:rsid w:val="00DA379E"/>
    <w:rsid w:val="00DA392C"/>
    <w:rsid w:val="00DA4867"/>
    <w:rsid w:val="00DB106B"/>
    <w:rsid w:val="00DB130A"/>
    <w:rsid w:val="00DB1D87"/>
    <w:rsid w:val="00DB2EBB"/>
    <w:rsid w:val="00DB3DC9"/>
    <w:rsid w:val="00DB66B5"/>
    <w:rsid w:val="00DB6E56"/>
    <w:rsid w:val="00DC10A1"/>
    <w:rsid w:val="00DC1EB6"/>
    <w:rsid w:val="00DC245B"/>
    <w:rsid w:val="00DC2E96"/>
    <w:rsid w:val="00DC426C"/>
    <w:rsid w:val="00DC50DD"/>
    <w:rsid w:val="00DC655F"/>
    <w:rsid w:val="00DD0B59"/>
    <w:rsid w:val="00DD2D21"/>
    <w:rsid w:val="00DD58B4"/>
    <w:rsid w:val="00DD6C3D"/>
    <w:rsid w:val="00DD6D6B"/>
    <w:rsid w:val="00DD7777"/>
    <w:rsid w:val="00DD7EBD"/>
    <w:rsid w:val="00DE1B30"/>
    <w:rsid w:val="00DE49D1"/>
    <w:rsid w:val="00DE554F"/>
    <w:rsid w:val="00DE7F37"/>
    <w:rsid w:val="00DF104B"/>
    <w:rsid w:val="00DF21F9"/>
    <w:rsid w:val="00DF3428"/>
    <w:rsid w:val="00DF4E41"/>
    <w:rsid w:val="00DF62B6"/>
    <w:rsid w:val="00E01AD7"/>
    <w:rsid w:val="00E01F0E"/>
    <w:rsid w:val="00E05338"/>
    <w:rsid w:val="00E06381"/>
    <w:rsid w:val="00E07225"/>
    <w:rsid w:val="00E07D25"/>
    <w:rsid w:val="00E148B0"/>
    <w:rsid w:val="00E170C2"/>
    <w:rsid w:val="00E21319"/>
    <w:rsid w:val="00E35A0E"/>
    <w:rsid w:val="00E4322E"/>
    <w:rsid w:val="00E44AA4"/>
    <w:rsid w:val="00E461E0"/>
    <w:rsid w:val="00E463B0"/>
    <w:rsid w:val="00E47BA1"/>
    <w:rsid w:val="00E5409F"/>
    <w:rsid w:val="00E54217"/>
    <w:rsid w:val="00E546AD"/>
    <w:rsid w:val="00E5667D"/>
    <w:rsid w:val="00E626A9"/>
    <w:rsid w:val="00E646F7"/>
    <w:rsid w:val="00E674C6"/>
    <w:rsid w:val="00E701CE"/>
    <w:rsid w:val="00E71903"/>
    <w:rsid w:val="00E73485"/>
    <w:rsid w:val="00E81FC7"/>
    <w:rsid w:val="00E85896"/>
    <w:rsid w:val="00E863B4"/>
    <w:rsid w:val="00E95A01"/>
    <w:rsid w:val="00E977D4"/>
    <w:rsid w:val="00EA1461"/>
    <w:rsid w:val="00EA56B0"/>
    <w:rsid w:val="00EB1B5D"/>
    <w:rsid w:val="00EB26BA"/>
    <w:rsid w:val="00EB34F5"/>
    <w:rsid w:val="00EB399F"/>
    <w:rsid w:val="00EB79C0"/>
    <w:rsid w:val="00EC2CF3"/>
    <w:rsid w:val="00EC31CF"/>
    <w:rsid w:val="00EC64BA"/>
    <w:rsid w:val="00ED087E"/>
    <w:rsid w:val="00ED1374"/>
    <w:rsid w:val="00ED1F89"/>
    <w:rsid w:val="00ED21AD"/>
    <w:rsid w:val="00ED5860"/>
    <w:rsid w:val="00ED7CAC"/>
    <w:rsid w:val="00ED7D3C"/>
    <w:rsid w:val="00EE3D28"/>
    <w:rsid w:val="00EE61E1"/>
    <w:rsid w:val="00EE6488"/>
    <w:rsid w:val="00EE795D"/>
    <w:rsid w:val="00EF315D"/>
    <w:rsid w:val="00EF4310"/>
    <w:rsid w:val="00EF54FC"/>
    <w:rsid w:val="00F00443"/>
    <w:rsid w:val="00F00F50"/>
    <w:rsid w:val="00F021FA"/>
    <w:rsid w:val="00F023EB"/>
    <w:rsid w:val="00F03D1B"/>
    <w:rsid w:val="00F03D51"/>
    <w:rsid w:val="00F03E36"/>
    <w:rsid w:val="00F07914"/>
    <w:rsid w:val="00F07997"/>
    <w:rsid w:val="00F07F20"/>
    <w:rsid w:val="00F122B5"/>
    <w:rsid w:val="00F1233A"/>
    <w:rsid w:val="00F1302E"/>
    <w:rsid w:val="00F16341"/>
    <w:rsid w:val="00F178E3"/>
    <w:rsid w:val="00F20509"/>
    <w:rsid w:val="00F23717"/>
    <w:rsid w:val="00F25568"/>
    <w:rsid w:val="00F2612F"/>
    <w:rsid w:val="00F264CE"/>
    <w:rsid w:val="00F2755D"/>
    <w:rsid w:val="00F30E49"/>
    <w:rsid w:val="00F34AE5"/>
    <w:rsid w:val="00F43597"/>
    <w:rsid w:val="00F4426C"/>
    <w:rsid w:val="00F45A1D"/>
    <w:rsid w:val="00F50649"/>
    <w:rsid w:val="00F50E72"/>
    <w:rsid w:val="00F52F1B"/>
    <w:rsid w:val="00F53E6B"/>
    <w:rsid w:val="00F54FCF"/>
    <w:rsid w:val="00F607A2"/>
    <w:rsid w:val="00F60812"/>
    <w:rsid w:val="00F60CDF"/>
    <w:rsid w:val="00F62E97"/>
    <w:rsid w:val="00F630AC"/>
    <w:rsid w:val="00F64209"/>
    <w:rsid w:val="00F71C84"/>
    <w:rsid w:val="00F74429"/>
    <w:rsid w:val="00F76006"/>
    <w:rsid w:val="00F83608"/>
    <w:rsid w:val="00F842A3"/>
    <w:rsid w:val="00F91238"/>
    <w:rsid w:val="00F93BF5"/>
    <w:rsid w:val="00F9491F"/>
    <w:rsid w:val="00FA08B9"/>
    <w:rsid w:val="00FA0A60"/>
    <w:rsid w:val="00FA2382"/>
    <w:rsid w:val="00FA2D89"/>
    <w:rsid w:val="00FA74CD"/>
    <w:rsid w:val="00FB40F2"/>
    <w:rsid w:val="00FB6D3C"/>
    <w:rsid w:val="00FC1030"/>
    <w:rsid w:val="00FC28D0"/>
    <w:rsid w:val="00FC4D73"/>
    <w:rsid w:val="00FC53E4"/>
    <w:rsid w:val="00FC6E9B"/>
    <w:rsid w:val="00FC7359"/>
    <w:rsid w:val="00FD07A9"/>
    <w:rsid w:val="00FD26DB"/>
    <w:rsid w:val="00FD3A8A"/>
    <w:rsid w:val="00FD3CC4"/>
    <w:rsid w:val="00FD7745"/>
    <w:rsid w:val="00FE4E51"/>
    <w:rsid w:val="00FE7BFA"/>
    <w:rsid w:val="00FF03A2"/>
    <w:rsid w:val="00FF3A70"/>
    <w:rsid w:val="00FF4406"/>
    <w:rsid w:val="00FF6215"/>
    <w:rsid w:val="00FF74C5"/>
    <w:rsid w:val="00FF74E4"/>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330"/>
    <w:pPr>
      <w:widowControl w:val="0"/>
    </w:pPr>
    <w:rPr>
      <w:snapToGrid w:val="0"/>
      <w:kern w:val="28"/>
      <w:sz w:val="22"/>
    </w:rPr>
  </w:style>
  <w:style w:type="paragraph" w:styleId="Heading1">
    <w:name w:val="heading 1"/>
    <w:basedOn w:val="Normal"/>
    <w:next w:val="ParaNum"/>
    <w:qFormat/>
    <w:rsid w:val="00B673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7330"/>
    <w:pPr>
      <w:keepNext/>
      <w:numPr>
        <w:ilvl w:val="1"/>
        <w:numId w:val="3"/>
      </w:numPr>
      <w:spacing w:after="120"/>
      <w:outlineLvl w:val="1"/>
    </w:pPr>
    <w:rPr>
      <w:b/>
    </w:rPr>
  </w:style>
  <w:style w:type="paragraph" w:styleId="Heading3">
    <w:name w:val="heading 3"/>
    <w:basedOn w:val="Normal"/>
    <w:next w:val="ParaNum"/>
    <w:qFormat/>
    <w:rsid w:val="00B67330"/>
    <w:pPr>
      <w:keepNext/>
      <w:numPr>
        <w:ilvl w:val="2"/>
        <w:numId w:val="3"/>
      </w:numPr>
      <w:tabs>
        <w:tab w:val="left" w:pos="2160"/>
      </w:tabs>
      <w:spacing w:after="120"/>
      <w:outlineLvl w:val="2"/>
    </w:pPr>
    <w:rPr>
      <w:b/>
    </w:rPr>
  </w:style>
  <w:style w:type="paragraph" w:styleId="Heading4">
    <w:name w:val="heading 4"/>
    <w:basedOn w:val="Normal"/>
    <w:next w:val="ParaNum"/>
    <w:qFormat/>
    <w:rsid w:val="00B67330"/>
    <w:pPr>
      <w:keepNext/>
      <w:numPr>
        <w:ilvl w:val="3"/>
        <w:numId w:val="3"/>
      </w:numPr>
      <w:tabs>
        <w:tab w:val="left" w:pos="2880"/>
      </w:tabs>
      <w:spacing w:after="120"/>
      <w:outlineLvl w:val="3"/>
    </w:pPr>
    <w:rPr>
      <w:b/>
    </w:rPr>
  </w:style>
  <w:style w:type="paragraph" w:styleId="Heading5">
    <w:name w:val="heading 5"/>
    <w:basedOn w:val="Normal"/>
    <w:next w:val="ParaNum"/>
    <w:qFormat/>
    <w:rsid w:val="00B673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7330"/>
    <w:pPr>
      <w:numPr>
        <w:ilvl w:val="5"/>
        <w:numId w:val="3"/>
      </w:numPr>
      <w:tabs>
        <w:tab w:val="left" w:pos="4320"/>
      </w:tabs>
      <w:spacing w:after="120"/>
      <w:outlineLvl w:val="5"/>
    </w:pPr>
    <w:rPr>
      <w:b/>
    </w:rPr>
  </w:style>
  <w:style w:type="paragraph" w:styleId="Heading7">
    <w:name w:val="heading 7"/>
    <w:basedOn w:val="Normal"/>
    <w:next w:val="ParaNum"/>
    <w:qFormat/>
    <w:rsid w:val="00B673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73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73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73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7330"/>
  </w:style>
  <w:style w:type="paragraph" w:customStyle="1" w:styleId="ParaNum">
    <w:name w:val="ParaNum"/>
    <w:basedOn w:val="Normal"/>
    <w:link w:val="ParaNumChar"/>
    <w:rsid w:val="00B67330"/>
    <w:pPr>
      <w:numPr>
        <w:numId w:val="2"/>
      </w:numPr>
      <w:tabs>
        <w:tab w:val="clear" w:pos="1080"/>
        <w:tab w:val="num" w:pos="1440"/>
      </w:tabs>
      <w:spacing w:after="120"/>
    </w:pPr>
  </w:style>
  <w:style w:type="paragraph" w:styleId="EndnoteText">
    <w:name w:val="endnote text"/>
    <w:basedOn w:val="Normal"/>
    <w:semiHidden/>
    <w:rsid w:val="00B67330"/>
    <w:rPr>
      <w:sz w:val="20"/>
    </w:rPr>
  </w:style>
  <w:style w:type="character" w:styleId="EndnoteReference">
    <w:name w:val="endnote reference"/>
    <w:semiHidden/>
    <w:rsid w:val="00B67330"/>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B6733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67330"/>
    <w:rPr>
      <w:rFonts w:ascii="Times New Roman" w:hAnsi="Times New Roman"/>
      <w:dstrike w:val="0"/>
      <w:color w:val="auto"/>
      <w:sz w:val="20"/>
      <w:vertAlign w:val="superscript"/>
    </w:rPr>
  </w:style>
  <w:style w:type="paragraph" w:styleId="TOC1">
    <w:name w:val="toc 1"/>
    <w:basedOn w:val="Normal"/>
    <w:next w:val="Normal"/>
    <w:semiHidden/>
    <w:rsid w:val="00B673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7330"/>
    <w:pPr>
      <w:tabs>
        <w:tab w:val="left" w:pos="720"/>
        <w:tab w:val="right" w:leader="dot" w:pos="9360"/>
      </w:tabs>
      <w:suppressAutoHyphens/>
      <w:ind w:left="720" w:right="720" w:hanging="360"/>
    </w:pPr>
    <w:rPr>
      <w:noProof/>
    </w:rPr>
  </w:style>
  <w:style w:type="paragraph" w:styleId="TOC3">
    <w:name w:val="toc 3"/>
    <w:basedOn w:val="Normal"/>
    <w:next w:val="Normal"/>
    <w:semiHidden/>
    <w:rsid w:val="00B673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73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73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73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73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73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73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7330"/>
    <w:pPr>
      <w:tabs>
        <w:tab w:val="right" w:pos="9360"/>
      </w:tabs>
      <w:suppressAutoHyphens/>
    </w:pPr>
  </w:style>
  <w:style w:type="character" w:customStyle="1" w:styleId="EquationCaption">
    <w:name w:val="_Equation Caption"/>
    <w:rsid w:val="00B67330"/>
  </w:style>
  <w:style w:type="paragraph" w:styleId="Header">
    <w:name w:val="header"/>
    <w:basedOn w:val="Normal"/>
    <w:autoRedefine/>
    <w:rsid w:val="00B67330"/>
    <w:pPr>
      <w:tabs>
        <w:tab w:val="center" w:pos="4680"/>
        <w:tab w:val="right" w:pos="9360"/>
      </w:tabs>
    </w:pPr>
    <w:rPr>
      <w:b/>
    </w:rPr>
  </w:style>
  <w:style w:type="paragraph" w:styleId="Footer">
    <w:name w:val="footer"/>
    <w:basedOn w:val="Normal"/>
    <w:link w:val="FooterChar"/>
    <w:uiPriority w:val="99"/>
    <w:rsid w:val="00B67330"/>
    <w:pPr>
      <w:tabs>
        <w:tab w:val="center" w:pos="4320"/>
        <w:tab w:val="right" w:pos="8640"/>
      </w:tabs>
    </w:pPr>
  </w:style>
  <w:style w:type="character" w:styleId="PageNumber">
    <w:name w:val="page number"/>
    <w:basedOn w:val="DefaultParagraphFont"/>
    <w:rsid w:val="00B67330"/>
  </w:style>
  <w:style w:type="paragraph" w:styleId="BlockText">
    <w:name w:val="Block Text"/>
    <w:basedOn w:val="Normal"/>
    <w:rsid w:val="00B67330"/>
    <w:pPr>
      <w:spacing w:after="240"/>
      <w:ind w:left="1440" w:right="1440"/>
    </w:pPr>
  </w:style>
  <w:style w:type="paragraph" w:customStyle="1" w:styleId="Paratitle">
    <w:name w:val="Para title"/>
    <w:basedOn w:val="Normal"/>
    <w:rsid w:val="00B67330"/>
    <w:pPr>
      <w:tabs>
        <w:tab w:val="center" w:pos="9270"/>
      </w:tabs>
      <w:spacing w:after="240"/>
    </w:pPr>
    <w:rPr>
      <w:spacing w:val="-2"/>
    </w:rPr>
  </w:style>
  <w:style w:type="paragraph" w:customStyle="1" w:styleId="Bullet">
    <w:name w:val="Bullet"/>
    <w:basedOn w:val="Normal"/>
    <w:rsid w:val="00B67330"/>
    <w:pPr>
      <w:tabs>
        <w:tab w:val="left" w:pos="2160"/>
      </w:tabs>
      <w:spacing w:after="220"/>
      <w:ind w:left="2160" w:hanging="720"/>
    </w:pPr>
  </w:style>
  <w:style w:type="paragraph" w:customStyle="1" w:styleId="TableFormat">
    <w:name w:val="TableFormat"/>
    <w:basedOn w:val="Bullet"/>
    <w:rsid w:val="00B67330"/>
    <w:pPr>
      <w:tabs>
        <w:tab w:val="clear" w:pos="2160"/>
        <w:tab w:val="left" w:pos="5040"/>
      </w:tabs>
      <w:ind w:left="5040" w:hanging="3600"/>
    </w:pPr>
  </w:style>
  <w:style w:type="paragraph" w:customStyle="1" w:styleId="TOCTitle">
    <w:name w:val="TOC Title"/>
    <w:basedOn w:val="Normal"/>
    <w:rsid w:val="00B673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7330"/>
    <w:pPr>
      <w:jc w:val="center"/>
    </w:pPr>
    <w:rPr>
      <w:rFonts w:ascii="Times New Roman Bold" w:hAnsi="Times New Roman Bold"/>
      <w:b/>
      <w:bCs/>
      <w:caps/>
      <w:szCs w:val="22"/>
    </w:rPr>
  </w:style>
  <w:style w:type="character" w:styleId="Hyperlink">
    <w:name w:val="Hyperlink"/>
    <w:rsid w:val="00B67330"/>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rsid w:val="007534FC"/>
    <w:rPr>
      <w:sz w:val="16"/>
      <w:szCs w:val="16"/>
    </w:rPr>
  </w:style>
  <w:style w:type="paragraph" w:styleId="CommentText">
    <w:name w:val="annotation text"/>
    <w:basedOn w:val="Normal"/>
    <w:link w:val="CommentTextChar"/>
    <w:rsid w:val="007534FC"/>
    <w:pPr>
      <w:widowControl/>
    </w:pPr>
    <w:rPr>
      <w:snapToGrid/>
      <w:kern w:val="0"/>
      <w:sz w:val="20"/>
    </w:rPr>
  </w:style>
  <w:style w:type="character" w:customStyle="1" w:styleId="CommentTextChar">
    <w:name w:val="Comment Text Char"/>
    <w:basedOn w:val="DefaultParagraphFont"/>
    <w:link w:val="CommentText"/>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B67330"/>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Heather.D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