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12.0 -->
  <w:body>
    <w:p w:rsidR="00C0210E" w:rsidP="00C0210E" w14:paraId="3F29B497" w14:textId="63930D49">
      <w:pPr>
        <w:jc w:val="center"/>
        <w:rPr>
          <w:b/>
        </w:rPr>
      </w:pPr>
      <w:r>
        <w:rPr>
          <w:rFonts w:ascii="Times New Roman Bold" w:hAnsi="Times New Roman Bold"/>
          <w:b/>
          <w:kern w:val="0"/>
          <w:szCs w:val="22"/>
        </w:rPr>
        <w:t>B</w:t>
      </w:r>
      <w:r w:rsidRPr="0070224F">
        <w:rPr>
          <w:rFonts w:ascii="Times New Roman Bold" w:hAnsi="Times New Roman Bold"/>
          <w:b/>
          <w:kern w:val="0"/>
          <w:szCs w:val="22"/>
        </w:rPr>
        <w:t>efore</w:t>
      </w:r>
      <w:r>
        <w:rPr>
          <w:b/>
        </w:rPr>
        <w:t xml:space="preserve"> the</w:t>
      </w:r>
    </w:p>
    <w:p w:rsidR="00C0210E" w:rsidP="00C0210E" w14:paraId="3E01DD6C" w14:textId="77777777">
      <w:pPr>
        <w:pStyle w:val="StyleBoldCentered"/>
      </w:pPr>
      <w:r>
        <w:t>F</w:t>
      </w:r>
      <w:r>
        <w:rPr>
          <w:caps w:val="0"/>
        </w:rPr>
        <w:t>ederal Communications Commission</w:t>
      </w:r>
    </w:p>
    <w:p w:rsidR="00C0210E" w:rsidP="00C0210E" w14:paraId="68984688" w14:textId="77777777">
      <w:pPr>
        <w:pStyle w:val="StyleBoldCentered"/>
      </w:pPr>
      <w:r>
        <w:rPr>
          <w:caps w:val="0"/>
        </w:rPr>
        <w:t>Washington, D.C. 20554</w:t>
      </w:r>
    </w:p>
    <w:p w:rsidR="00C0210E" w:rsidP="00C0210E" w14:paraId="34D6C87E" w14:textId="77777777"/>
    <w:p w:rsidR="00C0210E" w:rsidP="00C0210E" w14:paraId="2ED651A2" w14:textId="77777777"/>
    <w:tbl>
      <w:tblPr>
        <w:tblW w:w="0" w:type="auto"/>
        <w:tblLayout w:type="fixed"/>
        <w:tblLook w:val="0000"/>
      </w:tblPr>
      <w:tblGrid>
        <w:gridCol w:w="4698"/>
        <w:gridCol w:w="630"/>
        <w:gridCol w:w="4248"/>
      </w:tblGrid>
      <w:tr w14:paraId="0F7E4CE5" w14:textId="77777777" w:rsidTr="00506E2A">
        <w:tblPrEx>
          <w:tblW w:w="0" w:type="auto"/>
          <w:tblLayout w:type="fixed"/>
          <w:tblLook w:val="0000"/>
        </w:tblPrEx>
        <w:tc>
          <w:tcPr>
            <w:tcW w:w="4698" w:type="dxa"/>
          </w:tcPr>
          <w:p w:rsidR="00C0210E" w:rsidP="00506E2A" w14:paraId="6F066EBE" w14:textId="77777777">
            <w:pPr>
              <w:tabs>
                <w:tab w:val="center" w:pos="468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In the Matter of</w:t>
            </w:r>
          </w:p>
          <w:p w:rsidR="00C0210E" w:rsidP="00506E2A" w14:paraId="64D36662" w14:textId="77777777">
            <w:pPr>
              <w:tabs>
                <w:tab w:val="center" w:pos="4680"/>
              </w:tabs>
              <w:suppressAutoHyphens/>
              <w:rPr>
                <w:spacing w:val="-2"/>
              </w:rPr>
            </w:pPr>
          </w:p>
          <w:p w:rsidR="00C0210E" w:rsidP="00506E2A" w14:paraId="62C8C42F" w14:textId="77836EE3">
            <w:pPr>
              <w:rPr>
                <w:szCs w:val="22"/>
              </w:rPr>
            </w:pPr>
            <w:r>
              <w:rPr>
                <w:szCs w:val="22"/>
              </w:rPr>
              <w:t>Optatus</w:t>
            </w:r>
            <w:r>
              <w:rPr>
                <w:szCs w:val="22"/>
              </w:rPr>
              <w:t xml:space="preserve"> and Florence </w:t>
            </w:r>
            <w:r>
              <w:rPr>
                <w:szCs w:val="22"/>
              </w:rPr>
              <w:t>Chailla</w:t>
            </w:r>
            <w:r w:rsidRPr="002B2129">
              <w:rPr>
                <w:szCs w:val="22"/>
              </w:rPr>
              <w:t>,</w:t>
            </w:r>
          </w:p>
          <w:p w:rsidR="00C0210E" w:rsidRPr="002B2129" w:rsidP="00506E2A" w14:paraId="4B1B29B2" w14:textId="77777777">
            <w:pPr>
              <w:rPr>
                <w:szCs w:val="22"/>
              </w:rPr>
            </w:pPr>
          </w:p>
          <w:p w:rsidR="00C0210E" w:rsidRPr="002B2129" w:rsidP="00506E2A" w14:paraId="6C1B7DB5" w14:textId="0841F9FF">
            <w:pPr>
              <w:rPr>
                <w:szCs w:val="22"/>
              </w:rPr>
            </w:pPr>
            <w:r>
              <w:rPr>
                <w:szCs w:val="22"/>
              </w:rPr>
              <w:t xml:space="preserve">                         </w:t>
            </w:r>
            <w:r w:rsidRPr="002B2129">
              <w:rPr>
                <w:szCs w:val="22"/>
              </w:rPr>
              <w:t>Complainant</w:t>
            </w:r>
            <w:r w:rsidR="009267FB">
              <w:rPr>
                <w:szCs w:val="22"/>
              </w:rPr>
              <w:t>s</w:t>
            </w:r>
            <w:r w:rsidRPr="002B2129">
              <w:rPr>
                <w:szCs w:val="22"/>
              </w:rPr>
              <w:t>,</w:t>
            </w:r>
          </w:p>
          <w:p w:rsidR="00C0210E" w:rsidP="00506E2A" w14:paraId="75B2861B" w14:textId="77777777">
            <w:pPr>
              <w:rPr>
                <w:szCs w:val="22"/>
              </w:rPr>
            </w:pPr>
          </w:p>
          <w:p w:rsidR="00C0210E" w:rsidRPr="002B2129" w:rsidP="00506E2A" w14:paraId="5CCFB5AA" w14:textId="77777777">
            <w:pPr>
              <w:rPr>
                <w:szCs w:val="22"/>
              </w:rPr>
            </w:pPr>
            <w:r w:rsidRPr="002B2129">
              <w:rPr>
                <w:szCs w:val="22"/>
              </w:rPr>
              <w:t xml:space="preserve">       v.</w:t>
            </w:r>
          </w:p>
          <w:p w:rsidR="00C0210E" w:rsidP="00506E2A" w14:paraId="27791E57" w14:textId="77777777">
            <w:pPr>
              <w:rPr>
                <w:szCs w:val="22"/>
              </w:rPr>
            </w:pPr>
          </w:p>
          <w:p w:rsidR="00C0210E" w:rsidRPr="002B2129" w:rsidP="00506E2A" w14:paraId="6C8DB270" w14:textId="76A8607D">
            <w:pPr>
              <w:rPr>
                <w:szCs w:val="22"/>
              </w:rPr>
            </w:pPr>
            <w:r>
              <w:rPr>
                <w:szCs w:val="22"/>
              </w:rPr>
              <w:t xml:space="preserve">Verizon </w:t>
            </w:r>
            <w:r w:rsidR="003B0219">
              <w:rPr>
                <w:szCs w:val="22"/>
              </w:rPr>
              <w:t>Pennsylvania LLC</w:t>
            </w:r>
            <w:r w:rsidRPr="002B2129">
              <w:rPr>
                <w:szCs w:val="22"/>
              </w:rPr>
              <w:t>,</w:t>
            </w:r>
          </w:p>
          <w:p w:rsidR="00C0210E" w:rsidP="00506E2A" w14:paraId="130373CB" w14:textId="77777777">
            <w:pPr>
              <w:tabs>
                <w:tab w:val="center" w:pos="4680"/>
              </w:tabs>
              <w:suppressAutoHyphens/>
              <w:rPr>
                <w:szCs w:val="22"/>
              </w:rPr>
            </w:pPr>
          </w:p>
          <w:p w:rsidR="00C0210E" w:rsidRPr="002B2129" w:rsidP="00506E2A" w14:paraId="067DE507" w14:textId="77777777">
            <w:pPr>
              <w:tabs>
                <w:tab w:val="center" w:pos="4680"/>
              </w:tabs>
              <w:suppressAutoHyphens/>
              <w:rPr>
                <w:spacing w:val="-2"/>
                <w:szCs w:val="22"/>
              </w:rPr>
            </w:pPr>
            <w:r>
              <w:rPr>
                <w:szCs w:val="22"/>
              </w:rPr>
              <w:t xml:space="preserve">                         </w:t>
            </w:r>
            <w:r w:rsidRPr="002B2129">
              <w:rPr>
                <w:szCs w:val="22"/>
              </w:rPr>
              <w:t>Defendant.</w:t>
            </w:r>
          </w:p>
        </w:tc>
        <w:tc>
          <w:tcPr>
            <w:tcW w:w="630" w:type="dxa"/>
          </w:tcPr>
          <w:p w:rsidR="00C0210E" w:rsidP="00506E2A" w14:paraId="26C7EC73" w14:textId="77777777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:rsidR="00C0210E" w:rsidP="00506E2A" w14:paraId="5EC6C660" w14:textId="77777777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:rsidR="00C0210E" w:rsidP="00506E2A" w14:paraId="0AB53F79" w14:textId="77777777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:rsidR="00C0210E" w:rsidP="00506E2A" w14:paraId="6650BC54" w14:textId="77777777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:rsidR="00C0210E" w:rsidP="00506E2A" w14:paraId="4255C545" w14:textId="77777777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:rsidR="00C0210E" w:rsidP="00506E2A" w14:paraId="6F7DD157" w14:textId="77777777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:rsidR="00C0210E" w:rsidP="00506E2A" w14:paraId="48D4D850" w14:textId="77777777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:rsidR="00C0210E" w:rsidP="00506E2A" w14:paraId="287B4982" w14:textId="77777777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:rsidR="00C0210E" w:rsidP="00506E2A" w14:paraId="1CBFCEE7" w14:textId="77777777">
            <w:pPr>
              <w:tabs>
                <w:tab w:val="center" w:pos="468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)</w:t>
            </w:r>
          </w:p>
          <w:p w:rsidR="00C0210E" w:rsidP="00506E2A" w14:paraId="0571431F" w14:textId="77777777">
            <w:pPr>
              <w:tabs>
                <w:tab w:val="center" w:pos="468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)</w:t>
            </w:r>
          </w:p>
          <w:p w:rsidR="00C0210E" w:rsidP="00EC6E7D" w14:paraId="64E217B8" w14:textId="73D32768">
            <w:pPr>
              <w:tabs>
                <w:tab w:val="center" w:pos="468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)</w:t>
            </w:r>
          </w:p>
        </w:tc>
        <w:tc>
          <w:tcPr>
            <w:tcW w:w="4248" w:type="dxa"/>
          </w:tcPr>
          <w:p w:rsidR="00C0210E" w:rsidRPr="002B2129" w:rsidP="00506E2A" w14:paraId="50B4D398" w14:textId="51D8375E">
            <w:pPr>
              <w:rPr>
                <w:szCs w:val="22"/>
              </w:rPr>
            </w:pPr>
            <w:r w:rsidRPr="002B2129">
              <w:rPr>
                <w:szCs w:val="22"/>
              </w:rPr>
              <w:t xml:space="preserve">Proceeding No. </w:t>
            </w:r>
            <w:r w:rsidR="009267FB">
              <w:rPr>
                <w:szCs w:val="22"/>
              </w:rPr>
              <w:t>22</w:t>
            </w:r>
            <w:r w:rsidRPr="002B2129">
              <w:rPr>
                <w:szCs w:val="22"/>
              </w:rPr>
              <w:t>-1</w:t>
            </w:r>
            <w:r w:rsidR="009267FB">
              <w:rPr>
                <w:szCs w:val="22"/>
              </w:rPr>
              <w:t>35</w:t>
            </w:r>
          </w:p>
          <w:p w:rsidR="00C0210E" w:rsidP="00506E2A" w14:paraId="7ED94130" w14:textId="77777777">
            <w:pPr>
              <w:tabs>
                <w:tab w:val="center" w:pos="4680"/>
              </w:tabs>
              <w:suppressAutoHyphens/>
              <w:rPr>
                <w:szCs w:val="22"/>
              </w:rPr>
            </w:pPr>
            <w:r w:rsidRPr="002B2129">
              <w:rPr>
                <w:szCs w:val="22"/>
              </w:rPr>
              <w:t>Bureau ID No. EB-</w:t>
            </w:r>
            <w:r w:rsidR="009267FB">
              <w:rPr>
                <w:szCs w:val="22"/>
              </w:rPr>
              <w:t>22</w:t>
            </w:r>
            <w:r w:rsidRPr="002B2129">
              <w:rPr>
                <w:szCs w:val="22"/>
              </w:rPr>
              <w:t>-MD-00</w:t>
            </w:r>
            <w:r w:rsidR="009267FB">
              <w:rPr>
                <w:szCs w:val="22"/>
              </w:rPr>
              <w:t>1</w:t>
            </w:r>
          </w:p>
          <w:p w:rsidR="00C02E0A" w:rsidRPr="00C02E0A" w:rsidP="00C02E0A" w14:paraId="6AA05A5C" w14:textId="77777777">
            <w:pPr>
              <w:rPr>
                <w:szCs w:val="22"/>
              </w:rPr>
            </w:pPr>
          </w:p>
          <w:p w:rsidR="00C02E0A" w:rsidRPr="00C02E0A" w:rsidP="00C02E0A" w14:paraId="2DC97DE7" w14:textId="77777777">
            <w:pPr>
              <w:rPr>
                <w:szCs w:val="22"/>
              </w:rPr>
            </w:pPr>
          </w:p>
          <w:p w:rsidR="00C02E0A" w:rsidRPr="00C02E0A" w:rsidP="00C02E0A" w14:paraId="7C1020DB" w14:textId="77777777">
            <w:pPr>
              <w:rPr>
                <w:szCs w:val="22"/>
              </w:rPr>
            </w:pPr>
          </w:p>
          <w:p w:rsidR="00C02E0A" w:rsidRPr="00C02E0A" w:rsidP="00C02E0A" w14:paraId="772CA272" w14:textId="77777777">
            <w:pPr>
              <w:rPr>
                <w:szCs w:val="22"/>
              </w:rPr>
            </w:pPr>
          </w:p>
          <w:p w:rsidR="00C02E0A" w:rsidRPr="00C02E0A" w:rsidP="00C02E0A" w14:paraId="50F1E56B" w14:textId="77777777">
            <w:pPr>
              <w:rPr>
                <w:szCs w:val="22"/>
              </w:rPr>
            </w:pPr>
          </w:p>
          <w:p w:rsidR="00C02E0A" w:rsidRPr="00C02E0A" w:rsidP="00C02E0A" w14:paraId="3B8F318B" w14:textId="77777777">
            <w:pPr>
              <w:rPr>
                <w:szCs w:val="22"/>
              </w:rPr>
            </w:pPr>
          </w:p>
          <w:p w:rsidR="00C02E0A" w:rsidRPr="00C02E0A" w:rsidP="00C02E0A" w14:paraId="7D46409F" w14:textId="77777777">
            <w:pPr>
              <w:rPr>
                <w:szCs w:val="22"/>
              </w:rPr>
            </w:pPr>
          </w:p>
          <w:p w:rsidR="00C02E0A" w:rsidRPr="00C02E0A" w:rsidP="00C02E0A" w14:paraId="675B4757" w14:textId="77777777">
            <w:pPr>
              <w:rPr>
                <w:szCs w:val="22"/>
              </w:rPr>
            </w:pPr>
          </w:p>
          <w:p w:rsidR="00C02E0A" w:rsidP="00C02E0A" w14:paraId="4F69B048" w14:textId="77777777">
            <w:pPr>
              <w:rPr>
                <w:szCs w:val="22"/>
              </w:rPr>
            </w:pPr>
          </w:p>
          <w:p w:rsidR="00C02E0A" w:rsidRPr="00C02E0A" w:rsidP="00C02E0A" w14:paraId="442661AF" w14:textId="249CA18F">
            <w:pPr>
              <w:tabs>
                <w:tab w:val="left" w:pos="3059"/>
              </w:tabs>
              <w:rPr>
                <w:szCs w:val="22"/>
              </w:rPr>
            </w:pPr>
            <w:r>
              <w:rPr>
                <w:szCs w:val="22"/>
              </w:rPr>
              <w:tab/>
            </w:r>
          </w:p>
        </w:tc>
      </w:tr>
    </w:tbl>
    <w:p w:rsidR="00EC6E7D" w:rsidP="00C0210E" w14:paraId="2BC60EA0" w14:textId="77777777">
      <w:pPr>
        <w:pStyle w:val="StyleBoldCentered"/>
      </w:pPr>
    </w:p>
    <w:p w:rsidR="00C0210E" w:rsidP="00C0210E" w14:paraId="1388813E" w14:textId="7C282951">
      <w:pPr>
        <w:pStyle w:val="StyleBoldCentered"/>
      </w:pPr>
      <w:r>
        <w:t>memorandum opinion and order</w:t>
      </w:r>
    </w:p>
    <w:p w:rsidR="00C0210E" w:rsidP="00C0210E" w14:paraId="76D2E44A" w14:textId="77777777">
      <w:pPr>
        <w:tabs>
          <w:tab w:val="left" w:pos="-720"/>
        </w:tabs>
        <w:suppressAutoHyphens/>
        <w:spacing w:line="227" w:lineRule="auto"/>
        <w:rPr>
          <w:spacing w:val="-2"/>
        </w:rPr>
      </w:pPr>
    </w:p>
    <w:p w:rsidR="00282190" w:rsidP="00282190" w14:paraId="650F905E" w14:textId="32BB8A0F">
      <w:pPr>
        <w:tabs>
          <w:tab w:val="left" w:pos="720"/>
          <w:tab w:val="right" w:pos="9360"/>
        </w:tabs>
        <w:suppressAutoHyphens/>
        <w:spacing w:line="227" w:lineRule="auto"/>
        <w:rPr>
          <w:spacing w:val="-2"/>
        </w:rPr>
      </w:pPr>
      <w:r>
        <w:rPr>
          <w:b/>
          <w:spacing w:val="-2"/>
        </w:rPr>
        <w:t xml:space="preserve">Adopted:  </w:t>
      </w:r>
      <w:r>
        <w:rPr>
          <w:b/>
          <w:spacing w:val="-2"/>
        </w:rPr>
        <w:t>October 24, 2022</w:t>
      </w:r>
      <w:r>
        <w:rPr>
          <w:b/>
          <w:spacing w:val="-2"/>
        </w:rPr>
        <w:tab/>
        <w:t>Released:  October 24, 2022</w:t>
      </w:r>
    </w:p>
    <w:p w:rsidR="00C0210E" w:rsidRPr="005A079E" w:rsidP="00C0210E" w14:paraId="1C2CCA78" w14:textId="77777777">
      <w:pPr>
        <w:rPr>
          <w:szCs w:val="22"/>
        </w:rPr>
      </w:pPr>
    </w:p>
    <w:p w:rsidR="00C0210E" w:rsidRPr="005A079E" w:rsidP="00C0210E" w14:paraId="7D601B7B" w14:textId="002A83EA">
      <w:pPr>
        <w:rPr>
          <w:spacing w:val="-2"/>
          <w:szCs w:val="22"/>
        </w:rPr>
      </w:pPr>
      <w:r w:rsidRPr="005A079E">
        <w:rPr>
          <w:szCs w:val="22"/>
        </w:rPr>
        <w:t xml:space="preserve">By the </w:t>
      </w:r>
      <w:r w:rsidR="00000D88">
        <w:rPr>
          <w:szCs w:val="22"/>
        </w:rPr>
        <w:t xml:space="preserve">Acting </w:t>
      </w:r>
      <w:r w:rsidRPr="005A079E">
        <w:rPr>
          <w:szCs w:val="22"/>
        </w:rPr>
        <w:t>Chief, Enforcement Bureau</w:t>
      </w:r>
      <w:r w:rsidRPr="005A079E">
        <w:rPr>
          <w:spacing w:val="-2"/>
          <w:szCs w:val="22"/>
        </w:rPr>
        <w:t>:</w:t>
      </w:r>
    </w:p>
    <w:p w:rsidR="00C0210E" w:rsidP="00C0210E" w14:paraId="6B0B3F3B" w14:textId="45D95C08">
      <w:pPr>
        <w:rPr>
          <w:spacing w:val="-2"/>
          <w:szCs w:val="22"/>
        </w:rPr>
      </w:pPr>
    </w:p>
    <w:p w:rsidR="005A4BD3" w:rsidRPr="00AF6298" w:rsidP="004D3B9A" w14:paraId="7C2836A0" w14:textId="4ED60BEC">
      <w:pPr>
        <w:pStyle w:val="Heading1"/>
        <w:tabs>
          <w:tab w:val="left" w:pos="720"/>
        </w:tabs>
        <w:rPr>
          <w:spacing w:val="-2"/>
          <w:szCs w:val="22"/>
        </w:rPr>
      </w:pPr>
      <w:r w:rsidRPr="005A4BD3">
        <w:rPr>
          <w:rFonts w:ascii="Times New Roman" w:hAnsi="Times New Roman"/>
          <w:szCs w:val="22"/>
        </w:rPr>
        <w:t>INTRODUCTION</w:t>
      </w:r>
    </w:p>
    <w:p w:rsidR="00C0210E" w:rsidRPr="005A079E" w:rsidP="00282190" w14:paraId="2985BCE3" w14:textId="233CC473">
      <w:pPr>
        <w:pStyle w:val="ParaNum"/>
        <w:widowControl/>
        <w:tabs>
          <w:tab w:val="clear" w:pos="1080"/>
        </w:tabs>
        <w:rPr>
          <w:szCs w:val="22"/>
        </w:rPr>
      </w:pPr>
      <w:bookmarkStart w:id="0" w:name="_Hlk108090814"/>
      <w:bookmarkStart w:id="1" w:name="_Hlk57881003"/>
      <w:r w:rsidRPr="005A079E">
        <w:rPr>
          <w:szCs w:val="22"/>
        </w:rPr>
        <w:t xml:space="preserve">In this </w:t>
      </w:r>
      <w:r w:rsidRPr="005A079E">
        <w:rPr>
          <w:snapToGrid/>
          <w:szCs w:val="22"/>
        </w:rPr>
        <w:t>Memorandum</w:t>
      </w:r>
      <w:r w:rsidRPr="005A079E">
        <w:rPr>
          <w:szCs w:val="22"/>
        </w:rPr>
        <w:t xml:space="preserve"> Opinion and Order, we </w:t>
      </w:r>
      <w:r w:rsidRPr="005A079E" w:rsidR="008F6BD5">
        <w:rPr>
          <w:szCs w:val="22"/>
        </w:rPr>
        <w:t xml:space="preserve">grant the Motion to Dismiss </w:t>
      </w:r>
      <w:r w:rsidRPr="005A079E" w:rsidR="00453257">
        <w:rPr>
          <w:szCs w:val="22"/>
        </w:rPr>
        <w:t>of</w:t>
      </w:r>
      <w:r w:rsidRPr="005A079E" w:rsidR="008F6BD5">
        <w:rPr>
          <w:szCs w:val="22"/>
        </w:rPr>
        <w:t xml:space="preserve"> defendant </w:t>
      </w:r>
      <w:r w:rsidR="00922AFC">
        <w:rPr>
          <w:szCs w:val="22"/>
        </w:rPr>
        <w:t>Verizon</w:t>
      </w:r>
      <w:r w:rsidRPr="005A079E" w:rsidR="008F6BD5">
        <w:rPr>
          <w:szCs w:val="22"/>
        </w:rPr>
        <w:t xml:space="preserve"> Pennsylvania LLC</w:t>
      </w:r>
      <w:r w:rsidR="004056F4">
        <w:rPr>
          <w:szCs w:val="22"/>
        </w:rPr>
        <w:t>, a</w:t>
      </w:r>
      <w:r w:rsidR="00896678">
        <w:rPr>
          <w:szCs w:val="22"/>
        </w:rPr>
        <w:t xml:space="preserve">n intrastate </w:t>
      </w:r>
      <w:r w:rsidR="00DB687F">
        <w:rPr>
          <w:szCs w:val="22"/>
        </w:rPr>
        <w:t>carrier</w:t>
      </w:r>
      <w:r w:rsidR="00AC1124">
        <w:rPr>
          <w:szCs w:val="22"/>
        </w:rPr>
        <w:t xml:space="preserve"> </w:t>
      </w:r>
      <w:r w:rsidRPr="005A079E" w:rsidR="008F6BD5">
        <w:rPr>
          <w:szCs w:val="22"/>
        </w:rPr>
        <w:t>(</w:t>
      </w:r>
      <w:r w:rsidR="00922AFC">
        <w:rPr>
          <w:szCs w:val="22"/>
        </w:rPr>
        <w:t>Verizon</w:t>
      </w:r>
      <w:r w:rsidR="00253B24">
        <w:rPr>
          <w:szCs w:val="22"/>
        </w:rPr>
        <w:t xml:space="preserve"> </w:t>
      </w:r>
      <w:r w:rsidR="002D7306">
        <w:rPr>
          <w:szCs w:val="22"/>
        </w:rPr>
        <w:t>PA</w:t>
      </w:r>
      <w:r w:rsidRPr="005A079E" w:rsidR="008F6BD5">
        <w:rPr>
          <w:szCs w:val="22"/>
        </w:rPr>
        <w:t>)</w:t>
      </w:r>
      <w:r w:rsidR="001843BA">
        <w:rPr>
          <w:szCs w:val="22"/>
        </w:rPr>
        <w:t>,</w:t>
      </w:r>
      <w:r>
        <w:rPr>
          <w:rStyle w:val="FootnoteReference"/>
          <w:sz w:val="22"/>
          <w:szCs w:val="22"/>
        </w:rPr>
        <w:footnoteReference w:id="3"/>
      </w:r>
      <w:r w:rsidRPr="005A079E" w:rsidR="00453257">
        <w:rPr>
          <w:szCs w:val="22"/>
        </w:rPr>
        <w:t xml:space="preserve"> </w:t>
      </w:r>
      <w:r w:rsidR="00E06043">
        <w:rPr>
          <w:szCs w:val="22"/>
        </w:rPr>
        <w:t>and</w:t>
      </w:r>
      <w:r w:rsidRPr="005A079E" w:rsidR="008F6BD5">
        <w:rPr>
          <w:szCs w:val="22"/>
        </w:rPr>
        <w:t xml:space="preserve"> dismiss with prejudice the formal complaint</w:t>
      </w:r>
      <w:r>
        <w:rPr>
          <w:rStyle w:val="FootnoteReference"/>
          <w:sz w:val="22"/>
          <w:szCs w:val="22"/>
        </w:rPr>
        <w:footnoteReference w:id="4"/>
      </w:r>
      <w:r w:rsidR="001843BA">
        <w:rPr>
          <w:szCs w:val="22"/>
        </w:rPr>
        <w:t xml:space="preserve"> </w:t>
      </w:r>
      <w:r w:rsidRPr="005A079E" w:rsidR="00453257">
        <w:rPr>
          <w:szCs w:val="22"/>
        </w:rPr>
        <w:t>filed</w:t>
      </w:r>
      <w:r w:rsidRPr="005A079E" w:rsidR="008F6BD5">
        <w:rPr>
          <w:szCs w:val="22"/>
        </w:rPr>
        <w:t xml:space="preserve"> </w:t>
      </w:r>
      <w:r w:rsidR="00A51343">
        <w:rPr>
          <w:szCs w:val="22"/>
        </w:rPr>
        <w:t xml:space="preserve">pursuant to section 208 of the Communications Act of 1934, as amended (Act), </w:t>
      </w:r>
      <w:r w:rsidRPr="005A079E" w:rsidR="008F6BD5">
        <w:rPr>
          <w:szCs w:val="22"/>
        </w:rPr>
        <w:t>by</w:t>
      </w:r>
      <w:r w:rsidR="00D66185">
        <w:rPr>
          <w:szCs w:val="22"/>
        </w:rPr>
        <w:t xml:space="preserve"> </w:t>
      </w:r>
      <w:r w:rsidRPr="0016170C" w:rsidR="0016170C">
        <w:rPr>
          <w:i/>
          <w:iCs/>
          <w:szCs w:val="22"/>
        </w:rPr>
        <w:t>pro se</w:t>
      </w:r>
      <w:r w:rsidR="0016170C">
        <w:rPr>
          <w:szCs w:val="22"/>
        </w:rPr>
        <w:t xml:space="preserve"> </w:t>
      </w:r>
      <w:r w:rsidR="00000D88">
        <w:rPr>
          <w:szCs w:val="22"/>
        </w:rPr>
        <w:t>c</w:t>
      </w:r>
      <w:r w:rsidR="00D66185">
        <w:rPr>
          <w:szCs w:val="22"/>
        </w:rPr>
        <w:t>omplainants</w:t>
      </w:r>
      <w:r w:rsidR="00E3338D">
        <w:rPr>
          <w:szCs w:val="22"/>
        </w:rPr>
        <w:t xml:space="preserve"> Dr.</w:t>
      </w:r>
      <w:r w:rsidR="00D66185">
        <w:rPr>
          <w:szCs w:val="22"/>
        </w:rPr>
        <w:t xml:space="preserve"> </w:t>
      </w:r>
      <w:r w:rsidRPr="005A079E" w:rsidR="008F6BD5">
        <w:rPr>
          <w:szCs w:val="22"/>
        </w:rPr>
        <w:t xml:space="preserve">Optatus </w:t>
      </w:r>
      <w:r w:rsidR="00E3338D">
        <w:rPr>
          <w:szCs w:val="22"/>
        </w:rPr>
        <w:t xml:space="preserve">N. </w:t>
      </w:r>
      <w:r w:rsidRPr="005A079E" w:rsidR="008F6BD5">
        <w:rPr>
          <w:szCs w:val="22"/>
        </w:rPr>
        <w:t>Chailla</w:t>
      </w:r>
      <w:r w:rsidRPr="005A079E" w:rsidR="008F6BD5">
        <w:rPr>
          <w:szCs w:val="22"/>
        </w:rPr>
        <w:t>, who subscribe</w:t>
      </w:r>
      <w:r w:rsidR="00D41F4F">
        <w:rPr>
          <w:szCs w:val="22"/>
        </w:rPr>
        <w:t>d</w:t>
      </w:r>
      <w:r w:rsidRPr="005A079E" w:rsidR="008F6BD5">
        <w:rPr>
          <w:szCs w:val="22"/>
        </w:rPr>
        <w:t xml:space="preserve"> to </w:t>
      </w:r>
      <w:r w:rsidR="00922AFC">
        <w:rPr>
          <w:szCs w:val="22"/>
        </w:rPr>
        <w:t>Verizon</w:t>
      </w:r>
      <w:r w:rsidR="00253B24">
        <w:rPr>
          <w:szCs w:val="22"/>
        </w:rPr>
        <w:t xml:space="preserve"> </w:t>
      </w:r>
      <w:r w:rsidR="0062693B">
        <w:rPr>
          <w:szCs w:val="22"/>
        </w:rPr>
        <w:t>PA</w:t>
      </w:r>
      <w:r w:rsidRPr="005A079E" w:rsidR="008F6BD5">
        <w:rPr>
          <w:szCs w:val="22"/>
        </w:rPr>
        <w:t xml:space="preserve"> service</w:t>
      </w:r>
      <w:r w:rsidRPr="005A079E" w:rsidR="00A03835">
        <w:rPr>
          <w:szCs w:val="22"/>
        </w:rPr>
        <w:t xml:space="preserve">, and </w:t>
      </w:r>
      <w:r w:rsidR="00DE7DB1">
        <w:rPr>
          <w:szCs w:val="22"/>
        </w:rPr>
        <w:t xml:space="preserve">his wife, </w:t>
      </w:r>
      <w:r w:rsidRPr="005A079E" w:rsidR="00A03835">
        <w:rPr>
          <w:szCs w:val="22"/>
        </w:rPr>
        <w:t xml:space="preserve">Florence </w:t>
      </w:r>
      <w:r w:rsidR="00E3338D">
        <w:rPr>
          <w:szCs w:val="22"/>
        </w:rPr>
        <w:t xml:space="preserve">R. Parker </w:t>
      </w:r>
      <w:r w:rsidRPr="005A079E" w:rsidR="00A03835">
        <w:rPr>
          <w:szCs w:val="22"/>
        </w:rPr>
        <w:t>Chailla</w:t>
      </w:r>
      <w:r w:rsidR="00000D88">
        <w:rPr>
          <w:szCs w:val="22"/>
        </w:rPr>
        <w:t xml:space="preserve"> (Complainants)</w:t>
      </w:r>
      <w:r w:rsidR="00A51343">
        <w:rPr>
          <w:szCs w:val="22"/>
        </w:rPr>
        <w:t>.</w:t>
      </w:r>
      <w:r>
        <w:rPr>
          <w:rStyle w:val="FootnoteReference"/>
          <w:szCs w:val="22"/>
        </w:rPr>
        <w:footnoteReference w:id="5"/>
      </w:r>
      <w:r w:rsidRPr="005A079E" w:rsidR="00D4168B">
        <w:rPr>
          <w:szCs w:val="22"/>
        </w:rPr>
        <w:t xml:space="preserve">  As discussed below,</w:t>
      </w:r>
      <w:r w:rsidR="00D45F0B">
        <w:rPr>
          <w:szCs w:val="22"/>
        </w:rPr>
        <w:t xml:space="preserve"> we agree with Verizon</w:t>
      </w:r>
      <w:r w:rsidR="00551C83">
        <w:rPr>
          <w:szCs w:val="22"/>
        </w:rPr>
        <w:t xml:space="preserve"> PA</w:t>
      </w:r>
      <w:r w:rsidR="00D45F0B">
        <w:rPr>
          <w:szCs w:val="22"/>
        </w:rPr>
        <w:t xml:space="preserve"> that </w:t>
      </w:r>
      <w:r w:rsidR="001843BA">
        <w:rPr>
          <w:szCs w:val="22"/>
        </w:rPr>
        <w:t>the Commission</w:t>
      </w:r>
      <w:r w:rsidRPr="005A079E" w:rsidR="00D4168B">
        <w:rPr>
          <w:szCs w:val="22"/>
        </w:rPr>
        <w:t xml:space="preserve"> </w:t>
      </w:r>
      <w:r w:rsidR="00866949">
        <w:rPr>
          <w:szCs w:val="22"/>
        </w:rPr>
        <w:t xml:space="preserve">lacks </w:t>
      </w:r>
      <w:r w:rsidRPr="005A079E" w:rsidR="00D4168B">
        <w:rPr>
          <w:szCs w:val="22"/>
        </w:rPr>
        <w:t xml:space="preserve">jurisdiction over the Complaint because </w:t>
      </w:r>
      <w:r w:rsidR="00922AFC">
        <w:rPr>
          <w:szCs w:val="22"/>
        </w:rPr>
        <w:t>Verizon</w:t>
      </w:r>
      <w:r w:rsidR="00426E06">
        <w:rPr>
          <w:szCs w:val="22"/>
        </w:rPr>
        <w:t xml:space="preserve"> </w:t>
      </w:r>
      <w:r w:rsidR="00866949">
        <w:rPr>
          <w:szCs w:val="22"/>
        </w:rPr>
        <w:t>PA</w:t>
      </w:r>
      <w:r w:rsidRPr="005A079E" w:rsidR="00D4168B">
        <w:rPr>
          <w:szCs w:val="22"/>
        </w:rPr>
        <w:t xml:space="preserve"> </w:t>
      </w:r>
      <w:r w:rsidRPr="005A079E" w:rsidR="001A1B56">
        <w:rPr>
          <w:szCs w:val="22"/>
        </w:rPr>
        <w:t>d</w:t>
      </w:r>
      <w:r w:rsidR="00A32EF8">
        <w:rPr>
          <w:szCs w:val="22"/>
        </w:rPr>
        <w:t>id</w:t>
      </w:r>
      <w:r w:rsidRPr="005A079E" w:rsidR="001A1B56">
        <w:rPr>
          <w:szCs w:val="22"/>
        </w:rPr>
        <w:t xml:space="preserve"> not provide interstate or foreign </w:t>
      </w:r>
      <w:r w:rsidRPr="005A079E" w:rsidR="00D4168B">
        <w:rPr>
          <w:szCs w:val="22"/>
        </w:rPr>
        <w:t>telecommunication</w:t>
      </w:r>
      <w:r w:rsidRPr="005A079E" w:rsidR="001A1B56">
        <w:rPr>
          <w:szCs w:val="22"/>
        </w:rPr>
        <w:t>s</w:t>
      </w:r>
      <w:r w:rsidRPr="005A079E" w:rsidR="00D4168B">
        <w:rPr>
          <w:szCs w:val="22"/>
        </w:rPr>
        <w:t xml:space="preserve"> service to Complainants.</w:t>
      </w:r>
      <w:bookmarkEnd w:id="0"/>
      <w:r w:rsidRPr="005A079E">
        <w:rPr>
          <w:szCs w:val="22"/>
        </w:rPr>
        <w:t xml:space="preserve">  </w:t>
      </w:r>
    </w:p>
    <w:bookmarkEnd w:id="1"/>
    <w:p w:rsidR="00C0210E" w:rsidRPr="005A079E" w:rsidP="00282190" w14:paraId="0AAC0D16" w14:textId="7B35322A">
      <w:pPr>
        <w:pStyle w:val="Heading1"/>
        <w:widowControl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FACTUAl </w:t>
      </w:r>
      <w:r w:rsidRPr="005A079E">
        <w:rPr>
          <w:rFonts w:ascii="Times New Roman" w:hAnsi="Times New Roman"/>
          <w:szCs w:val="22"/>
        </w:rPr>
        <w:t>Background</w:t>
      </w:r>
    </w:p>
    <w:p w:rsidR="0027684D" w:rsidRPr="0027684D" w:rsidP="00282190" w14:paraId="69750F94" w14:textId="09C3F250">
      <w:pPr>
        <w:pStyle w:val="ParaNum"/>
        <w:widowControl/>
        <w:tabs>
          <w:tab w:val="clear" w:pos="1080"/>
        </w:tabs>
        <w:rPr>
          <w:snapToGrid/>
          <w:szCs w:val="22"/>
        </w:rPr>
      </w:pPr>
      <w:r>
        <w:rPr>
          <w:snapToGrid/>
          <w:szCs w:val="22"/>
        </w:rPr>
        <w:t xml:space="preserve">In addition to </w:t>
      </w:r>
      <w:r w:rsidR="00C92D50">
        <w:rPr>
          <w:snapToGrid/>
          <w:szCs w:val="22"/>
        </w:rPr>
        <w:t xml:space="preserve">the </w:t>
      </w:r>
      <w:r>
        <w:rPr>
          <w:snapToGrid/>
          <w:szCs w:val="22"/>
        </w:rPr>
        <w:t xml:space="preserve">intrastate service </w:t>
      </w:r>
      <w:r>
        <w:rPr>
          <w:snapToGrid/>
          <w:szCs w:val="22"/>
        </w:rPr>
        <w:t>provided by</w:t>
      </w:r>
      <w:r>
        <w:rPr>
          <w:snapToGrid/>
          <w:szCs w:val="22"/>
        </w:rPr>
        <w:t xml:space="preserve"> </w:t>
      </w:r>
      <w:r w:rsidR="003111C0">
        <w:rPr>
          <w:snapToGrid/>
          <w:szCs w:val="22"/>
        </w:rPr>
        <w:t>Verizon</w:t>
      </w:r>
      <w:r w:rsidR="00E3338D">
        <w:rPr>
          <w:snapToGrid/>
          <w:szCs w:val="22"/>
        </w:rPr>
        <w:t xml:space="preserve"> PA</w:t>
      </w:r>
      <w:r>
        <w:rPr>
          <w:snapToGrid/>
          <w:szCs w:val="22"/>
        </w:rPr>
        <w:t xml:space="preserve">, Dr. </w:t>
      </w:r>
      <w:r>
        <w:rPr>
          <w:snapToGrid/>
          <w:szCs w:val="22"/>
        </w:rPr>
        <w:t>Chailla</w:t>
      </w:r>
      <w:r>
        <w:rPr>
          <w:snapToGrid/>
          <w:szCs w:val="22"/>
        </w:rPr>
        <w:t xml:space="preserve"> also subscribed to</w:t>
      </w:r>
      <w:r>
        <w:rPr>
          <w:snapToGrid/>
          <w:szCs w:val="22"/>
        </w:rPr>
        <w:t xml:space="preserve"> </w:t>
      </w:r>
      <w:r w:rsidR="00B76628">
        <w:rPr>
          <w:snapToGrid/>
          <w:szCs w:val="22"/>
        </w:rPr>
        <w:t xml:space="preserve">interstate service from </w:t>
      </w:r>
      <w:r w:rsidR="00B76628">
        <w:rPr>
          <w:szCs w:val="22"/>
        </w:rPr>
        <w:t xml:space="preserve">Bell Atlantic Communications, Inc. D/B/A </w:t>
      </w:r>
      <w:r w:rsidR="00922AFC">
        <w:rPr>
          <w:szCs w:val="22"/>
        </w:rPr>
        <w:t>Verizon</w:t>
      </w:r>
      <w:r w:rsidR="00B76628">
        <w:rPr>
          <w:szCs w:val="22"/>
        </w:rPr>
        <w:t xml:space="preserve"> Long Distance</w:t>
      </w:r>
      <w:r w:rsidR="00E40B7F">
        <w:rPr>
          <w:szCs w:val="22"/>
        </w:rPr>
        <w:t xml:space="preserve"> (Verizon Long Distance)</w:t>
      </w:r>
      <w:r w:rsidR="00B76628">
        <w:rPr>
          <w:snapToGrid/>
          <w:szCs w:val="22"/>
        </w:rPr>
        <w:t xml:space="preserve"> and </w:t>
      </w:r>
      <w:r w:rsidR="00D1533E">
        <w:rPr>
          <w:snapToGrid/>
          <w:szCs w:val="22"/>
        </w:rPr>
        <w:t xml:space="preserve">broadband </w:t>
      </w:r>
      <w:r w:rsidR="0078051E">
        <w:rPr>
          <w:snapToGrid/>
          <w:szCs w:val="22"/>
        </w:rPr>
        <w:t>internet access and “</w:t>
      </w:r>
      <w:r w:rsidR="0078051E">
        <w:rPr>
          <w:snapToGrid/>
          <w:szCs w:val="22"/>
        </w:rPr>
        <w:t>Tech</w:t>
      </w:r>
      <w:r w:rsidR="00DD2FB6">
        <w:rPr>
          <w:snapToGrid/>
          <w:szCs w:val="22"/>
        </w:rPr>
        <w:t>S</w:t>
      </w:r>
      <w:r w:rsidR="0078051E">
        <w:rPr>
          <w:snapToGrid/>
          <w:szCs w:val="22"/>
        </w:rPr>
        <w:t>ure</w:t>
      </w:r>
      <w:r w:rsidR="0078051E">
        <w:rPr>
          <w:snapToGrid/>
          <w:szCs w:val="22"/>
        </w:rPr>
        <w:t xml:space="preserve">” </w:t>
      </w:r>
      <w:r>
        <w:rPr>
          <w:snapToGrid/>
          <w:szCs w:val="22"/>
        </w:rPr>
        <w:t>service</w:t>
      </w:r>
      <w:r w:rsidR="00B76628">
        <w:rPr>
          <w:snapToGrid/>
          <w:szCs w:val="22"/>
        </w:rPr>
        <w:t xml:space="preserve"> from</w:t>
      </w:r>
      <w:r w:rsidR="0078051E">
        <w:rPr>
          <w:snapToGrid/>
          <w:szCs w:val="22"/>
        </w:rPr>
        <w:t xml:space="preserve"> </w:t>
      </w:r>
      <w:r w:rsidR="00922AFC">
        <w:rPr>
          <w:snapToGrid/>
          <w:szCs w:val="22"/>
        </w:rPr>
        <w:t>Verizon</w:t>
      </w:r>
      <w:r w:rsidR="0078051E">
        <w:rPr>
          <w:snapToGrid/>
          <w:szCs w:val="22"/>
        </w:rPr>
        <w:t xml:space="preserve"> Online LLC</w:t>
      </w:r>
      <w:r w:rsidR="00E40B7F">
        <w:rPr>
          <w:snapToGrid/>
          <w:szCs w:val="22"/>
        </w:rPr>
        <w:t xml:space="preserve"> (Verizon Online)</w:t>
      </w:r>
      <w:r w:rsidR="0078051E">
        <w:rPr>
          <w:snapToGrid/>
          <w:szCs w:val="22"/>
        </w:rPr>
        <w:t>.</w:t>
      </w:r>
      <w:r>
        <w:rPr>
          <w:rStyle w:val="FootnoteReference"/>
          <w:snapToGrid/>
          <w:szCs w:val="22"/>
        </w:rPr>
        <w:footnoteReference w:id="6"/>
      </w:r>
      <w:r w:rsidR="0078051E">
        <w:rPr>
          <w:snapToGrid/>
          <w:szCs w:val="22"/>
        </w:rPr>
        <w:t xml:space="preserve"> </w:t>
      </w:r>
      <w:r w:rsidR="004B2E3E">
        <w:rPr>
          <w:snapToGrid/>
          <w:szCs w:val="22"/>
        </w:rPr>
        <w:t xml:space="preserve"> </w:t>
      </w:r>
      <w:r w:rsidR="00690D51">
        <w:rPr>
          <w:snapToGrid/>
          <w:szCs w:val="22"/>
        </w:rPr>
        <w:t>“</w:t>
      </w:r>
      <w:r w:rsidR="00690D51">
        <w:rPr>
          <w:snapToGrid/>
          <w:szCs w:val="22"/>
        </w:rPr>
        <w:t>TechSure</w:t>
      </w:r>
      <w:r w:rsidR="00690D51">
        <w:rPr>
          <w:snapToGrid/>
          <w:szCs w:val="22"/>
        </w:rPr>
        <w:t>” is advertised as providing</w:t>
      </w:r>
      <w:r w:rsidR="000A6921">
        <w:rPr>
          <w:snapToGrid/>
          <w:szCs w:val="22"/>
        </w:rPr>
        <w:t xml:space="preserve"> t</w:t>
      </w:r>
      <w:r w:rsidRPr="005A079E" w:rsidR="00690D51">
        <w:rPr>
          <w:szCs w:val="22"/>
        </w:rPr>
        <w:t xml:space="preserve">echnical support for software installation and </w:t>
      </w:r>
      <w:r w:rsidRPr="005A079E" w:rsidR="00690D51">
        <w:rPr>
          <w:szCs w:val="22"/>
        </w:rPr>
        <w:t>electronic device setup</w:t>
      </w:r>
      <w:r w:rsidR="00A64E76">
        <w:rPr>
          <w:szCs w:val="22"/>
        </w:rPr>
        <w:t xml:space="preserve"> (i.e., “help-desk” service)</w:t>
      </w:r>
      <w:r w:rsidRPr="005A079E" w:rsidR="00690D51">
        <w:rPr>
          <w:szCs w:val="22"/>
        </w:rPr>
        <w:t xml:space="preserve">; security for </w:t>
      </w:r>
      <w:r w:rsidR="00690D51">
        <w:rPr>
          <w:szCs w:val="22"/>
        </w:rPr>
        <w:t xml:space="preserve">internet-connected devices </w:t>
      </w:r>
      <w:r w:rsidRPr="005A079E" w:rsidR="00690D51">
        <w:rPr>
          <w:szCs w:val="22"/>
        </w:rPr>
        <w:t>other than cell phones; inside wire maintenance; identity theft protection;</w:t>
      </w:r>
      <w:r w:rsidR="00690D51">
        <w:rPr>
          <w:szCs w:val="22"/>
        </w:rPr>
        <w:t xml:space="preserve"> </w:t>
      </w:r>
      <w:r w:rsidRPr="005A079E" w:rsidR="00690D51">
        <w:rPr>
          <w:szCs w:val="22"/>
        </w:rPr>
        <w:t>and digital password</w:t>
      </w:r>
      <w:r w:rsidR="00690D51">
        <w:rPr>
          <w:szCs w:val="22"/>
        </w:rPr>
        <w:t xml:space="preserve"> storage</w:t>
      </w:r>
      <w:r w:rsidRPr="005A079E" w:rsidR="00690D51">
        <w:rPr>
          <w:szCs w:val="22"/>
        </w:rPr>
        <w:t>.</w:t>
      </w:r>
      <w:r>
        <w:rPr>
          <w:rStyle w:val="FootnoteReference"/>
          <w:szCs w:val="22"/>
        </w:rPr>
        <w:footnoteReference w:id="7"/>
      </w:r>
      <w:r w:rsidR="0078051E">
        <w:rPr>
          <w:snapToGrid/>
          <w:szCs w:val="22"/>
        </w:rPr>
        <w:t xml:space="preserve"> </w:t>
      </w:r>
    </w:p>
    <w:p w:rsidR="009F0F18" w:rsidRPr="009F0F18" w:rsidP="00282190" w14:paraId="72494F6E" w14:textId="32880304">
      <w:pPr>
        <w:pStyle w:val="ParaNum"/>
        <w:widowControl/>
        <w:tabs>
          <w:tab w:val="clear" w:pos="1080"/>
        </w:tabs>
        <w:rPr>
          <w:snapToGrid/>
          <w:szCs w:val="22"/>
        </w:rPr>
      </w:pPr>
      <w:r>
        <w:t xml:space="preserve">In </w:t>
      </w:r>
      <w:r w:rsidR="00F75299">
        <w:t>April</w:t>
      </w:r>
      <w:r>
        <w:t xml:space="preserve"> 2019, </w:t>
      </w:r>
      <w:r w:rsidR="00E06043">
        <w:t>D</w:t>
      </w:r>
      <w:r>
        <w:t xml:space="preserve">r. </w:t>
      </w:r>
      <w:r>
        <w:t>Chailla</w:t>
      </w:r>
      <w:r>
        <w:t xml:space="preserve"> filed a </w:t>
      </w:r>
      <w:r w:rsidRPr="005A4BD3" w:rsidR="005A1A07">
        <w:rPr>
          <w:snapToGrid/>
          <w:szCs w:val="22"/>
        </w:rPr>
        <w:t>formal</w:t>
      </w:r>
      <w:r w:rsidR="005A1A07">
        <w:t xml:space="preserve"> </w:t>
      </w:r>
      <w:r>
        <w:t xml:space="preserve">complaint against </w:t>
      </w:r>
      <w:r w:rsidR="003111C0">
        <w:t xml:space="preserve">Verizon </w:t>
      </w:r>
      <w:r w:rsidR="00817450">
        <w:t>PA</w:t>
      </w:r>
      <w:r>
        <w:t xml:space="preserve"> </w:t>
      </w:r>
      <w:r w:rsidR="00B76628">
        <w:t>with</w:t>
      </w:r>
      <w:r>
        <w:t xml:space="preserve"> the Pennsylvania Public Utility Commission</w:t>
      </w:r>
      <w:r w:rsidR="003523EC">
        <w:t xml:space="preserve"> (PUC) alleging that </w:t>
      </w:r>
      <w:r w:rsidR="003111C0">
        <w:t xml:space="preserve">Verizon </w:t>
      </w:r>
      <w:r w:rsidR="002C05D8">
        <w:t>PA</w:t>
      </w:r>
      <w:r w:rsidR="003523EC">
        <w:t xml:space="preserve"> provided faulty service</w:t>
      </w:r>
      <w:r w:rsidR="00F14543">
        <w:t xml:space="preserve"> and overcharged </w:t>
      </w:r>
      <w:r w:rsidR="00A46F5B">
        <w:t>for service</w:t>
      </w:r>
      <w:r>
        <w:t>.</w:t>
      </w:r>
      <w:r>
        <w:rPr>
          <w:rStyle w:val="FootnoteReference"/>
        </w:rPr>
        <w:footnoteReference w:id="8"/>
      </w:r>
      <w:r>
        <w:t xml:space="preserve">  </w:t>
      </w:r>
      <w:r w:rsidR="003523EC">
        <w:t>The PUC</w:t>
      </w:r>
      <w:r>
        <w:t xml:space="preserve"> granted </w:t>
      </w:r>
      <w:r w:rsidR="003523EC">
        <w:t>the complaint</w:t>
      </w:r>
      <w:r>
        <w:t xml:space="preserve"> </w:t>
      </w:r>
      <w:r w:rsidR="0091532D">
        <w:t xml:space="preserve">in </w:t>
      </w:r>
      <w:r>
        <w:t>part</w:t>
      </w:r>
      <w:r w:rsidR="006C1C0D">
        <w:t xml:space="preserve">, finding that Dr. </w:t>
      </w:r>
      <w:r w:rsidR="006C1C0D">
        <w:t>Chailla</w:t>
      </w:r>
      <w:r w:rsidR="006C1C0D">
        <w:t xml:space="preserve"> had experienced a series of service outages</w:t>
      </w:r>
      <w:r w:rsidR="00D10504">
        <w:t xml:space="preserve"> and</w:t>
      </w:r>
      <w:r w:rsidR="00D01825">
        <w:t xml:space="preserve"> </w:t>
      </w:r>
      <w:r w:rsidR="00F42AB7">
        <w:t>delays</w:t>
      </w:r>
      <w:r w:rsidR="00BE635B">
        <w:t>,</w:t>
      </w:r>
      <w:r w:rsidR="006C1C0D">
        <w:t xml:space="preserve"> but</w:t>
      </w:r>
      <w:r>
        <w:t xml:space="preserve"> denied </w:t>
      </w:r>
      <w:r w:rsidR="006C1C0D">
        <w:t xml:space="preserve">Dr. </w:t>
      </w:r>
      <w:r w:rsidR="006C1C0D">
        <w:t>Chailla’s</w:t>
      </w:r>
      <w:r w:rsidR="006C1C0D">
        <w:t xml:space="preserve"> cramming</w:t>
      </w:r>
      <w:r w:rsidR="00BE635B">
        <w:t>, invasion of privacy, and violations of consumer protection rights claims</w:t>
      </w:r>
      <w:r>
        <w:t>.</w:t>
      </w:r>
      <w:r>
        <w:rPr>
          <w:rStyle w:val="FootnoteReference"/>
        </w:rPr>
        <w:footnoteReference w:id="9"/>
      </w:r>
      <w:r>
        <w:t xml:space="preserve">  </w:t>
      </w:r>
      <w:r w:rsidR="00957D4A">
        <w:t xml:space="preserve">Approximately one month after the </w:t>
      </w:r>
      <w:r w:rsidRPr="007B71E5" w:rsidR="00957D4A">
        <w:rPr>
          <w:i/>
          <w:iCs/>
        </w:rPr>
        <w:t xml:space="preserve">PUC </w:t>
      </w:r>
      <w:r w:rsidR="007739FE">
        <w:rPr>
          <w:i/>
          <w:iCs/>
        </w:rPr>
        <w:t>Order</w:t>
      </w:r>
      <w:r w:rsidR="00957D4A">
        <w:t xml:space="preserve">, Complainants filed a complaint against </w:t>
      </w:r>
      <w:r w:rsidR="003111C0">
        <w:t xml:space="preserve">Verizon </w:t>
      </w:r>
      <w:r w:rsidR="00817450">
        <w:t xml:space="preserve">PA </w:t>
      </w:r>
      <w:r w:rsidR="00957D4A">
        <w:t xml:space="preserve">in Pennsylvania state court alleging that </w:t>
      </w:r>
      <w:r w:rsidR="003111C0">
        <w:t xml:space="preserve">Verizon </w:t>
      </w:r>
      <w:r w:rsidR="00817450">
        <w:t>PA</w:t>
      </w:r>
      <w:r w:rsidR="00957D4A">
        <w:t xml:space="preserve"> provided faulty internet service.</w:t>
      </w:r>
      <w:r>
        <w:rPr>
          <w:rStyle w:val="FootnoteReference"/>
        </w:rPr>
        <w:footnoteReference w:id="10"/>
      </w:r>
      <w:r w:rsidR="00957D4A">
        <w:t xml:space="preserve">  The court dismissed the complaint</w:t>
      </w:r>
      <w:r w:rsidR="00C64ED7">
        <w:t xml:space="preserve"> on the ground that the parties’ agreement contained a </w:t>
      </w:r>
      <w:r w:rsidR="00346BEF">
        <w:t>mandatory</w:t>
      </w:r>
      <w:r w:rsidR="00C64ED7">
        <w:t xml:space="preserve"> arbitration clause</w:t>
      </w:r>
      <w:r w:rsidR="00957D4A">
        <w:t>.</w:t>
      </w:r>
      <w:r>
        <w:rPr>
          <w:rStyle w:val="FootnoteReference"/>
        </w:rPr>
        <w:footnoteReference w:id="11"/>
      </w:r>
      <w:r w:rsidR="00957D4A">
        <w:t xml:space="preserve"> </w:t>
      </w:r>
    </w:p>
    <w:p w:rsidR="0027684D" w:rsidRPr="007B71E5" w:rsidP="00282190" w14:paraId="7E2A4090" w14:textId="6799D038">
      <w:pPr>
        <w:pStyle w:val="ParaNum"/>
        <w:widowControl/>
        <w:tabs>
          <w:tab w:val="clear" w:pos="1080"/>
        </w:tabs>
        <w:rPr>
          <w:snapToGrid/>
          <w:szCs w:val="22"/>
        </w:rPr>
      </w:pPr>
      <w:r>
        <w:rPr>
          <w:snapToGrid/>
          <w:szCs w:val="22"/>
        </w:rPr>
        <w:t xml:space="preserve">Complainants </w:t>
      </w:r>
      <w:r w:rsidR="000F20C5">
        <w:rPr>
          <w:snapToGrid/>
          <w:szCs w:val="22"/>
        </w:rPr>
        <w:t>filed the</w:t>
      </w:r>
      <w:r w:rsidR="0091532D">
        <w:rPr>
          <w:snapToGrid/>
          <w:szCs w:val="22"/>
        </w:rPr>
        <w:t xml:space="preserve"> </w:t>
      </w:r>
      <w:r w:rsidR="00F75299">
        <w:rPr>
          <w:snapToGrid/>
          <w:szCs w:val="22"/>
        </w:rPr>
        <w:t>C</w:t>
      </w:r>
      <w:r w:rsidR="000F20C5">
        <w:rPr>
          <w:snapToGrid/>
          <w:szCs w:val="22"/>
        </w:rPr>
        <w:t>omplain</w:t>
      </w:r>
      <w:r w:rsidR="003F2B7A">
        <w:rPr>
          <w:snapToGrid/>
          <w:szCs w:val="22"/>
        </w:rPr>
        <w:t>t</w:t>
      </w:r>
      <w:r w:rsidR="000F20C5">
        <w:rPr>
          <w:snapToGrid/>
          <w:szCs w:val="22"/>
        </w:rPr>
        <w:t xml:space="preserve"> </w:t>
      </w:r>
      <w:r w:rsidR="00CD3421">
        <w:rPr>
          <w:snapToGrid/>
          <w:szCs w:val="22"/>
        </w:rPr>
        <w:t xml:space="preserve">at issue here </w:t>
      </w:r>
      <w:r w:rsidR="00A46F5B">
        <w:rPr>
          <w:snapToGrid/>
          <w:szCs w:val="22"/>
        </w:rPr>
        <w:t>i</w:t>
      </w:r>
      <w:r w:rsidR="0011653A">
        <w:rPr>
          <w:snapToGrid/>
          <w:szCs w:val="22"/>
        </w:rPr>
        <w:t>n March 2022</w:t>
      </w:r>
      <w:r w:rsidRPr="007B71E5" w:rsidR="00957D4A">
        <w:rPr>
          <w:snapToGrid/>
          <w:szCs w:val="22"/>
        </w:rPr>
        <w:t>.</w:t>
      </w:r>
      <w:r>
        <w:rPr>
          <w:rStyle w:val="FootnoteReference"/>
          <w:snapToGrid/>
          <w:szCs w:val="22"/>
        </w:rPr>
        <w:footnoteReference w:id="12"/>
      </w:r>
      <w:r w:rsidRPr="007B71E5" w:rsidR="007B71E5">
        <w:rPr>
          <w:snapToGrid/>
          <w:szCs w:val="22"/>
        </w:rPr>
        <w:t xml:space="preserve"> </w:t>
      </w:r>
      <w:r w:rsidR="000F20C5">
        <w:rPr>
          <w:snapToGrid/>
          <w:szCs w:val="22"/>
        </w:rPr>
        <w:t xml:space="preserve"> </w:t>
      </w:r>
      <w:r w:rsidR="009F0F18">
        <w:rPr>
          <w:snapToGrid/>
          <w:szCs w:val="22"/>
        </w:rPr>
        <w:t>The Complaint</w:t>
      </w:r>
      <w:r w:rsidR="00217441">
        <w:rPr>
          <w:snapToGrid/>
          <w:szCs w:val="22"/>
        </w:rPr>
        <w:t xml:space="preserve">, which </w:t>
      </w:r>
      <w:r w:rsidR="00D02399">
        <w:rPr>
          <w:snapToGrid/>
          <w:szCs w:val="22"/>
        </w:rPr>
        <w:t>requests</w:t>
      </w:r>
      <w:r w:rsidR="00217441">
        <w:rPr>
          <w:snapToGrid/>
          <w:szCs w:val="22"/>
        </w:rPr>
        <w:t xml:space="preserve"> damages,</w:t>
      </w:r>
      <w:r w:rsidR="009F0F18">
        <w:rPr>
          <w:snapToGrid/>
          <w:szCs w:val="22"/>
        </w:rPr>
        <w:t xml:space="preserve"> </w:t>
      </w:r>
      <w:r w:rsidR="00D66185">
        <w:rPr>
          <w:snapToGrid/>
          <w:szCs w:val="22"/>
        </w:rPr>
        <w:t>has</w:t>
      </w:r>
      <w:r w:rsidR="000F20C5">
        <w:rPr>
          <w:snapToGrid/>
          <w:szCs w:val="22"/>
        </w:rPr>
        <w:t xml:space="preserve"> three Counts.</w:t>
      </w:r>
      <w:r>
        <w:rPr>
          <w:rStyle w:val="FootnoteReference"/>
          <w:snapToGrid/>
          <w:szCs w:val="22"/>
        </w:rPr>
        <w:footnoteReference w:id="13"/>
      </w:r>
      <w:r w:rsidR="000F20C5">
        <w:rPr>
          <w:snapToGrid/>
          <w:szCs w:val="22"/>
        </w:rPr>
        <w:t xml:space="preserve">  Count I</w:t>
      </w:r>
      <w:r w:rsidR="0091532D">
        <w:rPr>
          <w:snapToGrid/>
          <w:szCs w:val="22"/>
        </w:rPr>
        <w:t xml:space="preserve"> </w:t>
      </w:r>
      <w:r w:rsidR="00A00218">
        <w:rPr>
          <w:snapToGrid/>
          <w:szCs w:val="22"/>
        </w:rPr>
        <w:t>seek</w:t>
      </w:r>
      <w:r w:rsidR="004D41FB">
        <w:rPr>
          <w:snapToGrid/>
          <w:szCs w:val="22"/>
        </w:rPr>
        <w:t>s</w:t>
      </w:r>
      <w:r w:rsidR="00A00218">
        <w:rPr>
          <w:snapToGrid/>
          <w:szCs w:val="22"/>
        </w:rPr>
        <w:t xml:space="preserve"> enforcement of the Pennsylvania </w:t>
      </w:r>
      <w:r w:rsidRPr="00ED6944" w:rsidR="00A00218">
        <w:rPr>
          <w:i/>
          <w:iCs/>
          <w:snapToGrid/>
          <w:szCs w:val="22"/>
        </w:rPr>
        <w:t>PUC Order</w:t>
      </w:r>
      <w:r w:rsidR="00A00218">
        <w:rPr>
          <w:snapToGrid/>
          <w:szCs w:val="22"/>
        </w:rPr>
        <w:t xml:space="preserve"> and also </w:t>
      </w:r>
      <w:r w:rsidR="0091532D">
        <w:rPr>
          <w:snapToGrid/>
          <w:szCs w:val="22"/>
        </w:rPr>
        <w:t>a</w:t>
      </w:r>
      <w:r w:rsidR="002D1DF2">
        <w:rPr>
          <w:snapToGrid/>
          <w:szCs w:val="22"/>
        </w:rPr>
        <w:t>ssert</w:t>
      </w:r>
      <w:r w:rsidR="004D41FB">
        <w:rPr>
          <w:snapToGrid/>
          <w:szCs w:val="22"/>
        </w:rPr>
        <w:t>s</w:t>
      </w:r>
      <w:r w:rsidR="0091532D">
        <w:rPr>
          <w:snapToGrid/>
          <w:szCs w:val="22"/>
        </w:rPr>
        <w:t xml:space="preserve"> that the </w:t>
      </w:r>
      <w:r w:rsidRPr="00A60059" w:rsidR="0091532D">
        <w:rPr>
          <w:i/>
          <w:iCs/>
          <w:snapToGrid/>
          <w:szCs w:val="22"/>
        </w:rPr>
        <w:t xml:space="preserve">PUC </w:t>
      </w:r>
      <w:r w:rsidRPr="00A60059" w:rsidR="00ED6944">
        <w:rPr>
          <w:i/>
          <w:iCs/>
          <w:snapToGrid/>
          <w:szCs w:val="22"/>
        </w:rPr>
        <w:t>Order</w:t>
      </w:r>
      <w:r w:rsidR="00ED6944">
        <w:rPr>
          <w:snapToGrid/>
          <w:szCs w:val="22"/>
        </w:rPr>
        <w:t xml:space="preserve"> </w:t>
      </w:r>
      <w:r w:rsidR="0091532D">
        <w:rPr>
          <w:snapToGrid/>
          <w:szCs w:val="22"/>
        </w:rPr>
        <w:t xml:space="preserve">and </w:t>
      </w:r>
      <w:r w:rsidRPr="00A60059" w:rsidR="0091532D">
        <w:rPr>
          <w:i/>
          <w:iCs/>
          <w:snapToGrid/>
          <w:szCs w:val="22"/>
        </w:rPr>
        <w:t xml:space="preserve">State Court </w:t>
      </w:r>
      <w:r w:rsidRPr="00A60059" w:rsidR="00A00218">
        <w:rPr>
          <w:i/>
          <w:iCs/>
          <w:snapToGrid/>
          <w:szCs w:val="22"/>
        </w:rPr>
        <w:t>Order</w:t>
      </w:r>
      <w:r w:rsidR="0091532D">
        <w:rPr>
          <w:snapToGrid/>
          <w:szCs w:val="22"/>
        </w:rPr>
        <w:t xml:space="preserve"> are vitiated by </w:t>
      </w:r>
      <w:r w:rsidR="0086375F">
        <w:rPr>
          <w:snapToGrid/>
          <w:szCs w:val="22"/>
        </w:rPr>
        <w:t>fraud.</w:t>
      </w:r>
      <w:r>
        <w:rPr>
          <w:rStyle w:val="FootnoteReference"/>
          <w:snapToGrid/>
          <w:szCs w:val="22"/>
        </w:rPr>
        <w:footnoteReference w:id="14"/>
      </w:r>
      <w:r w:rsidR="00BA205D">
        <w:rPr>
          <w:snapToGrid/>
          <w:szCs w:val="22"/>
        </w:rPr>
        <w:t xml:space="preserve">  </w:t>
      </w:r>
      <w:r w:rsidR="00C64ED7">
        <w:rPr>
          <w:snapToGrid/>
          <w:szCs w:val="22"/>
        </w:rPr>
        <w:t>C</w:t>
      </w:r>
      <w:r w:rsidR="002D1DF2">
        <w:rPr>
          <w:snapToGrid/>
          <w:szCs w:val="22"/>
        </w:rPr>
        <w:t xml:space="preserve">ount I </w:t>
      </w:r>
      <w:r w:rsidR="00C64ED7">
        <w:rPr>
          <w:snapToGrid/>
          <w:szCs w:val="22"/>
        </w:rPr>
        <w:t xml:space="preserve">also </w:t>
      </w:r>
      <w:r w:rsidR="00343B97">
        <w:rPr>
          <w:snapToGrid/>
          <w:szCs w:val="22"/>
        </w:rPr>
        <w:t>alleges</w:t>
      </w:r>
      <w:r w:rsidR="00061B8C">
        <w:rPr>
          <w:snapToGrid/>
          <w:szCs w:val="22"/>
        </w:rPr>
        <w:t xml:space="preserve"> that </w:t>
      </w:r>
      <w:r w:rsidR="003111C0">
        <w:rPr>
          <w:snapToGrid/>
          <w:szCs w:val="22"/>
        </w:rPr>
        <w:t xml:space="preserve">Verizon </w:t>
      </w:r>
      <w:r w:rsidR="00BB2100">
        <w:rPr>
          <w:snapToGrid/>
          <w:szCs w:val="22"/>
        </w:rPr>
        <w:t>PA</w:t>
      </w:r>
      <w:r w:rsidR="00C077D2">
        <w:rPr>
          <w:snapToGrid/>
          <w:szCs w:val="22"/>
        </w:rPr>
        <w:t xml:space="preserve"> provided faulty service</w:t>
      </w:r>
      <w:r w:rsidR="005A69F3">
        <w:rPr>
          <w:snapToGrid/>
          <w:szCs w:val="22"/>
        </w:rPr>
        <w:t xml:space="preserve">, </w:t>
      </w:r>
      <w:r w:rsidR="00C077D2">
        <w:rPr>
          <w:snapToGrid/>
          <w:szCs w:val="22"/>
        </w:rPr>
        <w:t>overcharged for service</w:t>
      </w:r>
      <w:r w:rsidR="0053641C">
        <w:rPr>
          <w:snapToGrid/>
          <w:szCs w:val="22"/>
        </w:rPr>
        <w:t>,</w:t>
      </w:r>
      <w:r w:rsidR="00C077D2">
        <w:rPr>
          <w:snapToGrid/>
          <w:szCs w:val="22"/>
        </w:rPr>
        <w:t xml:space="preserve"> and</w:t>
      </w:r>
      <w:r w:rsidR="00061B8C">
        <w:rPr>
          <w:snapToGrid/>
          <w:szCs w:val="22"/>
        </w:rPr>
        <w:t xml:space="preserve"> violated </w:t>
      </w:r>
      <w:r w:rsidR="00B83975">
        <w:rPr>
          <w:snapToGrid/>
          <w:szCs w:val="22"/>
        </w:rPr>
        <w:t>s</w:t>
      </w:r>
      <w:r w:rsidR="00061B8C">
        <w:rPr>
          <w:snapToGrid/>
          <w:szCs w:val="22"/>
        </w:rPr>
        <w:t>ections 201 and 202 of the Act</w:t>
      </w:r>
      <w:r w:rsidR="004D41FB">
        <w:rPr>
          <w:snapToGrid/>
          <w:szCs w:val="22"/>
        </w:rPr>
        <w:t xml:space="preserve">, </w:t>
      </w:r>
      <w:r w:rsidR="004E2EED">
        <w:rPr>
          <w:snapToGrid/>
          <w:szCs w:val="22"/>
        </w:rPr>
        <w:t>various Pennsylvania statutes</w:t>
      </w:r>
      <w:r w:rsidR="004D41FB">
        <w:rPr>
          <w:snapToGrid/>
          <w:szCs w:val="22"/>
        </w:rPr>
        <w:t>,</w:t>
      </w:r>
      <w:r w:rsidR="004E2EED">
        <w:rPr>
          <w:snapToGrid/>
          <w:szCs w:val="22"/>
        </w:rPr>
        <w:t xml:space="preserve"> and the federal Civil Rights Act</w:t>
      </w:r>
      <w:r w:rsidR="00C077D2">
        <w:rPr>
          <w:snapToGrid/>
          <w:szCs w:val="22"/>
        </w:rPr>
        <w:t>.</w:t>
      </w:r>
      <w:r>
        <w:rPr>
          <w:rStyle w:val="FootnoteReference"/>
          <w:snapToGrid/>
          <w:szCs w:val="22"/>
        </w:rPr>
        <w:footnoteReference w:id="15"/>
      </w:r>
      <w:r w:rsidR="000F20C5">
        <w:rPr>
          <w:snapToGrid/>
          <w:szCs w:val="22"/>
        </w:rPr>
        <w:t xml:space="preserve">  </w:t>
      </w:r>
      <w:r w:rsidR="00217441">
        <w:rPr>
          <w:snapToGrid/>
          <w:szCs w:val="22"/>
        </w:rPr>
        <w:t>Count II</w:t>
      </w:r>
      <w:r w:rsidR="009E5317">
        <w:rPr>
          <w:snapToGrid/>
          <w:szCs w:val="22"/>
        </w:rPr>
        <w:t xml:space="preserve"> </w:t>
      </w:r>
      <w:r w:rsidR="0022066B">
        <w:rPr>
          <w:snapToGrid/>
          <w:szCs w:val="22"/>
        </w:rPr>
        <w:t>contend</w:t>
      </w:r>
      <w:r w:rsidR="004D41FB">
        <w:rPr>
          <w:snapToGrid/>
          <w:szCs w:val="22"/>
        </w:rPr>
        <w:t>s</w:t>
      </w:r>
      <w:r w:rsidR="009E5317">
        <w:rPr>
          <w:snapToGrid/>
          <w:szCs w:val="22"/>
        </w:rPr>
        <w:t xml:space="preserve"> </w:t>
      </w:r>
      <w:r w:rsidR="00217441">
        <w:rPr>
          <w:snapToGrid/>
          <w:szCs w:val="22"/>
        </w:rPr>
        <w:t xml:space="preserve">that </w:t>
      </w:r>
      <w:r w:rsidR="007C7E58">
        <w:rPr>
          <w:snapToGrid/>
          <w:szCs w:val="22"/>
        </w:rPr>
        <w:t>the</w:t>
      </w:r>
      <w:r w:rsidR="00BD176F">
        <w:rPr>
          <w:snapToGrid/>
          <w:szCs w:val="22"/>
        </w:rPr>
        <w:t xml:space="preserve"> advertising for </w:t>
      </w:r>
      <w:r w:rsidR="00343B97">
        <w:rPr>
          <w:snapToGrid/>
          <w:szCs w:val="22"/>
        </w:rPr>
        <w:t>“</w:t>
      </w:r>
      <w:r w:rsidR="00343B97">
        <w:rPr>
          <w:snapToGrid/>
          <w:szCs w:val="22"/>
        </w:rPr>
        <w:t>TechSure</w:t>
      </w:r>
      <w:r w:rsidR="00343B97">
        <w:rPr>
          <w:snapToGrid/>
          <w:szCs w:val="22"/>
        </w:rPr>
        <w:t>”</w:t>
      </w:r>
      <w:r w:rsidR="00BD176F">
        <w:rPr>
          <w:snapToGrid/>
          <w:szCs w:val="22"/>
        </w:rPr>
        <w:t xml:space="preserve"> was deceptive</w:t>
      </w:r>
      <w:r w:rsidR="00247BC5">
        <w:rPr>
          <w:snapToGrid/>
          <w:szCs w:val="22"/>
        </w:rPr>
        <w:t xml:space="preserve">, </w:t>
      </w:r>
      <w:r w:rsidR="00E40B7F">
        <w:rPr>
          <w:snapToGrid/>
          <w:szCs w:val="22"/>
        </w:rPr>
        <w:t xml:space="preserve">and </w:t>
      </w:r>
      <w:r w:rsidR="00BD176F">
        <w:rPr>
          <w:snapToGrid/>
          <w:szCs w:val="22"/>
        </w:rPr>
        <w:t>that</w:t>
      </w:r>
      <w:r w:rsidR="002603A3">
        <w:rPr>
          <w:snapToGrid/>
          <w:szCs w:val="22"/>
        </w:rPr>
        <w:t xml:space="preserve"> </w:t>
      </w:r>
      <w:r w:rsidR="003111C0">
        <w:rPr>
          <w:snapToGrid/>
          <w:szCs w:val="22"/>
        </w:rPr>
        <w:t xml:space="preserve">Verizon </w:t>
      </w:r>
      <w:r w:rsidR="009B4FE8">
        <w:rPr>
          <w:snapToGrid/>
          <w:szCs w:val="22"/>
        </w:rPr>
        <w:t>PA</w:t>
      </w:r>
      <w:r w:rsidR="002603A3">
        <w:rPr>
          <w:snapToGrid/>
          <w:szCs w:val="22"/>
        </w:rPr>
        <w:t xml:space="preserve"> </w:t>
      </w:r>
      <w:r w:rsidR="0022066B">
        <w:rPr>
          <w:snapToGrid/>
          <w:szCs w:val="22"/>
        </w:rPr>
        <w:t xml:space="preserve">violated the Commission’s rule against cramming </w:t>
      </w:r>
      <w:r w:rsidR="002603A3">
        <w:rPr>
          <w:snapToGrid/>
          <w:szCs w:val="22"/>
        </w:rPr>
        <w:t>b</w:t>
      </w:r>
      <w:r w:rsidR="0022066B">
        <w:rPr>
          <w:snapToGrid/>
          <w:szCs w:val="22"/>
        </w:rPr>
        <w:t>y</w:t>
      </w:r>
      <w:r w:rsidR="002603A3">
        <w:rPr>
          <w:snapToGrid/>
          <w:szCs w:val="22"/>
        </w:rPr>
        <w:t xml:space="preserve"> charg</w:t>
      </w:r>
      <w:r w:rsidR="0022066B">
        <w:rPr>
          <w:snapToGrid/>
          <w:szCs w:val="22"/>
        </w:rPr>
        <w:t>ing</w:t>
      </w:r>
      <w:r w:rsidR="002603A3">
        <w:rPr>
          <w:snapToGrid/>
          <w:szCs w:val="22"/>
        </w:rPr>
        <w:t xml:space="preserve"> for</w:t>
      </w:r>
      <w:r w:rsidR="005A69F3">
        <w:rPr>
          <w:snapToGrid/>
          <w:szCs w:val="22"/>
        </w:rPr>
        <w:t xml:space="preserve"> </w:t>
      </w:r>
      <w:r w:rsidR="0053641C">
        <w:rPr>
          <w:snapToGrid/>
          <w:szCs w:val="22"/>
        </w:rPr>
        <w:t xml:space="preserve">services that, under </w:t>
      </w:r>
      <w:r w:rsidR="0053641C">
        <w:rPr>
          <w:snapToGrid/>
          <w:szCs w:val="22"/>
        </w:rPr>
        <w:t>TechSure</w:t>
      </w:r>
      <w:r w:rsidR="0053641C">
        <w:rPr>
          <w:snapToGrid/>
          <w:szCs w:val="22"/>
        </w:rPr>
        <w:t>, should have been free, and</w:t>
      </w:r>
      <w:r w:rsidR="005A69F3">
        <w:rPr>
          <w:snapToGrid/>
          <w:szCs w:val="22"/>
        </w:rPr>
        <w:t xml:space="preserve"> </w:t>
      </w:r>
      <w:r w:rsidR="007A4CEF">
        <w:rPr>
          <w:snapToGrid/>
          <w:szCs w:val="22"/>
        </w:rPr>
        <w:t xml:space="preserve">by </w:t>
      </w:r>
      <w:r w:rsidR="005A69F3">
        <w:rPr>
          <w:snapToGrid/>
          <w:szCs w:val="22"/>
        </w:rPr>
        <w:t xml:space="preserve">charging for a </w:t>
      </w:r>
      <w:r w:rsidR="002603A3">
        <w:rPr>
          <w:snapToGrid/>
          <w:szCs w:val="22"/>
        </w:rPr>
        <w:t>more expensive</w:t>
      </w:r>
      <w:r w:rsidR="005A69F3">
        <w:rPr>
          <w:snapToGrid/>
          <w:szCs w:val="22"/>
        </w:rPr>
        <w:t xml:space="preserve"> calling plan</w:t>
      </w:r>
      <w:r w:rsidR="002603A3">
        <w:rPr>
          <w:snapToGrid/>
          <w:szCs w:val="22"/>
        </w:rPr>
        <w:t xml:space="preserve"> than </w:t>
      </w:r>
      <w:r w:rsidR="003F5E27">
        <w:rPr>
          <w:snapToGrid/>
          <w:szCs w:val="22"/>
        </w:rPr>
        <w:t>was</w:t>
      </w:r>
      <w:r w:rsidR="002603A3">
        <w:rPr>
          <w:snapToGrid/>
          <w:szCs w:val="22"/>
        </w:rPr>
        <w:t xml:space="preserve"> </w:t>
      </w:r>
      <w:r w:rsidR="0022066B">
        <w:rPr>
          <w:snapToGrid/>
          <w:szCs w:val="22"/>
        </w:rPr>
        <w:t xml:space="preserve">actually </w:t>
      </w:r>
      <w:r w:rsidR="002603A3">
        <w:rPr>
          <w:snapToGrid/>
          <w:szCs w:val="22"/>
        </w:rPr>
        <w:t>provided.</w:t>
      </w:r>
      <w:r>
        <w:rPr>
          <w:rStyle w:val="FootnoteReference"/>
          <w:snapToGrid/>
          <w:szCs w:val="22"/>
        </w:rPr>
        <w:footnoteReference w:id="16"/>
      </w:r>
      <w:r w:rsidR="002603A3">
        <w:rPr>
          <w:snapToGrid/>
          <w:szCs w:val="22"/>
        </w:rPr>
        <w:t xml:space="preserve">  </w:t>
      </w:r>
      <w:r w:rsidR="001E08D2">
        <w:rPr>
          <w:snapToGrid/>
          <w:szCs w:val="22"/>
        </w:rPr>
        <w:t>Count III</w:t>
      </w:r>
      <w:r w:rsidR="000F20C5">
        <w:rPr>
          <w:snapToGrid/>
          <w:szCs w:val="22"/>
        </w:rPr>
        <w:t xml:space="preserve"> of the Complaint</w:t>
      </w:r>
      <w:r w:rsidR="000502BB">
        <w:rPr>
          <w:snapToGrid/>
          <w:szCs w:val="22"/>
        </w:rPr>
        <w:t xml:space="preserve"> alleges that </w:t>
      </w:r>
      <w:r w:rsidR="003111C0">
        <w:rPr>
          <w:snapToGrid/>
          <w:szCs w:val="22"/>
        </w:rPr>
        <w:t xml:space="preserve">Verizon </w:t>
      </w:r>
      <w:r w:rsidR="00214E30">
        <w:rPr>
          <w:snapToGrid/>
          <w:szCs w:val="22"/>
        </w:rPr>
        <w:t>PA</w:t>
      </w:r>
      <w:r w:rsidR="000502BB">
        <w:rPr>
          <w:snapToGrid/>
          <w:szCs w:val="22"/>
        </w:rPr>
        <w:t xml:space="preserve"> provided faulty </w:t>
      </w:r>
      <w:r w:rsidR="003952CA">
        <w:rPr>
          <w:snapToGrid/>
          <w:szCs w:val="22"/>
        </w:rPr>
        <w:t xml:space="preserve">internet access </w:t>
      </w:r>
      <w:r w:rsidR="000502BB">
        <w:rPr>
          <w:snapToGrid/>
          <w:szCs w:val="22"/>
        </w:rPr>
        <w:t>service.</w:t>
      </w:r>
      <w:r>
        <w:rPr>
          <w:rStyle w:val="FootnoteReference"/>
          <w:snapToGrid/>
          <w:szCs w:val="22"/>
        </w:rPr>
        <w:footnoteReference w:id="17"/>
      </w:r>
    </w:p>
    <w:p w:rsidR="00C0210E" w:rsidRPr="005A079E" w:rsidP="00282190" w14:paraId="5494353E" w14:textId="78126795">
      <w:pPr>
        <w:pStyle w:val="Heading1"/>
        <w:widowControl/>
        <w:rPr>
          <w:rStyle w:val="Hyperlink"/>
          <w:rFonts w:ascii="Times New Roman" w:hAnsi="Times New Roman"/>
          <w:color w:val="auto"/>
          <w:szCs w:val="22"/>
          <w:u w:val="none"/>
        </w:rPr>
      </w:pPr>
      <w:r w:rsidRPr="005A079E">
        <w:rPr>
          <w:rStyle w:val="Hyperlink"/>
          <w:rFonts w:ascii="Times New Roman" w:hAnsi="Times New Roman"/>
          <w:color w:val="auto"/>
          <w:szCs w:val="22"/>
          <w:u w:val="none"/>
        </w:rPr>
        <w:t>discussion</w:t>
      </w:r>
    </w:p>
    <w:p w:rsidR="00565D8F" w:rsidP="00282190" w14:paraId="11ABC9FF" w14:textId="53537B05">
      <w:pPr>
        <w:pStyle w:val="ParaNum"/>
        <w:widowControl/>
        <w:tabs>
          <w:tab w:val="clear" w:pos="1080"/>
        </w:tabs>
        <w:rPr>
          <w:szCs w:val="22"/>
        </w:rPr>
      </w:pPr>
      <w:bookmarkStart w:id="2" w:name="_Hlk110857700"/>
      <w:bookmarkStart w:id="3" w:name="_Hlk109047271"/>
      <w:r>
        <w:rPr>
          <w:szCs w:val="22"/>
        </w:rPr>
        <w:t xml:space="preserve">In its Motion, </w:t>
      </w:r>
      <w:r w:rsidRPr="00756300" w:rsidR="00756300">
        <w:rPr>
          <w:szCs w:val="22"/>
        </w:rPr>
        <w:t xml:space="preserve">Verizon </w:t>
      </w:r>
      <w:r w:rsidR="00BA65F5">
        <w:rPr>
          <w:szCs w:val="22"/>
        </w:rPr>
        <w:t>PA</w:t>
      </w:r>
      <w:r w:rsidRPr="00756300" w:rsidR="00756300">
        <w:rPr>
          <w:szCs w:val="22"/>
        </w:rPr>
        <w:t xml:space="preserve"> </w:t>
      </w:r>
      <w:r>
        <w:rPr>
          <w:szCs w:val="22"/>
        </w:rPr>
        <w:t xml:space="preserve">argues </w:t>
      </w:r>
      <w:r w:rsidRPr="00756300" w:rsidR="00756300">
        <w:rPr>
          <w:szCs w:val="22"/>
        </w:rPr>
        <w:t xml:space="preserve">that we should </w:t>
      </w:r>
      <w:r w:rsidRPr="005A4BD3" w:rsidR="00756300">
        <w:rPr>
          <w:snapToGrid/>
          <w:szCs w:val="22"/>
        </w:rPr>
        <w:t>dismiss</w:t>
      </w:r>
      <w:r w:rsidRPr="00756300" w:rsidR="00756300">
        <w:rPr>
          <w:szCs w:val="22"/>
        </w:rPr>
        <w:t xml:space="preserve"> the Complaint with prejudice</w:t>
      </w:r>
      <w:r>
        <w:rPr>
          <w:szCs w:val="22"/>
        </w:rPr>
        <w:t xml:space="preserve"> </w:t>
      </w:r>
      <w:r w:rsidR="00AE731F">
        <w:rPr>
          <w:szCs w:val="22"/>
        </w:rPr>
        <w:t xml:space="preserve">for </w:t>
      </w:r>
      <w:r>
        <w:rPr>
          <w:szCs w:val="22"/>
        </w:rPr>
        <w:t>lack</w:t>
      </w:r>
      <w:r w:rsidR="00AE731F">
        <w:rPr>
          <w:szCs w:val="22"/>
        </w:rPr>
        <w:t xml:space="preserve"> of</w:t>
      </w:r>
      <w:r>
        <w:rPr>
          <w:szCs w:val="22"/>
        </w:rPr>
        <w:t xml:space="preserve"> jurisdiction</w:t>
      </w:r>
      <w:r w:rsidRPr="00756300" w:rsidR="00756300">
        <w:rPr>
          <w:szCs w:val="22"/>
        </w:rPr>
        <w:t>.</w:t>
      </w:r>
      <w:r>
        <w:rPr>
          <w:rStyle w:val="FootnoteReference"/>
          <w:sz w:val="22"/>
          <w:szCs w:val="22"/>
        </w:rPr>
        <w:footnoteReference w:id="18"/>
      </w:r>
      <w:r w:rsidRPr="00756300" w:rsidR="00756300">
        <w:rPr>
          <w:szCs w:val="22"/>
        </w:rPr>
        <w:t xml:space="preserve">  </w:t>
      </w:r>
      <w:r w:rsidR="00AE731F">
        <w:rPr>
          <w:szCs w:val="22"/>
        </w:rPr>
        <w:t>We agree</w:t>
      </w:r>
      <w:r w:rsidR="000A4428">
        <w:rPr>
          <w:szCs w:val="22"/>
        </w:rPr>
        <w:t xml:space="preserve">.  </w:t>
      </w:r>
      <w:r w:rsidRPr="00756300" w:rsidR="00756300">
        <w:rPr>
          <w:szCs w:val="22"/>
        </w:rPr>
        <w:t xml:space="preserve">The Complaint was filed under </w:t>
      </w:r>
      <w:r w:rsidR="00B83975">
        <w:rPr>
          <w:szCs w:val="22"/>
        </w:rPr>
        <w:t>s</w:t>
      </w:r>
      <w:r w:rsidRPr="00756300" w:rsidR="00756300">
        <w:rPr>
          <w:szCs w:val="22"/>
        </w:rPr>
        <w:t xml:space="preserve">ection 208 of the Act, which provides, “Any person…complaining of anything done or omitted to be done by any </w:t>
      </w:r>
      <w:r w:rsidRPr="00756300" w:rsidR="00756300">
        <w:rPr>
          <w:i/>
          <w:iCs/>
          <w:szCs w:val="22"/>
        </w:rPr>
        <w:t>common carrier</w:t>
      </w:r>
      <w:r w:rsidRPr="00756300" w:rsidR="00756300">
        <w:rPr>
          <w:szCs w:val="22"/>
        </w:rPr>
        <w:t xml:space="preserve"> subject to this Act, in contravention of the provisions thereof, may apply to [the] Commission by petition….”</w:t>
      </w:r>
      <w:r>
        <w:rPr>
          <w:rStyle w:val="FootnoteReference"/>
          <w:sz w:val="22"/>
          <w:szCs w:val="22"/>
        </w:rPr>
        <w:footnoteReference w:id="19"/>
      </w:r>
      <w:r w:rsidRPr="00756300" w:rsidR="00756300">
        <w:rPr>
          <w:szCs w:val="22"/>
        </w:rPr>
        <w:t xml:space="preserve">  Section 3 of the Act defines “common carrier” as “a common carrier for hire, in interstate or foreign communication by wire or radio….”</w:t>
      </w:r>
      <w:r>
        <w:rPr>
          <w:rStyle w:val="FootnoteReference"/>
          <w:sz w:val="22"/>
          <w:szCs w:val="22"/>
        </w:rPr>
        <w:footnoteReference w:id="20"/>
      </w:r>
      <w:r w:rsidRPr="00756300" w:rsidR="00756300">
        <w:rPr>
          <w:szCs w:val="22"/>
        </w:rPr>
        <w:t xml:space="preserve">  </w:t>
      </w:r>
      <w:r w:rsidR="006B20DC">
        <w:rPr>
          <w:szCs w:val="22"/>
        </w:rPr>
        <w:t xml:space="preserve">Because </w:t>
      </w:r>
      <w:r w:rsidRPr="00756300" w:rsidR="00756300">
        <w:rPr>
          <w:szCs w:val="22"/>
        </w:rPr>
        <w:t xml:space="preserve">Verizon </w:t>
      </w:r>
      <w:r w:rsidR="00BA65F5">
        <w:rPr>
          <w:szCs w:val="22"/>
        </w:rPr>
        <w:t>PA</w:t>
      </w:r>
      <w:r w:rsidRPr="00756300" w:rsidR="00756300">
        <w:rPr>
          <w:szCs w:val="22"/>
        </w:rPr>
        <w:t xml:space="preserve"> </w:t>
      </w:r>
      <w:r w:rsidR="00D1533E">
        <w:rPr>
          <w:szCs w:val="22"/>
        </w:rPr>
        <w:t xml:space="preserve">did not </w:t>
      </w:r>
      <w:r w:rsidRPr="00756300" w:rsidR="00756300">
        <w:rPr>
          <w:szCs w:val="22"/>
        </w:rPr>
        <w:t>provide</w:t>
      </w:r>
      <w:r w:rsidR="00D1533E">
        <w:rPr>
          <w:szCs w:val="22"/>
        </w:rPr>
        <w:t xml:space="preserve"> interstate or foreign</w:t>
      </w:r>
      <w:r w:rsidRPr="00756300" w:rsidR="00756300">
        <w:rPr>
          <w:szCs w:val="22"/>
        </w:rPr>
        <w:t xml:space="preserve"> service to Complainants</w:t>
      </w:r>
      <w:r w:rsidR="006B20DC">
        <w:rPr>
          <w:szCs w:val="22"/>
        </w:rPr>
        <w:t>, it</w:t>
      </w:r>
      <w:r w:rsidRPr="00756300" w:rsidR="00756300">
        <w:rPr>
          <w:szCs w:val="22"/>
        </w:rPr>
        <w:t xml:space="preserve"> is not a “common carrier</w:t>
      </w:r>
      <w:r w:rsidR="00D1533E">
        <w:rPr>
          <w:szCs w:val="22"/>
        </w:rPr>
        <w:t>,</w:t>
      </w:r>
      <w:r w:rsidRPr="00756300" w:rsidR="00756300">
        <w:rPr>
          <w:szCs w:val="22"/>
        </w:rPr>
        <w:t>” and the Complaint does not, as it must, “complain[ ] of anything done or omitted to be done by a</w:t>
      </w:r>
      <w:r w:rsidR="006B20DC">
        <w:rPr>
          <w:szCs w:val="22"/>
        </w:rPr>
        <w:t>[ ]</w:t>
      </w:r>
      <w:r w:rsidRPr="00756300" w:rsidR="00756300">
        <w:rPr>
          <w:szCs w:val="22"/>
        </w:rPr>
        <w:t xml:space="preserve"> common carrier…</w:t>
      </w:r>
      <w:r w:rsidR="00BA65F5">
        <w:rPr>
          <w:szCs w:val="22"/>
        </w:rPr>
        <w:t>.</w:t>
      </w:r>
      <w:r w:rsidRPr="00756300" w:rsidR="00756300">
        <w:rPr>
          <w:szCs w:val="22"/>
        </w:rPr>
        <w:t>”</w:t>
      </w:r>
      <w:r>
        <w:rPr>
          <w:rStyle w:val="FootnoteReference"/>
          <w:sz w:val="22"/>
          <w:szCs w:val="22"/>
        </w:rPr>
        <w:footnoteReference w:id="21"/>
      </w:r>
      <w:r w:rsidR="00D1533E">
        <w:rPr>
          <w:szCs w:val="22"/>
        </w:rPr>
        <w:t xml:space="preserve">  As a result, we do not have jurisdiction over the Complaint.</w:t>
      </w:r>
      <w:r w:rsidR="002B7A49">
        <w:rPr>
          <w:szCs w:val="22"/>
        </w:rPr>
        <w:t xml:space="preserve"> </w:t>
      </w:r>
      <w:r w:rsidRPr="00756300" w:rsidR="00756300">
        <w:rPr>
          <w:szCs w:val="22"/>
        </w:rPr>
        <w:t xml:space="preserve"> </w:t>
      </w:r>
      <w:bookmarkEnd w:id="2"/>
    </w:p>
    <w:p w:rsidR="00565D8F" w:rsidP="00282190" w14:paraId="369AB96A" w14:textId="1B69BE3F">
      <w:pPr>
        <w:pStyle w:val="ParaNum"/>
        <w:widowControl/>
        <w:tabs>
          <w:tab w:val="clear" w:pos="1080"/>
        </w:tabs>
        <w:rPr>
          <w:szCs w:val="22"/>
        </w:rPr>
      </w:pPr>
      <w:bookmarkStart w:id="4" w:name="_Hlk109813777"/>
      <w:bookmarkStart w:id="5" w:name="_Hlk110791696"/>
      <w:r w:rsidRPr="00756300">
        <w:rPr>
          <w:szCs w:val="22"/>
        </w:rPr>
        <w:t xml:space="preserve">Complainants oppose the Motion on a number of </w:t>
      </w:r>
      <w:r w:rsidRPr="005A4BD3">
        <w:rPr>
          <w:snapToGrid/>
          <w:szCs w:val="22"/>
        </w:rPr>
        <w:t>grounds</w:t>
      </w:r>
      <w:r w:rsidR="009C7BEF">
        <w:rPr>
          <w:szCs w:val="22"/>
        </w:rPr>
        <w:t>, none of which is successful</w:t>
      </w:r>
      <w:r w:rsidR="005D4F95">
        <w:rPr>
          <w:szCs w:val="22"/>
        </w:rPr>
        <w:t xml:space="preserve">.  </w:t>
      </w:r>
      <w:r w:rsidRPr="00C66C33" w:rsidR="00133325">
        <w:rPr>
          <w:szCs w:val="22"/>
        </w:rPr>
        <w:t xml:space="preserve"> </w:t>
      </w:r>
      <w:r w:rsidR="00EE5B22">
        <w:rPr>
          <w:szCs w:val="22"/>
        </w:rPr>
        <w:t xml:space="preserve">First, they </w:t>
      </w:r>
      <w:r w:rsidR="006241BA">
        <w:rPr>
          <w:szCs w:val="22"/>
        </w:rPr>
        <w:t>conten</w:t>
      </w:r>
      <w:r w:rsidR="008C300A">
        <w:rPr>
          <w:szCs w:val="22"/>
        </w:rPr>
        <w:t>d</w:t>
      </w:r>
      <w:r w:rsidR="007F3063">
        <w:rPr>
          <w:szCs w:val="22"/>
        </w:rPr>
        <w:t xml:space="preserve"> that</w:t>
      </w:r>
      <w:r w:rsidR="00835125">
        <w:rPr>
          <w:szCs w:val="22"/>
        </w:rPr>
        <w:t xml:space="preserve"> the Commission may assert jurisdiction over the </w:t>
      </w:r>
      <w:r w:rsidR="00AA1A40">
        <w:rPr>
          <w:szCs w:val="22"/>
        </w:rPr>
        <w:t>C</w:t>
      </w:r>
      <w:r w:rsidR="00835125">
        <w:rPr>
          <w:szCs w:val="22"/>
        </w:rPr>
        <w:t xml:space="preserve">omplaint under </w:t>
      </w:r>
      <w:r w:rsidR="00BF7997">
        <w:rPr>
          <w:szCs w:val="22"/>
        </w:rPr>
        <w:t>an</w:t>
      </w:r>
      <w:r w:rsidRPr="00C66C33" w:rsidR="00133325">
        <w:rPr>
          <w:szCs w:val="22"/>
        </w:rPr>
        <w:t xml:space="preserve"> enterprise liability</w:t>
      </w:r>
      <w:r w:rsidR="00BF7997">
        <w:rPr>
          <w:szCs w:val="22"/>
        </w:rPr>
        <w:t xml:space="preserve"> theory</w:t>
      </w:r>
      <w:r w:rsidRPr="00C66C33" w:rsidR="00133325">
        <w:rPr>
          <w:szCs w:val="22"/>
        </w:rPr>
        <w:t>, which</w:t>
      </w:r>
      <w:r w:rsidR="004A6691">
        <w:rPr>
          <w:szCs w:val="22"/>
        </w:rPr>
        <w:t xml:space="preserve"> holds that</w:t>
      </w:r>
      <w:r w:rsidRPr="00C66C33" w:rsidR="00133325">
        <w:rPr>
          <w:szCs w:val="22"/>
        </w:rPr>
        <w:t xml:space="preserve"> </w:t>
      </w:r>
      <w:r w:rsidR="00BF7997">
        <w:rPr>
          <w:szCs w:val="22"/>
        </w:rPr>
        <w:t xml:space="preserve">related </w:t>
      </w:r>
      <w:r w:rsidRPr="00C66C33" w:rsidR="00133325">
        <w:rPr>
          <w:szCs w:val="22"/>
        </w:rPr>
        <w:t>corporat</w:t>
      </w:r>
      <w:r w:rsidR="00BF7997">
        <w:rPr>
          <w:szCs w:val="22"/>
        </w:rPr>
        <w:t>ions</w:t>
      </w:r>
      <w:r w:rsidRPr="00C66C33" w:rsidR="00133325">
        <w:rPr>
          <w:szCs w:val="22"/>
        </w:rPr>
        <w:t xml:space="preserve"> that act jointly as a single “enterprise” to achieve a common regulated purpose may be found individually liable for violations of the Act</w:t>
      </w:r>
      <w:r w:rsidR="006B20DC">
        <w:rPr>
          <w:szCs w:val="22"/>
        </w:rPr>
        <w:t xml:space="preserve"> committed in furtherance of th</w:t>
      </w:r>
      <w:r w:rsidR="008C300A">
        <w:rPr>
          <w:szCs w:val="22"/>
        </w:rPr>
        <w:t>e</w:t>
      </w:r>
      <w:r w:rsidR="006B20DC">
        <w:rPr>
          <w:szCs w:val="22"/>
        </w:rPr>
        <w:t xml:space="preserve"> purpose</w:t>
      </w:r>
      <w:r w:rsidRPr="00C66C33" w:rsidR="00133325">
        <w:rPr>
          <w:szCs w:val="22"/>
        </w:rPr>
        <w:t>.</w:t>
      </w:r>
      <w:r>
        <w:rPr>
          <w:rStyle w:val="FootnoteReference"/>
          <w:sz w:val="22"/>
          <w:szCs w:val="22"/>
        </w:rPr>
        <w:footnoteReference w:id="22"/>
      </w:r>
      <w:r w:rsidRPr="00C66C33" w:rsidR="00133325">
        <w:rPr>
          <w:szCs w:val="22"/>
        </w:rPr>
        <w:t xml:space="preserve">  Complainants submit that Verizon </w:t>
      </w:r>
      <w:r w:rsidR="00110291">
        <w:rPr>
          <w:szCs w:val="22"/>
        </w:rPr>
        <w:t>PA’s</w:t>
      </w:r>
      <w:r w:rsidRPr="00C66C33" w:rsidR="00133325">
        <w:rPr>
          <w:szCs w:val="22"/>
        </w:rPr>
        <w:t xml:space="preserve"> parent is “a multinational telecommunications conglomerate” with an “operations-based divisional organizational structure</w:t>
      </w:r>
      <w:r w:rsidR="0026050E">
        <w:rPr>
          <w:szCs w:val="22"/>
        </w:rPr>
        <w:t>;</w:t>
      </w:r>
      <w:r w:rsidRPr="00C66C33" w:rsidR="00133325">
        <w:rPr>
          <w:szCs w:val="22"/>
        </w:rPr>
        <w:t>”</w:t>
      </w:r>
      <w:r>
        <w:rPr>
          <w:rStyle w:val="FootnoteReference"/>
          <w:szCs w:val="22"/>
        </w:rPr>
        <w:footnoteReference w:id="23"/>
      </w:r>
      <w:r w:rsidRPr="00C66C33" w:rsidR="00133325">
        <w:rPr>
          <w:szCs w:val="22"/>
        </w:rPr>
        <w:t xml:space="preserve"> </w:t>
      </w:r>
      <w:r w:rsidR="004F4E67">
        <w:rPr>
          <w:szCs w:val="22"/>
        </w:rPr>
        <w:t xml:space="preserve">that the </w:t>
      </w:r>
      <w:r w:rsidRPr="00C66C33" w:rsidR="00133325">
        <w:rPr>
          <w:szCs w:val="22"/>
        </w:rPr>
        <w:t xml:space="preserve">services </w:t>
      </w:r>
      <w:r w:rsidR="006B20DC">
        <w:rPr>
          <w:szCs w:val="22"/>
        </w:rPr>
        <w:t xml:space="preserve">at issue in the Complaint </w:t>
      </w:r>
      <w:r w:rsidRPr="00C66C33" w:rsidR="00133325">
        <w:rPr>
          <w:szCs w:val="22"/>
        </w:rPr>
        <w:t xml:space="preserve">are </w:t>
      </w:r>
      <w:r w:rsidR="00E664EF">
        <w:rPr>
          <w:szCs w:val="22"/>
        </w:rPr>
        <w:t>b</w:t>
      </w:r>
      <w:r w:rsidRPr="00C66C33" w:rsidR="00133325">
        <w:rPr>
          <w:szCs w:val="22"/>
        </w:rPr>
        <w:t>undled</w:t>
      </w:r>
      <w:r w:rsidR="00920D67">
        <w:rPr>
          <w:szCs w:val="22"/>
        </w:rPr>
        <w:t>;</w:t>
      </w:r>
      <w:r w:rsidRPr="00C66C33" w:rsidR="00133325">
        <w:rPr>
          <w:szCs w:val="22"/>
        </w:rPr>
        <w:t xml:space="preserve"> that Complainants’ bills are headed “Verizon</w:t>
      </w:r>
      <w:r w:rsidR="00B248BA">
        <w:rPr>
          <w:szCs w:val="22"/>
        </w:rPr>
        <w:t>;</w:t>
      </w:r>
      <w:r w:rsidRPr="00C66C33" w:rsidR="00133325">
        <w:rPr>
          <w:szCs w:val="22"/>
        </w:rPr>
        <w:t xml:space="preserve">” and </w:t>
      </w:r>
      <w:r w:rsidR="00B248BA">
        <w:rPr>
          <w:szCs w:val="22"/>
        </w:rPr>
        <w:t xml:space="preserve">that these bills </w:t>
      </w:r>
      <w:r w:rsidRPr="00C66C33" w:rsidR="00133325">
        <w:rPr>
          <w:szCs w:val="22"/>
        </w:rPr>
        <w:t>state that “Verizon offers…high-speed internet…and local and long distance services.”</w:t>
      </w:r>
      <w:r>
        <w:rPr>
          <w:rStyle w:val="FootnoteReference"/>
          <w:sz w:val="22"/>
          <w:szCs w:val="22"/>
        </w:rPr>
        <w:footnoteReference w:id="24"/>
      </w:r>
      <w:r w:rsidRPr="00C66C33" w:rsidR="00133325">
        <w:rPr>
          <w:szCs w:val="22"/>
        </w:rPr>
        <w:t xml:space="preserve">  We are unpersuaded.  Complainants’ evidence regarding Verizon</w:t>
      </w:r>
      <w:r w:rsidR="00110291">
        <w:rPr>
          <w:szCs w:val="22"/>
        </w:rPr>
        <w:t xml:space="preserve"> PA</w:t>
      </w:r>
      <w:r w:rsidRPr="00C66C33" w:rsidR="00133325">
        <w:rPr>
          <w:szCs w:val="22"/>
        </w:rPr>
        <w:t xml:space="preserve">’s parent </w:t>
      </w:r>
      <w:r w:rsidR="007C4536">
        <w:rPr>
          <w:szCs w:val="22"/>
        </w:rPr>
        <w:t xml:space="preserve">says little, if anything, </w:t>
      </w:r>
      <w:r w:rsidRPr="00C66C33" w:rsidR="00133325">
        <w:rPr>
          <w:szCs w:val="22"/>
        </w:rPr>
        <w:t xml:space="preserve">about the degree or nature of control exercised </w:t>
      </w:r>
      <w:r w:rsidR="006B20DC">
        <w:rPr>
          <w:szCs w:val="22"/>
        </w:rPr>
        <w:t xml:space="preserve">by that entity </w:t>
      </w:r>
      <w:r w:rsidR="005D4F95">
        <w:rPr>
          <w:szCs w:val="22"/>
        </w:rPr>
        <w:t xml:space="preserve">over </w:t>
      </w:r>
      <w:r w:rsidR="00D30152">
        <w:rPr>
          <w:szCs w:val="22"/>
        </w:rPr>
        <w:t>its subsidiaries</w:t>
      </w:r>
      <w:r w:rsidRPr="00C66C33" w:rsidR="00133325">
        <w:rPr>
          <w:szCs w:val="22"/>
        </w:rPr>
        <w:t>.</w:t>
      </w:r>
      <w:r>
        <w:rPr>
          <w:rStyle w:val="FootnoteReference"/>
          <w:sz w:val="22"/>
          <w:szCs w:val="22"/>
        </w:rPr>
        <w:footnoteReference w:id="25"/>
      </w:r>
      <w:r w:rsidRPr="00C66C33" w:rsidR="00133325">
        <w:rPr>
          <w:szCs w:val="22"/>
        </w:rPr>
        <w:t xml:space="preserve">  </w:t>
      </w:r>
      <w:r w:rsidR="000054A1">
        <w:rPr>
          <w:szCs w:val="22"/>
        </w:rPr>
        <w:t>In addition</w:t>
      </w:r>
      <w:r w:rsidRPr="00C66C33" w:rsidR="00133325">
        <w:rPr>
          <w:szCs w:val="22"/>
        </w:rPr>
        <w:t xml:space="preserve">, </w:t>
      </w:r>
      <w:r w:rsidR="00110291">
        <w:rPr>
          <w:szCs w:val="22"/>
        </w:rPr>
        <w:t>although</w:t>
      </w:r>
      <w:r w:rsidRPr="00C66C33" w:rsidR="00133325">
        <w:rPr>
          <w:szCs w:val="22"/>
        </w:rPr>
        <w:t xml:space="preserve"> Complainants</w:t>
      </w:r>
      <w:r w:rsidR="00B248BA">
        <w:rPr>
          <w:szCs w:val="22"/>
        </w:rPr>
        <w:t>’ services are</w:t>
      </w:r>
      <w:r w:rsidR="009C7BEF">
        <w:rPr>
          <w:szCs w:val="22"/>
        </w:rPr>
        <w:t xml:space="preserve"> </w:t>
      </w:r>
      <w:r w:rsidRPr="00C66C33" w:rsidR="00133325">
        <w:rPr>
          <w:szCs w:val="22"/>
        </w:rPr>
        <w:t xml:space="preserve">bundled, </w:t>
      </w:r>
      <w:r w:rsidR="00B248BA">
        <w:rPr>
          <w:szCs w:val="22"/>
        </w:rPr>
        <w:t>Complainants</w:t>
      </w:r>
      <w:r w:rsidRPr="00C66C33" w:rsidR="00133325">
        <w:rPr>
          <w:szCs w:val="22"/>
        </w:rPr>
        <w:t xml:space="preserve"> do not show that their service providers (Verizon </w:t>
      </w:r>
      <w:r w:rsidR="00110291">
        <w:rPr>
          <w:szCs w:val="22"/>
        </w:rPr>
        <w:t>PA</w:t>
      </w:r>
      <w:r w:rsidRPr="00C66C33" w:rsidR="00133325">
        <w:rPr>
          <w:szCs w:val="22"/>
        </w:rPr>
        <w:t>, Verizon Long Distance, and Verizon Online) acted on behalf of one another in providing those services.</w:t>
      </w:r>
      <w:r>
        <w:rPr>
          <w:rStyle w:val="FootnoteReference"/>
          <w:sz w:val="22"/>
          <w:szCs w:val="22"/>
        </w:rPr>
        <w:footnoteReference w:id="26"/>
      </w:r>
      <w:r w:rsidRPr="00C66C33" w:rsidR="00133325">
        <w:rPr>
          <w:szCs w:val="22"/>
        </w:rPr>
        <w:t xml:space="preserve">  </w:t>
      </w:r>
      <w:r w:rsidRPr="00C66C33" w:rsidR="00133325">
        <w:rPr>
          <w:szCs w:val="22"/>
        </w:rPr>
        <w:t>Moreover, Complainants’ bills identify each service provider by name and service provided</w:t>
      </w:r>
      <w:r>
        <w:rPr>
          <w:rStyle w:val="FootnoteReference"/>
          <w:sz w:val="22"/>
          <w:szCs w:val="22"/>
        </w:rPr>
        <w:footnoteReference w:id="27"/>
      </w:r>
      <w:r w:rsidRPr="00C66C33" w:rsidR="00133325">
        <w:rPr>
          <w:szCs w:val="22"/>
        </w:rPr>
        <w:t xml:space="preserve"> and </w:t>
      </w:r>
      <w:r w:rsidR="00A70950">
        <w:rPr>
          <w:szCs w:val="22"/>
        </w:rPr>
        <w:t xml:space="preserve">also </w:t>
      </w:r>
      <w:r w:rsidR="00B248BA">
        <w:rPr>
          <w:szCs w:val="22"/>
        </w:rPr>
        <w:t xml:space="preserve">separate </w:t>
      </w:r>
      <w:r w:rsidRPr="00C66C33" w:rsidR="00133325">
        <w:rPr>
          <w:szCs w:val="22"/>
        </w:rPr>
        <w:t>local calling charges from other charges.</w:t>
      </w:r>
      <w:r>
        <w:rPr>
          <w:rStyle w:val="FootnoteReference"/>
          <w:sz w:val="22"/>
          <w:szCs w:val="22"/>
        </w:rPr>
        <w:footnoteReference w:id="28"/>
      </w:r>
      <w:r w:rsidRPr="00C66C33" w:rsidR="00133325">
        <w:rPr>
          <w:szCs w:val="22"/>
        </w:rPr>
        <w:t xml:space="preserve"> </w:t>
      </w:r>
      <w:r w:rsidR="00C914C1">
        <w:rPr>
          <w:szCs w:val="22"/>
        </w:rPr>
        <w:t xml:space="preserve"> </w:t>
      </w:r>
      <w:bookmarkEnd w:id="4"/>
    </w:p>
    <w:p w:rsidR="00E139E5" w:rsidRPr="00756300" w:rsidP="00282190" w14:paraId="79540A9A" w14:textId="0BECEC62">
      <w:pPr>
        <w:pStyle w:val="ParaNum"/>
        <w:widowControl/>
        <w:tabs>
          <w:tab w:val="clear" w:pos="1080"/>
        </w:tabs>
        <w:rPr>
          <w:szCs w:val="22"/>
        </w:rPr>
      </w:pPr>
      <w:bookmarkStart w:id="6" w:name="_Hlk110503939"/>
      <w:bookmarkStart w:id="7" w:name="_Hlk110512789"/>
      <w:r>
        <w:rPr>
          <w:szCs w:val="22"/>
        </w:rPr>
        <w:t xml:space="preserve">For similar reasons, </w:t>
      </w:r>
      <w:r w:rsidR="00C02E0A">
        <w:rPr>
          <w:szCs w:val="22"/>
        </w:rPr>
        <w:t>C</w:t>
      </w:r>
      <w:r w:rsidRPr="00756300" w:rsidR="00756300">
        <w:rPr>
          <w:szCs w:val="22"/>
        </w:rPr>
        <w:t>omplainants</w:t>
      </w:r>
      <w:r w:rsidR="004058C5">
        <w:rPr>
          <w:szCs w:val="22"/>
        </w:rPr>
        <w:t>’ remaining</w:t>
      </w:r>
      <w:r w:rsidR="002E5A00">
        <w:rPr>
          <w:szCs w:val="22"/>
        </w:rPr>
        <w:t xml:space="preserve"> </w:t>
      </w:r>
      <w:r w:rsidR="004058C5">
        <w:rPr>
          <w:szCs w:val="22"/>
        </w:rPr>
        <w:t xml:space="preserve">arguments </w:t>
      </w:r>
      <w:r w:rsidR="002E5A00">
        <w:rPr>
          <w:szCs w:val="22"/>
        </w:rPr>
        <w:t xml:space="preserve">also </w:t>
      </w:r>
      <w:r w:rsidR="004058C5">
        <w:rPr>
          <w:szCs w:val="22"/>
        </w:rPr>
        <w:t>fail</w:t>
      </w:r>
      <w:r w:rsidR="00F90BCC">
        <w:rPr>
          <w:szCs w:val="22"/>
        </w:rPr>
        <w:t xml:space="preserve">.  </w:t>
      </w:r>
      <w:bookmarkStart w:id="8" w:name="_Hlk110505011"/>
      <w:r w:rsidR="00C435CC">
        <w:rPr>
          <w:snapToGrid/>
          <w:szCs w:val="22"/>
        </w:rPr>
        <w:t>They</w:t>
      </w:r>
      <w:r w:rsidR="007F3063">
        <w:rPr>
          <w:szCs w:val="22"/>
        </w:rPr>
        <w:t xml:space="preserve"> </w:t>
      </w:r>
      <w:r w:rsidR="005565D6">
        <w:rPr>
          <w:szCs w:val="22"/>
        </w:rPr>
        <w:t>note that the Commission applie</w:t>
      </w:r>
      <w:r w:rsidR="000F40A3">
        <w:rPr>
          <w:szCs w:val="22"/>
        </w:rPr>
        <w:t>s</w:t>
      </w:r>
      <w:r w:rsidR="005565D6">
        <w:rPr>
          <w:szCs w:val="22"/>
        </w:rPr>
        <w:t xml:space="preserve"> the doctrine of </w:t>
      </w:r>
      <w:r w:rsidRPr="00C66C33" w:rsidR="007F3063">
        <w:rPr>
          <w:szCs w:val="22"/>
        </w:rPr>
        <w:t>pierc</w:t>
      </w:r>
      <w:r w:rsidR="005565D6">
        <w:rPr>
          <w:szCs w:val="22"/>
        </w:rPr>
        <w:t>ing</w:t>
      </w:r>
      <w:r w:rsidRPr="00C66C33" w:rsidR="007F3063">
        <w:rPr>
          <w:szCs w:val="22"/>
        </w:rPr>
        <w:t xml:space="preserve"> the corporate veil</w:t>
      </w:r>
      <w:r w:rsidR="00A638F8">
        <w:rPr>
          <w:szCs w:val="22"/>
        </w:rPr>
        <w:t xml:space="preserve">, but </w:t>
      </w:r>
      <w:r w:rsidR="0073413E">
        <w:rPr>
          <w:szCs w:val="22"/>
        </w:rPr>
        <w:t xml:space="preserve">do not explain </w:t>
      </w:r>
      <w:r w:rsidR="00A638F8">
        <w:rPr>
          <w:szCs w:val="22"/>
        </w:rPr>
        <w:t xml:space="preserve">how </w:t>
      </w:r>
      <w:r w:rsidR="000F40A3">
        <w:rPr>
          <w:szCs w:val="22"/>
        </w:rPr>
        <w:t xml:space="preserve">we </w:t>
      </w:r>
      <w:r w:rsidR="00044863">
        <w:rPr>
          <w:szCs w:val="22"/>
        </w:rPr>
        <w:t>could</w:t>
      </w:r>
      <w:r w:rsidR="000F40A3">
        <w:rPr>
          <w:szCs w:val="22"/>
        </w:rPr>
        <w:t xml:space="preserve"> apply </w:t>
      </w:r>
      <w:r w:rsidR="000E3647">
        <w:rPr>
          <w:szCs w:val="22"/>
        </w:rPr>
        <w:t>th</w:t>
      </w:r>
      <w:r w:rsidR="008C16DE">
        <w:rPr>
          <w:szCs w:val="22"/>
        </w:rPr>
        <w:t>at</w:t>
      </w:r>
      <w:r w:rsidR="000F40A3">
        <w:rPr>
          <w:szCs w:val="22"/>
        </w:rPr>
        <w:t xml:space="preserve"> doctrine</w:t>
      </w:r>
      <w:r w:rsidR="000E3647">
        <w:rPr>
          <w:szCs w:val="22"/>
        </w:rPr>
        <w:t xml:space="preserve"> to overcome </w:t>
      </w:r>
      <w:r w:rsidR="00A638F8">
        <w:rPr>
          <w:szCs w:val="22"/>
        </w:rPr>
        <w:t>Complainants’ failure to</w:t>
      </w:r>
      <w:r w:rsidR="00355254">
        <w:rPr>
          <w:szCs w:val="22"/>
        </w:rPr>
        <w:t xml:space="preserve"> name</w:t>
      </w:r>
      <w:r w:rsidR="00EB6584">
        <w:rPr>
          <w:szCs w:val="22"/>
        </w:rPr>
        <w:t xml:space="preserve"> </w:t>
      </w:r>
      <w:r w:rsidR="000E3647">
        <w:rPr>
          <w:szCs w:val="22"/>
        </w:rPr>
        <w:t>a common carrier</w:t>
      </w:r>
      <w:r w:rsidR="009E336E">
        <w:rPr>
          <w:szCs w:val="22"/>
        </w:rPr>
        <w:t>.</w:t>
      </w:r>
      <w:r>
        <w:rPr>
          <w:rStyle w:val="FootnoteReference"/>
          <w:szCs w:val="22"/>
        </w:rPr>
        <w:footnoteReference w:id="29"/>
      </w:r>
      <w:r w:rsidR="009E336E">
        <w:rPr>
          <w:szCs w:val="22"/>
        </w:rPr>
        <w:t xml:space="preserve">  I</w:t>
      </w:r>
      <w:r w:rsidR="000E3647">
        <w:rPr>
          <w:szCs w:val="22"/>
        </w:rPr>
        <w:t xml:space="preserve">n any event, </w:t>
      </w:r>
      <w:r w:rsidR="006C5ACA">
        <w:rPr>
          <w:szCs w:val="22"/>
        </w:rPr>
        <w:t>if we are</w:t>
      </w:r>
      <w:r w:rsidR="00506217">
        <w:rPr>
          <w:szCs w:val="22"/>
        </w:rPr>
        <w:t xml:space="preserve"> to pierce the corporate veil of Verizon PA</w:t>
      </w:r>
      <w:r w:rsidR="000E3647">
        <w:rPr>
          <w:szCs w:val="22"/>
        </w:rPr>
        <w:t xml:space="preserve">, </w:t>
      </w:r>
      <w:r w:rsidR="00506217">
        <w:rPr>
          <w:szCs w:val="22"/>
        </w:rPr>
        <w:t>Complainants</w:t>
      </w:r>
      <w:r w:rsidR="000E3647">
        <w:rPr>
          <w:szCs w:val="22"/>
        </w:rPr>
        <w:t xml:space="preserve"> must show, among other things, </w:t>
      </w:r>
      <w:r w:rsidRPr="00175587" w:rsidR="005565D6">
        <w:rPr>
          <w:szCs w:val="22"/>
        </w:rPr>
        <w:t xml:space="preserve">that </w:t>
      </w:r>
      <w:r w:rsidR="005565D6">
        <w:rPr>
          <w:szCs w:val="22"/>
        </w:rPr>
        <w:t xml:space="preserve">a parent or affiliate of </w:t>
      </w:r>
      <w:r w:rsidRPr="00175587" w:rsidR="005565D6">
        <w:rPr>
          <w:szCs w:val="22"/>
        </w:rPr>
        <w:t>Verizon PA</w:t>
      </w:r>
      <w:r w:rsidR="005565D6">
        <w:rPr>
          <w:szCs w:val="22"/>
        </w:rPr>
        <w:t xml:space="preserve"> controlled its</w:t>
      </w:r>
      <w:r w:rsidRPr="00175587" w:rsidR="005565D6">
        <w:rPr>
          <w:szCs w:val="22"/>
        </w:rPr>
        <w:t xml:space="preserve"> actions</w:t>
      </w:r>
      <w:r w:rsidR="005565D6">
        <w:rPr>
          <w:szCs w:val="22"/>
        </w:rPr>
        <w:t>.</w:t>
      </w:r>
      <w:r>
        <w:rPr>
          <w:rStyle w:val="FootnoteReference"/>
          <w:szCs w:val="22"/>
        </w:rPr>
        <w:footnoteReference w:id="30"/>
      </w:r>
      <w:r w:rsidR="005565D6">
        <w:rPr>
          <w:szCs w:val="22"/>
        </w:rPr>
        <w:t xml:space="preserve">  </w:t>
      </w:r>
      <w:r w:rsidR="006C5ACA">
        <w:rPr>
          <w:szCs w:val="22"/>
        </w:rPr>
        <w:t>Complainants have not proffered evidence even suggesting such control by Verizon PA’s parent.</w:t>
      </w:r>
      <w:r>
        <w:rPr>
          <w:rStyle w:val="FootnoteReference"/>
          <w:szCs w:val="22"/>
        </w:rPr>
        <w:footnoteReference w:id="31"/>
      </w:r>
      <w:r w:rsidR="005565D6">
        <w:rPr>
          <w:szCs w:val="22"/>
        </w:rPr>
        <w:t xml:space="preserve"> </w:t>
      </w:r>
      <w:bookmarkEnd w:id="6"/>
      <w:bookmarkEnd w:id="8"/>
      <w:r w:rsidR="006C5ACA">
        <w:rPr>
          <w:szCs w:val="22"/>
        </w:rPr>
        <w:t xml:space="preserve"> </w:t>
      </w:r>
      <w:r w:rsidR="00B70C25">
        <w:rPr>
          <w:szCs w:val="22"/>
        </w:rPr>
        <w:t>C</w:t>
      </w:r>
      <w:r w:rsidR="00506217">
        <w:t xml:space="preserve">omplainants </w:t>
      </w:r>
      <w:r w:rsidR="006E1ABA">
        <w:t xml:space="preserve">also </w:t>
      </w:r>
      <w:r w:rsidR="00506217">
        <w:t>cite section 217 of the Act (entitled “Agents’ acts and omissions; liability of carrier”).</w:t>
      </w:r>
      <w:r>
        <w:rPr>
          <w:rStyle w:val="FootnoteReference"/>
        </w:rPr>
        <w:footnoteReference w:id="32"/>
      </w:r>
      <w:r w:rsidR="00506217">
        <w:t xml:space="preserve">  Again, however, they do not explain </w:t>
      </w:r>
      <w:r w:rsidR="008C16DE">
        <w:t xml:space="preserve">their reasoning, so we do not know </w:t>
      </w:r>
      <w:r w:rsidR="00EB6584">
        <w:t xml:space="preserve">why Complainants believe </w:t>
      </w:r>
      <w:r w:rsidR="00506217">
        <w:t xml:space="preserve">this provision </w:t>
      </w:r>
      <w:r w:rsidR="005C60A9">
        <w:t>is relevant</w:t>
      </w:r>
      <w:r w:rsidR="00506217">
        <w:t xml:space="preserve">.  Further, Complainant’s mere </w:t>
      </w:r>
      <w:r w:rsidRPr="00E82959" w:rsidR="00506217">
        <w:rPr>
          <w:i/>
          <w:iCs/>
        </w:rPr>
        <w:t>citation</w:t>
      </w:r>
      <w:r w:rsidR="00506217">
        <w:t xml:space="preserve"> of </w:t>
      </w:r>
      <w:r w:rsidR="00B83975">
        <w:t>s</w:t>
      </w:r>
      <w:r w:rsidR="00506217">
        <w:t xml:space="preserve">ection 217 is not tantamount to </w:t>
      </w:r>
      <w:r w:rsidRPr="00D1365B" w:rsidR="00506217">
        <w:rPr>
          <w:i/>
          <w:iCs/>
        </w:rPr>
        <w:t>evidence</w:t>
      </w:r>
      <w:r w:rsidR="00506217">
        <w:t xml:space="preserve"> that Verizon PA </w:t>
      </w:r>
      <w:r w:rsidR="003E17D1">
        <w:t>was an agent</w:t>
      </w:r>
      <w:r w:rsidR="00506217">
        <w:t xml:space="preserve"> of a common carrier.  </w:t>
      </w:r>
      <w:r w:rsidR="00F549A8">
        <w:t xml:space="preserve">Next, </w:t>
      </w:r>
      <w:r w:rsidR="00506217">
        <w:rPr>
          <w:szCs w:val="22"/>
        </w:rPr>
        <w:t xml:space="preserve">Complainants </w:t>
      </w:r>
      <w:r w:rsidR="00506217">
        <w:t>turn to the statement in</w:t>
      </w:r>
      <w:r w:rsidRPr="00756300" w:rsidR="00506217">
        <w:rPr>
          <w:szCs w:val="22"/>
        </w:rPr>
        <w:t xml:space="preserve"> </w:t>
      </w:r>
      <w:r w:rsidR="00B83975">
        <w:rPr>
          <w:szCs w:val="22"/>
        </w:rPr>
        <w:t>s</w:t>
      </w:r>
      <w:r w:rsidRPr="00756300" w:rsidR="00506217">
        <w:rPr>
          <w:szCs w:val="22"/>
        </w:rPr>
        <w:t>ection 208 that “</w:t>
      </w:r>
      <w:r w:rsidR="00B83975">
        <w:rPr>
          <w:szCs w:val="22"/>
        </w:rPr>
        <w:t>[</w:t>
      </w:r>
      <w:r w:rsidR="00B83975">
        <w:rPr>
          <w:szCs w:val="22"/>
        </w:rPr>
        <w:t>i</w:t>
      </w:r>
      <w:r w:rsidR="00B83975">
        <w:rPr>
          <w:szCs w:val="22"/>
        </w:rPr>
        <w:t>]</w:t>
      </w:r>
      <w:r w:rsidRPr="00756300" w:rsidR="00506217">
        <w:rPr>
          <w:szCs w:val="22"/>
        </w:rPr>
        <w:t>f</w:t>
      </w:r>
      <w:r w:rsidR="00506217">
        <w:rPr>
          <w:szCs w:val="22"/>
        </w:rPr>
        <w:t>…</w:t>
      </w:r>
      <w:r w:rsidRPr="00756300" w:rsidR="00506217">
        <w:rPr>
          <w:szCs w:val="22"/>
        </w:rPr>
        <w:t xml:space="preserve">there shall appear to be any reasonable ground for investigating </w:t>
      </w:r>
      <w:r w:rsidRPr="004255E2" w:rsidR="00506217">
        <w:rPr>
          <w:i/>
          <w:iCs/>
          <w:szCs w:val="22"/>
        </w:rPr>
        <w:t>said complaint</w:t>
      </w:r>
      <w:r w:rsidRPr="00756300" w:rsidR="00506217">
        <w:rPr>
          <w:szCs w:val="22"/>
        </w:rPr>
        <w:t xml:space="preserve">, it shall be duty of the Commission to </w:t>
      </w:r>
      <w:r w:rsidR="00506217">
        <w:rPr>
          <w:szCs w:val="22"/>
        </w:rPr>
        <w:t>[do so]....</w:t>
      </w:r>
      <w:r w:rsidRPr="00756300" w:rsidR="00506217">
        <w:rPr>
          <w:szCs w:val="22"/>
        </w:rPr>
        <w:t>”</w:t>
      </w:r>
      <w:r>
        <w:rPr>
          <w:rStyle w:val="FootnoteReference"/>
          <w:sz w:val="22"/>
          <w:szCs w:val="22"/>
        </w:rPr>
        <w:footnoteReference w:id="33"/>
      </w:r>
      <w:r w:rsidR="00506217">
        <w:rPr>
          <w:szCs w:val="22"/>
        </w:rPr>
        <w:t xml:space="preserve">  But </w:t>
      </w:r>
      <w:r w:rsidR="00B83975">
        <w:rPr>
          <w:szCs w:val="22"/>
        </w:rPr>
        <w:t>s</w:t>
      </w:r>
      <w:r w:rsidR="00F549A8">
        <w:rPr>
          <w:szCs w:val="22"/>
        </w:rPr>
        <w:t xml:space="preserve">ection 208 is clear that </w:t>
      </w:r>
      <w:r w:rsidRPr="00756300" w:rsidR="00506217">
        <w:rPr>
          <w:szCs w:val="22"/>
        </w:rPr>
        <w:t xml:space="preserve">“said complaint” means </w:t>
      </w:r>
      <w:r w:rsidR="00506217">
        <w:rPr>
          <w:szCs w:val="22"/>
        </w:rPr>
        <w:t xml:space="preserve">a complaint </w:t>
      </w:r>
      <w:r w:rsidRPr="00756300" w:rsidR="00506217">
        <w:rPr>
          <w:szCs w:val="22"/>
        </w:rPr>
        <w:t>“complaining of anything done or omitted to be done by any common carrier</w:t>
      </w:r>
      <w:r w:rsidR="00506217">
        <w:rPr>
          <w:szCs w:val="22"/>
        </w:rPr>
        <w:t>.</w:t>
      </w:r>
      <w:r w:rsidRPr="00756300" w:rsidR="00506217">
        <w:rPr>
          <w:szCs w:val="22"/>
        </w:rPr>
        <w:t>”</w:t>
      </w:r>
      <w:r>
        <w:rPr>
          <w:rStyle w:val="FootnoteReference"/>
          <w:szCs w:val="22"/>
        </w:rPr>
        <w:footnoteReference w:id="34"/>
      </w:r>
      <w:r w:rsidR="00506217">
        <w:rPr>
          <w:szCs w:val="22"/>
        </w:rPr>
        <w:t xml:space="preserve">  </w:t>
      </w:r>
      <w:r w:rsidR="00C914C1">
        <w:rPr>
          <w:szCs w:val="22"/>
        </w:rPr>
        <w:t xml:space="preserve">Because </w:t>
      </w:r>
      <w:r w:rsidRPr="00756300" w:rsidR="00756300">
        <w:rPr>
          <w:szCs w:val="22"/>
        </w:rPr>
        <w:t xml:space="preserve">Verizon </w:t>
      </w:r>
      <w:r w:rsidR="00CD2DA5">
        <w:rPr>
          <w:szCs w:val="22"/>
        </w:rPr>
        <w:t>PA</w:t>
      </w:r>
      <w:r w:rsidRPr="00756300" w:rsidR="00756300">
        <w:rPr>
          <w:szCs w:val="22"/>
        </w:rPr>
        <w:t xml:space="preserve"> is not a </w:t>
      </w:r>
      <w:r w:rsidR="00EB76A8">
        <w:rPr>
          <w:szCs w:val="22"/>
        </w:rPr>
        <w:t>“</w:t>
      </w:r>
      <w:r w:rsidRPr="00756300" w:rsidR="00756300">
        <w:rPr>
          <w:szCs w:val="22"/>
        </w:rPr>
        <w:t>common carrier</w:t>
      </w:r>
      <w:r w:rsidR="00601E4F">
        <w:rPr>
          <w:szCs w:val="22"/>
        </w:rPr>
        <w:t>,</w:t>
      </w:r>
      <w:r w:rsidR="00EB76A8">
        <w:rPr>
          <w:szCs w:val="22"/>
        </w:rPr>
        <w:t>”</w:t>
      </w:r>
      <w:r w:rsidR="00C914C1">
        <w:rPr>
          <w:szCs w:val="22"/>
        </w:rPr>
        <w:t xml:space="preserve"> the Complaint </w:t>
      </w:r>
      <w:r w:rsidR="00CD2DA5">
        <w:rPr>
          <w:szCs w:val="22"/>
        </w:rPr>
        <w:t>does not trigger a duty to investigate.</w:t>
      </w:r>
      <w:r w:rsidRPr="00756300" w:rsidR="00756300">
        <w:rPr>
          <w:szCs w:val="22"/>
        </w:rPr>
        <w:t xml:space="preserve">  Complainants </w:t>
      </w:r>
      <w:r w:rsidR="009E74A5">
        <w:rPr>
          <w:szCs w:val="22"/>
        </w:rPr>
        <w:t xml:space="preserve">contend </w:t>
      </w:r>
      <w:r w:rsidRPr="00756300" w:rsidR="00756300">
        <w:rPr>
          <w:szCs w:val="22"/>
        </w:rPr>
        <w:t xml:space="preserve">that </w:t>
      </w:r>
      <w:r w:rsidR="00456FF7">
        <w:rPr>
          <w:szCs w:val="22"/>
        </w:rPr>
        <w:t>we</w:t>
      </w:r>
      <w:r w:rsidRPr="00756300" w:rsidR="00756300">
        <w:rPr>
          <w:szCs w:val="22"/>
        </w:rPr>
        <w:t xml:space="preserve"> </w:t>
      </w:r>
      <w:r w:rsidR="003E17D1">
        <w:rPr>
          <w:szCs w:val="22"/>
        </w:rPr>
        <w:t xml:space="preserve">may </w:t>
      </w:r>
      <w:r w:rsidRPr="00756300" w:rsidR="00756300">
        <w:rPr>
          <w:szCs w:val="22"/>
        </w:rPr>
        <w:t>exercise</w:t>
      </w:r>
      <w:r w:rsidR="00C62992">
        <w:rPr>
          <w:szCs w:val="22"/>
        </w:rPr>
        <w:t xml:space="preserve"> </w:t>
      </w:r>
      <w:r w:rsidR="008947E2">
        <w:rPr>
          <w:szCs w:val="22"/>
        </w:rPr>
        <w:t xml:space="preserve">ancillary </w:t>
      </w:r>
      <w:r w:rsidRPr="00756300" w:rsidR="00756300">
        <w:rPr>
          <w:szCs w:val="22"/>
        </w:rPr>
        <w:t xml:space="preserve">jurisdiction over </w:t>
      </w:r>
      <w:r w:rsidR="00C13F1D">
        <w:rPr>
          <w:szCs w:val="22"/>
        </w:rPr>
        <w:t xml:space="preserve">their allegations regarding </w:t>
      </w:r>
      <w:r w:rsidRPr="00756300" w:rsidR="00756300">
        <w:rPr>
          <w:szCs w:val="22"/>
        </w:rPr>
        <w:t>Tech</w:t>
      </w:r>
      <w:r w:rsidR="009A1FDF">
        <w:rPr>
          <w:szCs w:val="22"/>
        </w:rPr>
        <w:t>S</w:t>
      </w:r>
      <w:r w:rsidRPr="00756300" w:rsidR="00756300">
        <w:rPr>
          <w:szCs w:val="22"/>
        </w:rPr>
        <w:t>ure</w:t>
      </w:r>
      <w:r w:rsidRPr="00756300" w:rsidR="00756300">
        <w:rPr>
          <w:szCs w:val="22"/>
        </w:rPr>
        <w:t xml:space="preserve"> service.</w:t>
      </w:r>
      <w:r>
        <w:rPr>
          <w:rStyle w:val="FootnoteReference"/>
          <w:szCs w:val="22"/>
        </w:rPr>
        <w:footnoteReference w:id="35"/>
      </w:r>
      <w:r w:rsidR="00C62992">
        <w:rPr>
          <w:szCs w:val="22"/>
        </w:rPr>
        <w:t xml:space="preserve">  </w:t>
      </w:r>
      <w:r w:rsidR="00B83A2C">
        <w:rPr>
          <w:szCs w:val="22"/>
        </w:rPr>
        <w:t>We disagree.</w:t>
      </w:r>
      <w:r w:rsidR="00874851">
        <w:rPr>
          <w:szCs w:val="22"/>
        </w:rPr>
        <w:t xml:space="preserve"> </w:t>
      </w:r>
      <w:r w:rsidR="00B83A2C">
        <w:rPr>
          <w:szCs w:val="22"/>
        </w:rPr>
        <w:t xml:space="preserve"> </w:t>
      </w:r>
      <w:r w:rsidR="00243E0D">
        <w:rPr>
          <w:szCs w:val="22"/>
        </w:rPr>
        <w:t>T</w:t>
      </w:r>
      <w:r w:rsidR="00E038A2">
        <w:rPr>
          <w:szCs w:val="22"/>
        </w:rPr>
        <w:t>he</w:t>
      </w:r>
      <w:r w:rsidR="007A35EE">
        <w:rPr>
          <w:szCs w:val="22"/>
        </w:rPr>
        <w:t xml:space="preserve"> Complaint does not meet the requirements of </w:t>
      </w:r>
      <w:r w:rsidR="00B83975">
        <w:rPr>
          <w:szCs w:val="22"/>
        </w:rPr>
        <w:t>s</w:t>
      </w:r>
      <w:r w:rsidR="007A35EE">
        <w:rPr>
          <w:szCs w:val="22"/>
        </w:rPr>
        <w:t>ection 208</w:t>
      </w:r>
      <w:r w:rsidR="00243E0D">
        <w:rPr>
          <w:szCs w:val="22"/>
        </w:rPr>
        <w:t>.  Therefore</w:t>
      </w:r>
      <w:r w:rsidR="00925F90">
        <w:rPr>
          <w:szCs w:val="22"/>
        </w:rPr>
        <w:t xml:space="preserve">, </w:t>
      </w:r>
      <w:r w:rsidR="00C507C0">
        <w:rPr>
          <w:szCs w:val="22"/>
        </w:rPr>
        <w:t>we</w:t>
      </w:r>
      <w:r w:rsidR="007A35EE">
        <w:rPr>
          <w:szCs w:val="22"/>
        </w:rPr>
        <w:t xml:space="preserve"> </w:t>
      </w:r>
      <w:r w:rsidR="00456FF7">
        <w:rPr>
          <w:szCs w:val="22"/>
        </w:rPr>
        <w:t>ha</w:t>
      </w:r>
      <w:r w:rsidR="00C507C0">
        <w:rPr>
          <w:szCs w:val="22"/>
        </w:rPr>
        <w:t xml:space="preserve">ve </w:t>
      </w:r>
      <w:r w:rsidRPr="00756300" w:rsidR="00756300">
        <w:rPr>
          <w:szCs w:val="22"/>
        </w:rPr>
        <w:t>no “</w:t>
      </w:r>
      <w:r w:rsidR="00C57248">
        <w:rPr>
          <w:szCs w:val="22"/>
        </w:rPr>
        <w:t>statutorily mandated responsibilities</w:t>
      </w:r>
      <w:r w:rsidR="008947E2">
        <w:rPr>
          <w:szCs w:val="22"/>
        </w:rPr>
        <w:t>”</w:t>
      </w:r>
      <w:r w:rsidRPr="00756300" w:rsidR="00756300">
        <w:rPr>
          <w:szCs w:val="22"/>
        </w:rPr>
        <w:t xml:space="preserve"> with respect to </w:t>
      </w:r>
      <w:r w:rsidR="00B83A2C">
        <w:rPr>
          <w:szCs w:val="22"/>
        </w:rPr>
        <w:t>its</w:t>
      </w:r>
      <w:r w:rsidR="00942D41">
        <w:rPr>
          <w:szCs w:val="22"/>
        </w:rPr>
        <w:t xml:space="preserve"> </w:t>
      </w:r>
      <w:r w:rsidR="008C3352">
        <w:rPr>
          <w:szCs w:val="22"/>
        </w:rPr>
        <w:t>allegations</w:t>
      </w:r>
      <w:r w:rsidR="00942D41">
        <w:rPr>
          <w:szCs w:val="22"/>
        </w:rPr>
        <w:t xml:space="preserve"> </w:t>
      </w:r>
      <w:r w:rsidR="00B42561">
        <w:rPr>
          <w:szCs w:val="22"/>
        </w:rPr>
        <w:t xml:space="preserve">and </w:t>
      </w:r>
      <w:r w:rsidR="0078349B">
        <w:rPr>
          <w:szCs w:val="22"/>
        </w:rPr>
        <w:t xml:space="preserve">do not have </w:t>
      </w:r>
      <w:r w:rsidR="00B42561">
        <w:rPr>
          <w:szCs w:val="22"/>
        </w:rPr>
        <w:t>ancillary jurisdiction</w:t>
      </w:r>
      <w:r w:rsidR="00C507C0">
        <w:rPr>
          <w:szCs w:val="22"/>
        </w:rPr>
        <w:t xml:space="preserve"> over th</w:t>
      </w:r>
      <w:r w:rsidR="00C13F1D">
        <w:rPr>
          <w:szCs w:val="22"/>
        </w:rPr>
        <w:t>em</w:t>
      </w:r>
      <w:r w:rsidRPr="00756300" w:rsidR="00756300">
        <w:rPr>
          <w:szCs w:val="22"/>
        </w:rPr>
        <w:t>.</w:t>
      </w:r>
      <w:r>
        <w:rPr>
          <w:rStyle w:val="FootnoteReference"/>
          <w:sz w:val="22"/>
          <w:szCs w:val="22"/>
        </w:rPr>
        <w:footnoteReference w:id="36"/>
      </w:r>
      <w:r w:rsidRPr="00756300" w:rsidR="00756300">
        <w:rPr>
          <w:szCs w:val="22"/>
        </w:rPr>
        <w:t xml:space="preserve">  Finally, the fact that </w:t>
      </w:r>
      <w:r w:rsidR="00B83975">
        <w:rPr>
          <w:szCs w:val="22"/>
        </w:rPr>
        <w:t>s</w:t>
      </w:r>
      <w:r w:rsidRPr="00756300" w:rsidR="00756300">
        <w:rPr>
          <w:szCs w:val="22"/>
        </w:rPr>
        <w:t xml:space="preserve">ection 3 </w:t>
      </w:r>
      <w:r w:rsidR="003E17D1">
        <w:rPr>
          <w:szCs w:val="22"/>
        </w:rPr>
        <w:t xml:space="preserve">of the Act </w:t>
      </w:r>
      <w:r w:rsidRPr="00756300" w:rsidR="00756300">
        <w:rPr>
          <w:szCs w:val="22"/>
        </w:rPr>
        <w:t>defines Verizon</w:t>
      </w:r>
      <w:r w:rsidR="00243E0D">
        <w:rPr>
          <w:szCs w:val="22"/>
        </w:rPr>
        <w:t xml:space="preserve"> PA</w:t>
      </w:r>
      <w:r w:rsidRPr="00756300" w:rsidR="00756300">
        <w:rPr>
          <w:szCs w:val="22"/>
        </w:rPr>
        <w:t xml:space="preserve"> as a “Bell Operating Company” </w:t>
      </w:r>
      <w:r w:rsidR="009E336E">
        <w:rPr>
          <w:szCs w:val="22"/>
        </w:rPr>
        <w:t xml:space="preserve">does not </w:t>
      </w:r>
      <w:r w:rsidR="009E336E">
        <w:t xml:space="preserve">speak to whether Complainants may bring </w:t>
      </w:r>
      <w:r w:rsidRPr="00975F81" w:rsidR="009E336E">
        <w:t xml:space="preserve">a </w:t>
      </w:r>
      <w:r w:rsidR="00B83975">
        <w:t>s</w:t>
      </w:r>
      <w:r w:rsidRPr="00975F81" w:rsidR="009E336E">
        <w:t>ection 208 complaint against it</w:t>
      </w:r>
      <w:r w:rsidR="009E336E">
        <w:t xml:space="preserve"> when it did not provide interstate or foreign service to Complainants</w:t>
      </w:r>
      <w:r w:rsidRPr="00975F81" w:rsidR="009E336E">
        <w:t>.</w:t>
      </w:r>
      <w:r>
        <w:rPr>
          <w:rStyle w:val="FootnoteReference"/>
        </w:rPr>
        <w:footnoteReference w:id="37"/>
      </w:r>
      <w:bookmarkEnd w:id="5"/>
      <w:bookmarkEnd w:id="7"/>
      <w:r w:rsidR="00576276">
        <w:rPr>
          <w:szCs w:val="22"/>
        </w:rPr>
        <w:t xml:space="preserve"> </w:t>
      </w:r>
      <w:bookmarkEnd w:id="3"/>
    </w:p>
    <w:p w:rsidR="00123D37" w:rsidP="00282190" w14:paraId="1C8F1958" w14:textId="22B76128">
      <w:pPr>
        <w:pStyle w:val="ParaNum"/>
        <w:widowControl/>
        <w:tabs>
          <w:tab w:val="clear" w:pos="1080"/>
        </w:tabs>
        <w:rPr>
          <w:szCs w:val="22"/>
        </w:rPr>
      </w:pPr>
      <w:r w:rsidRPr="00610434">
        <w:rPr>
          <w:szCs w:val="22"/>
        </w:rPr>
        <w:t>W</w:t>
      </w:r>
      <w:r w:rsidRPr="00610434" w:rsidR="005F44EC">
        <w:rPr>
          <w:szCs w:val="22"/>
        </w:rPr>
        <w:t xml:space="preserve">hile we dismiss the Complaint with prejudice because </w:t>
      </w:r>
      <w:r w:rsidRPr="00610434" w:rsidR="008D22A5">
        <w:rPr>
          <w:szCs w:val="22"/>
        </w:rPr>
        <w:t xml:space="preserve">it does not comply with </w:t>
      </w:r>
      <w:r w:rsidR="00B83975">
        <w:rPr>
          <w:szCs w:val="22"/>
        </w:rPr>
        <w:t>s</w:t>
      </w:r>
      <w:r w:rsidRPr="00610434" w:rsidR="008D22A5">
        <w:rPr>
          <w:szCs w:val="22"/>
        </w:rPr>
        <w:t>ection 208</w:t>
      </w:r>
      <w:r w:rsidRPr="00610434" w:rsidR="005F44EC">
        <w:rPr>
          <w:szCs w:val="22"/>
        </w:rPr>
        <w:t xml:space="preserve">, we </w:t>
      </w:r>
      <w:r w:rsidRPr="00610434">
        <w:rPr>
          <w:szCs w:val="22"/>
        </w:rPr>
        <w:t xml:space="preserve">also </w:t>
      </w:r>
      <w:r w:rsidRPr="00610434" w:rsidR="005F44EC">
        <w:rPr>
          <w:szCs w:val="22"/>
        </w:rPr>
        <w:t>note that</w:t>
      </w:r>
      <w:r w:rsidR="00785273">
        <w:rPr>
          <w:szCs w:val="22"/>
        </w:rPr>
        <w:t>, as Verizon argues,</w:t>
      </w:r>
      <w:r w:rsidRPr="00610434" w:rsidR="005F44EC">
        <w:rPr>
          <w:szCs w:val="22"/>
        </w:rPr>
        <w:t xml:space="preserve"> </w:t>
      </w:r>
      <w:r w:rsidRPr="00652C8D" w:rsidR="00BF7997">
        <w:rPr>
          <w:szCs w:val="22"/>
        </w:rPr>
        <w:t xml:space="preserve">the great majority, if not the entirety, of the Complaint would fail even if </w:t>
      </w:r>
      <w:r w:rsidRPr="00652C8D" w:rsidR="005F44EC">
        <w:rPr>
          <w:szCs w:val="22"/>
        </w:rPr>
        <w:t>i</w:t>
      </w:r>
      <w:r w:rsidRPr="00652C8D" w:rsidR="00A81CE3">
        <w:rPr>
          <w:szCs w:val="22"/>
        </w:rPr>
        <w:t>t named a common carrier</w:t>
      </w:r>
      <w:r w:rsidRPr="00652C8D" w:rsidR="00BF7997">
        <w:rPr>
          <w:szCs w:val="22"/>
        </w:rPr>
        <w:t>.</w:t>
      </w:r>
      <w:r>
        <w:rPr>
          <w:rStyle w:val="FootnoteReference"/>
          <w:sz w:val="22"/>
          <w:szCs w:val="22"/>
        </w:rPr>
        <w:footnoteReference w:id="38"/>
      </w:r>
      <w:r w:rsidRPr="00610434" w:rsidR="00672FAD">
        <w:rPr>
          <w:szCs w:val="22"/>
        </w:rPr>
        <w:t xml:space="preserve">  </w:t>
      </w:r>
      <w:r w:rsidRPr="00610434" w:rsidR="004627AE">
        <w:rPr>
          <w:szCs w:val="22"/>
        </w:rPr>
        <w:t>The bul</w:t>
      </w:r>
      <w:r w:rsidRPr="00462D04" w:rsidR="004627AE">
        <w:rPr>
          <w:szCs w:val="22"/>
        </w:rPr>
        <w:t xml:space="preserve">k of </w:t>
      </w:r>
      <w:r w:rsidRPr="00462D04" w:rsidR="00BC74B7">
        <w:rPr>
          <w:szCs w:val="22"/>
        </w:rPr>
        <w:t xml:space="preserve">Count I </w:t>
      </w:r>
      <w:r w:rsidRPr="00462D04" w:rsidR="004627AE">
        <w:rPr>
          <w:szCs w:val="22"/>
        </w:rPr>
        <w:t>seeks enforcement of the</w:t>
      </w:r>
      <w:r w:rsidRPr="00462D04" w:rsidR="00DD1197">
        <w:rPr>
          <w:szCs w:val="22"/>
        </w:rPr>
        <w:t xml:space="preserve"> </w:t>
      </w:r>
      <w:r w:rsidRPr="00462D04" w:rsidR="00DD1197">
        <w:rPr>
          <w:i/>
          <w:iCs/>
          <w:szCs w:val="22"/>
        </w:rPr>
        <w:t>PUC Order</w:t>
      </w:r>
      <w:r w:rsidRPr="00462D04" w:rsidR="00DD1197">
        <w:rPr>
          <w:szCs w:val="22"/>
        </w:rPr>
        <w:t xml:space="preserve"> or alleges that the </w:t>
      </w:r>
      <w:r w:rsidRPr="00C03262" w:rsidR="00DD1197">
        <w:rPr>
          <w:i/>
          <w:iCs/>
          <w:szCs w:val="22"/>
        </w:rPr>
        <w:t xml:space="preserve">PUC </w:t>
      </w:r>
      <w:r w:rsidRPr="00C03262" w:rsidR="00C03262">
        <w:rPr>
          <w:i/>
          <w:iCs/>
          <w:szCs w:val="22"/>
        </w:rPr>
        <w:t>Order</w:t>
      </w:r>
      <w:r w:rsidR="00C03262">
        <w:rPr>
          <w:szCs w:val="22"/>
        </w:rPr>
        <w:t xml:space="preserve"> </w:t>
      </w:r>
      <w:r w:rsidRPr="00462D04" w:rsidR="00DD1197">
        <w:rPr>
          <w:szCs w:val="22"/>
        </w:rPr>
        <w:t xml:space="preserve">and </w:t>
      </w:r>
      <w:r w:rsidRPr="00C03262" w:rsidR="00C03262">
        <w:rPr>
          <w:i/>
          <w:iCs/>
          <w:szCs w:val="22"/>
        </w:rPr>
        <w:t>S</w:t>
      </w:r>
      <w:r w:rsidRPr="00C03262" w:rsidR="00DD1197">
        <w:rPr>
          <w:i/>
          <w:iCs/>
          <w:szCs w:val="22"/>
        </w:rPr>
        <w:t xml:space="preserve">tate </w:t>
      </w:r>
      <w:r w:rsidRPr="00C03262" w:rsidR="00C03262">
        <w:rPr>
          <w:i/>
          <w:iCs/>
          <w:szCs w:val="22"/>
        </w:rPr>
        <w:t>C</w:t>
      </w:r>
      <w:r w:rsidRPr="00C03262" w:rsidR="00DD1197">
        <w:rPr>
          <w:i/>
          <w:iCs/>
          <w:szCs w:val="22"/>
        </w:rPr>
        <w:t xml:space="preserve">ourt </w:t>
      </w:r>
      <w:r w:rsidRPr="00C03262" w:rsidR="00C03262">
        <w:rPr>
          <w:i/>
          <w:iCs/>
          <w:szCs w:val="22"/>
        </w:rPr>
        <w:t>Order</w:t>
      </w:r>
      <w:r w:rsidR="00C03262">
        <w:rPr>
          <w:szCs w:val="22"/>
        </w:rPr>
        <w:t xml:space="preserve"> are</w:t>
      </w:r>
      <w:r w:rsidRPr="00462D04" w:rsidR="00DD1197">
        <w:rPr>
          <w:szCs w:val="22"/>
        </w:rPr>
        <w:t xml:space="preserve"> vitiated by fraud</w:t>
      </w:r>
      <w:r w:rsidR="000E4649">
        <w:rPr>
          <w:szCs w:val="22"/>
        </w:rPr>
        <w:t>;</w:t>
      </w:r>
      <w:r w:rsidRPr="008C5A9C" w:rsidR="008C5A9C">
        <w:rPr>
          <w:rStyle w:val="FootnoteReference"/>
          <w:szCs w:val="22"/>
        </w:rPr>
        <w:t xml:space="preserve"> </w:t>
      </w:r>
      <w:r>
        <w:rPr>
          <w:rStyle w:val="FootnoteReference"/>
          <w:szCs w:val="22"/>
        </w:rPr>
        <w:footnoteReference w:id="39"/>
      </w:r>
      <w:r w:rsidR="000E4649">
        <w:rPr>
          <w:szCs w:val="22"/>
        </w:rPr>
        <w:t xml:space="preserve"> other allegations </w:t>
      </w:r>
      <w:r w:rsidR="00A50F57">
        <w:rPr>
          <w:szCs w:val="22"/>
        </w:rPr>
        <w:t xml:space="preserve">assert violations of </w:t>
      </w:r>
      <w:r w:rsidR="00672FAD">
        <w:rPr>
          <w:szCs w:val="22"/>
        </w:rPr>
        <w:t xml:space="preserve">Pennsylvania statutes and the </w:t>
      </w:r>
      <w:r w:rsidR="00ED36AD">
        <w:rPr>
          <w:szCs w:val="22"/>
        </w:rPr>
        <w:t xml:space="preserve">federal </w:t>
      </w:r>
      <w:r w:rsidR="00672FAD">
        <w:rPr>
          <w:szCs w:val="22"/>
        </w:rPr>
        <w:t>Civil Right</w:t>
      </w:r>
      <w:r w:rsidR="006D481D">
        <w:rPr>
          <w:szCs w:val="22"/>
        </w:rPr>
        <w:t>s</w:t>
      </w:r>
      <w:r w:rsidR="00672FAD">
        <w:rPr>
          <w:szCs w:val="22"/>
        </w:rPr>
        <w:t xml:space="preserve"> Act.</w:t>
      </w:r>
      <w:r>
        <w:rPr>
          <w:rStyle w:val="FootnoteReference"/>
          <w:szCs w:val="22"/>
        </w:rPr>
        <w:footnoteReference w:id="40"/>
      </w:r>
      <w:r w:rsidR="00672FAD">
        <w:rPr>
          <w:szCs w:val="22"/>
        </w:rPr>
        <w:t xml:space="preserve">  </w:t>
      </w:r>
      <w:r w:rsidRPr="00462D04" w:rsidR="00F66F59">
        <w:rPr>
          <w:szCs w:val="22"/>
        </w:rPr>
        <w:t xml:space="preserve">Yet </w:t>
      </w:r>
      <w:r w:rsidR="00B83975">
        <w:rPr>
          <w:szCs w:val="22"/>
        </w:rPr>
        <w:t>s</w:t>
      </w:r>
      <w:r w:rsidRPr="00462D04" w:rsidR="00F66F59">
        <w:rPr>
          <w:szCs w:val="22"/>
        </w:rPr>
        <w:t xml:space="preserve">ection 208 </w:t>
      </w:r>
      <w:r w:rsidR="0015408C">
        <w:rPr>
          <w:szCs w:val="22"/>
        </w:rPr>
        <w:t>requires</w:t>
      </w:r>
      <w:r w:rsidRPr="00462D04" w:rsidR="00AF6296">
        <w:rPr>
          <w:szCs w:val="22"/>
        </w:rPr>
        <w:t xml:space="preserve"> that </w:t>
      </w:r>
      <w:r w:rsidRPr="00462D04" w:rsidR="00F66F59">
        <w:rPr>
          <w:szCs w:val="22"/>
        </w:rPr>
        <w:t xml:space="preserve">complaints allege a </w:t>
      </w:r>
      <w:r w:rsidRPr="00462D04" w:rsidR="00802082">
        <w:rPr>
          <w:szCs w:val="22"/>
        </w:rPr>
        <w:t>“contravention of the provisions [of the Act]</w:t>
      </w:r>
      <w:r w:rsidR="002413EA">
        <w:rPr>
          <w:szCs w:val="22"/>
        </w:rPr>
        <w:t>.</w:t>
      </w:r>
      <w:r w:rsidRPr="00462D04" w:rsidR="00802082">
        <w:rPr>
          <w:szCs w:val="22"/>
        </w:rPr>
        <w:t>”</w:t>
      </w:r>
      <w:r>
        <w:rPr>
          <w:rStyle w:val="FootnoteReference"/>
          <w:szCs w:val="22"/>
        </w:rPr>
        <w:footnoteReference w:id="41"/>
      </w:r>
      <w:r w:rsidRPr="00462D04" w:rsidR="00A229AB">
        <w:rPr>
          <w:szCs w:val="22"/>
        </w:rPr>
        <w:t xml:space="preserve">  </w:t>
      </w:r>
      <w:r w:rsidRPr="00462D04" w:rsidR="00D15CFF">
        <w:rPr>
          <w:szCs w:val="22"/>
        </w:rPr>
        <w:t xml:space="preserve">No provision of the Act </w:t>
      </w:r>
      <w:r w:rsidRPr="00462D04" w:rsidR="004629CE">
        <w:rPr>
          <w:szCs w:val="22"/>
        </w:rPr>
        <w:t>regulates</w:t>
      </w:r>
      <w:r w:rsidRPr="00462D04" w:rsidR="00AF6296">
        <w:rPr>
          <w:szCs w:val="22"/>
        </w:rPr>
        <w:t xml:space="preserve"> </w:t>
      </w:r>
      <w:r w:rsidR="0015408C">
        <w:rPr>
          <w:szCs w:val="22"/>
        </w:rPr>
        <w:t xml:space="preserve">the </w:t>
      </w:r>
      <w:r w:rsidRPr="00462D04" w:rsidR="00AF6296">
        <w:rPr>
          <w:szCs w:val="22"/>
        </w:rPr>
        <w:t>Complainants’</w:t>
      </w:r>
      <w:r w:rsidRPr="00462D04" w:rsidR="006A5834">
        <w:rPr>
          <w:szCs w:val="22"/>
        </w:rPr>
        <w:t xml:space="preserve"> proceeding</w:t>
      </w:r>
      <w:r w:rsidRPr="00462D04" w:rsidR="00B51987">
        <w:rPr>
          <w:szCs w:val="22"/>
        </w:rPr>
        <w:t>s</w:t>
      </w:r>
      <w:r w:rsidRPr="00462D04" w:rsidR="006A5834">
        <w:rPr>
          <w:szCs w:val="22"/>
        </w:rPr>
        <w:t xml:space="preserve"> before the </w:t>
      </w:r>
      <w:r w:rsidRPr="00462D04" w:rsidR="00BC74B7">
        <w:rPr>
          <w:szCs w:val="22"/>
        </w:rPr>
        <w:t>Pennsylvania PUC</w:t>
      </w:r>
      <w:r w:rsidRPr="00462D04" w:rsidR="006B6DCD">
        <w:rPr>
          <w:szCs w:val="22"/>
        </w:rPr>
        <w:t xml:space="preserve"> </w:t>
      </w:r>
      <w:r w:rsidRPr="00462D04" w:rsidR="00D855FC">
        <w:rPr>
          <w:szCs w:val="22"/>
        </w:rPr>
        <w:t>or the Pennsylvania state court</w:t>
      </w:r>
      <w:r w:rsidR="007E1662">
        <w:rPr>
          <w:szCs w:val="22"/>
        </w:rPr>
        <w:t xml:space="preserve">, and </w:t>
      </w:r>
      <w:r w:rsidR="00672FAD">
        <w:rPr>
          <w:szCs w:val="22"/>
        </w:rPr>
        <w:t>state statutes and the Civil Rights Act are not “provisions [of the Act]</w:t>
      </w:r>
      <w:r w:rsidRPr="00462D04" w:rsidR="00BC74B7">
        <w:rPr>
          <w:szCs w:val="22"/>
        </w:rPr>
        <w:t>.</w:t>
      </w:r>
      <w:r w:rsidR="00672FAD">
        <w:rPr>
          <w:szCs w:val="22"/>
        </w:rPr>
        <w:t>”</w:t>
      </w:r>
      <w:r>
        <w:rPr>
          <w:rStyle w:val="FootnoteReference"/>
          <w:szCs w:val="22"/>
        </w:rPr>
        <w:footnoteReference w:id="42"/>
      </w:r>
      <w:r w:rsidR="00B9400D">
        <w:rPr>
          <w:szCs w:val="22"/>
        </w:rPr>
        <w:t xml:space="preserve"> </w:t>
      </w:r>
      <w:r w:rsidR="00431F13">
        <w:rPr>
          <w:szCs w:val="22"/>
        </w:rPr>
        <w:t xml:space="preserve"> </w:t>
      </w:r>
      <w:r w:rsidR="007E1662">
        <w:rPr>
          <w:szCs w:val="22"/>
        </w:rPr>
        <w:t xml:space="preserve">The Complaint’s remaining counts </w:t>
      </w:r>
      <w:r w:rsidR="00007DDA">
        <w:rPr>
          <w:szCs w:val="22"/>
        </w:rPr>
        <w:t xml:space="preserve">contain similar </w:t>
      </w:r>
      <w:r w:rsidR="007E1662">
        <w:rPr>
          <w:szCs w:val="22"/>
        </w:rPr>
        <w:t>flaw</w:t>
      </w:r>
      <w:r w:rsidR="00007DDA">
        <w:rPr>
          <w:szCs w:val="22"/>
        </w:rPr>
        <w:t>s</w:t>
      </w:r>
      <w:r w:rsidR="007E1662">
        <w:rPr>
          <w:szCs w:val="22"/>
        </w:rPr>
        <w:t>.  T</w:t>
      </w:r>
      <w:r w:rsidRPr="00462D04" w:rsidR="00D15CFF">
        <w:rPr>
          <w:szCs w:val="22"/>
        </w:rPr>
        <w:t xml:space="preserve">he </w:t>
      </w:r>
      <w:r w:rsidRPr="00462D04" w:rsidR="00354FB9">
        <w:rPr>
          <w:szCs w:val="22"/>
        </w:rPr>
        <w:t xml:space="preserve">allegations in Count II </w:t>
      </w:r>
      <w:r w:rsidRPr="00462D04" w:rsidR="006C6754">
        <w:rPr>
          <w:szCs w:val="22"/>
        </w:rPr>
        <w:t xml:space="preserve">pertain </w:t>
      </w:r>
      <w:r w:rsidRPr="00462D04" w:rsidR="004629CE">
        <w:rPr>
          <w:szCs w:val="22"/>
        </w:rPr>
        <w:t xml:space="preserve">primarily </w:t>
      </w:r>
      <w:r w:rsidRPr="00462D04" w:rsidR="006C6754">
        <w:rPr>
          <w:szCs w:val="22"/>
        </w:rPr>
        <w:t xml:space="preserve">to </w:t>
      </w:r>
      <w:r w:rsidRPr="00462D04" w:rsidR="00C6226C">
        <w:rPr>
          <w:szCs w:val="22"/>
        </w:rPr>
        <w:t>TechSure</w:t>
      </w:r>
      <w:r w:rsidRPr="00462D04" w:rsidR="00C6226C">
        <w:rPr>
          <w:szCs w:val="22"/>
        </w:rPr>
        <w:t xml:space="preserve"> </w:t>
      </w:r>
      <w:r w:rsidRPr="00462D04" w:rsidR="006C6754">
        <w:rPr>
          <w:szCs w:val="22"/>
        </w:rPr>
        <w:t>service.</w:t>
      </w:r>
      <w:r>
        <w:rPr>
          <w:rStyle w:val="FootnoteReference"/>
          <w:szCs w:val="22"/>
        </w:rPr>
        <w:footnoteReference w:id="43"/>
      </w:r>
      <w:r w:rsidRPr="00462D04" w:rsidR="006C6754">
        <w:rPr>
          <w:szCs w:val="22"/>
        </w:rPr>
        <w:t xml:space="preserve">  </w:t>
      </w:r>
      <w:r w:rsidR="008B49F9">
        <w:rPr>
          <w:szCs w:val="22"/>
        </w:rPr>
        <w:t>But</w:t>
      </w:r>
      <w:r w:rsidRPr="00462D04" w:rsidR="006C6754">
        <w:rPr>
          <w:szCs w:val="22"/>
        </w:rPr>
        <w:t xml:space="preserve"> none of the service</w:t>
      </w:r>
      <w:r w:rsidR="00DE1508">
        <w:rPr>
          <w:szCs w:val="22"/>
        </w:rPr>
        <w:t>s</w:t>
      </w:r>
      <w:r w:rsidRPr="00462D04" w:rsidR="006C6754">
        <w:rPr>
          <w:szCs w:val="22"/>
        </w:rPr>
        <w:t xml:space="preserve"> offered under </w:t>
      </w:r>
      <w:r w:rsidRPr="00462D04" w:rsidR="006C6754">
        <w:rPr>
          <w:szCs w:val="22"/>
        </w:rPr>
        <w:t>TechSure</w:t>
      </w:r>
      <w:r w:rsidRPr="00462D04" w:rsidR="006C6754">
        <w:rPr>
          <w:szCs w:val="22"/>
        </w:rPr>
        <w:t xml:space="preserve"> </w:t>
      </w:r>
      <w:r w:rsidRPr="00462D04" w:rsidR="00AF6296">
        <w:rPr>
          <w:szCs w:val="22"/>
        </w:rPr>
        <w:t>(</w:t>
      </w:r>
      <w:r w:rsidRPr="00462D04" w:rsidR="006C6754">
        <w:rPr>
          <w:szCs w:val="22"/>
        </w:rPr>
        <w:t>inside wiring</w:t>
      </w:r>
      <w:r w:rsidR="007E1662">
        <w:rPr>
          <w:szCs w:val="22"/>
        </w:rPr>
        <w:t xml:space="preserve"> maintenance</w:t>
      </w:r>
      <w:r w:rsidRPr="00462D04" w:rsidR="006C6754">
        <w:rPr>
          <w:szCs w:val="22"/>
        </w:rPr>
        <w:t xml:space="preserve">, password </w:t>
      </w:r>
      <w:r w:rsidR="007E1662">
        <w:rPr>
          <w:szCs w:val="22"/>
        </w:rPr>
        <w:t>storage</w:t>
      </w:r>
      <w:r w:rsidRPr="00462D04" w:rsidR="006C6754">
        <w:rPr>
          <w:szCs w:val="22"/>
        </w:rPr>
        <w:t xml:space="preserve">, etc.) </w:t>
      </w:r>
      <w:r w:rsidRPr="00462D04" w:rsidR="00C6226C">
        <w:rPr>
          <w:szCs w:val="22"/>
        </w:rPr>
        <w:t>is</w:t>
      </w:r>
      <w:r w:rsidRPr="00462D04" w:rsidR="00BC74B7">
        <w:rPr>
          <w:szCs w:val="22"/>
        </w:rPr>
        <w:t xml:space="preserve"> </w:t>
      </w:r>
      <w:r w:rsidRPr="00462D04" w:rsidR="00F56066">
        <w:rPr>
          <w:szCs w:val="22"/>
        </w:rPr>
        <w:t xml:space="preserve">an </w:t>
      </w:r>
      <w:r w:rsidRPr="00462D04" w:rsidR="00BC74B7">
        <w:rPr>
          <w:szCs w:val="22"/>
        </w:rPr>
        <w:t>“interstate or foreign communication” servic</w:t>
      </w:r>
      <w:r w:rsidRPr="00462D04" w:rsidR="00A02754">
        <w:rPr>
          <w:szCs w:val="22"/>
        </w:rPr>
        <w:t xml:space="preserve">e within the meaning of </w:t>
      </w:r>
      <w:r w:rsidR="00B83975">
        <w:rPr>
          <w:szCs w:val="22"/>
        </w:rPr>
        <w:t>s</w:t>
      </w:r>
      <w:r w:rsidRPr="00462D04" w:rsidR="00A02754">
        <w:rPr>
          <w:szCs w:val="22"/>
        </w:rPr>
        <w:t xml:space="preserve">ection </w:t>
      </w:r>
      <w:r w:rsidRPr="00462D04" w:rsidR="00100898">
        <w:rPr>
          <w:szCs w:val="22"/>
        </w:rPr>
        <w:t>3</w:t>
      </w:r>
      <w:r w:rsidR="00231E34">
        <w:rPr>
          <w:szCs w:val="22"/>
        </w:rPr>
        <w:t xml:space="preserve"> of the Act</w:t>
      </w:r>
      <w:r w:rsidR="004F1A73">
        <w:rPr>
          <w:szCs w:val="22"/>
        </w:rPr>
        <w:t>, and no provision of the Act regulates such services</w:t>
      </w:r>
      <w:r w:rsidR="00CC373A">
        <w:rPr>
          <w:szCs w:val="22"/>
        </w:rPr>
        <w:t xml:space="preserve"> or their marketing</w:t>
      </w:r>
      <w:r w:rsidRPr="00462D04" w:rsidR="00BC74B7">
        <w:rPr>
          <w:szCs w:val="22"/>
        </w:rPr>
        <w:t>.</w:t>
      </w:r>
      <w:r>
        <w:rPr>
          <w:rStyle w:val="FootnoteReference"/>
          <w:szCs w:val="22"/>
        </w:rPr>
        <w:footnoteReference w:id="44"/>
      </w:r>
      <w:r w:rsidRPr="00462D04" w:rsidR="00BC74B7">
        <w:rPr>
          <w:szCs w:val="22"/>
        </w:rPr>
        <w:t xml:space="preserve">  </w:t>
      </w:r>
      <w:r w:rsidR="004809F6">
        <w:rPr>
          <w:szCs w:val="22"/>
        </w:rPr>
        <w:t xml:space="preserve">Count III </w:t>
      </w:r>
      <w:r w:rsidR="00777ACC">
        <w:rPr>
          <w:szCs w:val="22"/>
        </w:rPr>
        <w:t xml:space="preserve">would </w:t>
      </w:r>
      <w:r w:rsidR="004809F6">
        <w:rPr>
          <w:szCs w:val="22"/>
        </w:rPr>
        <w:t>fail</w:t>
      </w:r>
      <w:r w:rsidR="007C74C4">
        <w:rPr>
          <w:szCs w:val="22"/>
        </w:rPr>
        <w:t xml:space="preserve"> entirely</w:t>
      </w:r>
      <w:r w:rsidR="004809F6">
        <w:rPr>
          <w:szCs w:val="22"/>
        </w:rPr>
        <w:t xml:space="preserve">, because </w:t>
      </w:r>
      <w:r w:rsidRPr="00462D04" w:rsidR="006A5834">
        <w:rPr>
          <w:szCs w:val="22"/>
        </w:rPr>
        <w:t xml:space="preserve">the </w:t>
      </w:r>
      <w:r w:rsidRPr="00462D04" w:rsidR="00232AA8">
        <w:rPr>
          <w:szCs w:val="22"/>
        </w:rPr>
        <w:t>Commission has re</w:t>
      </w:r>
      <w:r w:rsidRPr="00462D04" w:rsidR="00B378BD">
        <w:rPr>
          <w:szCs w:val="22"/>
        </w:rPr>
        <w:t>pealed</w:t>
      </w:r>
      <w:r w:rsidRPr="00462D04" w:rsidR="00232AA8">
        <w:rPr>
          <w:szCs w:val="22"/>
        </w:rPr>
        <w:t xml:space="preserve"> the rules </w:t>
      </w:r>
      <w:r w:rsidRPr="00462D04" w:rsidR="009E7A8F">
        <w:rPr>
          <w:szCs w:val="22"/>
        </w:rPr>
        <w:t>and order</w:t>
      </w:r>
      <w:r w:rsidR="0015408C">
        <w:rPr>
          <w:szCs w:val="22"/>
        </w:rPr>
        <w:t>s</w:t>
      </w:r>
      <w:r w:rsidRPr="00462D04" w:rsidR="009E7A8F">
        <w:rPr>
          <w:szCs w:val="22"/>
        </w:rPr>
        <w:t xml:space="preserve"> </w:t>
      </w:r>
      <w:r w:rsidRPr="00462D04" w:rsidR="00232AA8">
        <w:rPr>
          <w:szCs w:val="22"/>
        </w:rPr>
        <w:t>on which Complainants rely</w:t>
      </w:r>
      <w:r w:rsidRPr="00462D04" w:rsidR="00354FB9">
        <w:rPr>
          <w:szCs w:val="22"/>
        </w:rPr>
        <w:t xml:space="preserve"> to </w:t>
      </w:r>
      <w:r w:rsidR="0015408C">
        <w:rPr>
          <w:szCs w:val="22"/>
        </w:rPr>
        <w:t xml:space="preserve">establish a cause of action with respect to their </w:t>
      </w:r>
      <w:r w:rsidRPr="00462D04" w:rsidR="00354FB9">
        <w:rPr>
          <w:szCs w:val="22"/>
        </w:rPr>
        <w:t xml:space="preserve">internet </w:t>
      </w:r>
      <w:r w:rsidR="007653D0">
        <w:rPr>
          <w:szCs w:val="22"/>
        </w:rPr>
        <w:t xml:space="preserve">access </w:t>
      </w:r>
      <w:r w:rsidRPr="00462D04" w:rsidR="00354FB9">
        <w:rPr>
          <w:szCs w:val="22"/>
        </w:rPr>
        <w:t>service</w:t>
      </w:r>
      <w:r w:rsidRPr="00462D04" w:rsidR="00232AA8">
        <w:rPr>
          <w:szCs w:val="22"/>
        </w:rPr>
        <w:t>.</w:t>
      </w:r>
      <w:r>
        <w:rPr>
          <w:rStyle w:val="FootnoteReference"/>
          <w:szCs w:val="22"/>
        </w:rPr>
        <w:footnoteReference w:id="45"/>
      </w:r>
      <w:r w:rsidR="00462D04">
        <w:rPr>
          <w:szCs w:val="22"/>
        </w:rPr>
        <w:t xml:space="preserve">  </w:t>
      </w:r>
    </w:p>
    <w:p w:rsidR="00864980" w:rsidP="00282190" w14:paraId="6D6B99B6" w14:textId="48D13CEA">
      <w:pPr>
        <w:pStyle w:val="ParaNum"/>
        <w:widowControl/>
        <w:tabs>
          <w:tab w:val="clear" w:pos="1080"/>
        </w:tabs>
        <w:rPr>
          <w:szCs w:val="22"/>
        </w:rPr>
      </w:pPr>
      <w:bookmarkStart w:id="10" w:name="_Hlk108529065"/>
      <w:bookmarkStart w:id="11" w:name="_Hlk108521491"/>
      <w:r>
        <w:rPr>
          <w:szCs w:val="22"/>
        </w:rPr>
        <w:t>Additional</w:t>
      </w:r>
      <w:r w:rsidR="00AD50F1">
        <w:rPr>
          <w:szCs w:val="22"/>
        </w:rPr>
        <w:t xml:space="preserve"> </w:t>
      </w:r>
      <w:r w:rsidRPr="00864980" w:rsidR="00BC74B7">
        <w:rPr>
          <w:szCs w:val="22"/>
        </w:rPr>
        <w:t xml:space="preserve">allegations of the </w:t>
      </w:r>
      <w:r w:rsidRPr="005A4BD3" w:rsidR="00BC74B7">
        <w:rPr>
          <w:snapToGrid/>
          <w:szCs w:val="22"/>
        </w:rPr>
        <w:t>Complaint</w:t>
      </w:r>
      <w:r w:rsidRPr="00864980" w:rsidR="00BC74B7">
        <w:rPr>
          <w:szCs w:val="22"/>
        </w:rPr>
        <w:t xml:space="preserve"> </w:t>
      </w:r>
      <w:r w:rsidRPr="00864980" w:rsidR="00F12749">
        <w:rPr>
          <w:szCs w:val="22"/>
        </w:rPr>
        <w:t>would be dismissed</w:t>
      </w:r>
      <w:r w:rsidRPr="00864980" w:rsidR="00C6226C">
        <w:rPr>
          <w:szCs w:val="22"/>
        </w:rPr>
        <w:t xml:space="preserve"> </w:t>
      </w:r>
      <w:r w:rsidRPr="00864980" w:rsidR="00123D37">
        <w:rPr>
          <w:szCs w:val="22"/>
        </w:rPr>
        <w:t>with prejudice</w:t>
      </w:r>
      <w:r w:rsidRPr="00864980" w:rsidR="00B4761E">
        <w:rPr>
          <w:szCs w:val="22"/>
        </w:rPr>
        <w:t>,</w:t>
      </w:r>
      <w:r w:rsidRPr="00864980" w:rsidR="00123D37">
        <w:rPr>
          <w:szCs w:val="22"/>
        </w:rPr>
        <w:t xml:space="preserve"> </w:t>
      </w:r>
      <w:r w:rsidR="00C03262">
        <w:rPr>
          <w:szCs w:val="22"/>
        </w:rPr>
        <w:t xml:space="preserve">even if brought against a </w:t>
      </w:r>
      <w:r w:rsidR="00F51F4B">
        <w:rPr>
          <w:szCs w:val="22"/>
        </w:rPr>
        <w:t>different defendant</w:t>
      </w:r>
      <w:r w:rsidRPr="00864980" w:rsidR="00B4761E">
        <w:rPr>
          <w:szCs w:val="22"/>
        </w:rPr>
        <w:t>,</w:t>
      </w:r>
      <w:r w:rsidRPr="00864980" w:rsidR="00E92033">
        <w:rPr>
          <w:szCs w:val="22"/>
        </w:rPr>
        <w:t xml:space="preserve"> </w:t>
      </w:r>
      <w:r w:rsidRPr="00864980" w:rsidR="00C6226C">
        <w:rPr>
          <w:szCs w:val="22"/>
        </w:rPr>
        <w:t xml:space="preserve">because </w:t>
      </w:r>
      <w:r w:rsidRPr="00864980" w:rsidR="00BC74B7">
        <w:rPr>
          <w:szCs w:val="22"/>
        </w:rPr>
        <w:t>they</w:t>
      </w:r>
      <w:r w:rsidRPr="00864980" w:rsidR="00123D37">
        <w:rPr>
          <w:szCs w:val="22"/>
        </w:rPr>
        <w:t xml:space="preserve"> </w:t>
      </w:r>
      <w:r w:rsidRPr="00864980" w:rsidR="00672FAD">
        <w:rPr>
          <w:szCs w:val="22"/>
        </w:rPr>
        <w:t xml:space="preserve">are time-barred or violate Commission procedural rules.  </w:t>
      </w:r>
      <w:r w:rsidRPr="00864980" w:rsidR="00123D37">
        <w:rPr>
          <w:szCs w:val="22"/>
        </w:rPr>
        <w:t>Sec</w:t>
      </w:r>
      <w:r w:rsidRPr="00864980" w:rsidR="00F56066">
        <w:rPr>
          <w:szCs w:val="22"/>
        </w:rPr>
        <w:t>tion 415(b)</w:t>
      </w:r>
      <w:r w:rsidRPr="00864980" w:rsidR="00462D04">
        <w:rPr>
          <w:szCs w:val="22"/>
        </w:rPr>
        <w:t xml:space="preserve"> of the Act</w:t>
      </w:r>
      <w:r w:rsidRPr="00864980" w:rsidR="00123D37">
        <w:rPr>
          <w:szCs w:val="22"/>
        </w:rPr>
        <w:t xml:space="preserve"> </w:t>
      </w:r>
      <w:r w:rsidRPr="00864980" w:rsidR="00672FAD">
        <w:rPr>
          <w:szCs w:val="22"/>
        </w:rPr>
        <w:t>requires that</w:t>
      </w:r>
      <w:r w:rsidR="00277BB2">
        <w:rPr>
          <w:szCs w:val="22"/>
        </w:rPr>
        <w:t xml:space="preserve">, </w:t>
      </w:r>
      <w:r w:rsidR="00123D37">
        <w:t>“</w:t>
      </w:r>
      <w:r w:rsidR="00277BB2">
        <w:t>A</w:t>
      </w:r>
      <w:r w:rsidR="00123D37">
        <w:t xml:space="preserve">ll complaints against carriers for the recovery of damages not based on overcharges shall be filed with the Commission within two years from the time the </w:t>
      </w:r>
      <w:r w:rsidR="00123D37">
        <w:t>cause of action accrues…</w:t>
      </w:r>
      <w:r w:rsidR="005664B3">
        <w:t>.</w:t>
      </w:r>
      <w:r w:rsidR="00123D37">
        <w:t>”</w:t>
      </w:r>
      <w:r>
        <w:rPr>
          <w:rStyle w:val="FootnoteReference"/>
          <w:szCs w:val="22"/>
        </w:rPr>
        <w:footnoteReference w:id="46"/>
      </w:r>
      <w:r w:rsidRPr="00864980" w:rsidR="00BC74B7">
        <w:rPr>
          <w:szCs w:val="22"/>
        </w:rPr>
        <w:t xml:space="preserve"> </w:t>
      </w:r>
      <w:r w:rsidRPr="00864980" w:rsidR="001232C9">
        <w:rPr>
          <w:szCs w:val="22"/>
        </w:rPr>
        <w:t xml:space="preserve"> </w:t>
      </w:r>
      <w:r w:rsidR="00D57A9C">
        <w:rPr>
          <w:szCs w:val="22"/>
        </w:rPr>
        <w:t>Thus</w:t>
      </w:r>
      <w:r w:rsidR="00796A71">
        <w:rPr>
          <w:szCs w:val="22"/>
        </w:rPr>
        <w:t xml:space="preserve">, </w:t>
      </w:r>
      <w:r w:rsidR="009F3FCB">
        <w:rPr>
          <w:szCs w:val="22"/>
        </w:rPr>
        <w:t xml:space="preserve">for example, </w:t>
      </w:r>
      <w:r w:rsidR="005021F8">
        <w:rPr>
          <w:szCs w:val="22"/>
        </w:rPr>
        <w:t xml:space="preserve">many of </w:t>
      </w:r>
      <w:r w:rsidR="00796A71">
        <w:rPr>
          <w:szCs w:val="22"/>
        </w:rPr>
        <w:t>the Complaint’s allegations of faulty service</w:t>
      </w:r>
      <w:r w:rsidR="00F31772">
        <w:rPr>
          <w:szCs w:val="22"/>
        </w:rPr>
        <w:t>,</w:t>
      </w:r>
      <w:r>
        <w:rPr>
          <w:rStyle w:val="FootnoteReference"/>
        </w:rPr>
        <w:footnoteReference w:id="47"/>
      </w:r>
      <w:r w:rsidR="00F31772">
        <w:rPr>
          <w:szCs w:val="22"/>
        </w:rPr>
        <w:t xml:space="preserve"> </w:t>
      </w:r>
      <w:r w:rsidR="00640F42">
        <w:rPr>
          <w:szCs w:val="22"/>
        </w:rPr>
        <w:t>as well as the claim in Count II that</w:t>
      </w:r>
      <w:r w:rsidR="008621D6">
        <w:rPr>
          <w:szCs w:val="22"/>
        </w:rPr>
        <w:t xml:space="preserve"> Dr. </w:t>
      </w:r>
      <w:r w:rsidR="008621D6">
        <w:rPr>
          <w:szCs w:val="22"/>
        </w:rPr>
        <w:t>Chailla</w:t>
      </w:r>
      <w:r w:rsidR="00640F42">
        <w:t xml:space="preserve"> should not have been charged for services that were free under </w:t>
      </w:r>
      <w:r w:rsidR="00640F42">
        <w:t>TechSure</w:t>
      </w:r>
      <w:r w:rsidR="00640F42">
        <w:t>,</w:t>
      </w:r>
      <w:r>
        <w:rPr>
          <w:rStyle w:val="FootnoteReference"/>
        </w:rPr>
        <w:footnoteReference w:id="48"/>
      </w:r>
      <w:r w:rsidR="00B1089F">
        <w:t xml:space="preserve"> </w:t>
      </w:r>
      <w:r w:rsidR="00256BFB">
        <w:rPr>
          <w:szCs w:val="22"/>
        </w:rPr>
        <w:t>are time-barred</w:t>
      </w:r>
      <w:r w:rsidR="00796A71">
        <w:rPr>
          <w:szCs w:val="22"/>
        </w:rPr>
        <w:t>.</w:t>
      </w:r>
      <w:r w:rsidR="0099617D">
        <w:t xml:space="preserve"> </w:t>
      </w:r>
      <w:r w:rsidR="00A01350">
        <w:t xml:space="preserve"> </w:t>
      </w:r>
      <w:r w:rsidRPr="00864980" w:rsidR="00BC74B7">
        <w:rPr>
          <w:szCs w:val="22"/>
        </w:rPr>
        <w:t xml:space="preserve">Finally, </w:t>
      </w:r>
      <w:r w:rsidR="00F342E0">
        <w:rPr>
          <w:szCs w:val="22"/>
        </w:rPr>
        <w:t>many</w:t>
      </w:r>
      <w:r w:rsidRPr="00864980" w:rsidR="00BC74B7">
        <w:rPr>
          <w:szCs w:val="22"/>
        </w:rPr>
        <w:t xml:space="preserve"> </w:t>
      </w:r>
      <w:r w:rsidRPr="00864980" w:rsidR="00F47C12">
        <w:rPr>
          <w:szCs w:val="22"/>
        </w:rPr>
        <w:t xml:space="preserve">of the Complaint’s </w:t>
      </w:r>
      <w:r w:rsidRPr="00864980" w:rsidR="00BC74B7">
        <w:rPr>
          <w:szCs w:val="22"/>
        </w:rPr>
        <w:t xml:space="preserve">allegations </w:t>
      </w:r>
      <w:r w:rsidR="00DD5C11">
        <w:rPr>
          <w:szCs w:val="22"/>
        </w:rPr>
        <w:t xml:space="preserve">would be dismissed because they </w:t>
      </w:r>
      <w:r w:rsidRPr="00864980" w:rsidR="00DD5C11">
        <w:rPr>
          <w:szCs w:val="22"/>
        </w:rPr>
        <w:t>violat</w:t>
      </w:r>
      <w:r w:rsidR="00DD5C11">
        <w:rPr>
          <w:szCs w:val="22"/>
        </w:rPr>
        <w:t>e</w:t>
      </w:r>
      <w:r w:rsidRPr="00864980" w:rsidR="00DD5C11">
        <w:rPr>
          <w:szCs w:val="22"/>
        </w:rPr>
        <w:t xml:space="preserve"> </w:t>
      </w:r>
      <w:r w:rsidRPr="00864980" w:rsidR="00BC74B7">
        <w:rPr>
          <w:szCs w:val="22"/>
        </w:rPr>
        <w:t>Commission procedural rules.</w:t>
      </w:r>
      <w:r>
        <w:rPr>
          <w:rStyle w:val="FootnoteReference"/>
          <w:szCs w:val="22"/>
        </w:rPr>
        <w:footnoteReference w:id="49"/>
      </w:r>
      <w:r w:rsidRPr="00864980" w:rsidR="00BC74B7">
        <w:rPr>
          <w:szCs w:val="22"/>
        </w:rPr>
        <w:t xml:space="preserve">  </w:t>
      </w:r>
      <w:r w:rsidR="009D611C">
        <w:rPr>
          <w:szCs w:val="22"/>
        </w:rPr>
        <w:t xml:space="preserve">For example, </w:t>
      </w:r>
      <w:r w:rsidRPr="00864980" w:rsidR="00DE5D3C">
        <w:rPr>
          <w:szCs w:val="22"/>
        </w:rPr>
        <w:t>Commission rule 1.721(b) requires that pleadings “</w:t>
      </w:r>
      <w:r w:rsidR="003C7FFA">
        <w:rPr>
          <w:szCs w:val="22"/>
        </w:rPr>
        <w:t xml:space="preserve">be </w:t>
      </w:r>
      <w:r w:rsidRPr="00864980" w:rsidR="00DE5D3C">
        <w:rPr>
          <w:szCs w:val="22"/>
        </w:rPr>
        <w:t>clear, concise, and direct,</w:t>
      </w:r>
      <w:r w:rsidRPr="00864980" w:rsidR="00AF3E96">
        <w:rPr>
          <w:szCs w:val="22"/>
        </w:rPr>
        <w:t>”</w:t>
      </w:r>
      <w:r w:rsidRPr="00864980" w:rsidR="00CC4EF0">
        <w:rPr>
          <w:szCs w:val="22"/>
        </w:rPr>
        <w:t xml:space="preserve"> </w:t>
      </w:r>
      <w:r w:rsidRPr="00864980" w:rsidR="00DE5D3C">
        <w:rPr>
          <w:szCs w:val="22"/>
        </w:rPr>
        <w:t>and that</w:t>
      </w:r>
      <w:r w:rsidRPr="00864980" w:rsidR="004E2E19">
        <w:rPr>
          <w:szCs w:val="22"/>
        </w:rPr>
        <w:t>,</w:t>
      </w:r>
      <w:r w:rsidRPr="00864980" w:rsidR="00DE5D3C">
        <w:rPr>
          <w:szCs w:val="22"/>
        </w:rPr>
        <w:t xml:space="preserve"> “</w:t>
      </w:r>
      <w:r w:rsidR="001000E3">
        <w:rPr>
          <w:szCs w:val="22"/>
        </w:rPr>
        <w:t>[a]</w:t>
      </w:r>
      <w:r w:rsidRPr="00864980" w:rsidR="00DE5D3C">
        <w:rPr>
          <w:szCs w:val="22"/>
        </w:rPr>
        <w:t>ll</w:t>
      </w:r>
      <w:r w:rsidRPr="00864980" w:rsidR="00DE5D3C">
        <w:rPr>
          <w:szCs w:val="22"/>
        </w:rPr>
        <w:t xml:space="preserve"> matters concerning a claim</w:t>
      </w:r>
      <w:r w:rsidR="001000E3">
        <w:rPr>
          <w:szCs w:val="22"/>
        </w:rPr>
        <w:t xml:space="preserve"> </w:t>
      </w:r>
      <w:r w:rsidRPr="00864980" w:rsidR="00CC4EF0">
        <w:rPr>
          <w:szCs w:val="22"/>
        </w:rPr>
        <w:t>...</w:t>
      </w:r>
      <w:r w:rsidR="001000E3">
        <w:rPr>
          <w:szCs w:val="22"/>
        </w:rPr>
        <w:t xml:space="preserve"> be</w:t>
      </w:r>
      <w:r w:rsidRPr="00864980" w:rsidR="00CC4EF0">
        <w:rPr>
          <w:szCs w:val="22"/>
        </w:rPr>
        <w:t xml:space="preserve"> pleaded</w:t>
      </w:r>
      <w:r w:rsidR="003C7FFA">
        <w:rPr>
          <w:szCs w:val="22"/>
        </w:rPr>
        <w:t>…</w:t>
      </w:r>
      <w:r w:rsidRPr="00864980" w:rsidR="0086125D">
        <w:rPr>
          <w:szCs w:val="22"/>
        </w:rPr>
        <w:t>with specificity.”</w:t>
      </w:r>
      <w:r>
        <w:rPr>
          <w:rStyle w:val="FootnoteReference"/>
          <w:szCs w:val="22"/>
        </w:rPr>
        <w:footnoteReference w:id="50"/>
      </w:r>
      <w:r w:rsidRPr="00864980" w:rsidR="0086125D">
        <w:rPr>
          <w:szCs w:val="22"/>
        </w:rPr>
        <w:t xml:space="preserve">  </w:t>
      </w:r>
      <w:r w:rsidR="001000E3">
        <w:rPr>
          <w:szCs w:val="22"/>
        </w:rPr>
        <w:t>Although the</w:t>
      </w:r>
      <w:r w:rsidRPr="00864980" w:rsidR="004B692F">
        <w:rPr>
          <w:szCs w:val="22"/>
        </w:rPr>
        <w:t xml:space="preserve"> Complaint repeatedly states that</w:t>
      </w:r>
      <w:r w:rsidRPr="00864980" w:rsidR="007F4D19">
        <w:rPr>
          <w:szCs w:val="22"/>
        </w:rPr>
        <w:t xml:space="preserve"> </w:t>
      </w:r>
      <w:r w:rsidR="003111C0">
        <w:rPr>
          <w:szCs w:val="22"/>
        </w:rPr>
        <w:t xml:space="preserve">Verizon </w:t>
      </w:r>
      <w:r w:rsidR="001000E3">
        <w:rPr>
          <w:szCs w:val="22"/>
        </w:rPr>
        <w:t>PA</w:t>
      </w:r>
      <w:r w:rsidRPr="00864980" w:rsidR="007F4D19">
        <w:rPr>
          <w:szCs w:val="22"/>
        </w:rPr>
        <w:t xml:space="preserve"> violated Title II of the Act</w:t>
      </w:r>
      <w:r w:rsidR="00BE4C1A">
        <w:rPr>
          <w:szCs w:val="22"/>
        </w:rPr>
        <w:t xml:space="preserve">, </w:t>
      </w:r>
      <w:r w:rsidR="001B250B">
        <w:rPr>
          <w:szCs w:val="22"/>
        </w:rPr>
        <w:t>it</w:t>
      </w:r>
      <w:r w:rsidR="001000E3">
        <w:rPr>
          <w:szCs w:val="22"/>
        </w:rPr>
        <w:t xml:space="preserve"> nowhere specif</w:t>
      </w:r>
      <w:r w:rsidR="001B250B">
        <w:rPr>
          <w:szCs w:val="22"/>
        </w:rPr>
        <w:t>ies</w:t>
      </w:r>
      <w:r w:rsidR="001000E3">
        <w:rPr>
          <w:szCs w:val="22"/>
        </w:rPr>
        <w:t xml:space="preserve"> which of the </w:t>
      </w:r>
      <w:r w:rsidR="00BE4C1A">
        <w:rPr>
          <w:szCs w:val="22"/>
        </w:rPr>
        <w:t>75 statutory provisions</w:t>
      </w:r>
      <w:r w:rsidR="001000E3">
        <w:rPr>
          <w:szCs w:val="22"/>
        </w:rPr>
        <w:t xml:space="preserve"> in that Title are at issue</w:t>
      </w:r>
      <w:r w:rsidR="00DA2EFF">
        <w:rPr>
          <w:szCs w:val="22"/>
        </w:rPr>
        <w:t>.</w:t>
      </w:r>
      <w:r>
        <w:rPr>
          <w:rStyle w:val="FootnoteReference"/>
          <w:sz w:val="22"/>
          <w:szCs w:val="22"/>
        </w:rPr>
        <w:footnoteReference w:id="51"/>
      </w:r>
      <w:r w:rsidRPr="00864980" w:rsidR="007F4D19">
        <w:rPr>
          <w:szCs w:val="22"/>
        </w:rPr>
        <w:t xml:space="preserve"> </w:t>
      </w:r>
      <w:r w:rsidR="00BE4C1A">
        <w:rPr>
          <w:szCs w:val="22"/>
        </w:rPr>
        <w:t xml:space="preserve"> </w:t>
      </w:r>
      <w:r w:rsidR="001B250B">
        <w:rPr>
          <w:szCs w:val="22"/>
        </w:rPr>
        <w:t xml:space="preserve">Similarly, </w:t>
      </w:r>
      <w:r w:rsidR="00DA2EFF">
        <w:rPr>
          <w:szCs w:val="22"/>
        </w:rPr>
        <w:t>Complain</w:t>
      </w:r>
      <w:r w:rsidR="00231E34">
        <w:rPr>
          <w:szCs w:val="22"/>
        </w:rPr>
        <w:t>ants</w:t>
      </w:r>
      <w:r w:rsidR="001B250B">
        <w:rPr>
          <w:szCs w:val="22"/>
        </w:rPr>
        <w:t xml:space="preserve"> provide no specific information supporting the allegation that, for years, </w:t>
      </w:r>
      <w:r w:rsidR="00231E34">
        <w:rPr>
          <w:szCs w:val="22"/>
        </w:rPr>
        <w:t>their</w:t>
      </w:r>
      <w:r w:rsidR="001B250B">
        <w:rPr>
          <w:szCs w:val="22"/>
        </w:rPr>
        <w:t xml:space="preserve"> service </w:t>
      </w:r>
      <w:r w:rsidRPr="00864980" w:rsidR="001174D1">
        <w:rPr>
          <w:szCs w:val="22"/>
        </w:rPr>
        <w:t>was “degraded,” “inadequate,” or “failed to meet the legal standards for service access.”</w:t>
      </w:r>
      <w:r>
        <w:rPr>
          <w:rStyle w:val="FootnoteReference"/>
          <w:sz w:val="22"/>
          <w:szCs w:val="22"/>
        </w:rPr>
        <w:footnoteReference w:id="52"/>
      </w:r>
      <w:r w:rsidR="00AC086F">
        <w:rPr>
          <w:szCs w:val="22"/>
        </w:rPr>
        <w:t xml:space="preserve">  </w:t>
      </w:r>
      <w:r w:rsidR="00256BFB">
        <w:rPr>
          <w:szCs w:val="22"/>
        </w:rPr>
        <w:t>No</w:t>
      </w:r>
      <w:r w:rsidR="005A2A7A">
        <w:rPr>
          <w:szCs w:val="22"/>
        </w:rPr>
        <w:t xml:space="preserve"> defendant</w:t>
      </w:r>
      <w:r w:rsidR="00BE4C1A">
        <w:rPr>
          <w:szCs w:val="22"/>
        </w:rPr>
        <w:t xml:space="preserve"> </w:t>
      </w:r>
      <w:r w:rsidR="005A2A7A">
        <w:rPr>
          <w:szCs w:val="22"/>
        </w:rPr>
        <w:t>could</w:t>
      </w:r>
      <w:r w:rsidR="00BE4C1A">
        <w:rPr>
          <w:szCs w:val="22"/>
        </w:rPr>
        <w:t xml:space="preserve"> reasonably be expected to answer such overbroad </w:t>
      </w:r>
      <w:r w:rsidR="00AC086F">
        <w:rPr>
          <w:szCs w:val="22"/>
        </w:rPr>
        <w:t>a</w:t>
      </w:r>
      <w:r w:rsidR="00256BFB">
        <w:rPr>
          <w:szCs w:val="22"/>
        </w:rPr>
        <w:t>llegat</w:t>
      </w:r>
      <w:r w:rsidR="00490DC7">
        <w:rPr>
          <w:szCs w:val="22"/>
        </w:rPr>
        <w:t>ion</w:t>
      </w:r>
      <w:r w:rsidR="004A2352">
        <w:rPr>
          <w:szCs w:val="22"/>
        </w:rPr>
        <w:t>s.</w:t>
      </w:r>
      <w:bookmarkEnd w:id="10"/>
      <w:r w:rsidR="00AC086F">
        <w:rPr>
          <w:szCs w:val="22"/>
        </w:rPr>
        <w:t xml:space="preserve">  </w:t>
      </w:r>
      <w:r w:rsidRPr="00864980" w:rsidR="00010D5E">
        <w:rPr>
          <w:szCs w:val="22"/>
        </w:rPr>
        <w:t xml:space="preserve"> </w:t>
      </w:r>
    </w:p>
    <w:p w:rsidR="00BC74B7" w:rsidRPr="00864980" w:rsidP="00282190" w14:paraId="13F3E25E" w14:textId="4F87B976">
      <w:pPr>
        <w:pStyle w:val="ParaNum"/>
        <w:widowControl/>
        <w:tabs>
          <w:tab w:val="clear" w:pos="1080"/>
        </w:tabs>
        <w:rPr>
          <w:szCs w:val="22"/>
        </w:rPr>
      </w:pPr>
      <w:r w:rsidRPr="00864980">
        <w:rPr>
          <w:szCs w:val="22"/>
        </w:rPr>
        <w:t xml:space="preserve">Thus, we dismiss the Complaint with </w:t>
      </w:r>
      <w:r w:rsidRPr="005A4BD3">
        <w:rPr>
          <w:snapToGrid/>
          <w:szCs w:val="22"/>
        </w:rPr>
        <w:t>prejudice</w:t>
      </w:r>
      <w:r w:rsidRPr="00864980">
        <w:rPr>
          <w:szCs w:val="22"/>
        </w:rPr>
        <w:t xml:space="preserve">.  The Commission does not have jurisdiction under section 208 of the Act to </w:t>
      </w:r>
      <w:r w:rsidRPr="00864980" w:rsidR="00AF3E96">
        <w:rPr>
          <w:szCs w:val="22"/>
        </w:rPr>
        <w:t xml:space="preserve">adjudicate Complainants’ claims </w:t>
      </w:r>
      <w:r w:rsidR="00A01350">
        <w:rPr>
          <w:szCs w:val="22"/>
        </w:rPr>
        <w:t xml:space="preserve">because </w:t>
      </w:r>
      <w:r w:rsidR="003111C0">
        <w:rPr>
          <w:szCs w:val="22"/>
        </w:rPr>
        <w:t xml:space="preserve">Verizon </w:t>
      </w:r>
      <w:r w:rsidR="000A2796">
        <w:rPr>
          <w:szCs w:val="22"/>
        </w:rPr>
        <w:t>PA</w:t>
      </w:r>
      <w:r w:rsidR="00A01350">
        <w:rPr>
          <w:szCs w:val="22"/>
        </w:rPr>
        <w:t xml:space="preserve"> d</w:t>
      </w:r>
      <w:r w:rsidR="00832E5F">
        <w:rPr>
          <w:szCs w:val="22"/>
        </w:rPr>
        <w:t>id</w:t>
      </w:r>
      <w:r w:rsidR="00A01350">
        <w:rPr>
          <w:szCs w:val="22"/>
        </w:rPr>
        <w:t xml:space="preserve"> not provide interstate or foreign telecommunications service</w:t>
      </w:r>
      <w:r w:rsidR="00832E5F">
        <w:rPr>
          <w:szCs w:val="22"/>
        </w:rPr>
        <w:t xml:space="preserve"> to </w:t>
      </w:r>
      <w:r w:rsidR="00A064A0">
        <w:rPr>
          <w:szCs w:val="22"/>
        </w:rPr>
        <w:t xml:space="preserve">the </w:t>
      </w:r>
      <w:r w:rsidR="00832E5F">
        <w:rPr>
          <w:szCs w:val="22"/>
        </w:rPr>
        <w:t>Complainants</w:t>
      </w:r>
      <w:r w:rsidRPr="00864980">
        <w:rPr>
          <w:szCs w:val="22"/>
        </w:rPr>
        <w:t>.</w:t>
      </w:r>
      <w:bookmarkEnd w:id="11"/>
      <w:r w:rsidR="00881397">
        <w:rPr>
          <w:szCs w:val="22"/>
        </w:rPr>
        <w:t xml:space="preserve"> </w:t>
      </w:r>
    </w:p>
    <w:p w:rsidR="00C0210E" w:rsidRPr="005A079E" w:rsidP="00282190" w14:paraId="614865A8" w14:textId="399FBAF5">
      <w:pPr>
        <w:pStyle w:val="Heading1"/>
        <w:widowControl/>
        <w:rPr>
          <w:rFonts w:ascii="Times New Roman" w:hAnsi="Times New Roman"/>
          <w:szCs w:val="22"/>
        </w:rPr>
      </w:pPr>
      <w:r w:rsidRPr="005A079E">
        <w:rPr>
          <w:rFonts w:ascii="Times New Roman" w:hAnsi="Times New Roman"/>
          <w:szCs w:val="22"/>
        </w:rPr>
        <w:t>ordering clause</w:t>
      </w:r>
    </w:p>
    <w:p w:rsidR="00C0210E" w:rsidRPr="005A079E" w:rsidP="00282190" w14:paraId="3170BDA4" w14:textId="4F910A35">
      <w:pPr>
        <w:pStyle w:val="ParaNum"/>
        <w:widowControl/>
        <w:tabs>
          <w:tab w:val="clear" w:pos="1080"/>
        </w:tabs>
        <w:rPr>
          <w:szCs w:val="22"/>
        </w:rPr>
      </w:pPr>
      <w:r w:rsidRPr="005A079E">
        <w:rPr>
          <w:szCs w:val="22"/>
        </w:rPr>
        <w:t xml:space="preserve">Accordingly, pursuant to </w:t>
      </w:r>
      <w:r w:rsidRPr="005A4BD3">
        <w:rPr>
          <w:snapToGrid/>
          <w:szCs w:val="22"/>
        </w:rPr>
        <w:t>sections</w:t>
      </w:r>
      <w:r w:rsidRPr="005A079E">
        <w:rPr>
          <w:szCs w:val="22"/>
        </w:rPr>
        <w:t xml:space="preserve"> </w:t>
      </w:r>
      <w:r w:rsidR="00F21609">
        <w:rPr>
          <w:szCs w:val="22"/>
        </w:rPr>
        <w:t xml:space="preserve">3, </w:t>
      </w:r>
      <w:r w:rsidRPr="005A079E">
        <w:rPr>
          <w:szCs w:val="22"/>
        </w:rPr>
        <w:t>4(</w:t>
      </w:r>
      <w:r w:rsidRPr="005A079E">
        <w:rPr>
          <w:szCs w:val="22"/>
        </w:rPr>
        <w:t>i</w:t>
      </w:r>
      <w:r w:rsidRPr="005A079E">
        <w:rPr>
          <w:szCs w:val="22"/>
        </w:rPr>
        <w:t>), 4(j)</w:t>
      </w:r>
      <w:r w:rsidR="000B3156">
        <w:rPr>
          <w:szCs w:val="22"/>
        </w:rPr>
        <w:t xml:space="preserve">, and </w:t>
      </w:r>
      <w:r w:rsidRPr="005A079E">
        <w:rPr>
          <w:szCs w:val="22"/>
        </w:rPr>
        <w:t>2</w:t>
      </w:r>
      <w:r w:rsidRPr="005A079E" w:rsidR="00BD0493">
        <w:rPr>
          <w:szCs w:val="22"/>
        </w:rPr>
        <w:t>08</w:t>
      </w:r>
      <w:r w:rsidRPr="005A079E">
        <w:rPr>
          <w:szCs w:val="22"/>
        </w:rPr>
        <w:t xml:space="preserve"> of the Communications Act, 47 U.S.C. §§ </w:t>
      </w:r>
      <w:r w:rsidR="004B7F4A">
        <w:rPr>
          <w:szCs w:val="22"/>
        </w:rPr>
        <w:t xml:space="preserve">153, </w:t>
      </w:r>
      <w:r w:rsidR="00F21609">
        <w:rPr>
          <w:szCs w:val="22"/>
        </w:rPr>
        <w:t xml:space="preserve">154, </w:t>
      </w:r>
      <w:r w:rsidRPr="005A079E">
        <w:rPr>
          <w:szCs w:val="22"/>
        </w:rPr>
        <w:t>154(</w:t>
      </w:r>
      <w:r w:rsidRPr="005A079E">
        <w:rPr>
          <w:szCs w:val="22"/>
        </w:rPr>
        <w:t>i</w:t>
      </w:r>
      <w:r w:rsidRPr="005A079E">
        <w:rPr>
          <w:szCs w:val="22"/>
        </w:rPr>
        <w:t>), 154(j), and 2</w:t>
      </w:r>
      <w:r w:rsidRPr="005A079E" w:rsidR="00BD0493">
        <w:rPr>
          <w:szCs w:val="22"/>
        </w:rPr>
        <w:t>08</w:t>
      </w:r>
      <w:r w:rsidRPr="005A079E">
        <w:rPr>
          <w:szCs w:val="22"/>
        </w:rPr>
        <w:t xml:space="preserve">, and sections 0.111, 0.311, </w:t>
      </w:r>
      <w:r w:rsidR="000E4DF9">
        <w:rPr>
          <w:szCs w:val="22"/>
        </w:rPr>
        <w:t xml:space="preserve">and </w:t>
      </w:r>
      <w:r w:rsidRPr="005A079E">
        <w:rPr>
          <w:szCs w:val="22"/>
        </w:rPr>
        <w:t>1.72</w:t>
      </w:r>
      <w:r w:rsidRPr="005A079E" w:rsidR="005017F5">
        <w:rPr>
          <w:szCs w:val="22"/>
        </w:rPr>
        <w:t>0-</w:t>
      </w:r>
      <w:r w:rsidR="004B7F4A">
        <w:rPr>
          <w:szCs w:val="22"/>
        </w:rPr>
        <w:t>1.740</w:t>
      </w:r>
      <w:r w:rsidRPr="005A079E">
        <w:rPr>
          <w:szCs w:val="22"/>
        </w:rPr>
        <w:t xml:space="preserve"> of the Commission’s rules, 47 CFR §§ 0.111, 0.311, </w:t>
      </w:r>
      <w:r w:rsidR="000E4DF9">
        <w:rPr>
          <w:szCs w:val="22"/>
        </w:rPr>
        <w:t xml:space="preserve">and </w:t>
      </w:r>
      <w:r w:rsidRPr="005A079E">
        <w:rPr>
          <w:szCs w:val="22"/>
        </w:rPr>
        <w:t>1.72</w:t>
      </w:r>
      <w:r w:rsidR="00675E07">
        <w:rPr>
          <w:szCs w:val="22"/>
        </w:rPr>
        <w:t>0-</w:t>
      </w:r>
      <w:r w:rsidR="004B7F4A">
        <w:rPr>
          <w:szCs w:val="22"/>
        </w:rPr>
        <w:t>1.740</w:t>
      </w:r>
      <w:r w:rsidRPr="005A079E">
        <w:rPr>
          <w:szCs w:val="22"/>
        </w:rPr>
        <w:t xml:space="preserve">, the Complaint is </w:t>
      </w:r>
      <w:r w:rsidRPr="005A079E" w:rsidR="00FC2F3F">
        <w:rPr>
          <w:b/>
          <w:bCs/>
          <w:szCs w:val="22"/>
        </w:rPr>
        <w:t xml:space="preserve">DISMISSED WITH PREJUDICE </w:t>
      </w:r>
      <w:r w:rsidRPr="005A079E" w:rsidR="00D61C54">
        <w:rPr>
          <w:szCs w:val="22"/>
        </w:rPr>
        <w:t xml:space="preserve">and </w:t>
      </w:r>
      <w:r w:rsidRPr="005A079E" w:rsidR="00D4168B">
        <w:rPr>
          <w:szCs w:val="22"/>
        </w:rPr>
        <w:t xml:space="preserve">this proceeding is </w:t>
      </w:r>
      <w:r w:rsidRPr="005A079E" w:rsidR="00D4168B">
        <w:rPr>
          <w:b/>
          <w:bCs/>
          <w:szCs w:val="22"/>
        </w:rPr>
        <w:t>TERMINATED</w:t>
      </w:r>
      <w:r w:rsidRPr="005A079E">
        <w:rPr>
          <w:szCs w:val="22"/>
        </w:rPr>
        <w:t>.</w:t>
      </w:r>
    </w:p>
    <w:p w:rsidR="00C0210E" w:rsidRPr="005A079E" w:rsidP="00282190" w14:paraId="4D280DBA" w14:textId="77777777">
      <w:pPr>
        <w:widowControl/>
        <w:rPr>
          <w:szCs w:val="22"/>
        </w:rPr>
      </w:pPr>
    </w:p>
    <w:p w:rsidR="00C0210E" w:rsidRPr="005A079E" w:rsidP="00C0210E" w14:paraId="14A3678C" w14:textId="77777777">
      <w:pPr>
        <w:rPr>
          <w:szCs w:val="22"/>
        </w:rPr>
      </w:pPr>
      <w:r w:rsidRPr="005A079E">
        <w:rPr>
          <w:szCs w:val="22"/>
        </w:rPr>
        <w:t xml:space="preserve">                                          </w:t>
      </w:r>
      <w:r w:rsidRPr="005A079E">
        <w:rPr>
          <w:szCs w:val="22"/>
        </w:rPr>
        <w:tab/>
      </w:r>
      <w:r w:rsidRPr="005A079E">
        <w:rPr>
          <w:szCs w:val="22"/>
        </w:rPr>
        <w:tab/>
      </w:r>
      <w:r w:rsidRPr="005A079E">
        <w:rPr>
          <w:szCs w:val="22"/>
        </w:rPr>
        <w:tab/>
        <w:t>FEDERAL COMMUNICATIONS COMMISSION</w:t>
      </w:r>
    </w:p>
    <w:p w:rsidR="00C0210E" w:rsidRPr="005A079E" w:rsidP="00C0210E" w14:paraId="2915EC2C" w14:textId="77777777">
      <w:pPr>
        <w:rPr>
          <w:szCs w:val="22"/>
        </w:rPr>
      </w:pPr>
    </w:p>
    <w:p w:rsidR="00C0210E" w:rsidP="00C0210E" w14:paraId="49121240" w14:textId="260294B6">
      <w:pPr>
        <w:rPr>
          <w:szCs w:val="22"/>
        </w:rPr>
      </w:pPr>
    </w:p>
    <w:p w:rsidR="00285FC3" w:rsidRPr="005A079E" w:rsidP="00C0210E" w14:paraId="4C0FC263" w14:textId="77777777">
      <w:pPr>
        <w:rPr>
          <w:szCs w:val="22"/>
        </w:rPr>
      </w:pPr>
    </w:p>
    <w:p w:rsidR="00C0210E" w:rsidRPr="005A079E" w:rsidP="00C0210E" w14:paraId="5552F8EA" w14:textId="050EDEBB">
      <w:pPr>
        <w:rPr>
          <w:szCs w:val="22"/>
        </w:rPr>
      </w:pPr>
      <w:r w:rsidRPr="005A079E">
        <w:rPr>
          <w:szCs w:val="22"/>
        </w:rPr>
        <w:tab/>
      </w:r>
      <w:r w:rsidRPr="005A079E">
        <w:rPr>
          <w:szCs w:val="22"/>
        </w:rPr>
        <w:tab/>
      </w:r>
      <w:r w:rsidRPr="005A079E">
        <w:rPr>
          <w:szCs w:val="22"/>
        </w:rPr>
        <w:tab/>
      </w:r>
      <w:r w:rsidRPr="005A079E">
        <w:rPr>
          <w:szCs w:val="22"/>
        </w:rPr>
        <w:tab/>
      </w:r>
      <w:r w:rsidRPr="005A079E">
        <w:rPr>
          <w:szCs w:val="22"/>
        </w:rPr>
        <w:tab/>
      </w:r>
      <w:r w:rsidRPr="005A079E">
        <w:rPr>
          <w:szCs w:val="22"/>
        </w:rPr>
        <w:tab/>
      </w:r>
      <w:r w:rsidR="004C1830">
        <w:rPr>
          <w:szCs w:val="22"/>
        </w:rPr>
        <w:t xml:space="preserve">Loyaan </w:t>
      </w:r>
      <w:r w:rsidR="00A064A0">
        <w:rPr>
          <w:szCs w:val="22"/>
        </w:rPr>
        <w:t xml:space="preserve">A. </w:t>
      </w:r>
      <w:r w:rsidR="004C1830">
        <w:rPr>
          <w:szCs w:val="22"/>
        </w:rPr>
        <w:t>Egal</w:t>
      </w:r>
    </w:p>
    <w:p w:rsidR="00C0210E" w:rsidRPr="005A079E" w:rsidP="00C0210E" w14:paraId="6B2416C7" w14:textId="5C3AE541">
      <w:pPr>
        <w:rPr>
          <w:szCs w:val="22"/>
        </w:rPr>
      </w:pPr>
      <w:r w:rsidRPr="005A079E">
        <w:rPr>
          <w:szCs w:val="22"/>
        </w:rPr>
        <w:t xml:space="preserve">                                                              </w:t>
      </w:r>
      <w:r w:rsidRPr="005A079E">
        <w:rPr>
          <w:szCs w:val="22"/>
        </w:rPr>
        <w:tab/>
      </w:r>
      <w:r w:rsidRPr="005A079E">
        <w:rPr>
          <w:szCs w:val="22"/>
        </w:rPr>
        <w:tab/>
      </w:r>
      <w:r w:rsidR="00A064A0">
        <w:rPr>
          <w:szCs w:val="22"/>
        </w:rPr>
        <w:t xml:space="preserve">Acting </w:t>
      </w:r>
      <w:r w:rsidRPr="005A079E">
        <w:rPr>
          <w:szCs w:val="22"/>
        </w:rPr>
        <w:t>Chief</w:t>
      </w:r>
    </w:p>
    <w:p w:rsidR="00412FC5" w:rsidRPr="00C0210E" w:rsidP="00C0210E" w14:paraId="024127C7" w14:textId="5FF87A77">
      <w:r w:rsidRPr="005A079E">
        <w:rPr>
          <w:szCs w:val="22"/>
        </w:rPr>
        <w:tab/>
      </w:r>
      <w:r w:rsidRPr="005A079E">
        <w:rPr>
          <w:szCs w:val="22"/>
        </w:rPr>
        <w:tab/>
      </w:r>
      <w:r w:rsidRPr="005A079E">
        <w:rPr>
          <w:szCs w:val="22"/>
        </w:rPr>
        <w:tab/>
      </w:r>
      <w:r w:rsidRPr="005A079E">
        <w:rPr>
          <w:szCs w:val="22"/>
        </w:rPr>
        <w:tab/>
      </w:r>
      <w:r w:rsidRPr="005A079E">
        <w:rPr>
          <w:szCs w:val="22"/>
        </w:rPr>
        <w:tab/>
      </w:r>
      <w:r w:rsidRPr="005A079E">
        <w:rPr>
          <w:szCs w:val="22"/>
        </w:rPr>
        <w:tab/>
        <w:t>Enforcement Bureau</w:t>
      </w:r>
    </w:p>
    <w:sectPr w:rsidSect="0055614C"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endnotePr>
        <w:numFmt w:val="decimal"/>
      </w:endnotePr>
      <w:pgSz w:w="12240" w:h="15840"/>
      <w:pgMar w:top="1440" w:right="1440" w:bottom="720" w:left="1440" w:header="720" w:footer="720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:rsidP="0055614C" w14:paraId="7F9F83BD" w14:textId="77777777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fldChar w:fldCharType="end"/>
    </w:r>
  </w:p>
  <w:p w:rsidR="00D25FB5" w14:paraId="258DDD93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:rsidP="00282190" w14:paraId="5F317D8D" w14:textId="636F8454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14:paraId="7249884C" w14:textId="77777777">
    <w:pPr>
      <w:pStyle w:val="Footer"/>
      <w:tabs>
        <w:tab w:val="clear" w:pos="86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6E2F34" w14:paraId="26F53D7D" w14:textId="77777777">
      <w:r>
        <w:separator/>
      </w:r>
    </w:p>
  </w:footnote>
  <w:footnote w:type="continuationSeparator" w:id="1">
    <w:p w:rsidR="006E2F34" w:rsidP="00C721AC" w14:paraId="4C82D796" w14:textId="77777777">
      <w:pPr>
        <w:spacing w:before="120"/>
        <w:rPr>
          <w:sz w:val="20"/>
        </w:rPr>
      </w:pPr>
      <w:r>
        <w:rPr>
          <w:sz w:val="20"/>
        </w:rPr>
        <w:t xml:space="preserve">(Continued from previous page)  </w:t>
      </w:r>
      <w:r>
        <w:rPr>
          <w:sz w:val="20"/>
        </w:rPr>
        <w:separator/>
      </w:r>
    </w:p>
  </w:footnote>
  <w:footnote w:type="continuationNotice" w:id="2">
    <w:p w:rsidR="006E2F34" w:rsidP="00C721AC" w14:paraId="4AEDF544" w14:textId="77777777">
      <w:pPr>
        <w:jc w:val="right"/>
        <w:rPr>
          <w:sz w:val="20"/>
        </w:rPr>
      </w:pPr>
      <w:r>
        <w:rPr>
          <w:sz w:val="20"/>
        </w:rPr>
        <w:t>(continued….)</w:t>
      </w:r>
    </w:p>
  </w:footnote>
  <w:footnote w:id="3">
    <w:p w:rsidR="00DE0A8D" w:rsidP="00DE0A8D" w14:paraId="079C40BE" w14:textId="32CE620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3111C0">
        <w:t>Verizon</w:t>
      </w:r>
      <w:r>
        <w:t xml:space="preserve"> Pennsylvania LLC’s Motion to Dismiss, Proceeding No. 22-135, Bureau I</w:t>
      </w:r>
      <w:r w:rsidR="00DD03DA">
        <w:t>D</w:t>
      </w:r>
      <w:r>
        <w:t xml:space="preserve"> No. EB-22-MD-001 (filed May 4, 2022) (Motion).  </w:t>
      </w:r>
      <w:r w:rsidRPr="00DE0A8D">
        <w:rPr>
          <w:i/>
          <w:iCs/>
        </w:rPr>
        <w:t>See id</w:t>
      </w:r>
      <w:r>
        <w:t>. at 2, 6 (</w:t>
      </w:r>
      <w:r w:rsidR="003111C0">
        <w:t xml:space="preserve">Verizon </w:t>
      </w:r>
      <w:r w:rsidR="00DD03DA">
        <w:t>PA</w:t>
      </w:r>
      <w:r>
        <w:t xml:space="preserve"> only provided intrastate services).  </w:t>
      </w:r>
    </w:p>
  </w:footnote>
  <w:footnote w:id="4">
    <w:p w:rsidR="00260B2C" w:rsidP="00260B2C" w14:paraId="444383E6" w14:textId="25AD7872">
      <w:pPr>
        <w:pStyle w:val="FootnoteText"/>
      </w:pPr>
      <w:r>
        <w:rPr>
          <w:rStyle w:val="FootnoteReference"/>
        </w:rPr>
        <w:footnoteRef/>
      </w:r>
      <w:r>
        <w:t xml:space="preserve"> Formal Complaint, Proceeding No. 22-135, Bureau I</w:t>
      </w:r>
      <w:r w:rsidR="0062693B">
        <w:t>D</w:t>
      </w:r>
      <w:r>
        <w:t xml:space="preserve"> No. EB-22-MD-001 (filed Mar. </w:t>
      </w:r>
      <w:r w:rsidRPr="009109ED">
        <w:t>18</w:t>
      </w:r>
      <w:r>
        <w:t>, 2022)</w:t>
      </w:r>
      <w:r w:rsidR="004056F4">
        <w:t xml:space="preserve"> (Complaint).</w:t>
      </w:r>
      <w:r w:rsidR="00311DEB">
        <w:t xml:space="preserve">  While the Complaint names “Verizon of Pennsylvania, LLC,” Verizon </w:t>
      </w:r>
      <w:r w:rsidR="0062693B">
        <w:t>PA</w:t>
      </w:r>
      <w:r w:rsidR="00311DEB">
        <w:t xml:space="preserve"> states that </w:t>
      </w:r>
      <w:r w:rsidR="0062693B">
        <w:t>the correct</w:t>
      </w:r>
      <w:r w:rsidR="00311DEB">
        <w:t xml:space="preserve"> name is “Verizon Pennsylvania LLC.”  Motion at 1 n.1.</w:t>
      </w:r>
      <w:r>
        <w:t xml:space="preserve">        </w:t>
      </w:r>
    </w:p>
  </w:footnote>
  <w:footnote w:id="5">
    <w:p w:rsidR="000D7AC6" w:rsidP="000D7AC6" w14:paraId="6FDEFEF4" w14:textId="21B5EECE">
      <w:pPr>
        <w:pStyle w:val="FootnoteText"/>
      </w:pPr>
      <w:r>
        <w:rPr>
          <w:rStyle w:val="FootnoteReference"/>
        </w:rPr>
        <w:footnoteRef/>
      </w:r>
      <w:r>
        <w:t xml:space="preserve"> 47 U.S.C. </w:t>
      </w:r>
      <w:r w:rsidRPr="1D1DEB0C">
        <w:t>§</w:t>
      </w:r>
      <w:r>
        <w:t xml:space="preserve"> 208.</w:t>
      </w:r>
      <w:r w:rsidR="00DE7DB1">
        <w:t xml:space="preserve">  </w:t>
      </w:r>
      <w:r w:rsidRPr="00DE7DB1" w:rsidR="00DE7DB1">
        <w:rPr>
          <w:i/>
          <w:iCs/>
        </w:rPr>
        <w:t>See</w:t>
      </w:r>
      <w:r w:rsidR="00DE7DB1">
        <w:t xml:space="preserve"> Complaint </w:t>
      </w:r>
      <w:r w:rsidR="00DE7DB1">
        <w:t>Exh</w:t>
      </w:r>
      <w:r w:rsidR="00DE7DB1">
        <w:t xml:space="preserve">. </w:t>
      </w:r>
      <w:r w:rsidR="00B76628">
        <w:t xml:space="preserve">1 (Wyckoff </w:t>
      </w:r>
      <w:r w:rsidR="00B76628">
        <w:t>Aff</w:t>
      </w:r>
      <w:r w:rsidR="00B76628">
        <w:t xml:space="preserve">.) at 1, para. 1. </w:t>
      </w:r>
    </w:p>
  </w:footnote>
  <w:footnote w:id="6">
    <w:p w:rsidR="0032397A" w:rsidP="0032397A" w14:paraId="74B3FB76" w14:textId="21B5CC40">
      <w:pPr>
        <w:pStyle w:val="FootnoteText"/>
      </w:pPr>
      <w:r>
        <w:rPr>
          <w:rStyle w:val="FootnoteReference"/>
        </w:rPr>
        <w:footnoteRef/>
      </w:r>
      <w:r>
        <w:t xml:space="preserve">  </w:t>
      </w:r>
      <w:r w:rsidRPr="00DD2FB6">
        <w:rPr>
          <w:i/>
          <w:iCs/>
        </w:rPr>
        <w:t>See</w:t>
      </w:r>
      <w:r>
        <w:t xml:space="preserve"> Motion at 2</w:t>
      </w:r>
      <w:r>
        <w:rPr>
          <w:i/>
          <w:iCs/>
        </w:rPr>
        <w:t xml:space="preserve">; </w:t>
      </w:r>
      <w:r w:rsidRPr="00431F13">
        <w:t xml:space="preserve">Complainants’ Concurrently Filed Motions [in] Opposition to Dismissal and </w:t>
      </w:r>
      <w:r w:rsidR="000D3E0F">
        <w:t xml:space="preserve">a </w:t>
      </w:r>
      <w:r w:rsidRPr="00431F13">
        <w:t>Motion for Decision, Proceeding No. 22-135, Bureau I</w:t>
      </w:r>
      <w:r w:rsidR="001E3FB8">
        <w:t>D</w:t>
      </w:r>
      <w:r w:rsidRPr="00431F13">
        <w:t xml:space="preserve"> No. EB-22-MD-001 (filed June 6, 2022) (Opposition)</w:t>
      </w:r>
      <w:r>
        <w:t xml:space="preserve"> at </w:t>
      </w:r>
      <w:r>
        <w:t>Exhs</w:t>
      </w:r>
      <w:r>
        <w:t>. Z</w:t>
      </w:r>
      <w:r w:rsidR="009109ED">
        <w:t xml:space="preserve"> and attached</w:t>
      </w:r>
      <w:r>
        <w:t xml:space="preserve"> </w:t>
      </w:r>
      <w:r w:rsidR="003111C0">
        <w:t xml:space="preserve">Verizon </w:t>
      </w:r>
      <w:r w:rsidR="00A9397C">
        <w:t xml:space="preserve">bill dated </w:t>
      </w:r>
      <w:r>
        <w:t xml:space="preserve">June 3, 2020 at 5.  </w:t>
      </w:r>
    </w:p>
  </w:footnote>
  <w:footnote w:id="7">
    <w:p w:rsidR="00690D51" w:rsidRPr="00431F13" w:rsidP="00690D51" w14:paraId="7F31609B" w14:textId="0E1752FD">
      <w:pPr>
        <w:pStyle w:val="FootnoteText"/>
      </w:pPr>
      <w:r w:rsidRPr="00431F13">
        <w:rPr>
          <w:rStyle w:val="FootnoteReference"/>
        </w:rPr>
        <w:footnoteRef/>
      </w:r>
      <w:r w:rsidRPr="00431F13">
        <w:t xml:space="preserve"> </w:t>
      </w:r>
      <w:r w:rsidRPr="00431F13">
        <w:rPr>
          <w:i/>
          <w:iCs/>
        </w:rPr>
        <w:t>See</w:t>
      </w:r>
      <w:r w:rsidRPr="00431F13">
        <w:t xml:space="preserve"> Complaint at 23-33, paras. 204-33; Motion at 3.                                </w:t>
      </w:r>
    </w:p>
  </w:footnote>
  <w:footnote w:id="8">
    <w:p w:rsidR="00F86721" w14:paraId="7D63560E" w14:textId="241727F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0A4605">
        <w:rPr>
          <w:i/>
          <w:iCs/>
        </w:rPr>
        <w:t>See</w:t>
      </w:r>
      <w:r>
        <w:t xml:space="preserve"> Complaint </w:t>
      </w:r>
      <w:r>
        <w:t>Exh</w:t>
      </w:r>
      <w:r>
        <w:t>. A (</w:t>
      </w:r>
      <w:r w:rsidRPr="000A4605">
        <w:rPr>
          <w:i/>
          <w:iCs/>
        </w:rPr>
        <w:t>Chailla</w:t>
      </w:r>
      <w:r w:rsidRPr="000A4605">
        <w:rPr>
          <w:i/>
          <w:iCs/>
        </w:rPr>
        <w:t xml:space="preserve"> v. </w:t>
      </w:r>
      <w:r w:rsidR="003111C0">
        <w:rPr>
          <w:i/>
          <w:iCs/>
        </w:rPr>
        <w:t>Verizon</w:t>
      </w:r>
      <w:r w:rsidRPr="000A4605">
        <w:rPr>
          <w:i/>
          <w:iCs/>
        </w:rPr>
        <w:t xml:space="preserve"> Pennsylvania LLC</w:t>
      </w:r>
      <w:r w:rsidR="000A4605">
        <w:t xml:space="preserve">, Order, </w:t>
      </w:r>
      <w:r w:rsidR="007739FE">
        <w:t xml:space="preserve">No. </w:t>
      </w:r>
      <w:r>
        <w:t>C-2019-3008691 (P</w:t>
      </w:r>
      <w:r w:rsidR="000A4605">
        <w:t xml:space="preserve">a. </w:t>
      </w:r>
      <w:r>
        <w:t>PUC Mar.</w:t>
      </w:r>
      <w:r w:rsidR="000A4605">
        <w:t xml:space="preserve"> 31, 2020)</w:t>
      </w:r>
      <w:r w:rsidR="00D1533E">
        <w:t xml:space="preserve"> </w:t>
      </w:r>
      <w:r w:rsidR="00CC4C8B">
        <w:t>(</w:t>
      </w:r>
      <w:r w:rsidRPr="00CC4C8B" w:rsidR="00CC4C8B">
        <w:rPr>
          <w:i/>
          <w:iCs/>
        </w:rPr>
        <w:t>PUC Order</w:t>
      </w:r>
      <w:r w:rsidR="00CC4C8B">
        <w:t>)</w:t>
      </w:r>
      <w:r w:rsidR="00D1533E">
        <w:t>)</w:t>
      </w:r>
      <w:r w:rsidR="00CC4C8B">
        <w:t xml:space="preserve"> </w:t>
      </w:r>
      <w:r w:rsidR="000A4605">
        <w:t>at 5.</w:t>
      </w:r>
      <w:r>
        <w:t xml:space="preserve">  </w:t>
      </w:r>
    </w:p>
  </w:footnote>
  <w:footnote w:id="9">
    <w:p w:rsidR="00F86721" w14:paraId="42062908" w14:textId="00F0E40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0A4605" w:rsidR="00AA582C">
        <w:rPr>
          <w:i/>
          <w:iCs/>
        </w:rPr>
        <w:t>See</w:t>
      </w:r>
      <w:r w:rsidR="00AA582C">
        <w:t xml:space="preserve"> Complaint </w:t>
      </w:r>
      <w:r w:rsidR="00AA582C">
        <w:t>Exh</w:t>
      </w:r>
      <w:r w:rsidR="00AA582C">
        <w:t>. A</w:t>
      </w:r>
      <w:r w:rsidR="00260B2C">
        <w:t xml:space="preserve"> (</w:t>
      </w:r>
      <w:r w:rsidRPr="00260B2C" w:rsidR="00260B2C">
        <w:rPr>
          <w:i/>
          <w:iCs/>
        </w:rPr>
        <w:t>PUC Order</w:t>
      </w:r>
      <w:r w:rsidR="00260B2C">
        <w:t>)</w:t>
      </w:r>
      <w:r w:rsidR="00AA582C">
        <w:t xml:space="preserve">.  </w:t>
      </w:r>
    </w:p>
  </w:footnote>
  <w:footnote w:id="10">
    <w:p w:rsidR="00957D4A" w:rsidRPr="009E73CB" w:rsidP="00957D4A" w14:paraId="41370DBB" w14:textId="7D88620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2612E2">
        <w:rPr>
          <w:i/>
          <w:iCs/>
        </w:rPr>
        <w:t xml:space="preserve">See </w:t>
      </w:r>
      <w:r w:rsidRPr="003B5F0F" w:rsidR="003B5F0F">
        <w:t>Motion at 4</w:t>
      </w:r>
      <w:r w:rsidR="003B5F0F">
        <w:rPr>
          <w:i/>
          <w:iCs/>
        </w:rPr>
        <w:t xml:space="preserve"> </w:t>
      </w:r>
      <w:r w:rsidRPr="00652C8D" w:rsidR="003B5F0F">
        <w:t>(</w:t>
      </w:r>
      <w:r w:rsidRPr="003B5F0F" w:rsidR="003B5F0F">
        <w:t>citing</w:t>
      </w:r>
      <w:r w:rsidR="003B5F0F">
        <w:rPr>
          <w:i/>
          <w:iCs/>
        </w:rPr>
        <w:t xml:space="preserve"> </w:t>
      </w:r>
      <w:r w:rsidRPr="002612E2">
        <w:rPr>
          <w:i/>
          <w:iCs/>
        </w:rPr>
        <w:t>Chailla</w:t>
      </w:r>
      <w:r w:rsidRPr="002612E2">
        <w:rPr>
          <w:i/>
          <w:iCs/>
        </w:rPr>
        <w:t xml:space="preserve"> v.</w:t>
      </w:r>
      <w:r w:rsidR="00D070EA">
        <w:rPr>
          <w:i/>
          <w:iCs/>
        </w:rPr>
        <w:t xml:space="preserve"> </w:t>
      </w:r>
      <w:r w:rsidR="003111C0">
        <w:rPr>
          <w:i/>
          <w:iCs/>
        </w:rPr>
        <w:t>Verizon</w:t>
      </w:r>
      <w:r w:rsidRPr="002612E2">
        <w:rPr>
          <w:i/>
          <w:iCs/>
        </w:rPr>
        <w:t xml:space="preserve"> of Pennsylvania, LLC</w:t>
      </w:r>
      <w:r>
        <w:t xml:space="preserve">, Opinion and Order, No. 3504-CV-2020 (Pa. </w:t>
      </w:r>
      <w:r w:rsidRPr="00FC3BBA">
        <w:t>Ct. of Common Pleas</w:t>
      </w:r>
      <w:r w:rsidR="00073BEE">
        <w:t>, Monroe C</w:t>
      </w:r>
      <w:r w:rsidR="00D070EA">
        <w:t>ou</w:t>
      </w:r>
      <w:r w:rsidR="00073BEE">
        <w:t xml:space="preserve">nty, </w:t>
      </w:r>
      <w:r w:rsidRPr="00FC3BBA">
        <w:t xml:space="preserve">July 8, 2021) </w:t>
      </w:r>
      <w:r w:rsidR="00CC4C8B">
        <w:t>(</w:t>
      </w:r>
      <w:r w:rsidRPr="00CC4C8B" w:rsidR="00CC4C8B">
        <w:rPr>
          <w:i/>
          <w:iCs/>
        </w:rPr>
        <w:t>State Court Order</w:t>
      </w:r>
      <w:r w:rsidR="00CC4C8B">
        <w:t xml:space="preserve">) </w:t>
      </w:r>
      <w:r w:rsidRPr="00FC3BBA">
        <w:t>at 1</w:t>
      </w:r>
      <w:r w:rsidR="003B5F0F">
        <w:t>)</w:t>
      </w:r>
      <w:r w:rsidRPr="00FC3BBA">
        <w:t>.</w:t>
      </w:r>
      <w:r w:rsidR="00073BEE">
        <w:t xml:space="preserve">  The </w:t>
      </w:r>
      <w:r w:rsidR="00C64ED7">
        <w:t xml:space="preserve">state court </w:t>
      </w:r>
      <w:r w:rsidR="00073BEE">
        <w:t>complaint was</w:t>
      </w:r>
      <w:r w:rsidRPr="00FC3BBA">
        <w:t xml:space="preserve"> </w:t>
      </w:r>
      <w:r w:rsidR="00073BEE">
        <w:t xml:space="preserve">filed in Pennsylvania Commonwealth Court and then transferred to the Court of Common Pleas.  </w:t>
      </w:r>
      <w:r w:rsidRPr="00073BEE" w:rsidR="00073BEE">
        <w:rPr>
          <w:i/>
          <w:iCs/>
        </w:rPr>
        <w:t>State Court Order</w:t>
      </w:r>
      <w:r w:rsidR="00073BEE">
        <w:t xml:space="preserve"> at 2.</w:t>
      </w:r>
      <w:r w:rsidRPr="00FC3BBA">
        <w:t xml:space="preserve"> </w:t>
      </w:r>
    </w:p>
  </w:footnote>
  <w:footnote w:id="11">
    <w:p w:rsidR="00CC4C8B" w:rsidRPr="009E73CB" w14:paraId="49CAF6D7" w14:textId="276492C9">
      <w:pPr>
        <w:pStyle w:val="FootnoteText"/>
      </w:pPr>
      <w:r w:rsidRPr="009E73CB">
        <w:rPr>
          <w:rStyle w:val="FootnoteReference"/>
        </w:rPr>
        <w:footnoteRef/>
      </w:r>
      <w:r w:rsidRPr="009E73CB">
        <w:t xml:space="preserve"> </w:t>
      </w:r>
      <w:r w:rsidRPr="009E73CB">
        <w:rPr>
          <w:i/>
          <w:iCs/>
        </w:rPr>
        <w:t xml:space="preserve">See </w:t>
      </w:r>
      <w:r w:rsidRPr="009E73CB" w:rsidR="003B5F0F">
        <w:t>Motion at 4</w:t>
      </w:r>
      <w:r w:rsidRPr="009E73CB" w:rsidR="003B5F0F">
        <w:rPr>
          <w:i/>
          <w:iCs/>
        </w:rPr>
        <w:t xml:space="preserve"> </w:t>
      </w:r>
      <w:r w:rsidRPr="003478EE" w:rsidR="003B5F0F">
        <w:t>(</w:t>
      </w:r>
      <w:r w:rsidRPr="009E73CB" w:rsidR="003B5F0F">
        <w:t>citing</w:t>
      </w:r>
      <w:r w:rsidRPr="009E73CB" w:rsidR="003B5F0F">
        <w:rPr>
          <w:i/>
          <w:iCs/>
        </w:rPr>
        <w:t xml:space="preserve"> </w:t>
      </w:r>
      <w:r w:rsidRPr="009E73CB">
        <w:rPr>
          <w:i/>
          <w:iCs/>
        </w:rPr>
        <w:t>State Court Order</w:t>
      </w:r>
      <w:r w:rsidRPr="009E73CB">
        <w:t xml:space="preserve"> at 4</w:t>
      </w:r>
      <w:r w:rsidRPr="009E73CB" w:rsidR="003B5F0F">
        <w:t>)</w:t>
      </w:r>
      <w:r w:rsidRPr="009E73CB">
        <w:t>.</w:t>
      </w:r>
      <w:r w:rsidR="00C32192">
        <w:t xml:space="preserve">  The arbitration agreement appears to have been between Complainants and </w:t>
      </w:r>
      <w:r w:rsidR="003111C0">
        <w:t xml:space="preserve">Verizon </w:t>
      </w:r>
      <w:r w:rsidR="00C32192">
        <w:t xml:space="preserve">Online.  </w:t>
      </w:r>
      <w:r w:rsidRPr="00C32192" w:rsidR="00C32192">
        <w:rPr>
          <w:i/>
          <w:iCs/>
        </w:rPr>
        <w:t>See State Court Order</w:t>
      </w:r>
      <w:r w:rsidR="00C32192">
        <w:t xml:space="preserve"> at 1.</w:t>
      </w:r>
      <w:r w:rsidRPr="009E73CB">
        <w:t xml:space="preserve">  </w:t>
      </w:r>
    </w:p>
  </w:footnote>
  <w:footnote w:id="12">
    <w:p w:rsidR="000F20C5" w:rsidRPr="00817450" w:rsidP="00217441" w14:paraId="421585E6" w14:textId="152ED8EE">
      <w:pPr>
        <w:pStyle w:val="ParaNum"/>
        <w:numPr>
          <w:ilvl w:val="0"/>
          <w:numId w:val="0"/>
        </w:numPr>
        <w:rPr>
          <w:snapToGrid/>
          <w:sz w:val="20"/>
        </w:rPr>
      </w:pPr>
      <w:r w:rsidRPr="009E73CB">
        <w:rPr>
          <w:rStyle w:val="FootnoteReference"/>
        </w:rPr>
        <w:footnoteRef/>
      </w:r>
      <w:r w:rsidRPr="009E73CB">
        <w:rPr>
          <w:sz w:val="20"/>
        </w:rPr>
        <w:t xml:space="preserve"> </w:t>
      </w:r>
      <w:r w:rsidRPr="009E73CB" w:rsidR="003D236C">
        <w:rPr>
          <w:sz w:val="20"/>
        </w:rPr>
        <w:t>Complainants have</w:t>
      </w:r>
      <w:r w:rsidRPr="009E73CB" w:rsidR="009E73CB">
        <w:rPr>
          <w:sz w:val="20"/>
        </w:rPr>
        <w:t xml:space="preserve">, without the permission of the Enforcement Bureau or </w:t>
      </w:r>
      <w:r w:rsidR="003111C0">
        <w:rPr>
          <w:sz w:val="20"/>
        </w:rPr>
        <w:t xml:space="preserve">Verizon </w:t>
      </w:r>
      <w:r w:rsidR="00817450">
        <w:rPr>
          <w:sz w:val="20"/>
        </w:rPr>
        <w:t>PA</w:t>
      </w:r>
      <w:r w:rsidRPr="009E73CB" w:rsidR="009E73CB">
        <w:rPr>
          <w:sz w:val="20"/>
        </w:rPr>
        <w:t xml:space="preserve">, </w:t>
      </w:r>
      <w:r w:rsidR="00346BEF">
        <w:rPr>
          <w:sz w:val="20"/>
        </w:rPr>
        <w:t>responded to the Motion by</w:t>
      </w:r>
      <w:r w:rsidRPr="009E73CB" w:rsidR="003D236C">
        <w:rPr>
          <w:sz w:val="20"/>
        </w:rPr>
        <w:t xml:space="preserve"> fil</w:t>
      </w:r>
      <w:r w:rsidR="00346BEF">
        <w:rPr>
          <w:sz w:val="20"/>
        </w:rPr>
        <w:t>ing</w:t>
      </w:r>
      <w:r w:rsidRPr="009E73CB" w:rsidR="003D236C">
        <w:rPr>
          <w:sz w:val="20"/>
        </w:rPr>
        <w:t xml:space="preserve"> a “revised” complaint.  </w:t>
      </w:r>
      <w:r w:rsidRPr="009E73CB" w:rsidR="003D236C">
        <w:rPr>
          <w:i/>
          <w:iCs/>
          <w:sz w:val="20"/>
        </w:rPr>
        <w:t>See</w:t>
      </w:r>
      <w:r w:rsidRPr="009E73CB" w:rsidR="003D236C">
        <w:rPr>
          <w:sz w:val="20"/>
        </w:rPr>
        <w:t xml:space="preserve"> Opposition (attaching “Formal Complaint-revised”) (Revised Complaint).  Commission rules forbid amendments to complaints</w:t>
      </w:r>
      <w:r w:rsidR="009624B7">
        <w:rPr>
          <w:sz w:val="20"/>
        </w:rPr>
        <w:t xml:space="preserve">.  </w:t>
      </w:r>
      <w:r w:rsidRPr="00652C8D" w:rsidR="009624B7">
        <w:rPr>
          <w:i/>
          <w:iCs/>
          <w:sz w:val="20"/>
        </w:rPr>
        <w:t>S</w:t>
      </w:r>
      <w:r w:rsidRPr="009E73CB" w:rsidR="003D236C">
        <w:rPr>
          <w:i/>
          <w:iCs/>
          <w:sz w:val="20"/>
        </w:rPr>
        <w:t>ee</w:t>
      </w:r>
      <w:r w:rsidRPr="009E73CB" w:rsidR="003D236C">
        <w:rPr>
          <w:sz w:val="20"/>
        </w:rPr>
        <w:t xml:space="preserve"> 47 CFR § 1.721(g)</w:t>
      </w:r>
      <w:r w:rsidR="009624B7">
        <w:rPr>
          <w:sz w:val="20"/>
        </w:rPr>
        <w:t xml:space="preserve">.  In any event, </w:t>
      </w:r>
      <w:r w:rsidRPr="009E73CB" w:rsidR="003D236C">
        <w:rPr>
          <w:sz w:val="20"/>
        </w:rPr>
        <w:t xml:space="preserve">as discussed </w:t>
      </w:r>
      <w:r w:rsidRPr="009624B7" w:rsidR="009624B7">
        <w:rPr>
          <w:i/>
          <w:iCs/>
          <w:sz w:val="20"/>
        </w:rPr>
        <w:t>infra</w:t>
      </w:r>
      <w:r w:rsidRPr="009E73CB" w:rsidR="003D236C">
        <w:rPr>
          <w:sz w:val="20"/>
        </w:rPr>
        <w:t xml:space="preserve">, </w:t>
      </w:r>
      <w:r w:rsidR="009624B7">
        <w:rPr>
          <w:sz w:val="20"/>
        </w:rPr>
        <w:t xml:space="preserve">even if we were to allow the Revised Complaint, </w:t>
      </w:r>
      <w:r w:rsidR="00E45D7E">
        <w:rPr>
          <w:sz w:val="20"/>
        </w:rPr>
        <w:t xml:space="preserve">we </w:t>
      </w:r>
      <w:r w:rsidR="009624B7">
        <w:rPr>
          <w:sz w:val="20"/>
        </w:rPr>
        <w:t>would dismiss it</w:t>
      </w:r>
      <w:r w:rsidRPr="009E73CB" w:rsidR="003D236C">
        <w:rPr>
          <w:sz w:val="20"/>
        </w:rPr>
        <w:t xml:space="preserve"> for the same reasons we dismiss the Complaint with prejudice.</w:t>
      </w:r>
      <w:r w:rsidRPr="009E73CB" w:rsidR="0086375F">
        <w:rPr>
          <w:snapToGrid/>
          <w:sz w:val="20"/>
        </w:rPr>
        <w:t xml:space="preserve"> </w:t>
      </w:r>
      <w:r w:rsidRPr="009E73CB" w:rsidR="00AC03C0">
        <w:rPr>
          <w:sz w:val="20"/>
        </w:rPr>
        <w:t xml:space="preserve">  </w:t>
      </w:r>
      <w:r w:rsidRPr="009E73CB" w:rsidR="00F912CF">
        <w:rPr>
          <w:sz w:val="20"/>
        </w:rPr>
        <w:t xml:space="preserve">  </w:t>
      </w:r>
    </w:p>
  </w:footnote>
  <w:footnote w:id="13">
    <w:p w:rsidR="00DE0A8D" w:rsidRPr="009E73CB" w:rsidP="00DE0A8D" w14:paraId="64611CD2" w14:textId="79EA6D29">
      <w:pPr>
        <w:pStyle w:val="FootnoteText"/>
      </w:pPr>
      <w:r w:rsidRPr="009E73CB">
        <w:rPr>
          <w:rStyle w:val="FootnoteReference"/>
        </w:rPr>
        <w:footnoteRef/>
      </w:r>
      <w:r w:rsidRPr="009E73CB">
        <w:t xml:space="preserve"> </w:t>
      </w:r>
      <w:r w:rsidRPr="009E73CB">
        <w:rPr>
          <w:i/>
          <w:iCs/>
        </w:rPr>
        <w:t>See</w:t>
      </w:r>
      <w:r w:rsidRPr="009E73CB">
        <w:t xml:space="preserve"> Complaint at 41-43, paras. 279-89</w:t>
      </w:r>
      <w:r>
        <w:t xml:space="preserve"> (requesting damages)</w:t>
      </w:r>
      <w:r w:rsidRPr="009E73CB">
        <w:t xml:space="preserve">; </w:t>
      </w:r>
      <w:r w:rsidRPr="00440C70">
        <w:t>Revised Complaint at 51-53 (same</w:t>
      </w:r>
      <w:r>
        <w:t>)</w:t>
      </w:r>
      <w:r w:rsidRPr="009E73CB">
        <w:t>.</w:t>
      </w:r>
    </w:p>
  </w:footnote>
  <w:footnote w:id="14">
    <w:p w:rsidR="00ED6944" w:rsidRPr="009E73CB" w14:paraId="0AB44F6D" w14:textId="5991FCF2">
      <w:pPr>
        <w:pStyle w:val="FootnoteText"/>
      </w:pPr>
      <w:r w:rsidRPr="009E73CB">
        <w:rPr>
          <w:rStyle w:val="FootnoteReference"/>
        </w:rPr>
        <w:footnoteRef/>
      </w:r>
      <w:r w:rsidRPr="009E73CB">
        <w:t xml:space="preserve"> </w:t>
      </w:r>
      <w:r w:rsidRPr="009E73CB">
        <w:rPr>
          <w:i/>
          <w:iCs/>
        </w:rPr>
        <w:t>See</w:t>
      </w:r>
      <w:r w:rsidR="00EF6204">
        <w:rPr>
          <w:i/>
          <w:iCs/>
        </w:rPr>
        <w:t>, e.g.</w:t>
      </w:r>
      <w:r w:rsidR="00EF6204">
        <w:t>,</w:t>
      </w:r>
      <w:r w:rsidRPr="009E73CB">
        <w:rPr>
          <w:i/>
          <w:iCs/>
        </w:rPr>
        <w:t xml:space="preserve"> </w:t>
      </w:r>
      <w:r w:rsidRPr="009E73CB">
        <w:t>Complaint at 4, paras. 1</w:t>
      </w:r>
      <w:r w:rsidRPr="009E73CB" w:rsidR="00725E17">
        <w:t>4</w:t>
      </w:r>
      <w:r w:rsidRPr="009E73CB">
        <w:t>-19, 5</w:t>
      </w:r>
      <w:r w:rsidRPr="009E73CB" w:rsidR="00725E17">
        <w:t>-6</w:t>
      </w:r>
      <w:r w:rsidRPr="009E73CB">
        <w:t>, para</w:t>
      </w:r>
      <w:r w:rsidRPr="009E73CB" w:rsidR="00725E17">
        <w:t>s</w:t>
      </w:r>
      <w:r w:rsidRPr="009E73CB">
        <w:t>. 27</w:t>
      </w:r>
      <w:r w:rsidRPr="009E73CB" w:rsidR="00725E17">
        <w:t>-50</w:t>
      </w:r>
      <w:r w:rsidRPr="009E73CB">
        <w:t xml:space="preserve">, </w:t>
      </w:r>
      <w:r w:rsidRPr="009E73CB" w:rsidR="00002A26">
        <w:t>11</w:t>
      </w:r>
      <w:r w:rsidRPr="009E73CB" w:rsidR="00E14733">
        <w:t>-12, paras. 96-116,</w:t>
      </w:r>
      <w:r w:rsidRPr="009E73CB" w:rsidR="008C4F5C">
        <w:t xml:space="preserve"> 13, paras. 122-27, </w:t>
      </w:r>
      <w:r w:rsidRPr="009E73CB" w:rsidR="00D56807">
        <w:t>16-21, paras.</w:t>
      </w:r>
      <w:r w:rsidRPr="009E73CB" w:rsidR="0059694C">
        <w:t xml:space="preserve"> </w:t>
      </w:r>
      <w:r w:rsidRPr="009E73CB" w:rsidR="00D56807">
        <w:t>150-93</w:t>
      </w:r>
      <w:r w:rsidRPr="009E73CB" w:rsidR="00DC6167">
        <w:t xml:space="preserve">; </w:t>
      </w:r>
      <w:r w:rsidRPr="009E73CB" w:rsidR="00352893">
        <w:t>Revised Complaint</w:t>
      </w:r>
      <w:r w:rsidRPr="009E73CB" w:rsidR="00F912CF">
        <w:t xml:space="preserve"> at 4-</w:t>
      </w:r>
      <w:r w:rsidRPr="009E73CB" w:rsidR="00BE7053">
        <w:t xml:space="preserve">5, </w:t>
      </w:r>
      <w:r w:rsidR="00EF6204">
        <w:t xml:space="preserve">paras. 1-3, </w:t>
      </w:r>
      <w:r w:rsidRPr="009E73CB" w:rsidR="00BE7053">
        <w:t xml:space="preserve">13-17, paras. </w:t>
      </w:r>
      <w:r w:rsidRPr="009E73CB" w:rsidR="004651AA">
        <w:t>20</w:t>
      </w:r>
      <w:r w:rsidRPr="009E73CB" w:rsidR="00DC6167">
        <w:t>-2</w:t>
      </w:r>
      <w:r w:rsidRPr="009E73CB" w:rsidR="004651AA">
        <w:t>7</w:t>
      </w:r>
      <w:r w:rsidRPr="009E73CB" w:rsidR="006F2A95">
        <w:t>.</w:t>
      </w:r>
      <w:r w:rsidRPr="009E73CB" w:rsidR="007C0CB5">
        <w:t xml:space="preserve"> </w:t>
      </w:r>
    </w:p>
  </w:footnote>
  <w:footnote w:id="15">
    <w:p w:rsidR="00F2237E" w:rsidRPr="009E73CB" w14:paraId="43CF73C4" w14:textId="7E26A401">
      <w:pPr>
        <w:pStyle w:val="FootnoteText"/>
      </w:pPr>
      <w:r w:rsidRPr="009E73CB">
        <w:rPr>
          <w:rStyle w:val="FootnoteReference"/>
        </w:rPr>
        <w:footnoteRef/>
      </w:r>
      <w:r w:rsidRPr="009E73CB">
        <w:t xml:space="preserve"> </w:t>
      </w:r>
      <w:r w:rsidRPr="009E73CB" w:rsidR="00F5047D">
        <w:rPr>
          <w:i/>
          <w:iCs/>
        </w:rPr>
        <w:t>See</w:t>
      </w:r>
      <w:r w:rsidR="00D85234">
        <w:rPr>
          <w:i/>
          <w:iCs/>
        </w:rPr>
        <w:t>, e.g.</w:t>
      </w:r>
      <w:r w:rsidR="00D85234">
        <w:t>,</w:t>
      </w:r>
      <w:r w:rsidRPr="009E73CB" w:rsidR="00F5047D">
        <w:t xml:space="preserve"> Complaint at </w:t>
      </w:r>
      <w:r w:rsidRPr="009E73CB" w:rsidR="00D41F4F">
        <w:t xml:space="preserve">4, para. 20 (47 U.S.C. § 201), 9, para. 77 (47 U.S.C. § 202), </w:t>
      </w:r>
      <w:r w:rsidRPr="009E73CB" w:rsidR="00F5047D">
        <w:t>5, para.</w:t>
      </w:r>
      <w:r w:rsidR="00D85234">
        <w:t> </w:t>
      </w:r>
      <w:r w:rsidRPr="009E73CB" w:rsidR="00F5047D">
        <w:t>29 (Pennsylvania broadband access statute), 14, para. 127 (Pennsylvania consumer protection statute); 16, para. 155 (42 U.S.C. §</w:t>
      </w:r>
      <w:r w:rsidR="001E53DC">
        <w:t> </w:t>
      </w:r>
      <w:r w:rsidRPr="009E73CB" w:rsidR="00F5047D">
        <w:t>1981)</w:t>
      </w:r>
      <w:r w:rsidRPr="009E73CB" w:rsidR="00F85EDD">
        <w:t xml:space="preserve">; </w:t>
      </w:r>
      <w:r w:rsidRPr="009E73CB" w:rsidR="00F5047D">
        <w:t>Revised Complaint at</w:t>
      </w:r>
      <w:r w:rsidRPr="009E73CB" w:rsidR="00606A5C">
        <w:t xml:space="preserve"> </w:t>
      </w:r>
      <w:r w:rsidR="00517076">
        <w:t>9</w:t>
      </w:r>
      <w:r w:rsidRPr="009E73CB" w:rsidR="00606A5C">
        <w:t xml:space="preserve">, para. </w:t>
      </w:r>
      <w:r w:rsidR="00517076">
        <w:t xml:space="preserve">7 </w:t>
      </w:r>
      <w:r w:rsidRPr="009E73CB" w:rsidR="00606A5C">
        <w:t xml:space="preserve">(47 U.S.C. § 201), </w:t>
      </w:r>
      <w:r w:rsidR="00517076">
        <w:t xml:space="preserve">11 (heading) </w:t>
      </w:r>
      <w:r w:rsidRPr="009E73CB" w:rsidR="00606A5C">
        <w:t>(47 U.S.C. § 202)</w:t>
      </w:r>
      <w:r w:rsidR="00606A5C">
        <w:t xml:space="preserve">, </w:t>
      </w:r>
      <w:r w:rsidRPr="009E73CB" w:rsidR="00F5047D">
        <w:t>5-6, 12, 17 (Pennsylvania state statutes); 22-22 (42 U.S.C. §§</w:t>
      </w:r>
      <w:r w:rsidR="00C67FDA">
        <w:t xml:space="preserve"> </w:t>
      </w:r>
      <w:r w:rsidRPr="009E73CB" w:rsidR="00F5047D">
        <w:t>1981, 1983), 40-45 (Count III) (15 U.S.C. § 1692).</w:t>
      </w:r>
      <w:r w:rsidRPr="009E73CB" w:rsidR="0059694C">
        <w:t xml:space="preserve"> </w:t>
      </w:r>
    </w:p>
  </w:footnote>
  <w:footnote w:id="16">
    <w:p w:rsidR="002603A3" w:rsidRPr="00431F13" w:rsidP="002603A3" w14:paraId="50613F53" w14:textId="4E804D43">
      <w:pPr>
        <w:pStyle w:val="FootnoteText"/>
      </w:pPr>
      <w:r w:rsidRPr="009E73CB">
        <w:rPr>
          <w:rStyle w:val="FootnoteReference"/>
        </w:rPr>
        <w:footnoteRef/>
      </w:r>
      <w:r w:rsidRPr="009E73CB">
        <w:t xml:space="preserve"> </w:t>
      </w:r>
      <w:r w:rsidRPr="009E73CB">
        <w:rPr>
          <w:i/>
          <w:iCs/>
        </w:rPr>
        <w:t>See</w:t>
      </w:r>
      <w:r w:rsidR="009B4FE8">
        <w:rPr>
          <w:i/>
          <w:iCs/>
        </w:rPr>
        <w:t>, e.g.</w:t>
      </w:r>
      <w:r w:rsidR="009B4FE8">
        <w:t>,</w:t>
      </w:r>
      <w:r w:rsidRPr="009E73CB">
        <w:t xml:space="preserve"> Complaint at</w:t>
      </w:r>
      <w:r w:rsidRPr="009E73CB" w:rsidR="00B62670">
        <w:t xml:space="preserve"> </w:t>
      </w:r>
      <w:r w:rsidRPr="00431F13">
        <w:t>22, para. 195 (47 CFR § 64.2401(g))</w:t>
      </w:r>
      <w:r w:rsidR="00CC6328">
        <w:t>; Revised Complaint at 27</w:t>
      </w:r>
      <w:r w:rsidR="00AF354C">
        <w:t xml:space="preserve"> (same)</w:t>
      </w:r>
      <w:r w:rsidRPr="00431F13">
        <w:t>.</w:t>
      </w:r>
      <w:r w:rsidR="00AF354C">
        <w:t xml:space="preserve">  </w:t>
      </w:r>
      <w:r w:rsidRPr="002A6C3F" w:rsidR="00AF354C">
        <w:rPr>
          <w:i/>
          <w:iCs/>
        </w:rPr>
        <w:t>See generally</w:t>
      </w:r>
      <w:r w:rsidR="00AF354C">
        <w:t xml:space="preserve"> Complaint at 22-33, paras. 195-233; Revised Complaint at 27-40, paras. 1-26. </w:t>
      </w:r>
    </w:p>
  </w:footnote>
  <w:footnote w:id="17">
    <w:p w:rsidR="0022066B" w14:paraId="1B50600B" w14:textId="52FFF9B2">
      <w:pPr>
        <w:pStyle w:val="FootnoteText"/>
      </w:pPr>
      <w:r w:rsidRPr="00431F13">
        <w:rPr>
          <w:rStyle w:val="FootnoteReference"/>
        </w:rPr>
        <w:footnoteRef/>
      </w:r>
      <w:r w:rsidRPr="00431F13">
        <w:t xml:space="preserve"> </w:t>
      </w:r>
      <w:r w:rsidRPr="00431F13" w:rsidR="00B62670">
        <w:rPr>
          <w:i/>
          <w:iCs/>
        </w:rPr>
        <w:t>See</w:t>
      </w:r>
      <w:r w:rsidRPr="00431F13" w:rsidR="00B62670">
        <w:t xml:space="preserve"> </w:t>
      </w:r>
      <w:r w:rsidRPr="00431F13">
        <w:t>Complaint at</w:t>
      </w:r>
      <w:r w:rsidRPr="00431F13" w:rsidR="00B62670">
        <w:t xml:space="preserve"> 34-41, paras. 235-77.</w:t>
      </w:r>
      <w:r w:rsidRPr="00431F13" w:rsidR="00CA1E8E">
        <w:t xml:space="preserve">  Count III of the Revised Complaint alleges violations of </w:t>
      </w:r>
      <w:r w:rsidRPr="00431F13" w:rsidR="002003CC">
        <w:t>the Fair Debt Collection Practices Act, 15 U.S.C.</w:t>
      </w:r>
      <w:r w:rsidR="00702108">
        <w:t xml:space="preserve"> </w:t>
      </w:r>
      <w:r w:rsidRPr="009E73CB" w:rsidR="00702108">
        <w:t>§</w:t>
      </w:r>
      <w:r w:rsidR="00702108">
        <w:t xml:space="preserve"> </w:t>
      </w:r>
      <w:r w:rsidRPr="00431F13" w:rsidR="002003CC">
        <w:t xml:space="preserve">1692, </w:t>
      </w:r>
      <w:r w:rsidRPr="00431F13" w:rsidR="002003CC">
        <w:rPr>
          <w:i/>
          <w:iCs/>
        </w:rPr>
        <w:t>see</w:t>
      </w:r>
      <w:r w:rsidRPr="00431F13" w:rsidR="002003CC">
        <w:t xml:space="preserve"> Revised Complaint at 40-45, and Count IV alleges that </w:t>
      </w:r>
      <w:r w:rsidR="003111C0">
        <w:t xml:space="preserve">Verizon </w:t>
      </w:r>
      <w:r w:rsidR="00214E30">
        <w:t>PA</w:t>
      </w:r>
      <w:r w:rsidRPr="00431F13" w:rsidR="002003CC">
        <w:t xml:space="preserve"> p</w:t>
      </w:r>
      <w:r w:rsidR="002003CC">
        <w:rPr>
          <w:szCs w:val="22"/>
        </w:rPr>
        <w:t xml:space="preserve">rovided faulty internet access service.  </w:t>
      </w:r>
      <w:r w:rsidRPr="002003CC" w:rsidR="002003CC">
        <w:rPr>
          <w:i/>
          <w:iCs/>
          <w:szCs w:val="22"/>
        </w:rPr>
        <w:t>See id</w:t>
      </w:r>
      <w:r w:rsidR="002003CC">
        <w:rPr>
          <w:szCs w:val="22"/>
        </w:rPr>
        <w:t xml:space="preserve">. at 45-51. </w:t>
      </w:r>
      <w:r w:rsidR="002003CC">
        <w:t xml:space="preserve"> </w:t>
      </w:r>
      <w:r w:rsidR="00CA1E8E">
        <w:t xml:space="preserve"> </w:t>
      </w:r>
      <w:r>
        <w:t xml:space="preserve"> </w:t>
      </w:r>
    </w:p>
  </w:footnote>
  <w:footnote w:id="18">
    <w:p w:rsidR="00756300" w:rsidP="00756300" w14:paraId="40686D5B" w14:textId="76A3E6A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517A4D">
        <w:rPr>
          <w:i/>
          <w:iCs/>
        </w:rPr>
        <w:t>See</w:t>
      </w:r>
      <w:r>
        <w:t xml:space="preserve"> Motion at 1, 5-7.</w:t>
      </w:r>
      <w:r w:rsidR="00980099">
        <w:t xml:space="preserve">  </w:t>
      </w:r>
      <w:r w:rsidR="00E17070">
        <w:t xml:space="preserve">Verizon argues that we should dismiss the Complaint on other grounds as well, which are discussed below.  </w:t>
      </w:r>
      <w:r w:rsidRPr="00F3221E" w:rsidR="00E17070">
        <w:rPr>
          <w:i/>
          <w:iCs/>
        </w:rPr>
        <w:t>See infra</w:t>
      </w:r>
      <w:r w:rsidR="00E17070">
        <w:t xml:space="preserve"> at paras. 8-9.</w:t>
      </w:r>
      <w:r w:rsidR="00980099">
        <w:t xml:space="preserve">  </w:t>
      </w:r>
      <w:r>
        <w:t xml:space="preserve">    </w:t>
      </w:r>
    </w:p>
  </w:footnote>
  <w:footnote w:id="19">
    <w:p w:rsidR="00756300" w:rsidP="00756300" w14:paraId="01382018" w14:textId="77777777">
      <w:pPr>
        <w:pStyle w:val="FootnoteText"/>
      </w:pPr>
      <w:r>
        <w:rPr>
          <w:rStyle w:val="FootnoteReference"/>
        </w:rPr>
        <w:footnoteRef/>
      </w:r>
      <w:r>
        <w:t xml:space="preserve"> 47 U.S.C. </w:t>
      </w:r>
      <w:r w:rsidRPr="1D1DEB0C">
        <w:t>§</w:t>
      </w:r>
      <w:r>
        <w:t xml:space="preserve"> 208(a) (emphasis added).  </w:t>
      </w:r>
    </w:p>
  </w:footnote>
  <w:footnote w:id="20">
    <w:p w:rsidR="00756300" w:rsidP="00756300" w14:paraId="6133D8A3" w14:textId="2B80310D">
      <w:pPr>
        <w:pStyle w:val="FootnoteText"/>
      </w:pPr>
      <w:r>
        <w:rPr>
          <w:rStyle w:val="FootnoteReference"/>
        </w:rPr>
        <w:footnoteRef/>
      </w:r>
      <w:r>
        <w:t xml:space="preserve"> 47 U.S.C. </w:t>
      </w:r>
      <w:r w:rsidRPr="1D1DEB0C">
        <w:t>§</w:t>
      </w:r>
      <w:r>
        <w:t xml:space="preserve"> 153</w:t>
      </w:r>
      <w:r w:rsidR="00D6268E">
        <w:t>(10)</w:t>
      </w:r>
      <w:r>
        <w:t xml:space="preserve">. </w:t>
      </w:r>
    </w:p>
  </w:footnote>
  <w:footnote w:id="21">
    <w:p w:rsidR="00756300" w:rsidP="00756300" w14:paraId="1D0ACD98" w14:textId="10ADAFC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D323DC">
        <w:rPr>
          <w:i/>
          <w:iCs/>
        </w:rPr>
        <w:t>E.g.</w:t>
      </w:r>
      <w:r w:rsidR="00D323DC">
        <w:t>,</w:t>
      </w:r>
      <w:r w:rsidRPr="003478EE" w:rsidR="00D323DC">
        <w:rPr>
          <w:i/>
        </w:rPr>
        <w:t xml:space="preserve"> </w:t>
      </w:r>
      <w:r w:rsidR="00D323DC">
        <w:t>Opposition at attachment (</w:t>
      </w:r>
      <w:r w:rsidR="006379FC">
        <w:t xml:space="preserve">Verizon </w:t>
      </w:r>
      <w:r w:rsidR="00D323DC">
        <w:t>bill dated Feb</w:t>
      </w:r>
      <w:r w:rsidR="00926677">
        <w:t>.</w:t>
      </w:r>
      <w:r w:rsidR="00D323DC">
        <w:t xml:space="preserve"> 3, 2019) (stating, under the heading “Service Providers,” that “Verizon PA provides regional, local calling and related features…Verizon Long Distance provides long distance calling [and] Verizon Online provides internet service…”).  </w:t>
      </w:r>
      <w:r w:rsidRPr="006B4CA5" w:rsidR="00D323DC">
        <w:rPr>
          <w:i/>
          <w:iCs/>
        </w:rPr>
        <w:t>See</w:t>
      </w:r>
      <w:r w:rsidR="00D323DC">
        <w:t xml:space="preserve"> 47 CFR </w:t>
      </w:r>
      <w:r w:rsidRPr="1D1DEB0C" w:rsidR="00D323DC">
        <w:t>§</w:t>
      </w:r>
      <w:r w:rsidR="00D323DC">
        <w:t xml:space="preserve"> 64.2401(a)(1) (telephone bills must provide “the name of the service provider associated with each charge…”).  </w:t>
      </w:r>
      <w:r>
        <w:t xml:space="preserve">The Revised Complaint, like the Complaint, also would be dismissed with prejudice because Verizon </w:t>
      </w:r>
      <w:r w:rsidR="00110291">
        <w:t>PA</w:t>
      </w:r>
      <w:r>
        <w:t xml:space="preserve"> did not provide interstate or foreign communication service to Complainants.  </w:t>
      </w:r>
    </w:p>
  </w:footnote>
  <w:footnote w:id="22">
    <w:p w:rsidR="00133325" w:rsidP="00133325" w14:paraId="7E5A510E" w14:textId="4F98D3C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2C7D38">
        <w:rPr>
          <w:i/>
          <w:iCs/>
        </w:rPr>
        <w:t>See</w:t>
      </w:r>
      <w:r w:rsidRPr="002C7D38">
        <w:t xml:space="preserve"> Opposition at 2-6 (</w:t>
      </w:r>
      <w:r w:rsidR="00E664EF">
        <w:t>discussin</w:t>
      </w:r>
      <w:r w:rsidRPr="002C7D38">
        <w:t xml:space="preserve">g </w:t>
      </w:r>
      <w:r w:rsidRPr="002C7D38">
        <w:rPr>
          <w:i/>
          <w:iCs/>
          <w:color w:val="252525"/>
        </w:rPr>
        <w:t>Improving Pub</w:t>
      </w:r>
      <w:r>
        <w:rPr>
          <w:i/>
          <w:iCs/>
          <w:color w:val="252525"/>
        </w:rPr>
        <w:t>.</w:t>
      </w:r>
      <w:r w:rsidRPr="002C7D38">
        <w:rPr>
          <w:i/>
          <w:iCs/>
          <w:color w:val="252525"/>
        </w:rPr>
        <w:t xml:space="preserve"> Safety Comm</w:t>
      </w:r>
      <w:r>
        <w:rPr>
          <w:i/>
          <w:iCs/>
          <w:color w:val="252525"/>
        </w:rPr>
        <w:t>c’ns</w:t>
      </w:r>
      <w:r w:rsidRPr="002C7D38">
        <w:rPr>
          <w:i/>
          <w:iCs/>
          <w:color w:val="252525"/>
        </w:rPr>
        <w:t xml:space="preserve"> in the 800 MH</w:t>
      </w:r>
      <w:r>
        <w:rPr>
          <w:i/>
          <w:iCs/>
          <w:color w:val="252525"/>
        </w:rPr>
        <w:t>z</w:t>
      </w:r>
      <w:r w:rsidRPr="002C7D38">
        <w:rPr>
          <w:i/>
          <w:iCs/>
          <w:color w:val="252525"/>
        </w:rPr>
        <w:t xml:space="preserve"> Band</w:t>
      </w:r>
      <w:r w:rsidRPr="002C7D38">
        <w:rPr>
          <w:color w:val="252525"/>
        </w:rPr>
        <w:t>, Declaratory Ruling, 25 FCC 13874</w:t>
      </w:r>
      <w:r>
        <w:rPr>
          <w:color w:val="252525"/>
        </w:rPr>
        <w:t xml:space="preserve"> </w:t>
      </w:r>
      <w:r w:rsidRPr="002C7D38">
        <w:rPr>
          <w:color w:val="252525"/>
        </w:rPr>
        <w:t>(2010)</w:t>
      </w:r>
      <w:r>
        <w:rPr>
          <w:color w:val="252525"/>
        </w:rPr>
        <w:t xml:space="preserve"> (</w:t>
      </w:r>
      <w:r w:rsidRPr="000D6E21">
        <w:rPr>
          <w:i/>
          <w:iCs/>
          <w:color w:val="252525"/>
        </w:rPr>
        <w:t>800 MHz Band</w:t>
      </w:r>
      <w:r>
        <w:rPr>
          <w:color w:val="252525"/>
        </w:rPr>
        <w:t xml:space="preserve">)).  In </w:t>
      </w:r>
      <w:r w:rsidRPr="004F7758">
        <w:rPr>
          <w:i/>
          <w:iCs/>
          <w:color w:val="252525"/>
        </w:rPr>
        <w:t>800 MHz</w:t>
      </w:r>
      <w:r w:rsidR="00473A94">
        <w:rPr>
          <w:i/>
          <w:iCs/>
          <w:color w:val="252525"/>
        </w:rPr>
        <w:t xml:space="preserve"> Band</w:t>
      </w:r>
      <w:r>
        <w:rPr>
          <w:color w:val="252525"/>
        </w:rPr>
        <w:t>, the Commission was asked whether a parent company could be held responsible, under an enterprise liability theory, for the costs of relocating broadcast auxiliary service incumbents in the 2 GHz band where the parent’s subsidiary, which had launched a satellite in the band, was bankrupt.</w:t>
      </w:r>
      <w:r w:rsidR="00601E4F">
        <w:rPr>
          <w:color w:val="252525"/>
        </w:rPr>
        <w:t xml:space="preserve">  </w:t>
      </w:r>
      <w:r w:rsidRPr="00F01EC2" w:rsidR="00601E4F">
        <w:rPr>
          <w:i/>
          <w:iCs/>
          <w:color w:val="252525"/>
        </w:rPr>
        <w:t>Id</w:t>
      </w:r>
      <w:r w:rsidR="00601E4F">
        <w:rPr>
          <w:color w:val="252525"/>
        </w:rPr>
        <w:t xml:space="preserve">. at </w:t>
      </w:r>
      <w:r w:rsidR="00F01EC2">
        <w:rPr>
          <w:color w:val="252525"/>
        </w:rPr>
        <w:t xml:space="preserve">13885-92, paras. 28-39.  </w:t>
      </w:r>
      <w:r>
        <w:rPr>
          <w:color w:val="252525"/>
        </w:rPr>
        <w:t xml:space="preserve">The Commission </w:t>
      </w:r>
      <w:r w:rsidR="00AF680E">
        <w:rPr>
          <w:color w:val="252525"/>
        </w:rPr>
        <w:t>listed</w:t>
      </w:r>
      <w:r w:rsidR="00F01EC2">
        <w:rPr>
          <w:color w:val="252525"/>
        </w:rPr>
        <w:t>,</w:t>
      </w:r>
      <w:r>
        <w:rPr>
          <w:color w:val="252525"/>
        </w:rPr>
        <w:t xml:space="preserve"> </w:t>
      </w:r>
      <w:r w:rsidR="00AF680E">
        <w:rPr>
          <w:color w:val="252525"/>
        </w:rPr>
        <w:t>as</w:t>
      </w:r>
      <w:r>
        <w:rPr>
          <w:color w:val="252525"/>
        </w:rPr>
        <w:t xml:space="preserve"> factors to </w:t>
      </w:r>
      <w:r>
        <w:t>consider</w:t>
      </w:r>
      <w:r w:rsidR="00F25F28">
        <w:t xml:space="preserve"> in applying the theory</w:t>
      </w:r>
      <w:r w:rsidR="001443CF">
        <w:t>:</w:t>
      </w:r>
      <w:r w:rsidR="00285708">
        <w:t xml:space="preserve"> </w:t>
      </w:r>
      <w:r w:rsidR="00F01EC2">
        <w:t xml:space="preserve"> </w:t>
      </w:r>
      <w:r>
        <w:t xml:space="preserve">the extent to which </w:t>
      </w:r>
      <w:r w:rsidR="009D7B0C">
        <w:t>a</w:t>
      </w:r>
      <w:r>
        <w:t xml:space="preserve"> parent company directs its subsidiaries’ operations to </w:t>
      </w:r>
      <w:r w:rsidR="009D7B0C">
        <w:t>achieve</w:t>
      </w:r>
      <w:r>
        <w:t xml:space="preserve"> the common regulatory goal at issue; whether members of the alleged enterprise act for or on behalf of one another </w:t>
      </w:r>
      <w:r w:rsidR="009D7B0C">
        <w:t>to achieve</w:t>
      </w:r>
      <w:r>
        <w:t xml:space="preserve"> the goal; whether members hold different assets and provide different services, each of which helps achieve the goal; whether the alleged enterprise presents itself to the Commission and the public as a unified entity with respect to the goal; and any legitimate arrangements the members have among themselves concerning the allocation of the liability at issue.  </w:t>
      </w:r>
      <w:r w:rsidRPr="00294B4B">
        <w:rPr>
          <w:i/>
          <w:iCs/>
        </w:rPr>
        <w:t>Id</w:t>
      </w:r>
      <w:r>
        <w:t xml:space="preserve">. at </w:t>
      </w:r>
      <w:r w:rsidR="006379FC">
        <w:t>1</w:t>
      </w:r>
      <w:r>
        <w:rPr>
          <w:color w:val="252525"/>
        </w:rPr>
        <w:t>38</w:t>
      </w:r>
      <w:r w:rsidR="00F01EC2">
        <w:rPr>
          <w:color w:val="252525"/>
        </w:rPr>
        <w:t>89</w:t>
      </w:r>
      <w:r>
        <w:rPr>
          <w:color w:val="252525"/>
        </w:rPr>
        <w:t>, para.</w:t>
      </w:r>
      <w:r w:rsidR="00F01EC2">
        <w:rPr>
          <w:color w:val="252525"/>
        </w:rPr>
        <w:t xml:space="preserve"> 35</w:t>
      </w:r>
      <w:r>
        <w:rPr>
          <w:color w:val="252525"/>
        </w:rPr>
        <w:t>.</w:t>
      </w:r>
      <w:r w:rsidR="00D96BD3">
        <w:t xml:space="preserve">  </w:t>
      </w:r>
    </w:p>
  </w:footnote>
  <w:footnote w:id="23">
    <w:p w:rsidR="00E664EF" w14:paraId="32E6A46D" w14:textId="69C64166">
      <w:pPr>
        <w:pStyle w:val="FootnoteText"/>
      </w:pPr>
      <w:r>
        <w:rPr>
          <w:rStyle w:val="FootnoteReference"/>
        </w:rPr>
        <w:footnoteRef/>
      </w:r>
      <w:r>
        <w:t xml:space="preserve"> Opposition at 2-3 (citing </w:t>
      </w:r>
      <w:hyperlink r:id="rId1" w:history="1">
        <w:r w:rsidRPr="000F53EB">
          <w:rPr>
            <w:rStyle w:val="Hyperlink"/>
          </w:rPr>
          <w:t>www.panmore.com/verizon-organizational-structure-business-expansion</w:t>
        </w:r>
      </w:hyperlink>
      <w:r>
        <w:t>)</w:t>
      </w:r>
      <w:r w:rsidR="00A72CE0">
        <w:t xml:space="preserve"> (emphasis removed)</w:t>
      </w:r>
      <w:r w:rsidR="004F4E67">
        <w:t>.</w:t>
      </w:r>
    </w:p>
  </w:footnote>
  <w:footnote w:id="24">
    <w:p w:rsidR="00133325" w:rsidP="00133325" w14:paraId="69E47308" w14:textId="0279868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2C7D38">
        <w:t xml:space="preserve">Opposition at </w:t>
      </w:r>
      <w:r w:rsidR="001F0AF8">
        <w:t>10</w:t>
      </w:r>
      <w:r>
        <w:t xml:space="preserve">.  </w:t>
      </w:r>
    </w:p>
  </w:footnote>
  <w:footnote w:id="25">
    <w:p w:rsidR="00133325" w:rsidP="00133325" w14:paraId="7C1DD7F0" w14:textId="7B965F9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  <w:iCs/>
        </w:rPr>
        <w:t>Cf</w:t>
      </w:r>
      <w:r>
        <w:t>. n.</w:t>
      </w:r>
      <w:r w:rsidR="000C23EC">
        <w:t>2</w:t>
      </w:r>
      <w:r w:rsidR="00A81CE3">
        <w:t>0</w:t>
      </w:r>
      <w:r>
        <w:t xml:space="preserve">, </w:t>
      </w:r>
      <w:r w:rsidRPr="000C2A7D">
        <w:rPr>
          <w:i/>
          <w:iCs/>
        </w:rPr>
        <w:t>supra</w:t>
      </w:r>
      <w:r>
        <w:t xml:space="preserve"> (factor in enterprise liability theor</w:t>
      </w:r>
      <w:r w:rsidR="00FB44EE">
        <w:t>y</w:t>
      </w:r>
      <w:r w:rsidR="005B19FC">
        <w:t xml:space="preserve"> is extent </w:t>
      </w:r>
      <w:r w:rsidR="003E40DA">
        <w:t xml:space="preserve">to which </w:t>
      </w:r>
      <w:r w:rsidR="005B19FC">
        <w:t>parent directs subsidiaries’ operations</w:t>
      </w:r>
      <w:r>
        <w:t>).</w:t>
      </w:r>
    </w:p>
  </w:footnote>
  <w:footnote w:id="26">
    <w:p w:rsidR="00133325" w:rsidP="00133325" w14:paraId="1FF210D2" w14:textId="2E3B53F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  <w:iCs/>
        </w:rPr>
        <w:t>Cf</w:t>
      </w:r>
      <w:r>
        <w:t xml:space="preserve">. </w:t>
      </w:r>
      <w:r>
        <w:rPr>
          <w:i/>
          <w:iCs/>
        </w:rPr>
        <w:t>i</w:t>
      </w:r>
      <w:r w:rsidRPr="000C2A7D">
        <w:rPr>
          <w:i/>
          <w:iCs/>
        </w:rPr>
        <w:t>d</w:t>
      </w:r>
      <w:r>
        <w:t xml:space="preserve">. </w:t>
      </w:r>
      <w:r w:rsidR="005B19FC">
        <w:t xml:space="preserve">(factor in enterprise liability theory is </w:t>
      </w:r>
      <w:r w:rsidR="003E40DA">
        <w:t xml:space="preserve">whether </w:t>
      </w:r>
      <w:r w:rsidR="005B19FC">
        <w:t>related companies act on behalf of one another).</w:t>
      </w:r>
      <w:r>
        <w:t xml:space="preserve"> </w:t>
      </w:r>
    </w:p>
  </w:footnote>
  <w:footnote w:id="27">
    <w:p w:rsidR="00133325" w:rsidP="00133325" w14:paraId="247BFADE" w14:textId="6BBAAD1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773235">
        <w:rPr>
          <w:i/>
          <w:iCs/>
        </w:rPr>
        <w:t>E.g.</w:t>
      </w:r>
      <w:r w:rsidR="00773235">
        <w:t>,</w:t>
      </w:r>
      <w:r w:rsidRPr="003478EE" w:rsidR="00773235">
        <w:rPr>
          <w:i/>
        </w:rPr>
        <w:t xml:space="preserve"> </w:t>
      </w:r>
      <w:r>
        <w:t xml:space="preserve">Opposition at </w:t>
      </w:r>
      <w:r w:rsidR="00D323DC">
        <w:t>attachment</w:t>
      </w:r>
      <w:r>
        <w:t xml:space="preserve"> </w:t>
      </w:r>
      <w:r w:rsidR="00773235">
        <w:t>(</w:t>
      </w:r>
      <w:r w:rsidR="00920D67">
        <w:t xml:space="preserve">Verizon </w:t>
      </w:r>
      <w:r>
        <w:t>bill dated Feb</w:t>
      </w:r>
      <w:r w:rsidR="006618E4">
        <w:t>.</w:t>
      </w:r>
      <w:r>
        <w:t xml:space="preserve"> 3, 2019) (stating, under the heading “Service Providers,” that “Verizon PA provides regional, local calling and related features…</w:t>
      </w:r>
      <w:r w:rsidR="00AD53DC">
        <w:t xml:space="preserve">. </w:t>
      </w:r>
      <w:r>
        <w:t xml:space="preserve">Verizon Long Distance provides long distance calling [and] Verizon Online provides internet service…”).  </w:t>
      </w:r>
      <w:r w:rsidRPr="006B4CA5">
        <w:rPr>
          <w:i/>
          <w:iCs/>
        </w:rPr>
        <w:t>See</w:t>
      </w:r>
      <w:r>
        <w:t xml:space="preserve"> 47 CFR </w:t>
      </w:r>
      <w:r w:rsidRPr="1D1DEB0C">
        <w:t>§</w:t>
      </w:r>
      <w:r>
        <w:t xml:space="preserve"> 64.2401(a)(1) (telephone bills must provide “the name of the service provider associated with each charge…”).</w:t>
      </w:r>
    </w:p>
  </w:footnote>
  <w:footnote w:id="28">
    <w:p w:rsidR="00133325" w:rsidP="00133325" w14:paraId="4353E16D" w14:textId="39E3DE0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6618E4">
        <w:rPr>
          <w:i/>
          <w:iCs/>
        </w:rPr>
        <w:t>E.g.</w:t>
      </w:r>
      <w:r w:rsidRPr="00652C8D" w:rsidR="006618E4">
        <w:t>, Opposition at attachment</w:t>
      </w:r>
      <w:r w:rsidR="006618E4">
        <w:rPr>
          <w:i/>
          <w:iCs/>
        </w:rPr>
        <w:t xml:space="preserve"> </w:t>
      </w:r>
      <w:r>
        <w:t>(</w:t>
      </w:r>
      <w:r w:rsidR="006618E4">
        <w:t>Verizon bill dated Feb. 3, 2019 (</w:t>
      </w:r>
      <w:r>
        <w:t xml:space="preserve">under the heading “Restatement of Charges”).  </w:t>
      </w:r>
      <w:r w:rsidRPr="006B4CA5">
        <w:rPr>
          <w:i/>
          <w:iCs/>
        </w:rPr>
        <w:t>See</w:t>
      </w:r>
      <w:r>
        <w:t xml:space="preserve"> 47 CFR </w:t>
      </w:r>
      <w:r w:rsidRPr="1D1DEB0C">
        <w:t>§</w:t>
      </w:r>
      <w:r>
        <w:t xml:space="preserve"> 64.2401(c) (bill contain</w:t>
      </w:r>
      <w:r w:rsidR="00601E4F">
        <w:t>ing</w:t>
      </w:r>
      <w:r>
        <w:t xml:space="preserve"> charges for basic local service, in addition to other charges, must distinguish between basic and non-basic charges). </w:t>
      </w:r>
      <w:r w:rsidR="00285708">
        <w:t xml:space="preserve"> </w:t>
      </w:r>
      <w:r w:rsidRPr="00AD53DC" w:rsidR="000F2050">
        <w:rPr>
          <w:szCs w:val="22"/>
        </w:rPr>
        <w:t>Because</w:t>
      </w:r>
      <w:r w:rsidR="000F2050">
        <w:rPr>
          <w:szCs w:val="22"/>
        </w:rPr>
        <w:t xml:space="preserve"> Complainants do not show that Verizon PA was part of an enterprise, we do not address whether (</w:t>
      </w:r>
      <w:r w:rsidR="000F2050">
        <w:rPr>
          <w:szCs w:val="22"/>
        </w:rPr>
        <w:t>i</w:t>
      </w:r>
      <w:r w:rsidR="000F2050">
        <w:rPr>
          <w:szCs w:val="22"/>
        </w:rPr>
        <w:t xml:space="preserve">) the theory applies in a </w:t>
      </w:r>
      <w:r w:rsidR="00B83975">
        <w:rPr>
          <w:szCs w:val="22"/>
        </w:rPr>
        <w:t>s</w:t>
      </w:r>
      <w:r w:rsidR="000F2050">
        <w:rPr>
          <w:szCs w:val="22"/>
        </w:rPr>
        <w:t>ection 208 proceeding, or</w:t>
      </w:r>
      <w:r w:rsidR="00AD53DC">
        <w:rPr>
          <w:szCs w:val="22"/>
        </w:rPr>
        <w:t xml:space="preserve">, </w:t>
      </w:r>
      <w:r w:rsidR="000F2050">
        <w:rPr>
          <w:szCs w:val="22"/>
        </w:rPr>
        <w:t>(ii) if</w:t>
      </w:r>
      <w:r w:rsidR="000F2050">
        <w:t xml:space="preserve"> the theory does apply, a</w:t>
      </w:r>
      <w:r w:rsidR="007734F0">
        <w:t>n enterprise</w:t>
      </w:r>
      <w:r w:rsidR="000F2050">
        <w:t xml:space="preserve"> member may be considered a “common carrier” under </w:t>
      </w:r>
      <w:r w:rsidR="00B83975">
        <w:t>s</w:t>
      </w:r>
      <w:r w:rsidR="000F2050">
        <w:t>ection 208.</w:t>
      </w:r>
      <w:r>
        <w:t xml:space="preserve">  </w:t>
      </w:r>
    </w:p>
  </w:footnote>
  <w:footnote w:id="29">
    <w:p w:rsidR="00A638F8" w:rsidP="00A638F8" w14:paraId="7F9D2E60" w14:textId="3E346DA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2C7D38">
        <w:rPr>
          <w:i/>
          <w:iCs/>
        </w:rPr>
        <w:t>See</w:t>
      </w:r>
      <w:r w:rsidRPr="002C7D38">
        <w:t xml:space="preserve"> Opposition at </w:t>
      </w:r>
      <w:r>
        <w:t>4-6.  Under the doctrine of piercing the corporate veil, “[t]he Commission may hold an entity or individual liable for the acts or omissions of a different, related entity: (</w:t>
      </w:r>
      <w:r>
        <w:t>i</w:t>
      </w:r>
      <w:r>
        <w:t xml:space="preserve">) where there is a common identity of officers, directors, or shareholders; (ii) where there is common control between the entities; and (iii) when it is necessary to preserve the integrity of the Act and to prevent the entities from defeating the purpose of statutory provisions.”  </w:t>
      </w:r>
      <w:r w:rsidRPr="002C7D38">
        <w:rPr>
          <w:i/>
          <w:iCs/>
        </w:rPr>
        <w:t>Telseven</w:t>
      </w:r>
      <w:r w:rsidRPr="002C7D38">
        <w:rPr>
          <w:i/>
          <w:iCs/>
        </w:rPr>
        <w:t>, LLC</w:t>
      </w:r>
      <w:r w:rsidRPr="002C7D38">
        <w:t xml:space="preserve">, Forfeiture Order, 31 FCC </w:t>
      </w:r>
      <w:r w:rsidRPr="002C7D38">
        <w:t>Rcd</w:t>
      </w:r>
      <w:r w:rsidRPr="002C7D38">
        <w:t xml:space="preserve"> 1629, </w:t>
      </w:r>
      <w:r>
        <w:t>1</w:t>
      </w:r>
      <w:r w:rsidRPr="002C7D38">
        <w:t>63</w:t>
      </w:r>
      <w:r>
        <w:t xml:space="preserve">1, para. 8 </w:t>
      </w:r>
      <w:r w:rsidRPr="002C7D38">
        <w:t>(2016)</w:t>
      </w:r>
      <w:r>
        <w:t xml:space="preserve">.  </w:t>
      </w:r>
    </w:p>
  </w:footnote>
  <w:footnote w:id="30">
    <w:p w:rsidR="007C12EF" w:rsidP="007C12EF" w14:paraId="257E109C" w14:textId="73F58D0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  <w:iCs/>
        </w:rPr>
        <w:t xml:space="preserve">Cf., e.g., </w:t>
      </w:r>
      <w:r w:rsidR="00125EFD">
        <w:rPr>
          <w:i/>
          <w:iCs/>
        </w:rPr>
        <w:t xml:space="preserve">John C. </w:t>
      </w:r>
      <w:r>
        <w:rPr>
          <w:i/>
          <w:iCs/>
        </w:rPr>
        <w:t>Spiller</w:t>
      </w:r>
      <w:r w:rsidRPr="00B06074">
        <w:t>, Forfeiture Order,</w:t>
      </w:r>
      <w:r>
        <w:rPr>
          <w:i/>
          <w:iCs/>
        </w:rPr>
        <w:t xml:space="preserve"> </w:t>
      </w:r>
      <w:r w:rsidR="00125EFD">
        <w:t>FCC 21-35, File N</w:t>
      </w:r>
      <w:r w:rsidR="00FF3979">
        <w:t>o</w:t>
      </w:r>
      <w:r w:rsidR="00125EFD">
        <w:t>. EB-TCD-18-00027781</w:t>
      </w:r>
      <w:r w:rsidR="00FF3979">
        <w:t xml:space="preserve"> (2021)</w:t>
      </w:r>
      <w:r w:rsidR="00125EFD">
        <w:t xml:space="preserve"> at 25, </w:t>
      </w:r>
      <w:r>
        <w:t>para. 48  (piercing corporate veil where indirect owners of related companies “exercised complete supervisory and management control”</w:t>
      </w:r>
      <w:r w:rsidR="00403AA3">
        <w:t xml:space="preserve"> of companies</w:t>
      </w:r>
      <w:r>
        <w:t xml:space="preserve">);  </w:t>
      </w:r>
      <w:r w:rsidRPr="002C7D38">
        <w:rPr>
          <w:i/>
          <w:iCs/>
        </w:rPr>
        <w:t>Telseven</w:t>
      </w:r>
      <w:r>
        <w:rPr>
          <w:i/>
          <w:iCs/>
        </w:rPr>
        <w:t>,</w:t>
      </w:r>
      <w:r>
        <w:t xml:space="preserve"> 31 FCC </w:t>
      </w:r>
      <w:r>
        <w:t>Rcd</w:t>
      </w:r>
      <w:r>
        <w:rPr>
          <w:i/>
          <w:iCs/>
        </w:rPr>
        <w:t xml:space="preserve"> </w:t>
      </w:r>
      <w:r w:rsidRPr="002A7DC2">
        <w:t>at</w:t>
      </w:r>
      <w:r>
        <w:t xml:space="preserve"> </w:t>
      </w:r>
      <w:r w:rsidRPr="002C7D38">
        <w:t>1632</w:t>
      </w:r>
      <w:r>
        <w:t>, para. 10</w:t>
      </w:r>
      <w:r w:rsidRPr="002C7D38">
        <w:t xml:space="preserve"> (2016) (piercing </w:t>
      </w:r>
      <w:r>
        <w:t xml:space="preserve">corporate </w:t>
      </w:r>
      <w:r w:rsidRPr="002C7D38">
        <w:t xml:space="preserve">veil </w:t>
      </w:r>
      <w:r>
        <w:t xml:space="preserve">of common carrier </w:t>
      </w:r>
      <w:r w:rsidRPr="002C7D38">
        <w:t xml:space="preserve">where </w:t>
      </w:r>
      <w:r>
        <w:t xml:space="preserve">its sole shareholder exercised </w:t>
      </w:r>
      <w:r w:rsidRPr="002C7D38">
        <w:t>“total control”</w:t>
      </w:r>
      <w:r>
        <w:t xml:space="preserve"> over carrier</w:t>
      </w:r>
      <w:r w:rsidRPr="002C7D38">
        <w:t>)</w:t>
      </w:r>
      <w:r>
        <w:t xml:space="preserve">; </w:t>
      </w:r>
      <w:r w:rsidRPr="00781687">
        <w:rPr>
          <w:i/>
          <w:iCs/>
        </w:rPr>
        <w:t>Liability of</w:t>
      </w:r>
      <w:r>
        <w:t xml:space="preserve"> </w:t>
      </w:r>
      <w:r w:rsidRPr="0001472D">
        <w:rPr>
          <w:i/>
          <w:iCs/>
        </w:rPr>
        <w:t>Federated Publications, Inc.</w:t>
      </w:r>
      <w:r>
        <w:rPr>
          <w:i/>
          <w:iCs/>
        </w:rPr>
        <w:t>, former owner of WMRI, Inc., for Forfeiture</w:t>
      </w:r>
      <w:r w:rsidRPr="006E4239">
        <w:t>, Memorandum Opinion and Order,</w:t>
      </w:r>
      <w:r>
        <w:t xml:space="preserve"> 7 FCC 2d 522, 523, para. 4 (1967) (corporation in “absolute control” of radio station licensee is liable for licensee’s violations of the Act).</w:t>
      </w:r>
    </w:p>
  </w:footnote>
  <w:footnote w:id="31">
    <w:p w:rsidR="006C5ACA" w:rsidRPr="001229C6" w:rsidP="006C5ACA" w14:paraId="1A6D65BA" w14:textId="10A821A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5E5A04">
        <w:rPr>
          <w:i/>
          <w:iCs/>
        </w:rPr>
        <w:t>Id</w:t>
      </w:r>
      <w:r>
        <w:t>.</w:t>
      </w:r>
    </w:p>
  </w:footnote>
  <w:footnote w:id="32">
    <w:p w:rsidR="00F70D35" w14:paraId="71835D41" w14:textId="5F50301B">
      <w:pPr>
        <w:pStyle w:val="FootnoteText"/>
      </w:pPr>
      <w:r>
        <w:rPr>
          <w:rStyle w:val="FootnoteReference"/>
        </w:rPr>
        <w:footnoteRef/>
      </w:r>
      <w:r>
        <w:t xml:space="preserve"> Opposition at 10 (citing 47 U.S.C. </w:t>
      </w:r>
      <w:r w:rsidRPr="1D1DEB0C">
        <w:t>§</w:t>
      </w:r>
      <w:r>
        <w:t xml:space="preserve"> 217 (</w:t>
      </w:r>
      <w:r w:rsidR="00A31C73">
        <w:t>“In construing and enforcing the provisions of this Act, the act…of any …agent…acting for…any common carrier…, shall in every case be also deemed to be the act…of such carrier…”)).</w:t>
      </w:r>
    </w:p>
  </w:footnote>
  <w:footnote w:id="33">
    <w:p w:rsidR="00506217" w:rsidP="00506217" w14:paraId="3CB44375" w14:textId="1A36512F">
      <w:pPr>
        <w:pStyle w:val="FootnoteText"/>
      </w:pPr>
      <w:r>
        <w:rPr>
          <w:rStyle w:val="FootnoteReference"/>
        </w:rPr>
        <w:footnoteRef/>
      </w:r>
      <w:r>
        <w:t xml:space="preserve"> Opposition at 11 (citing 47 U.S.C. </w:t>
      </w:r>
      <w:r w:rsidRPr="1D1DEB0C">
        <w:t>§</w:t>
      </w:r>
      <w:r>
        <w:t xml:space="preserve"> 208(a)</w:t>
      </w:r>
      <w:r w:rsidR="004F59D9">
        <w:t xml:space="preserve"> (emphasis added)</w:t>
      </w:r>
      <w:r>
        <w:t xml:space="preserve">). </w:t>
      </w:r>
    </w:p>
  </w:footnote>
  <w:footnote w:id="34">
    <w:p w:rsidR="00B83975" w14:paraId="23800850" w14:textId="415F952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901F6A" w:rsidR="00FF3979">
        <w:rPr>
          <w:i/>
          <w:iCs/>
        </w:rPr>
        <w:t>See</w:t>
      </w:r>
      <w:r w:rsidR="00FF3979">
        <w:t xml:space="preserve"> 47 U.S.C. </w:t>
      </w:r>
      <w:r w:rsidRPr="1D1DEB0C" w:rsidR="00FF3979">
        <w:t>§</w:t>
      </w:r>
      <w:r w:rsidR="00FF3979">
        <w:t xml:space="preserve"> 208</w:t>
      </w:r>
      <w:r w:rsidR="00901F6A">
        <w:t>(a) (Any person…complaining of anything done</w:t>
      </w:r>
      <w:r w:rsidR="000072B4">
        <w:t>…</w:t>
      </w:r>
      <w:r w:rsidR="00901F6A">
        <w:t xml:space="preserve">by any </w:t>
      </w:r>
      <w:r w:rsidRPr="004D3B9A" w:rsidR="00901F6A">
        <w:rPr>
          <w:i/>
          <w:iCs/>
        </w:rPr>
        <w:t>common carrier</w:t>
      </w:r>
      <w:r w:rsidR="00901F6A">
        <w:t>…may apply to said Commission by petition…</w:t>
      </w:r>
      <w:r w:rsidR="000072B4">
        <w:t>, whereupon a statement of the complaint thus made shall be forwarded…to such common carrier….</w:t>
      </w:r>
      <w:r w:rsidR="00901F6A">
        <w:t xml:space="preserve">.  If…there shall appear to be any reasonable ground for investigating said complaint, it shall be the duty of the Commission to investigate… .”) (emphasis added).  </w:t>
      </w:r>
    </w:p>
  </w:footnote>
  <w:footnote w:id="35">
    <w:p w:rsidR="00C62992" w14:paraId="6D48EA41" w14:textId="723E25C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9B641F">
        <w:rPr>
          <w:i/>
          <w:iCs/>
        </w:rPr>
        <w:t>See</w:t>
      </w:r>
      <w:r>
        <w:t xml:space="preserve"> Opposition at </w:t>
      </w:r>
      <w:r w:rsidR="009B641F">
        <w:t>7-8</w:t>
      </w:r>
      <w:r w:rsidR="00925F90">
        <w:t xml:space="preserve"> (citing 47 U.S.C. </w:t>
      </w:r>
      <w:r w:rsidRPr="1D1DEB0C" w:rsidR="0006573C">
        <w:t>§</w:t>
      </w:r>
      <w:r w:rsidR="0006573C">
        <w:t xml:space="preserve"> 1</w:t>
      </w:r>
      <w:r w:rsidR="00DC6004">
        <w:t>5</w:t>
      </w:r>
      <w:r w:rsidR="00925F90">
        <w:t>4(</w:t>
      </w:r>
      <w:r w:rsidR="00925F90">
        <w:t>i</w:t>
      </w:r>
      <w:r w:rsidR="00925F90">
        <w:t>) (</w:t>
      </w:r>
      <w:r w:rsidRPr="00756300" w:rsidR="00925F90">
        <w:rPr>
          <w:szCs w:val="22"/>
        </w:rPr>
        <w:t>“</w:t>
      </w:r>
      <w:r w:rsidR="00DC6004">
        <w:rPr>
          <w:szCs w:val="22"/>
        </w:rPr>
        <w:t xml:space="preserve">The </w:t>
      </w:r>
      <w:r w:rsidRPr="00756300" w:rsidR="00925F90">
        <w:rPr>
          <w:szCs w:val="22"/>
        </w:rPr>
        <w:t>Commission may…issue such orders</w:t>
      </w:r>
      <w:r w:rsidR="00DC6004">
        <w:rPr>
          <w:szCs w:val="22"/>
        </w:rPr>
        <w:t xml:space="preserve">, not inconsistent with this Act, </w:t>
      </w:r>
      <w:r w:rsidRPr="00756300" w:rsidR="00925F90">
        <w:rPr>
          <w:szCs w:val="22"/>
        </w:rPr>
        <w:t>as may be necessary in the execution of its functions</w:t>
      </w:r>
      <w:r w:rsidR="00925F90">
        <w:rPr>
          <w:szCs w:val="22"/>
        </w:rPr>
        <w:t>”)</w:t>
      </w:r>
      <w:r w:rsidR="00C57248">
        <w:rPr>
          <w:szCs w:val="22"/>
        </w:rPr>
        <w:t>)</w:t>
      </w:r>
      <w:r w:rsidR="00601E4F">
        <w:t>.</w:t>
      </w:r>
    </w:p>
  </w:footnote>
  <w:footnote w:id="36">
    <w:p w:rsidR="00756300" w:rsidP="00756300" w14:paraId="3A44119D" w14:textId="54C3826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176CFE">
        <w:rPr>
          <w:i/>
          <w:iCs/>
        </w:rPr>
        <w:t>See</w:t>
      </w:r>
      <w:r>
        <w:t xml:space="preserve"> </w:t>
      </w:r>
      <w:r w:rsidRPr="003D6B62">
        <w:rPr>
          <w:i/>
          <w:iCs/>
        </w:rPr>
        <w:t>Comcast Corp. v. FCC</w:t>
      </w:r>
      <w:r>
        <w:t xml:space="preserve">, 600 F.3d 642, 646 (D.C. Cir. 2010) (Commission may exercise ancillary jurisdiction only if, among other things, </w:t>
      </w:r>
      <w:r w:rsidR="001C73BE">
        <w:t>“‘</w:t>
      </w:r>
      <w:r w:rsidR="00861472">
        <w:t>the regulations are reasonably ancillary to the Commission’s effective performance of its statutorily mandated responsibilities</w:t>
      </w:r>
      <w:r w:rsidR="001C73BE">
        <w:t>’</w:t>
      </w:r>
      <w:r>
        <w:t>”) (</w:t>
      </w:r>
      <w:r w:rsidR="001C73BE">
        <w:t>quot</w:t>
      </w:r>
      <w:r>
        <w:t xml:space="preserve">ing </w:t>
      </w:r>
      <w:r w:rsidRPr="003D6B62">
        <w:rPr>
          <w:i/>
          <w:iCs/>
        </w:rPr>
        <w:t xml:space="preserve">American Library </w:t>
      </w:r>
      <w:r w:rsidRPr="003D6B62">
        <w:rPr>
          <w:i/>
          <w:iCs/>
        </w:rPr>
        <w:t>Ass’n</w:t>
      </w:r>
      <w:r w:rsidRPr="003D6B62">
        <w:rPr>
          <w:i/>
          <w:iCs/>
        </w:rPr>
        <w:t xml:space="preserve"> v. FCC</w:t>
      </w:r>
      <w:r>
        <w:t>, 406 F.3d 689, 691-92 (2005)).</w:t>
      </w:r>
    </w:p>
  </w:footnote>
  <w:footnote w:id="37">
    <w:p w:rsidR="009E336E" w:rsidP="009E336E" w14:paraId="090BCA1C" w14:textId="5CDE4E0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861D9C">
        <w:rPr>
          <w:i/>
          <w:iCs/>
        </w:rPr>
        <w:t>See</w:t>
      </w:r>
      <w:r>
        <w:t xml:space="preserve"> Opposition at 10 (citing 47 U.S.C. </w:t>
      </w:r>
      <w:r w:rsidRPr="1D1DEB0C">
        <w:t>§</w:t>
      </w:r>
      <w:r>
        <w:t xml:space="preserve"> 153</w:t>
      </w:r>
      <w:r w:rsidR="00D44198">
        <w:t>(4)</w:t>
      </w:r>
      <w:r>
        <w:t xml:space="preserve">). </w:t>
      </w:r>
    </w:p>
  </w:footnote>
  <w:footnote w:id="38">
    <w:p w:rsidR="00C753E2" w14:paraId="7FDD1238" w14:textId="4BE1F40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9544BD" w:rsidR="009544BD">
        <w:rPr>
          <w:i/>
          <w:iCs/>
        </w:rPr>
        <w:t>See</w:t>
      </w:r>
      <w:r w:rsidR="009544BD">
        <w:t xml:space="preserve"> </w:t>
      </w:r>
      <w:r w:rsidR="00403A01">
        <w:t>Motion at 2</w:t>
      </w:r>
      <w:r w:rsidRPr="009544BD" w:rsidR="009544BD">
        <w:rPr>
          <w:szCs w:val="22"/>
        </w:rPr>
        <w:t xml:space="preserve"> </w:t>
      </w:r>
      <w:r w:rsidR="009544BD">
        <w:rPr>
          <w:szCs w:val="22"/>
        </w:rPr>
        <w:t>(“Nearly all of [the Complaint’s] claims…fall outside the Commission’s jurisdiction or otherwise are not candidates for a complaint under Section 208”)</w:t>
      </w:r>
      <w:r w:rsidR="00D04FC0">
        <w:t xml:space="preserve">.  </w:t>
      </w:r>
      <w:r w:rsidRPr="00D04FC0" w:rsidR="00D04FC0">
        <w:rPr>
          <w:i/>
          <w:iCs/>
        </w:rPr>
        <w:t>S</w:t>
      </w:r>
      <w:r w:rsidRPr="00C753E2">
        <w:rPr>
          <w:i/>
          <w:iCs/>
        </w:rPr>
        <w:t>ee</w:t>
      </w:r>
      <w:r>
        <w:t xml:space="preserve"> </w:t>
      </w:r>
      <w:r w:rsidRPr="00403A01" w:rsidR="00403A01">
        <w:rPr>
          <w:i/>
          <w:iCs/>
        </w:rPr>
        <w:t>generally</w:t>
      </w:r>
      <w:r w:rsidR="00403A01">
        <w:t xml:space="preserve"> </w:t>
      </w:r>
      <w:r w:rsidRPr="008A227B" w:rsidR="008A227B">
        <w:rPr>
          <w:i/>
          <w:iCs/>
        </w:rPr>
        <w:t>id</w:t>
      </w:r>
      <w:r w:rsidR="008A227B">
        <w:t>.</w:t>
      </w:r>
      <w:r>
        <w:t xml:space="preserve"> at 1-4, 7-12.</w:t>
      </w:r>
      <w:bookmarkStart w:id="9" w:name="_Hlk109145912"/>
      <w:r w:rsidR="001B011F">
        <w:t xml:space="preserve">  </w:t>
      </w:r>
      <w:r w:rsidR="00A27A9E">
        <w:t xml:space="preserve">  </w:t>
      </w:r>
      <w:r w:rsidR="001862F6">
        <w:t xml:space="preserve">  </w:t>
      </w:r>
      <w:r w:rsidR="002D7147">
        <w:t xml:space="preserve">  </w:t>
      </w:r>
    </w:p>
    <w:bookmarkEnd w:id="9"/>
  </w:footnote>
  <w:footnote w:id="39">
    <w:p w:rsidR="008C5A9C" w:rsidP="008C5A9C" w14:paraId="469D23B3" w14:textId="6E4E423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7C708B">
        <w:rPr>
          <w:i/>
          <w:iCs/>
        </w:rPr>
        <w:t>See</w:t>
      </w:r>
      <w:r>
        <w:rPr>
          <w:i/>
          <w:iCs/>
        </w:rPr>
        <w:t>, e.g.</w:t>
      </w:r>
      <w:r>
        <w:t xml:space="preserve">, Complaint at </w:t>
      </w:r>
      <w:r w:rsidRPr="00431F13">
        <w:t xml:space="preserve">4, paras. 14-19, 11-12, paras. 96-116 </w:t>
      </w:r>
      <w:r>
        <w:t xml:space="preserve">(allegations regarding the </w:t>
      </w:r>
      <w:r w:rsidRPr="00A601F3">
        <w:rPr>
          <w:i/>
          <w:iCs/>
        </w:rPr>
        <w:t>PUC</w:t>
      </w:r>
      <w:r>
        <w:t xml:space="preserve"> </w:t>
      </w:r>
      <w:r w:rsidRPr="00327427">
        <w:rPr>
          <w:i/>
          <w:iCs/>
        </w:rPr>
        <w:t>Order</w:t>
      </w:r>
      <w:r>
        <w:t xml:space="preserve"> or </w:t>
      </w:r>
      <w:r w:rsidRPr="00A601F3">
        <w:rPr>
          <w:i/>
          <w:iCs/>
        </w:rPr>
        <w:t>State Court Order</w:t>
      </w:r>
      <w:r>
        <w:t>)</w:t>
      </w:r>
      <w:r w:rsidRPr="00431F13">
        <w:t>; Revised Complaint at 4-5, paras. 1-3, 20-27</w:t>
      </w:r>
      <w:r>
        <w:t xml:space="preserve">, paras. </w:t>
      </w:r>
      <w:r w:rsidRPr="00431F13">
        <w:t xml:space="preserve">13-17 </w:t>
      </w:r>
      <w:r>
        <w:t xml:space="preserve">(same).  </w:t>
      </w:r>
    </w:p>
  </w:footnote>
  <w:footnote w:id="40">
    <w:p w:rsidR="00C753E2" w:rsidP="00C753E2" w14:paraId="2AB807DE" w14:textId="1E6E64C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7C708B">
        <w:rPr>
          <w:i/>
          <w:iCs/>
        </w:rPr>
        <w:t>See</w:t>
      </w:r>
      <w:r w:rsidR="00860791">
        <w:rPr>
          <w:i/>
          <w:iCs/>
        </w:rPr>
        <w:t>, e.g.</w:t>
      </w:r>
      <w:r w:rsidR="00860791">
        <w:t>,</w:t>
      </w:r>
      <w:r>
        <w:t xml:space="preserve"> </w:t>
      </w:r>
      <w:r w:rsidR="00B14869">
        <w:t>Complaint at 5, para. 29 (</w:t>
      </w:r>
      <w:r w:rsidR="00327427">
        <w:t xml:space="preserve">alleging violations of </w:t>
      </w:r>
      <w:r w:rsidRPr="00385A55" w:rsidR="00B14869">
        <w:t xml:space="preserve">Pennsylvania broadband access </w:t>
      </w:r>
      <w:r w:rsidR="00B14869">
        <w:t>statute), 14, para.</w:t>
      </w:r>
      <w:r w:rsidR="00860791">
        <w:t> </w:t>
      </w:r>
      <w:r w:rsidR="00B14869">
        <w:t xml:space="preserve">127 (Pennsylvania consumer protection statute); 16, para. 155 (42 U.S.C. </w:t>
      </w:r>
      <w:r w:rsidRPr="1D1DEB0C" w:rsidR="00B14869">
        <w:t>§</w:t>
      </w:r>
      <w:r w:rsidR="00B14869">
        <w:t xml:space="preserve"> 1981); Revised Complaint at 5-6, 12, 17 (Pennsylvania </w:t>
      </w:r>
      <w:r w:rsidR="00AD50F1">
        <w:t xml:space="preserve">broadband </w:t>
      </w:r>
      <w:r w:rsidR="00DA2EFF">
        <w:t xml:space="preserve">statute </w:t>
      </w:r>
      <w:r w:rsidR="00AD50F1">
        <w:t>and consumer protection</w:t>
      </w:r>
      <w:r w:rsidR="00B14869">
        <w:t xml:space="preserve"> statutes); 2</w:t>
      </w:r>
      <w:r w:rsidR="00392056">
        <w:t>1</w:t>
      </w:r>
      <w:r w:rsidR="00B14869">
        <w:t>-22 (42 U.S.C.</w:t>
      </w:r>
      <w:r w:rsidRPr="00BC4007" w:rsidR="00B14869">
        <w:t xml:space="preserve"> </w:t>
      </w:r>
      <w:r w:rsidRPr="1D1DEB0C" w:rsidR="00B14869">
        <w:t>§§</w:t>
      </w:r>
      <w:r w:rsidR="004C7091">
        <w:t xml:space="preserve"> </w:t>
      </w:r>
      <w:r w:rsidR="00B14869">
        <w:t>1981, 1983), 40-45</w:t>
      </w:r>
      <w:r w:rsidR="00327427">
        <w:t xml:space="preserve">, </w:t>
      </w:r>
      <w:r w:rsidR="00B14869">
        <w:t xml:space="preserve">(Count III) (15 U.S.C. </w:t>
      </w:r>
      <w:r w:rsidRPr="1D1DEB0C" w:rsidR="00B14869">
        <w:t>§</w:t>
      </w:r>
      <w:r w:rsidR="00B14869">
        <w:t xml:space="preserve"> 1692)</w:t>
      </w:r>
      <w:r>
        <w:t>.</w:t>
      </w:r>
      <w:r w:rsidR="00E12817">
        <w:t xml:space="preserve">  </w:t>
      </w:r>
      <w:r w:rsidRPr="00F3221E" w:rsidR="00E12817">
        <w:rPr>
          <w:i/>
          <w:iCs/>
        </w:rPr>
        <w:t>See also</w:t>
      </w:r>
      <w:r w:rsidR="00E12817">
        <w:t xml:space="preserve"> Motion at 4 (“Insofar as the Complaint either challenges or seeks enforcement of…the Pennsylvania [PUC]</w:t>
      </w:r>
      <w:r w:rsidR="00F734B9">
        <w:t xml:space="preserve"> order, or the state court’s mandatory arbitration decision, the Complaint should be dismissed</w:t>
      </w:r>
      <w:r w:rsidR="00514EB7">
        <w:t>”)</w:t>
      </w:r>
      <w:r w:rsidR="00F734B9">
        <w:t>.</w:t>
      </w:r>
      <w:r>
        <w:t xml:space="preserve">  </w:t>
      </w:r>
    </w:p>
  </w:footnote>
  <w:footnote w:id="41">
    <w:p w:rsidR="00517A4D" w14:paraId="475D1215" w14:textId="4CCEBC2D">
      <w:pPr>
        <w:pStyle w:val="FootnoteText"/>
      </w:pPr>
      <w:r>
        <w:rPr>
          <w:rStyle w:val="FootnoteReference"/>
        </w:rPr>
        <w:footnoteRef/>
      </w:r>
      <w:r>
        <w:t xml:space="preserve"> 47 U.S.C. </w:t>
      </w:r>
      <w:r w:rsidRPr="1D1DEB0C">
        <w:t>§</w:t>
      </w:r>
      <w:r>
        <w:t xml:space="preserve"> 208(a)</w:t>
      </w:r>
      <w:r w:rsidR="0093017F">
        <w:t>.</w:t>
      </w:r>
      <w:r w:rsidR="00BE1991">
        <w:t xml:space="preserve"> </w:t>
      </w:r>
    </w:p>
  </w:footnote>
  <w:footnote w:id="42">
    <w:p w:rsidR="00B9400D" w:rsidP="00B9400D" w14:paraId="1B8EA201" w14:textId="72BAE39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15181C">
        <w:rPr>
          <w:i/>
          <w:iCs/>
        </w:rPr>
        <w:t xml:space="preserve">See </w:t>
      </w:r>
      <w:r w:rsidR="00C753E2">
        <w:t>Motion at 7-8.</w:t>
      </w:r>
      <w:r w:rsidR="00CC2A94">
        <w:t xml:space="preserve">  The Revised Complaint’s Count III</w:t>
      </w:r>
      <w:r w:rsidR="00664DB5">
        <w:t xml:space="preserve">, </w:t>
      </w:r>
      <w:r w:rsidR="00CC2A94">
        <w:t xml:space="preserve">which alleges violations of the Fair Debt Collection Practices Act, 15 U.S.C. </w:t>
      </w:r>
      <w:r w:rsidRPr="1D1DEB0C" w:rsidR="00CC2A94">
        <w:t>§</w:t>
      </w:r>
      <w:r w:rsidR="00CC2A94">
        <w:t xml:space="preserve"> 1692, </w:t>
      </w:r>
      <w:r w:rsidRPr="00664DB5" w:rsidR="00664DB5">
        <w:rPr>
          <w:i/>
          <w:iCs/>
        </w:rPr>
        <w:t>see</w:t>
      </w:r>
      <w:r w:rsidR="00664DB5">
        <w:t xml:space="preserve"> Revised Complaint at 40-45, </w:t>
      </w:r>
      <w:r w:rsidR="00CC2A94">
        <w:t>also fails to allege a “</w:t>
      </w:r>
      <w:r w:rsidR="00891D7B">
        <w:t>contravention</w:t>
      </w:r>
      <w:r w:rsidR="00CC2A94">
        <w:t xml:space="preserve"> of the provisions </w:t>
      </w:r>
      <w:r w:rsidR="00891D7B">
        <w:t>[</w:t>
      </w:r>
      <w:r w:rsidR="00CC2A94">
        <w:t>of the Act</w:t>
      </w:r>
      <w:r w:rsidR="00891D7B">
        <w:t>]</w:t>
      </w:r>
      <w:r w:rsidR="00CC2A94">
        <w:t xml:space="preserve">” </w:t>
      </w:r>
      <w:r w:rsidR="00891D7B">
        <w:t xml:space="preserve">as required by </w:t>
      </w:r>
      <w:r w:rsidR="00CC2A94">
        <w:t xml:space="preserve">47 </w:t>
      </w:r>
      <w:r w:rsidR="00FB4B1C">
        <w:t>U.S.C.</w:t>
      </w:r>
      <w:r w:rsidR="00CC2A94">
        <w:t xml:space="preserve"> </w:t>
      </w:r>
      <w:r w:rsidRPr="1D1DEB0C" w:rsidR="00CC2A94">
        <w:t>§</w:t>
      </w:r>
      <w:r w:rsidR="00CC2A94">
        <w:t xml:space="preserve"> 208</w:t>
      </w:r>
      <w:r w:rsidR="00AE38F6">
        <w:t>(a)</w:t>
      </w:r>
      <w:r w:rsidR="00664DB5">
        <w:t xml:space="preserve">, and </w:t>
      </w:r>
      <w:r w:rsidR="004C7091">
        <w:t xml:space="preserve">so </w:t>
      </w:r>
      <w:r w:rsidR="00664DB5">
        <w:t>also would be dismissed with prejudice</w:t>
      </w:r>
      <w:r w:rsidR="00CC2A94">
        <w:t xml:space="preserve">. </w:t>
      </w:r>
      <w:r w:rsidR="00F5047D">
        <w:t xml:space="preserve">  </w:t>
      </w:r>
    </w:p>
  </w:footnote>
  <w:footnote w:id="43">
    <w:p w:rsidR="00ED36AD" w14:paraId="16DD4C58" w14:textId="31D9E1F0">
      <w:pPr>
        <w:pStyle w:val="FootnoteText"/>
      </w:pPr>
      <w:r>
        <w:rPr>
          <w:rStyle w:val="FootnoteReference"/>
        </w:rPr>
        <w:footnoteRef/>
      </w:r>
      <w:r>
        <w:t xml:space="preserve"> See n.</w:t>
      </w:r>
      <w:r w:rsidR="00BC2804">
        <w:t>14</w:t>
      </w:r>
      <w:r w:rsidR="008D22A5">
        <w:t>,</w:t>
      </w:r>
      <w:r>
        <w:t xml:space="preserve"> </w:t>
      </w:r>
      <w:r w:rsidRPr="00ED36AD">
        <w:rPr>
          <w:i/>
          <w:iCs/>
        </w:rPr>
        <w:t>supra</w:t>
      </w:r>
      <w:r>
        <w:t>.</w:t>
      </w:r>
    </w:p>
  </w:footnote>
  <w:footnote w:id="44">
    <w:p w:rsidR="00835764" w14:paraId="3FC347F2" w14:textId="5532EEE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835764">
        <w:rPr>
          <w:i/>
          <w:iCs/>
        </w:rPr>
        <w:t>See</w:t>
      </w:r>
      <w:r>
        <w:t xml:space="preserve"> </w:t>
      </w:r>
      <w:r w:rsidR="00AB2208">
        <w:t xml:space="preserve">47 U.S.C. </w:t>
      </w:r>
      <w:r w:rsidRPr="1D1DEB0C" w:rsidR="00AB2208">
        <w:t>§</w:t>
      </w:r>
      <w:r w:rsidR="00AB2208">
        <w:t xml:space="preserve"> 153</w:t>
      </w:r>
      <w:r w:rsidR="000B469A">
        <w:t>(22)</w:t>
      </w:r>
      <w:r w:rsidR="00AB2208">
        <w:t xml:space="preserve">; </w:t>
      </w:r>
      <w:r>
        <w:t>Motion at 11.</w:t>
      </w:r>
      <w:r w:rsidR="00AE38F6">
        <w:t xml:space="preserve">  Accordingly, the Commission would not have ancillary jurisdiction over </w:t>
      </w:r>
      <w:r w:rsidR="00AE38F6">
        <w:t>TechSure</w:t>
      </w:r>
      <w:r w:rsidR="00AE38F6">
        <w:t xml:space="preserve"> claims under 47 U.S.C. </w:t>
      </w:r>
      <w:r w:rsidRPr="1D1DEB0C" w:rsidR="00AE38F6">
        <w:t>§</w:t>
      </w:r>
      <w:r w:rsidR="00AE38F6">
        <w:t xml:space="preserve"> 4(</w:t>
      </w:r>
      <w:r w:rsidR="00AE38F6">
        <w:t>i</w:t>
      </w:r>
      <w:r w:rsidR="00AE38F6">
        <w:t>)</w:t>
      </w:r>
      <w:r w:rsidR="00FE015A">
        <w:t>, even if brought against a different defendant</w:t>
      </w:r>
      <w:r w:rsidR="00AE38F6">
        <w:t xml:space="preserve">.   </w:t>
      </w:r>
      <w:r w:rsidR="00B92D48">
        <w:t xml:space="preserve">  </w:t>
      </w:r>
    </w:p>
  </w:footnote>
  <w:footnote w:id="45">
    <w:p w:rsidR="00B378BD" w14:paraId="422C71F7" w14:textId="7F759BF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197D5B">
        <w:rPr>
          <w:i/>
          <w:iCs/>
        </w:rPr>
        <w:t xml:space="preserve">See </w:t>
      </w:r>
      <w:r w:rsidRPr="00F3221E" w:rsidR="00F734B9">
        <w:t>Motion at 9 (citing</w:t>
      </w:r>
      <w:r w:rsidR="00F734B9">
        <w:rPr>
          <w:i/>
          <w:iCs/>
        </w:rPr>
        <w:t xml:space="preserve"> </w:t>
      </w:r>
      <w:r w:rsidRPr="00197D5B">
        <w:rPr>
          <w:i/>
          <w:iCs/>
        </w:rPr>
        <w:t>Restoring Internet Freedom</w:t>
      </w:r>
      <w:r>
        <w:t xml:space="preserve">, </w:t>
      </w:r>
      <w:r w:rsidR="006D5CF5">
        <w:t>Declaratory Ruling, Report and Order</w:t>
      </w:r>
      <w:r w:rsidR="009B06EA">
        <w:t>,</w:t>
      </w:r>
      <w:r w:rsidR="004F4C41">
        <w:t xml:space="preserve"> and Order</w:t>
      </w:r>
      <w:r w:rsidR="006D5CF5">
        <w:t xml:space="preserve">, </w:t>
      </w:r>
      <w:r>
        <w:t xml:space="preserve">33 FCC </w:t>
      </w:r>
      <w:r>
        <w:t>Rcd</w:t>
      </w:r>
      <w:r>
        <w:t xml:space="preserve"> 311 (2018)</w:t>
      </w:r>
      <w:r w:rsidR="00C02386">
        <w:t xml:space="preserve">); </w:t>
      </w:r>
      <w:r w:rsidRPr="00F3221E" w:rsidR="00C02386">
        <w:rPr>
          <w:i/>
          <w:iCs/>
        </w:rPr>
        <w:t>id.</w:t>
      </w:r>
      <w:r w:rsidR="00C02386">
        <w:rPr>
          <w:i/>
          <w:iCs/>
        </w:rPr>
        <w:t xml:space="preserve">, </w:t>
      </w:r>
      <w:r w:rsidRPr="004D3B9A" w:rsidR="00C02386">
        <w:t xml:space="preserve">33 FCC </w:t>
      </w:r>
      <w:r w:rsidRPr="004D3B9A" w:rsidR="00C02386">
        <w:t>Rcd</w:t>
      </w:r>
      <w:r w:rsidRPr="004D3B9A" w:rsidR="00C02386">
        <w:t xml:space="preserve"> </w:t>
      </w:r>
      <w:r>
        <w:t xml:space="preserve">at </w:t>
      </w:r>
      <w:r w:rsidR="001A0C0B">
        <w:t xml:space="preserve">442, para. </w:t>
      </w:r>
      <w:r w:rsidR="004F4C41">
        <w:t xml:space="preserve">225 (eliminating the performance metric), </w:t>
      </w:r>
      <w:r w:rsidR="006C4E1B">
        <w:t xml:space="preserve">490, para. </w:t>
      </w:r>
      <w:r w:rsidR="006F421D">
        <w:t>302</w:t>
      </w:r>
      <w:r>
        <w:t xml:space="preserve"> (</w:t>
      </w:r>
      <w:r w:rsidR="00FA4A66">
        <w:t xml:space="preserve">repealing 47 CFR </w:t>
      </w:r>
      <w:r w:rsidRPr="1D1DEB0C" w:rsidR="00A32EF8">
        <w:t>§</w:t>
      </w:r>
      <w:r w:rsidRPr="1D1DEB0C" w:rsidR="00DA2EFF">
        <w:t>§</w:t>
      </w:r>
      <w:r w:rsidR="00FA4A66">
        <w:t xml:space="preserve"> </w:t>
      </w:r>
      <w:r w:rsidR="00DA2EFF">
        <w:t xml:space="preserve">8.2, </w:t>
      </w:r>
      <w:r w:rsidR="00FA4A66">
        <w:t>8.3</w:t>
      </w:r>
      <w:r>
        <w:t>)</w:t>
      </w:r>
      <w:r w:rsidR="004F4C41">
        <w:t>.</w:t>
      </w:r>
      <w:r w:rsidRPr="0006697F" w:rsidR="0006697F">
        <w:t xml:space="preserve"> </w:t>
      </w:r>
      <w:r w:rsidR="00285708">
        <w:t xml:space="preserve"> </w:t>
      </w:r>
      <w:r w:rsidR="0006697F">
        <w:t>Complainants’ allegations pertaining to internet access service are found in Count IV of the Revised Complaint</w:t>
      </w:r>
      <w:r w:rsidR="00123D37">
        <w:t>, s</w:t>
      </w:r>
      <w:r w:rsidRPr="008B6781" w:rsidR="0006697F">
        <w:rPr>
          <w:i/>
          <w:iCs/>
        </w:rPr>
        <w:t>ee</w:t>
      </w:r>
      <w:r w:rsidR="0006697F">
        <w:t xml:space="preserve"> Revised Complaint at 45-51</w:t>
      </w:r>
      <w:r w:rsidR="00123D37">
        <w:t>,</w:t>
      </w:r>
      <w:r w:rsidR="0006697F">
        <w:t xml:space="preserve"> and would be dismissed with prejudice </w:t>
      </w:r>
      <w:r w:rsidR="00672FAD">
        <w:t>on the same ground</w:t>
      </w:r>
      <w:r w:rsidR="006C4E1B">
        <w:t xml:space="preserve"> as the Complaint’s Count III</w:t>
      </w:r>
      <w:r w:rsidR="0006697F">
        <w:t>.</w:t>
      </w:r>
      <w:r w:rsidR="00885012">
        <w:t xml:space="preserve">        </w:t>
      </w:r>
      <w:r w:rsidR="004F4C41">
        <w:t xml:space="preserve">   </w:t>
      </w:r>
    </w:p>
  </w:footnote>
  <w:footnote w:id="46">
    <w:p w:rsidR="00887D97" w14:paraId="615F3054" w14:textId="31B2F74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EB60A6">
        <w:t>47 U.S.C.</w:t>
      </w:r>
      <w:r w:rsidR="00A32EF8">
        <w:t xml:space="preserve"> </w:t>
      </w:r>
      <w:r w:rsidRPr="1D1DEB0C" w:rsidR="00A32EF8">
        <w:t>§</w:t>
      </w:r>
      <w:r w:rsidR="00EB60A6">
        <w:t xml:space="preserve"> 415(b).</w:t>
      </w:r>
      <w:r w:rsidR="004A47B7">
        <w:t xml:space="preserve"> </w:t>
      </w:r>
      <w:r w:rsidR="00832F18">
        <w:t xml:space="preserve">  </w:t>
      </w:r>
      <w:r w:rsidR="002603A3">
        <w:t xml:space="preserve">  </w:t>
      </w:r>
      <w:r w:rsidR="00E14733">
        <w:t xml:space="preserve">    </w:t>
      </w:r>
      <w:r w:rsidR="00445C56">
        <w:t xml:space="preserve">  </w:t>
      </w:r>
    </w:p>
  </w:footnote>
  <w:footnote w:id="47">
    <w:p w:rsidR="00640F42" w:rsidP="00640F42" w14:paraId="5B90A654" w14:textId="1BFC459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szCs w:val="22"/>
        </w:rPr>
        <w:t xml:space="preserve">The </w:t>
      </w:r>
      <w:r>
        <w:t xml:space="preserve">Complaint seeks damages for the service interruptions at issue in the </w:t>
      </w:r>
      <w:r w:rsidRPr="00864980">
        <w:rPr>
          <w:i/>
          <w:iCs/>
        </w:rPr>
        <w:t xml:space="preserve">PUC Order </w:t>
      </w:r>
      <w:r>
        <w:t>even though claim</w:t>
      </w:r>
      <w:r w:rsidR="008621D6">
        <w:t>s</w:t>
      </w:r>
      <w:r>
        <w:t xml:space="preserve"> for most of these interruptions </w:t>
      </w:r>
      <w:r w:rsidR="008621D6">
        <w:t>are</w:t>
      </w:r>
      <w:r>
        <w:t xml:space="preserve"> time-barred.  </w:t>
      </w:r>
      <w:r w:rsidRPr="00002A26">
        <w:rPr>
          <w:i/>
          <w:iCs/>
        </w:rPr>
        <w:t>See</w:t>
      </w:r>
      <w:r>
        <w:t xml:space="preserve"> Complaint at  </w:t>
      </w:r>
      <w:r>
        <w:t>Exh</w:t>
      </w:r>
      <w:r>
        <w:t>. A (</w:t>
      </w:r>
      <w:r w:rsidRPr="009B06EA">
        <w:rPr>
          <w:i/>
          <w:iCs/>
        </w:rPr>
        <w:t>PUC Order</w:t>
      </w:r>
      <w:r>
        <w:t xml:space="preserve">) at 15 (service interruptions occurred between February 15, 2019 and June 3, 2019).  </w:t>
      </w:r>
      <w:r w:rsidRPr="00F16FD2">
        <w:rPr>
          <w:i/>
          <w:iCs/>
        </w:rPr>
        <w:t>See</w:t>
      </w:r>
      <w:r>
        <w:rPr>
          <w:i/>
          <w:iCs/>
        </w:rPr>
        <w:t xml:space="preserve"> also, e.g.</w:t>
      </w:r>
      <w:r>
        <w:t xml:space="preserve">, Complaint at 5, para. 28 (“Verizon </w:t>
      </w:r>
      <w:r w:rsidRPr="002D0BCB">
        <w:t>beginning March</w:t>
      </w:r>
      <w:r w:rsidR="00D929AD">
        <w:t> </w:t>
      </w:r>
      <w:r w:rsidRPr="002D0BCB">
        <w:t>15, 2019</w:t>
      </w:r>
      <w:r>
        <w:rPr>
          <w:i/>
          <w:iCs/>
        </w:rPr>
        <w:t>…</w:t>
      </w:r>
      <w:r>
        <w:t xml:space="preserve">did not furnish such communication service upon reasonable request”) (emphasis added); Revised Complaint at 8, para. 2 (“violations began February 15, 2019…”).  </w:t>
      </w:r>
    </w:p>
  </w:footnote>
  <w:footnote w:id="48">
    <w:p w:rsidR="00F1686F" w14:paraId="1E90E6FE" w14:textId="5A3A618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0F7F10">
        <w:rPr>
          <w:i/>
          <w:iCs/>
        </w:rPr>
        <w:t>See</w:t>
      </w:r>
      <w:r>
        <w:t xml:space="preserve"> Complaint at 33, para. 232; Revised Complaint at 39, para. 26.</w:t>
      </w:r>
    </w:p>
  </w:footnote>
  <w:footnote w:id="49">
    <w:p w:rsidR="00403A01" w14:paraId="77535749" w14:textId="47B6229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403A01">
        <w:rPr>
          <w:i/>
          <w:iCs/>
        </w:rPr>
        <w:t>See</w:t>
      </w:r>
      <w:r>
        <w:t xml:space="preserve"> Motion at 13</w:t>
      </w:r>
      <w:r w:rsidR="005A2A7A">
        <w:t>-14</w:t>
      </w:r>
      <w:r w:rsidR="00010D5E">
        <w:t xml:space="preserve"> (</w:t>
      </w:r>
      <w:r w:rsidR="005A2A7A">
        <w:rPr>
          <w:szCs w:val="22"/>
        </w:rPr>
        <w:t>detailing the Complaint’s procedural deficiencies</w:t>
      </w:r>
      <w:r w:rsidR="00010D5E">
        <w:t xml:space="preserve">).  </w:t>
      </w:r>
    </w:p>
  </w:footnote>
  <w:footnote w:id="50">
    <w:p w:rsidR="0086125D" w14:paraId="72E0D9D2" w14:textId="33E06D1D">
      <w:pPr>
        <w:pStyle w:val="FootnoteText"/>
      </w:pPr>
      <w:r>
        <w:rPr>
          <w:rStyle w:val="FootnoteReference"/>
        </w:rPr>
        <w:footnoteRef/>
      </w:r>
      <w:r>
        <w:t xml:space="preserve"> 47 CFR </w:t>
      </w:r>
      <w:r w:rsidRPr="1D1DEB0C" w:rsidR="000C24A4">
        <w:t>§</w:t>
      </w:r>
      <w:r w:rsidR="000C24A4">
        <w:t xml:space="preserve"> </w:t>
      </w:r>
      <w:r>
        <w:t xml:space="preserve">1.721(b). </w:t>
      </w:r>
    </w:p>
  </w:footnote>
  <w:footnote w:id="51">
    <w:p w:rsidR="00312314" w:rsidP="00312314" w14:paraId="308A654C" w14:textId="12B9584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4A49BC">
        <w:rPr>
          <w:i/>
          <w:iCs/>
        </w:rPr>
        <w:t>See</w:t>
      </w:r>
      <w:r w:rsidR="00187403">
        <w:rPr>
          <w:i/>
          <w:iCs/>
        </w:rPr>
        <w:t>, e.g.</w:t>
      </w:r>
      <w:r w:rsidR="00187403">
        <w:t>,</w:t>
      </w:r>
      <w:r w:rsidRPr="004A49BC">
        <w:t xml:space="preserve"> Complaint at 4, para. 21 (“</w:t>
      </w:r>
      <w:r w:rsidR="003111C0">
        <w:t xml:space="preserve">Verizon </w:t>
      </w:r>
      <w:r w:rsidRPr="004A49BC">
        <w:t>violated Title II beginning March 31, 2020 till May 10, 2021</w:t>
      </w:r>
      <w:r w:rsidR="006D18C7">
        <w:t>…</w:t>
      </w:r>
      <w:r w:rsidRPr="004A49BC">
        <w:t>”)</w:t>
      </w:r>
      <w:r w:rsidR="00AB67F6">
        <w:t xml:space="preserve">, para. 21, </w:t>
      </w:r>
      <w:r>
        <w:t>5, para. 27</w:t>
      </w:r>
      <w:r w:rsidR="00AB67F6">
        <w:t>, 8, para. 69</w:t>
      </w:r>
      <w:r>
        <w:t xml:space="preserve">; Revised Complaint at 8, para. 3 (same). </w:t>
      </w:r>
    </w:p>
  </w:footnote>
  <w:footnote w:id="52">
    <w:p w:rsidR="000C24A4" w:rsidP="000C24A4" w14:paraId="575911D9" w14:textId="68400FB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4A49BC">
        <w:rPr>
          <w:i/>
          <w:iCs/>
        </w:rPr>
        <w:t>See</w:t>
      </w:r>
      <w:r w:rsidR="004A2352">
        <w:rPr>
          <w:i/>
          <w:iCs/>
        </w:rPr>
        <w:t>, e.g.</w:t>
      </w:r>
      <w:r w:rsidRPr="004A2352" w:rsidR="004A2352">
        <w:t>,</w:t>
      </w:r>
      <w:r w:rsidRPr="004A49BC">
        <w:t xml:space="preserve"> Complaint at </w:t>
      </w:r>
      <w:r>
        <w:t>10</w:t>
      </w:r>
      <w:r w:rsidRPr="004A49BC">
        <w:t>, para.</w:t>
      </w:r>
      <w:r>
        <w:t xml:space="preserve"> 83</w:t>
      </w:r>
      <w:r w:rsidRPr="004A49BC">
        <w:t xml:space="preserve"> (“</w:t>
      </w:r>
      <w:r>
        <w:t xml:space="preserve">from March 15, 2019, through to February 3, 2020, </w:t>
      </w:r>
      <w:r w:rsidR="00330473">
        <w:t>Verizon’s</w:t>
      </w:r>
      <w:r>
        <w:t xml:space="preserve"> service failed to meet the legal standards for service access required by law</w:t>
      </w:r>
      <w:r w:rsidRPr="004A49BC">
        <w:t>”)</w:t>
      </w:r>
      <w:r>
        <w:t xml:space="preserve">; </w:t>
      </w:r>
      <w:r w:rsidRPr="001C4C13">
        <w:rPr>
          <w:i/>
          <w:iCs/>
        </w:rPr>
        <w:t>id</w:t>
      </w:r>
      <w:r>
        <w:t>. at 11, para. 93 (</w:t>
      </w:r>
      <w:r w:rsidR="00E45D7E">
        <w:t>Complainants experienced “</w:t>
      </w:r>
      <w:r>
        <w:t>inadequate degraded access to services [from March 2020] and beyond</w:t>
      </w:r>
      <w:r w:rsidR="007653D0">
        <w:t>…</w:t>
      </w:r>
      <w:r>
        <w:t xml:space="preserve">”); Revised Complaint at </w:t>
      </w:r>
      <w:r w:rsidR="00701D0E">
        <w:t>9</w:t>
      </w:r>
      <w:r>
        <w:t xml:space="preserve">, para. </w:t>
      </w:r>
      <w:r w:rsidR="00701D0E">
        <w:t>7 (“between May 10</w:t>
      </w:r>
      <w:r w:rsidR="000C7C7E">
        <w:t>,</w:t>
      </w:r>
      <w:r w:rsidR="00701D0E">
        <w:t xml:space="preserve"> </w:t>
      </w:r>
      <w:r w:rsidR="000C7C7E">
        <w:t>[</w:t>
      </w:r>
      <w:r w:rsidR="00701D0E">
        <w:t xml:space="preserve">2019] through September 21, 2021, </w:t>
      </w:r>
      <w:r w:rsidR="003111C0">
        <w:t xml:space="preserve">Verizon </w:t>
      </w:r>
      <w:r w:rsidR="00701D0E">
        <w:t>continued to provide degraded telephone</w:t>
      </w:r>
      <w:r w:rsidR="00E45D7E">
        <w:t>…</w:t>
      </w:r>
      <w:r w:rsidR="007653D0">
        <w:t xml:space="preserve"> </w:t>
      </w:r>
      <w:r w:rsidR="00701D0E">
        <w:t>services…</w:t>
      </w:r>
      <w:r w:rsidR="007653D0">
        <w:t>”</w:t>
      </w:r>
      <w:r w:rsidR="00701D0E">
        <w:t>)</w:t>
      </w:r>
      <w: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:rsidP="00810B6F" w14:paraId="19D944F0" w14:textId="2158E938">
    <w:pPr>
      <w:pStyle w:val="Header"/>
      <w:rPr>
        <w:b w:val="0"/>
      </w:rPr>
    </w:pPr>
    <w:r>
      <w:tab/>
      <w:t>Federal Communications Commission</w:t>
    </w:r>
    <w:r>
      <w:tab/>
    </w:r>
    <w:r w:rsidR="00676032">
      <w:t>DA 2</w:t>
    </w:r>
    <w:r w:rsidR="002538EA">
      <w:t>2</w:t>
    </w:r>
    <w:r w:rsidR="00676032">
      <w:t>-</w:t>
    </w:r>
    <w:r w:rsidR="00E4635D">
      <w:t>1119</w:t>
    </w:r>
  </w:p>
  <w:p w:rsidR="00D25FB5" w:rsidRPr="00282190" w:rsidP="00282190" w14:paraId="258F5DC6" w14:textId="48FF56B2">
    <w:pPr>
      <w:tabs>
        <w:tab w:val="left" w:pos="-720"/>
      </w:tabs>
      <w:suppressAutoHyphens/>
      <w:spacing w:line="19" w:lineRule="exact"/>
      <w:rPr>
        <w:spacing w:val="-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5943600" cy="12065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</wps:spPr>
                    <wps:bodyPr rot="0" vert="horz" wrap="square" lIns="91440" tIns="4572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2049" style="width:468pt;height:0.95pt;margin-top:0;margin-left:0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-251657216" o:allowincell="f" fillcolor="black" stroked="f">
              <w10:wrap anchorx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:rsidP="00810B6F" w14:paraId="0FCFBD51" w14:textId="218038EF">
    <w:pPr>
      <w:pStyle w:val="Header"/>
      <w:rPr>
        <w:b w:val="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>
              <wp:simplePos x="0" y="0"/>
              <wp:positionH relativeFrom="margin">
                <wp:posOffset>7620</wp:posOffset>
              </wp:positionH>
              <wp:positionV relativeFrom="paragraph">
                <wp:posOffset>160655</wp:posOffset>
              </wp:positionV>
              <wp:extent cx="5943600" cy="12065"/>
              <wp:effectExtent l="0" t="0" r="0" b="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</wps:spPr>
                    <wps:bodyPr rot="0" vert="horz" wrap="square" lIns="91440" tIns="4572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2050" style="width:468pt;height:0.95pt;margin-top:12.65pt;margin-left:0.6pt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-251655168" o:allowincell="f" fillcolor="black" stroked="f">
              <w10:wrap anchorx="margin"/>
            </v:rect>
          </w:pict>
        </mc:Fallback>
      </mc:AlternateContent>
    </w:r>
    <w:r>
      <w:tab/>
      <w:t>Federal Communications Commission</w:t>
    </w:r>
    <w:r>
      <w:tab/>
    </w:r>
    <w:r w:rsidR="00C0210E">
      <w:rPr>
        <w:spacing w:val="-2"/>
      </w:rPr>
      <w:t>DA</w:t>
    </w:r>
    <w:r w:rsidR="00294373">
      <w:rPr>
        <w:spacing w:val="-2"/>
      </w:rPr>
      <w:t xml:space="preserve"> 2</w:t>
    </w:r>
    <w:r w:rsidR="002538EA">
      <w:rPr>
        <w:spacing w:val="-2"/>
      </w:rPr>
      <w:t>2</w:t>
    </w:r>
    <w:r w:rsidR="00294373">
      <w:rPr>
        <w:spacing w:val="-2"/>
      </w:rPr>
      <w:t>-</w:t>
    </w:r>
    <w:r w:rsidR="00E4635D">
      <w:rPr>
        <w:spacing w:val="-2"/>
      </w:rPr>
      <w:t>1119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23F40A0F"/>
    <w:multiLevelType w:val="singleLevel"/>
    <w:tmpl w:val="3244DD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3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">
    <w:nsid w:val="61182925"/>
    <w:multiLevelType w:val="singleLevel"/>
    <w:tmpl w:val="A9EE9842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5"/>
    <w:lvlOverride w:ilvl="0">
      <w:startOverride w:val="1"/>
    </w:lvlOverride>
  </w:num>
  <w:num w:numId="8">
    <w:abstractNumId w:val="5"/>
    <w:lvlOverride w:ilvl="0">
      <w:startOverride w:val="1"/>
    </w:lvlOverride>
  </w:num>
  <w:num w:numId="9">
    <w:abstractNumId w:val="5"/>
  </w:num>
  <w:num w:numId="10">
    <w:abstractNumId w:val="3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950"/>
  <w:characterSpacingControl w:val="doNotCompress"/>
  <w:footnotePr>
    <w:footnote w:id="0"/>
    <w:footnote w:id="1"/>
    <w:footnote w:id="2"/>
  </w:footnotePr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10E"/>
    <w:rsid w:val="00000D88"/>
    <w:rsid w:val="00002A26"/>
    <w:rsid w:val="000054A1"/>
    <w:rsid w:val="000072B4"/>
    <w:rsid w:val="00007DDA"/>
    <w:rsid w:val="00010D5E"/>
    <w:rsid w:val="00014162"/>
    <w:rsid w:val="0001472D"/>
    <w:rsid w:val="000170AA"/>
    <w:rsid w:val="00036039"/>
    <w:rsid w:val="00037F90"/>
    <w:rsid w:val="00044863"/>
    <w:rsid w:val="00046371"/>
    <w:rsid w:val="00046BFC"/>
    <w:rsid w:val="0004753A"/>
    <w:rsid w:val="000502BB"/>
    <w:rsid w:val="0006028A"/>
    <w:rsid w:val="00061B8C"/>
    <w:rsid w:val="0006573C"/>
    <w:rsid w:val="0006697F"/>
    <w:rsid w:val="00066CD3"/>
    <w:rsid w:val="00067F6F"/>
    <w:rsid w:val="00073BEE"/>
    <w:rsid w:val="000741A3"/>
    <w:rsid w:val="00074315"/>
    <w:rsid w:val="00074E5C"/>
    <w:rsid w:val="00077AC5"/>
    <w:rsid w:val="0008330C"/>
    <w:rsid w:val="000875BF"/>
    <w:rsid w:val="00091735"/>
    <w:rsid w:val="000960F7"/>
    <w:rsid w:val="00096D8C"/>
    <w:rsid w:val="000A19CE"/>
    <w:rsid w:val="000A2796"/>
    <w:rsid w:val="000A4428"/>
    <w:rsid w:val="000A4605"/>
    <w:rsid w:val="000A5376"/>
    <w:rsid w:val="000A6921"/>
    <w:rsid w:val="000B3156"/>
    <w:rsid w:val="000B469A"/>
    <w:rsid w:val="000C0975"/>
    <w:rsid w:val="000C0B65"/>
    <w:rsid w:val="000C23EC"/>
    <w:rsid w:val="000C24A4"/>
    <w:rsid w:val="000C2A7D"/>
    <w:rsid w:val="000C7181"/>
    <w:rsid w:val="000C7C7E"/>
    <w:rsid w:val="000D0B84"/>
    <w:rsid w:val="000D1AB5"/>
    <w:rsid w:val="000D3E0F"/>
    <w:rsid w:val="000D5BFA"/>
    <w:rsid w:val="000D6E21"/>
    <w:rsid w:val="000D7AC6"/>
    <w:rsid w:val="000E02B2"/>
    <w:rsid w:val="000E05FE"/>
    <w:rsid w:val="000E08EA"/>
    <w:rsid w:val="000E1B06"/>
    <w:rsid w:val="000E3647"/>
    <w:rsid w:val="000E3D42"/>
    <w:rsid w:val="000E4649"/>
    <w:rsid w:val="000E4DF9"/>
    <w:rsid w:val="000E5189"/>
    <w:rsid w:val="000E6E3A"/>
    <w:rsid w:val="000E6F8A"/>
    <w:rsid w:val="000F2050"/>
    <w:rsid w:val="000F20C5"/>
    <w:rsid w:val="000F40A3"/>
    <w:rsid w:val="000F53EB"/>
    <w:rsid w:val="000F5C77"/>
    <w:rsid w:val="000F7F10"/>
    <w:rsid w:val="001000E3"/>
    <w:rsid w:val="00100898"/>
    <w:rsid w:val="00102DC4"/>
    <w:rsid w:val="001068DE"/>
    <w:rsid w:val="00110291"/>
    <w:rsid w:val="0011653A"/>
    <w:rsid w:val="001174D1"/>
    <w:rsid w:val="001229C6"/>
    <w:rsid w:val="00122BD5"/>
    <w:rsid w:val="001232C9"/>
    <w:rsid w:val="00123D37"/>
    <w:rsid w:val="00124F97"/>
    <w:rsid w:val="00125EFD"/>
    <w:rsid w:val="00131D0E"/>
    <w:rsid w:val="00133325"/>
    <w:rsid w:val="00133F79"/>
    <w:rsid w:val="001443CF"/>
    <w:rsid w:val="00145C32"/>
    <w:rsid w:val="0015181C"/>
    <w:rsid w:val="00152869"/>
    <w:rsid w:val="0015408C"/>
    <w:rsid w:val="00154FE4"/>
    <w:rsid w:val="00156BE9"/>
    <w:rsid w:val="00157127"/>
    <w:rsid w:val="00157A15"/>
    <w:rsid w:val="0016170C"/>
    <w:rsid w:val="00163ACE"/>
    <w:rsid w:val="001724A2"/>
    <w:rsid w:val="00175587"/>
    <w:rsid w:val="00176CFE"/>
    <w:rsid w:val="001843BA"/>
    <w:rsid w:val="00185FB0"/>
    <w:rsid w:val="001862F6"/>
    <w:rsid w:val="00187403"/>
    <w:rsid w:val="00190B74"/>
    <w:rsid w:val="00194A66"/>
    <w:rsid w:val="00197D5B"/>
    <w:rsid w:val="001A0C0B"/>
    <w:rsid w:val="001A1B56"/>
    <w:rsid w:val="001B011F"/>
    <w:rsid w:val="001B250B"/>
    <w:rsid w:val="001C0485"/>
    <w:rsid w:val="001C3F92"/>
    <w:rsid w:val="001C4C13"/>
    <w:rsid w:val="001C73BE"/>
    <w:rsid w:val="001D2022"/>
    <w:rsid w:val="001D286B"/>
    <w:rsid w:val="001D443B"/>
    <w:rsid w:val="001D4E5E"/>
    <w:rsid w:val="001D660D"/>
    <w:rsid w:val="001D6BCF"/>
    <w:rsid w:val="001D7329"/>
    <w:rsid w:val="001E01CA"/>
    <w:rsid w:val="001E08D2"/>
    <w:rsid w:val="001E15F2"/>
    <w:rsid w:val="001E3898"/>
    <w:rsid w:val="001E3FB8"/>
    <w:rsid w:val="001E53DC"/>
    <w:rsid w:val="001F0AF8"/>
    <w:rsid w:val="002003CC"/>
    <w:rsid w:val="00202840"/>
    <w:rsid w:val="00214E30"/>
    <w:rsid w:val="00217441"/>
    <w:rsid w:val="0021796B"/>
    <w:rsid w:val="0022066B"/>
    <w:rsid w:val="00224E8B"/>
    <w:rsid w:val="00231099"/>
    <w:rsid w:val="00231E34"/>
    <w:rsid w:val="00232AA8"/>
    <w:rsid w:val="002413EA"/>
    <w:rsid w:val="00241796"/>
    <w:rsid w:val="002439F8"/>
    <w:rsid w:val="00243E0D"/>
    <w:rsid w:val="00244AEB"/>
    <w:rsid w:val="00246C9F"/>
    <w:rsid w:val="00247BC5"/>
    <w:rsid w:val="00252F64"/>
    <w:rsid w:val="002538EA"/>
    <w:rsid w:val="00253B24"/>
    <w:rsid w:val="00256BFB"/>
    <w:rsid w:val="002603A3"/>
    <w:rsid w:val="0026050E"/>
    <w:rsid w:val="00260B2C"/>
    <w:rsid w:val="002612E2"/>
    <w:rsid w:val="0027284A"/>
    <w:rsid w:val="00275CF5"/>
    <w:rsid w:val="0027684D"/>
    <w:rsid w:val="00276EF7"/>
    <w:rsid w:val="00277BB2"/>
    <w:rsid w:val="00282190"/>
    <w:rsid w:val="0028301F"/>
    <w:rsid w:val="00285017"/>
    <w:rsid w:val="00285708"/>
    <w:rsid w:val="00285FC3"/>
    <w:rsid w:val="0028753D"/>
    <w:rsid w:val="00293E74"/>
    <w:rsid w:val="00294373"/>
    <w:rsid w:val="00294B4B"/>
    <w:rsid w:val="002A1466"/>
    <w:rsid w:val="002A2D2E"/>
    <w:rsid w:val="002A5D8A"/>
    <w:rsid w:val="002A6C3F"/>
    <w:rsid w:val="002A7C25"/>
    <w:rsid w:val="002A7DC2"/>
    <w:rsid w:val="002B1AB6"/>
    <w:rsid w:val="002B2129"/>
    <w:rsid w:val="002B4CF4"/>
    <w:rsid w:val="002B7A49"/>
    <w:rsid w:val="002C00E8"/>
    <w:rsid w:val="002C05D8"/>
    <w:rsid w:val="002C6BB8"/>
    <w:rsid w:val="002C7D38"/>
    <w:rsid w:val="002D0235"/>
    <w:rsid w:val="002D0BCB"/>
    <w:rsid w:val="002D1DF2"/>
    <w:rsid w:val="002D298A"/>
    <w:rsid w:val="002D3508"/>
    <w:rsid w:val="002D3C67"/>
    <w:rsid w:val="002D41AA"/>
    <w:rsid w:val="002D7147"/>
    <w:rsid w:val="002D7306"/>
    <w:rsid w:val="002E49D6"/>
    <w:rsid w:val="002E5327"/>
    <w:rsid w:val="002E5689"/>
    <w:rsid w:val="002E5A00"/>
    <w:rsid w:val="002E6CD0"/>
    <w:rsid w:val="002E75C9"/>
    <w:rsid w:val="002E76E8"/>
    <w:rsid w:val="002F0B8E"/>
    <w:rsid w:val="002F38BF"/>
    <w:rsid w:val="002F59A7"/>
    <w:rsid w:val="002F6536"/>
    <w:rsid w:val="0030397C"/>
    <w:rsid w:val="00306F25"/>
    <w:rsid w:val="003111C0"/>
    <w:rsid w:val="00311DEB"/>
    <w:rsid w:val="00312314"/>
    <w:rsid w:val="00312FC7"/>
    <w:rsid w:val="00314A96"/>
    <w:rsid w:val="00314D65"/>
    <w:rsid w:val="00316154"/>
    <w:rsid w:val="00316B77"/>
    <w:rsid w:val="003176D4"/>
    <w:rsid w:val="00322007"/>
    <w:rsid w:val="00322D3E"/>
    <w:rsid w:val="0032397A"/>
    <w:rsid w:val="00325ECB"/>
    <w:rsid w:val="003260BF"/>
    <w:rsid w:val="003262C3"/>
    <w:rsid w:val="00327427"/>
    <w:rsid w:val="00327B2C"/>
    <w:rsid w:val="00327E73"/>
    <w:rsid w:val="00330473"/>
    <w:rsid w:val="003337C1"/>
    <w:rsid w:val="00336B16"/>
    <w:rsid w:val="00340047"/>
    <w:rsid w:val="00340C71"/>
    <w:rsid w:val="00340F3C"/>
    <w:rsid w:val="00343749"/>
    <w:rsid w:val="00343B97"/>
    <w:rsid w:val="003443AA"/>
    <w:rsid w:val="003448C1"/>
    <w:rsid w:val="00346BEF"/>
    <w:rsid w:val="00346F47"/>
    <w:rsid w:val="003478EE"/>
    <w:rsid w:val="003523EC"/>
    <w:rsid w:val="00352893"/>
    <w:rsid w:val="0035481A"/>
    <w:rsid w:val="00354FB9"/>
    <w:rsid w:val="00355254"/>
    <w:rsid w:val="0036038C"/>
    <w:rsid w:val="00360AA7"/>
    <w:rsid w:val="003611AC"/>
    <w:rsid w:val="003644B4"/>
    <w:rsid w:val="003660ED"/>
    <w:rsid w:val="00373873"/>
    <w:rsid w:val="00374916"/>
    <w:rsid w:val="00376B28"/>
    <w:rsid w:val="00385A55"/>
    <w:rsid w:val="00386435"/>
    <w:rsid w:val="00386DF2"/>
    <w:rsid w:val="00387690"/>
    <w:rsid w:val="00387A64"/>
    <w:rsid w:val="00387BCF"/>
    <w:rsid w:val="00392056"/>
    <w:rsid w:val="003952CA"/>
    <w:rsid w:val="00395C8D"/>
    <w:rsid w:val="003A113C"/>
    <w:rsid w:val="003A266C"/>
    <w:rsid w:val="003A2E5A"/>
    <w:rsid w:val="003A76C3"/>
    <w:rsid w:val="003B0219"/>
    <w:rsid w:val="003B0550"/>
    <w:rsid w:val="003B5F0F"/>
    <w:rsid w:val="003B6222"/>
    <w:rsid w:val="003B694F"/>
    <w:rsid w:val="003C29A6"/>
    <w:rsid w:val="003C31F1"/>
    <w:rsid w:val="003C7959"/>
    <w:rsid w:val="003C7FFA"/>
    <w:rsid w:val="003D0F61"/>
    <w:rsid w:val="003D1A1E"/>
    <w:rsid w:val="003D1C36"/>
    <w:rsid w:val="003D1EFE"/>
    <w:rsid w:val="003D236C"/>
    <w:rsid w:val="003D65C8"/>
    <w:rsid w:val="003D6B62"/>
    <w:rsid w:val="003D7D98"/>
    <w:rsid w:val="003E0EB1"/>
    <w:rsid w:val="003E17D1"/>
    <w:rsid w:val="003E3EE1"/>
    <w:rsid w:val="003E40DA"/>
    <w:rsid w:val="003F171C"/>
    <w:rsid w:val="003F2B7A"/>
    <w:rsid w:val="003F5E27"/>
    <w:rsid w:val="003F5EFF"/>
    <w:rsid w:val="003F65EA"/>
    <w:rsid w:val="00403A01"/>
    <w:rsid w:val="00403AA3"/>
    <w:rsid w:val="004056F4"/>
    <w:rsid w:val="004058C5"/>
    <w:rsid w:val="004109E3"/>
    <w:rsid w:val="004126A8"/>
    <w:rsid w:val="00412FC5"/>
    <w:rsid w:val="00415C7D"/>
    <w:rsid w:val="00422193"/>
    <w:rsid w:val="00422276"/>
    <w:rsid w:val="004242F1"/>
    <w:rsid w:val="00424FF8"/>
    <w:rsid w:val="004255E2"/>
    <w:rsid w:val="004264C0"/>
    <w:rsid w:val="00426E06"/>
    <w:rsid w:val="00427DF5"/>
    <w:rsid w:val="00430C0E"/>
    <w:rsid w:val="00431425"/>
    <w:rsid w:val="004319FE"/>
    <w:rsid w:val="00431F13"/>
    <w:rsid w:val="0043363E"/>
    <w:rsid w:val="00434A42"/>
    <w:rsid w:val="0043507C"/>
    <w:rsid w:val="00440C70"/>
    <w:rsid w:val="00445A00"/>
    <w:rsid w:val="00445C56"/>
    <w:rsid w:val="00450145"/>
    <w:rsid w:val="00451B0F"/>
    <w:rsid w:val="00453257"/>
    <w:rsid w:val="00456FF7"/>
    <w:rsid w:val="004602DC"/>
    <w:rsid w:val="004602E6"/>
    <w:rsid w:val="004627AE"/>
    <w:rsid w:val="004629CE"/>
    <w:rsid w:val="00462D04"/>
    <w:rsid w:val="004638F6"/>
    <w:rsid w:val="00463F13"/>
    <w:rsid w:val="004643BB"/>
    <w:rsid w:val="004643DF"/>
    <w:rsid w:val="00464402"/>
    <w:rsid w:val="004651AA"/>
    <w:rsid w:val="004709F3"/>
    <w:rsid w:val="00473A94"/>
    <w:rsid w:val="004809F6"/>
    <w:rsid w:val="00481BE4"/>
    <w:rsid w:val="0048623D"/>
    <w:rsid w:val="004867AE"/>
    <w:rsid w:val="0049090A"/>
    <w:rsid w:val="00490DC7"/>
    <w:rsid w:val="00491AF9"/>
    <w:rsid w:val="00491C38"/>
    <w:rsid w:val="00492D9B"/>
    <w:rsid w:val="004971D3"/>
    <w:rsid w:val="004A2096"/>
    <w:rsid w:val="004A2352"/>
    <w:rsid w:val="004A47B7"/>
    <w:rsid w:val="004A49BC"/>
    <w:rsid w:val="004A63A5"/>
    <w:rsid w:val="004A6691"/>
    <w:rsid w:val="004A7891"/>
    <w:rsid w:val="004B2E3E"/>
    <w:rsid w:val="004B692F"/>
    <w:rsid w:val="004B7721"/>
    <w:rsid w:val="004B7F4A"/>
    <w:rsid w:val="004C1830"/>
    <w:rsid w:val="004C2481"/>
    <w:rsid w:val="004C2856"/>
    <w:rsid w:val="004C2EE3"/>
    <w:rsid w:val="004C4651"/>
    <w:rsid w:val="004C4AF3"/>
    <w:rsid w:val="004C6FC7"/>
    <w:rsid w:val="004C7091"/>
    <w:rsid w:val="004D3B9A"/>
    <w:rsid w:val="004D41FB"/>
    <w:rsid w:val="004E2E19"/>
    <w:rsid w:val="004E2EED"/>
    <w:rsid w:val="004E2F39"/>
    <w:rsid w:val="004E4A22"/>
    <w:rsid w:val="004E4B9B"/>
    <w:rsid w:val="004E6E6C"/>
    <w:rsid w:val="004E77A9"/>
    <w:rsid w:val="004F0521"/>
    <w:rsid w:val="004F05B9"/>
    <w:rsid w:val="004F1A73"/>
    <w:rsid w:val="004F3A11"/>
    <w:rsid w:val="004F4C41"/>
    <w:rsid w:val="004F4E67"/>
    <w:rsid w:val="004F59D9"/>
    <w:rsid w:val="004F66F1"/>
    <w:rsid w:val="004F7758"/>
    <w:rsid w:val="005017F5"/>
    <w:rsid w:val="005021F8"/>
    <w:rsid w:val="00506217"/>
    <w:rsid w:val="00506E2A"/>
    <w:rsid w:val="0051117F"/>
    <w:rsid w:val="00511968"/>
    <w:rsid w:val="00512134"/>
    <w:rsid w:val="0051351E"/>
    <w:rsid w:val="00514EB7"/>
    <w:rsid w:val="00515277"/>
    <w:rsid w:val="00517076"/>
    <w:rsid w:val="00517A4D"/>
    <w:rsid w:val="00522FFF"/>
    <w:rsid w:val="00533391"/>
    <w:rsid w:val="00534F45"/>
    <w:rsid w:val="0053641C"/>
    <w:rsid w:val="00536584"/>
    <w:rsid w:val="00536AFF"/>
    <w:rsid w:val="00537E35"/>
    <w:rsid w:val="00547105"/>
    <w:rsid w:val="00551C83"/>
    <w:rsid w:val="0055614C"/>
    <w:rsid w:val="005565D6"/>
    <w:rsid w:val="00565D8F"/>
    <w:rsid w:val="005664B3"/>
    <w:rsid w:val="00566BFC"/>
    <w:rsid w:val="00566D06"/>
    <w:rsid w:val="00573A27"/>
    <w:rsid w:val="00574AF6"/>
    <w:rsid w:val="00576276"/>
    <w:rsid w:val="00576B72"/>
    <w:rsid w:val="0058734A"/>
    <w:rsid w:val="00592BBF"/>
    <w:rsid w:val="00594289"/>
    <w:rsid w:val="00594F9C"/>
    <w:rsid w:val="0059694C"/>
    <w:rsid w:val="005A0149"/>
    <w:rsid w:val="005A079E"/>
    <w:rsid w:val="005A0CF3"/>
    <w:rsid w:val="005A1A07"/>
    <w:rsid w:val="005A2A7A"/>
    <w:rsid w:val="005A4BD3"/>
    <w:rsid w:val="005A6015"/>
    <w:rsid w:val="005A69F3"/>
    <w:rsid w:val="005A7D2C"/>
    <w:rsid w:val="005B19FC"/>
    <w:rsid w:val="005B2BA3"/>
    <w:rsid w:val="005B38DB"/>
    <w:rsid w:val="005B4472"/>
    <w:rsid w:val="005B54D0"/>
    <w:rsid w:val="005C076A"/>
    <w:rsid w:val="005C47EF"/>
    <w:rsid w:val="005C60A9"/>
    <w:rsid w:val="005D4F95"/>
    <w:rsid w:val="005D6522"/>
    <w:rsid w:val="005E14C2"/>
    <w:rsid w:val="005E3B6B"/>
    <w:rsid w:val="005E5A04"/>
    <w:rsid w:val="005E7B41"/>
    <w:rsid w:val="005F44EC"/>
    <w:rsid w:val="005F5A56"/>
    <w:rsid w:val="005F793C"/>
    <w:rsid w:val="00601E4F"/>
    <w:rsid w:val="00601F06"/>
    <w:rsid w:val="0060603E"/>
    <w:rsid w:val="00606A5C"/>
    <w:rsid w:val="006078DC"/>
    <w:rsid w:val="00607BA5"/>
    <w:rsid w:val="00610434"/>
    <w:rsid w:val="0061180A"/>
    <w:rsid w:val="0061787F"/>
    <w:rsid w:val="006241BA"/>
    <w:rsid w:val="0062693B"/>
    <w:rsid w:val="00626EB6"/>
    <w:rsid w:val="00636C71"/>
    <w:rsid w:val="006379EA"/>
    <w:rsid w:val="006379FC"/>
    <w:rsid w:val="00640F42"/>
    <w:rsid w:val="00652C8D"/>
    <w:rsid w:val="0065509D"/>
    <w:rsid w:val="00655D03"/>
    <w:rsid w:val="006618E4"/>
    <w:rsid w:val="00663098"/>
    <w:rsid w:val="00664DB5"/>
    <w:rsid w:val="00665D32"/>
    <w:rsid w:val="00667282"/>
    <w:rsid w:val="00672FAD"/>
    <w:rsid w:val="006757E6"/>
    <w:rsid w:val="00675E07"/>
    <w:rsid w:val="00676032"/>
    <w:rsid w:val="0067710D"/>
    <w:rsid w:val="00681BC1"/>
    <w:rsid w:val="00681F1F"/>
    <w:rsid w:val="00683388"/>
    <w:rsid w:val="00683F84"/>
    <w:rsid w:val="00685737"/>
    <w:rsid w:val="006864F6"/>
    <w:rsid w:val="00686FD7"/>
    <w:rsid w:val="0068770D"/>
    <w:rsid w:val="00690D51"/>
    <w:rsid w:val="00694E00"/>
    <w:rsid w:val="006A1CCF"/>
    <w:rsid w:val="006A5834"/>
    <w:rsid w:val="006A6A81"/>
    <w:rsid w:val="006B116B"/>
    <w:rsid w:val="006B20DC"/>
    <w:rsid w:val="006B3FD5"/>
    <w:rsid w:val="006B4CA5"/>
    <w:rsid w:val="006B57C9"/>
    <w:rsid w:val="006B62F7"/>
    <w:rsid w:val="006B6DCD"/>
    <w:rsid w:val="006C0FF7"/>
    <w:rsid w:val="006C1C0D"/>
    <w:rsid w:val="006C1DB4"/>
    <w:rsid w:val="006C4E1B"/>
    <w:rsid w:val="006C5ACA"/>
    <w:rsid w:val="006C6754"/>
    <w:rsid w:val="006C6A44"/>
    <w:rsid w:val="006D18C7"/>
    <w:rsid w:val="006D3893"/>
    <w:rsid w:val="006D481D"/>
    <w:rsid w:val="006D5CF5"/>
    <w:rsid w:val="006E1ABA"/>
    <w:rsid w:val="006E2F34"/>
    <w:rsid w:val="006E4239"/>
    <w:rsid w:val="006E553E"/>
    <w:rsid w:val="006F2963"/>
    <w:rsid w:val="006F2A95"/>
    <w:rsid w:val="006F2C71"/>
    <w:rsid w:val="006F421D"/>
    <w:rsid w:val="006F7393"/>
    <w:rsid w:val="0070038F"/>
    <w:rsid w:val="00700AFF"/>
    <w:rsid w:val="00701D0E"/>
    <w:rsid w:val="00702108"/>
    <w:rsid w:val="0070224F"/>
    <w:rsid w:val="00705375"/>
    <w:rsid w:val="007074B7"/>
    <w:rsid w:val="00707A26"/>
    <w:rsid w:val="007115F7"/>
    <w:rsid w:val="007120E5"/>
    <w:rsid w:val="00714780"/>
    <w:rsid w:val="007204AE"/>
    <w:rsid w:val="00722098"/>
    <w:rsid w:val="0072360E"/>
    <w:rsid w:val="00725E17"/>
    <w:rsid w:val="00730795"/>
    <w:rsid w:val="00731B3D"/>
    <w:rsid w:val="00731E56"/>
    <w:rsid w:val="00731F9A"/>
    <w:rsid w:val="00732792"/>
    <w:rsid w:val="0073413E"/>
    <w:rsid w:val="00734D72"/>
    <w:rsid w:val="00735E5B"/>
    <w:rsid w:val="00736319"/>
    <w:rsid w:val="00756300"/>
    <w:rsid w:val="007653D0"/>
    <w:rsid w:val="007700FB"/>
    <w:rsid w:val="007703C4"/>
    <w:rsid w:val="007709F3"/>
    <w:rsid w:val="0077220C"/>
    <w:rsid w:val="007725B0"/>
    <w:rsid w:val="00773235"/>
    <w:rsid w:val="007734F0"/>
    <w:rsid w:val="007739FE"/>
    <w:rsid w:val="00773F01"/>
    <w:rsid w:val="00777ACC"/>
    <w:rsid w:val="0078051E"/>
    <w:rsid w:val="00781687"/>
    <w:rsid w:val="00782596"/>
    <w:rsid w:val="0078349B"/>
    <w:rsid w:val="00783B94"/>
    <w:rsid w:val="00785273"/>
    <w:rsid w:val="00785689"/>
    <w:rsid w:val="007914F6"/>
    <w:rsid w:val="00796A71"/>
    <w:rsid w:val="0079754B"/>
    <w:rsid w:val="007A1E6D"/>
    <w:rsid w:val="007A35EE"/>
    <w:rsid w:val="007A4CEF"/>
    <w:rsid w:val="007A64E0"/>
    <w:rsid w:val="007B0EB2"/>
    <w:rsid w:val="007B4ACB"/>
    <w:rsid w:val="007B6383"/>
    <w:rsid w:val="007B644C"/>
    <w:rsid w:val="007B71E5"/>
    <w:rsid w:val="007B7826"/>
    <w:rsid w:val="007B7EC2"/>
    <w:rsid w:val="007C0CB5"/>
    <w:rsid w:val="007C12EF"/>
    <w:rsid w:val="007C4536"/>
    <w:rsid w:val="007C67D9"/>
    <w:rsid w:val="007C708B"/>
    <w:rsid w:val="007C74C4"/>
    <w:rsid w:val="007C7E58"/>
    <w:rsid w:val="007D040F"/>
    <w:rsid w:val="007D1853"/>
    <w:rsid w:val="007D645E"/>
    <w:rsid w:val="007D7003"/>
    <w:rsid w:val="007E1662"/>
    <w:rsid w:val="007E461E"/>
    <w:rsid w:val="007E6E28"/>
    <w:rsid w:val="007F2CD6"/>
    <w:rsid w:val="007F3063"/>
    <w:rsid w:val="007F4B50"/>
    <w:rsid w:val="007F4D19"/>
    <w:rsid w:val="007F66D5"/>
    <w:rsid w:val="00802082"/>
    <w:rsid w:val="00805AB1"/>
    <w:rsid w:val="00810A45"/>
    <w:rsid w:val="00810B6F"/>
    <w:rsid w:val="008122C8"/>
    <w:rsid w:val="00812856"/>
    <w:rsid w:val="00812E33"/>
    <w:rsid w:val="00815DE4"/>
    <w:rsid w:val="00817450"/>
    <w:rsid w:val="00817C40"/>
    <w:rsid w:val="008202AC"/>
    <w:rsid w:val="00822CE0"/>
    <w:rsid w:val="00823524"/>
    <w:rsid w:val="00830FF8"/>
    <w:rsid w:val="0083192B"/>
    <w:rsid w:val="00832361"/>
    <w:rsid w:val="0083237B"/>
    <w:rsid w:val="00832E5F"/>
    <w:rsid w:val="00832F18"/>
    <w:rsid w:val="00835125"/>
    <w:rsid w:val="00835764"/>
    <w:rsid w:val="008409F2"/>
    <w:rsid w:val="00841AB1"/>
    <w:rsid w:val="00841C3D"/>
    <w:rsid w:val="00842DCD"/>
    <w:rsid w:val="008445D2"/>
    <w:rsid w:val="00844A7C"/>
    <w:rsid w:val="008458EB"/>
    <w:rsid w:val="00846BD1"/>
    <w:rsid w:val="00847B70"/>
    <w:rsid w:val="00856B50"/>
    <w:rsid w:val="00856C16"/>
    <w:rsid w:val="00860791"/>
    <w:rsid w:val="0086125D"/>
    <w:rsid w:val="00861472"/>
    <w:rsid w:val="00861D9C"/>
    <w:rsid w:val="008621D6"/>
    <w:rsid w:val="0086375F"/>
    <w:rsid w:val="00864575"/>
    <w:rsid w:val="00864980"/>
    <w:rsid w:val="00866739"/>
    <w:rsid w:val="00866949"/>
    <w:rsid w:val="008711B4"/>
    <w:rsid w:val="00871ED5"/>
    <w:rsid w:val="00872E4E"/>
    <w:rsid w:val="00874352"/>
    <w:rsid w:val="00874851"/>
    <w:rsid w:val="00877BF7"/>
    <w:rsid w:val="00880A12"/>
    <w:rsid w:val="00881397"/>
    <w:rsid w:val="00885012"/>
    <w:rsid w:val="00887D97"/>
    <w:rsid w:val="00890958"/>
    <w:rsid w:val="008917E5"/>
    <w:rsid w:val="00891D7B"/>
    <w:rsid w:val="008947E2"/>
    <w:rsid w:val="00895D72"/>
    <w:rsid w:val="00896678"/>
    <w:rsid w:val="008A1339"/>
    <w:rsid w:val="008A227B"/>
    <w:rsid w:val="008A4E6B"/>
    <w:rsid w:val="008A75F5"/>
    <w:rsid w:val="008B136C"/>
    <w:rsid w:val="008B2D23"/>
    <w:rsid w:val="008B3D27"/>
    <w:rsid w:val="008B4000"/>
    <w:rsid w:val="008B49F9"/>
    <w:rsid w:val="008B6781"/>
    <w:rsid w:val="008B7C0F"/>
    <w:rsid w:val="008C16DE"/>
    <w:rsid w:val="008C300A"/>
    <w:rsid w:val="008C3352"/>
    <w:rsid w:val="008C4F5C"/>
    <w:rsid w:val="008C50DF"/>
    <w:rsid w:val="008C5A9C"/>
    <w:rsid w:val="008C68F1"/>
    <w:rsid w:val="008D1ACF"/>
    <w:rsid w:val="008D1DCE"/>
    <w:rsid w:val="008D22A5"/>
    <w:rsid w:val="008D323B"/>
    <w:rsid w:val="008D46E7"/>
    <w:rsid w:val="008D56C7"/>
    <w:rsid w:val="008F26B3"/>
    <w:rsid w:val="008F54CE"/>
    <w:rsid w:val="008F5BBD"/>
    <w:rsid w:val="008F6BD5"/>
    <w:rsid w:val="008F6F80"/>
    <w:rsid w:val="008F74E0"/>
    <w:rsid w:val="00901F6A"/>
    <w:rsid w:val="00903CC0"/>
    <w:rsid w:val="00906F7C"/>
    <w:rsid w:val="009109ED"/>
    <w:rsid w:val="00912732"/>
    <w:rsid w:val="0091532D"/>
    <w:rsid w:val="0091606D"/>
    <w:rsid w:val="0091684C"/>
    <w:rsid w:val="00920D67"/>
    <w:rsid w:val="00921803"/>
    <w:rsid w:val="00922AFC"/>
    <w:rsid w:val="00922E72"/>
    <w:rsid w:val="00923947"/>
    <w:rsid w:val="00924CFA"/>
    <w:rsid w:val="00925F90"/>
    <w:rsid w:val="00926503"/>
    <w:rsid w:val="00926677"/>
    <w:rsid w:val="009267FB"/>
    <w:rsid w:val="00927861"/>
    <w:rsid w:val="0093017F"/>
    <w:rsid w:val="00930D57"/>
    <w:rsid w:val="00932AB9"/>
    <w:rsid w:val="00942D41"/>
    <w:rsid w:val="00943163"/>
    <w:rsid w:val="00943E89"/>
    <w:rsid w:val="00946BC2"/>
    <w:rsid w:val="00950319"/>
    <w:rsid w:val="0095289E"/>
    <w:rsid w:val="009544BD"/>
    <w:rsid w:val="00954989"/>
    <w:rsid w:val="00956113"/>
    <w:rsid w:val="009578A5"/>
    <w:rsid w:val="00957D4A"/>
    <w:rsid w:val="00961844"/>
    <w:rsid w:val="009620B1"/>
    <w:rsid w:val="009624B7"/>
    <w:rsid w:val="00963E91"/>
    <w:rsid w:val="00966E04"/>
    <w:rsid w:val="009726D8"/>
    <w:rsid w:val="0097349F"/>
    <w:rsid w:val="00973806"/>
    <w:rsid w:val="00974AA0"/>
    <w:rsid w:val="00975F81"/>
    <w:rsid w:val="009764C8"/>
    <w:rsid w:val="00977071"/>
    <w:rsid w:val="00980099"/>
    <w:rsid w:val="00983760"/>
    <w:rsid w:val="00984DF7"/>
    <w:rsid w:val="00986BF6"/>
    <w:rsid w:val="00993D28"/>
    <w:rsid w:val="0099617D"/>
    <w:rsid w:val="00996924"/>
    <w:rsid w:val="00996F0D"/>
    <w:rsid w:val="009A01D9"/>
    <w:rsid w:val="009A1FDF"/>
    <w:rsid w:val="009A4B08"/>
    <w:rsid w:val="009A5D16"/>
    <w:rsid w:val="009A6D39"/>
    <w:rsid w:val="009B06EA"/>
    <w:rsid w:val="009B4FE8"/>
    <w:rsid w:val="009B6140"/>
    <w:rsid w:val="009B641F"/>
    <w:rsid w:val="009C371A"/>
    <w:rsid w:val="009C7BEF"/>
    <w:rsid w:val="009C7E28"/>
    <w:rsid w:val="009D611C"/>
    <w:rsid w:val="009D7308"/>
    <w:rsid w:val="009D7B0C"/>
    <w:rsid w:val="009E336E"/>
    <w:rsid w:val="009E5317"/>
    <w:rsid w:val="009E73CB"/>
    <w:rsid w:val="009E74A5"/>
    <w:rsid w:val="009E7A8F"/>
    <w:rsid w:val="009F0F18"/>
    <w:rsid w:val="009F25C8"/>
    <w:rsid w:val="009F35FD"/>
    <w:rsid w:val="009F3FCB"/>
    <w:rsid w:val="009F623F"/>
    <w:rsid w:val="009F76DB"/>
    <w:rsid w:val="00A00218"/>
    <w:rsid w:val="00A01350"/>
    <w:rsid w:val="00A014C1"/>
    <w:rsid w:val="00A02754"/>
    <w:rsid w:val="00A03835"/>
    <w:rsid w:val="00A064A0"/>
    <w:rsid w:val="00A0769B"/>
    <w:rsid w:val="00A1057F"/>
    <w:rsid w:val="00A10669"/>
    <w:rsid w:val="00A175FF"/>
    <w:rsid w:val="00A206C2"/>
    <w:rsid w:val="00A21316"/>
    <w:rsid w:val="00A229AB"/>
    <w:rsid w:val="00A239F1"/>
    <w:rsid w:val="00A26B9A"/>
    <w:rsid w:val="00A27A9E"/>
    <w:rsid w:val="00A31C73"/>
    <w:rsid w:val="00A32C3B"/>
    <w:rsid w:val="00A32EF8"/>
    <w:rsid w:val="00A34529"/>
    <w:rsid w:val="00A4176A"/>
    <w:rsid w:val="00A456E4"/>
    <w:rsid w:val="00A45B85"/>
    <w:rsid w:val="00A45F4F"/>
    <w:rsid w:val="00A46F5B"/>
    <w:rsid w:val="00A50F57"/>
    <w:rsid w:val="00A51343"/>
    <w:rsid w:val="00A52581"/>
    <w:rsid w:val="00A60059"/>
    <w:rsid w:val="00A600A9"/>
    <w:rsid w:val="00A601F3"/>
    <w:rsid w:val="00A6083D"/>
    <w:rsid w:val="00A61690"/>
    <w:rsid w:val="00A638F8"/>
    <w:rsid w:val="00A64E76"/>
    <w:rsid w:val="00A671AC"/>
    <w:rsid w:val="00A70950"/>
    <w:rsid w:val="00A7181B"/>
    <w:rsid w:val="00A72CE0"/>
    <w:rsid w:val="00A77042"/>
    <w:rsid w:val="00A81CE3"/>
    <w:rsid w:val="00A8492D"/>
    <w:rsid w:val="00A923C9"/>
    <w:rsid w:val="00A9397C"/>
    <w:rsid w:val="00AA1A40"/>
    <w:rsid w:val="00AA51EB"/>
    <w:rsid w:val="00AA55B7"/>
    <w:rsid w:val="00AA582C"/>
    <w:rsid w:val="00AA5B9E"/>
    <w:rsid w:val="00AB2208"/>
    <w:rsid w:val="00AB2407"/>
    <w:rsid w:val="00AB4036"/>
    <w:rsid w:val="00AB53DF"/>
    <w:rsid w:val="00AB59D4"/>
    <w:rsid w:val="00AB67F6"/>
    <w:rsid w:val="00AB6AA1"/>
    <w:rsid w:val="00AC03C0"/>
    <w:rsid w:val="00AC086F"/>
    <w:rsid w:val="00AC1124"/>
    <w:rsid w:val="00AC1E08"/>
    <w:rsid w:val="00AC367E"/>
    <w:rsid w:val="00AD19D7"/>
    <w:rsid w:val="00AD368D"/>
    <w:rsid w:val="00AD50F1"/>
    <w:rsid w:val="00AD53DC"/>
    <w:rsid w:val="00AE2E9B"/>
    <w:rsid w:val="00AE38F6"/>
    <w:rsid w:val="00AE4DCA"/>
    <w:rsid w:val="00AE731F"/>
    <w:rsid w:val="00AE752C"/>
    <w:rsid w:val="00AF1ED0"/>
    <w:rsid w:val="00AF2760"/>
    <w:rsid w:val="00AF2D1E"/>
    <w:rsid w:val="00AF354C"/>
    <w:rsid w:val="00AF3E96"/>
    <w:rsid w:val="00AF6296"/>
    <w:rsid w:val="00AF6298"/>
    <w:rsid w:val="00AF680E"/>
    <w:rsid w:val="00B013DF"/>
    <w:rsid w:val="00B01D99"/>
    <w:rsid w:val="00B05D3E"/>
    <w:rsid w:val="00B06074"/>
    <w:rsid w:val="00B0641B"/>
    <w:rsid w:val="00B07E5C"/>
    <w:rsid w:val="00B1021E"/>
    <w:rsid w:val="00B1089F"/>
    <w:rsid w:val="00B11945"/>
    <w:rsid w:val="00B14869"/>
    <w:rsid w:val="00B173BD"/>
    <w:rsid w:val="00B21527"/>
    <w:rsid w:val="00B23324"/>
    <w:rsid w:val="00B248BA"/>
    <w:rsid w:val="00B302C1"/>
    <w:rsid w:val="00B3419C"/>
    <w:rsid w:val="00B34674"/>
    <w:rsid w:val="00B3507C"/>
    <w:rsid w:val="00B378BD"/>
    <w:rsid w:val="00B40E6F"/>
    <w:rsid w:val="00B415A4"/>
    <w:rsid w:val="00B42561"/>
    <w:rsid w:val="00B42614"/>
    <w:rsid w:val="00B4761E"/>
    <w:rsid w:val="00B51987"/>
    <w:rsid w:val="00B54FA2"/>
    <w:rsid w:val="00B553F8"/>
    <w:rsid w:val="00B56BF7"/>
    <w:rsid w:val="00B57327"/>
    <w:rsid w:val="00B61206"/>
    <w:rsid w:val="00B62670"/>
    <w:rsid w:val="00B63D07"/>
    <w:rsid w:val="00B70C25"/>
    <w:rsid w:val="00B7229E"/>
    <w:rsid w:val="00B7446E"/>
    <w:rsid w:val="00B76628"/>
    <w:rsid w:val="00B811F7"/>
    <w:rsid w:val="00B82899"/>
    <w:rsid w:val="00B83975"/>
    <w:rsid w:val="00B83A2C"/>
    <w:rsid w:val="00B86B7C"/>
    <w:rsid w:val="00B91121"/>
    <w:rsid w:val="00B92D48"/>
    <w:rsid w:val="00B9400D"/>
    <w:rsid w:val="00BA0D6C"/>
    <w:rsid w:val="00BA205D"/>
    <w:rsid w:val="00BA5511"/>
    <w:rsid w:val="00BA5DC6"/>
    <w:rsid w:val="00BA6196"/>
    <w:rsid w:val="00BA65F5"/>
    <w:rsid w:val="00BA6A09"/>
    <w:rsid w:val="00BB1901"/>
    <w:rsid w:val="00BB1E17"/>
    <w:rsid w:val="00BB2100"/>
    <w:rsid w:val="00BB2E13"/>
    <w:rsid w:val="00BB550C"/>
    <w:rsid w:val="00BC2804"/>
    <w:rsid w:val="00BC4007"/>
    <w:rsid w:val="00BC5512"/>
    <w:rsid w:val="00BC6D8C"/>
    <w:rsid w:val="00BC74B7"/>
    <w:rsid w:val="00BD0493"/>
    <w:rsid w:val="00BD176F"/>
    <w:rsid w:val="00BD6C65"/>
    <w:rsid w:val="00BE1991"/>
    <w:rsid w:val="00BE4C1A"/>
    <w:rsid w:val="00BE635B"/>
    <w:rsid w:val="00BE7053"/>
    <w:rsid w:val="00BF17E8"/>
    <w:rsid w:val="00BF1E9A"/>
    <w:rsid w:val="00BF229D"/>
    <w:rsid w:val="00BF3D28"/>
    <w:rsid w:val="00BF5F1F"/>
    <w:rsid w:val="00BF7997"/>
    <w:rsid w:val="00C0210E"/>
    <w:rsid w:val="00C02386"/>
    <w:rsid w:val="00C02E0A"/>
    <w:rsid w:val="00C03262"/>
    <w:rsid w:val="00C050ED"/>
    <w:rsid w:val="00C052C2"/>
    <w:rsid w:val="00C077D2"/>
    <w:rsid w:val="00C127DB"/>
    <w:rsid w:val="00C12CD5"/>
    <w:rsid w:val="00C13F1D"/>
    <w:rsid w:val="00C14DE8"/>
    <w:rsid w:val="00C27C64"/>
    <w:rsid w:val="00C32192"/>
    <w:rsid w:val="00C34006"/>
    <w:rsid w:val="00C34FE6"/>
    <w:rsid w:val="00C36B4C"/>
    <w:rsid w:val="00C426B1"/>
    <w:rsid w:val="00C429F2"/>
    <w:rsid w:val="00C435CC"/>
    <w:rsid w:val="00C46234"/>
    <w:rsid w:val="00C46AAF"/>
    <w:rsid w:val="00C46BF1"/>
    <w:rsid w:val="00C507C0"/>
    <w:rsid w:val="00C51A02"/>
    <w:rsid w:val="00C54D6C"/>
    <w:rsid w:val="00C55ECE"/>
    <w:rsid w:val="00C57248"/>
    <w:rsid w:val="00C61713"/>
    <w:rsid w:val="00C6226C"/>
    <w:rsid w:val="00C62992"/>
    <w:rsid w:val="00C6488C"/>
    <w:rsid w:val="00C64ED7"/>
    <w:rsid w:val="00C66160"/>
    <w:rsid w:val="00C66B6A"/>
    <w:rsid w:val="00C66C33"/>
    <w:rsid w:val="00C67A02"/>
    <w:rsid w:val="00C67FDA"/>
    <w:rsid w:val="00C721AC"/>
    <w:rsid w:val="00C753E2"/>
    <w:rsid w:val="00C805F2"/>
    <w:rsid w:val="00C90D6A"/>
    <w:rsid w:val="00C914C1"/>
    <w:rsid w:val="00C92D50"/>
    <w:rsid w:val="00C930FE"/>
    <w:rsid w:val="00C93986"/>
    <w:rsid w:val="00CA0A4F"/>
    <w:rsid w:val="00CA1E8E"/>
    <w:rsid w:val="00CA247E"/>
    <w:rsid w:val="00CA45E0"/>
    <w:rsid w:val="00CA578D"/>
    <w:rsid w:val="00CA6D21"/>
    <w:rsid w:val="00CB12A0"/>
    <w:rsid w:val="00CB2A8B"/>
    <w:rsid w:val="00CB2C7C"/>
    <w:rsid w:val="00CB744F"/>
    <w:rsid w:val="00CC2A94"/>
    <w:rsid w:val="00CC373A"/>
    <w:rsid w:val="00CC3A1A"/>
    <w:rsid w:val="00CC4C8B"/>
    <w:rsid w:val="00CC4EF0"/>
    <w:rsid w:val="00CC5A21"/>
    <w:rsid w:val="00CC6328"/>
    <w:rsid w:val="00CC72B6"/>
    <w:rsid w:val="00CD0BBA"/>
    <w:rsid w:val="00CD2DA5"/>
    <w:rsid w:val="00CD3421"/>
    <w:rsid w:val="00CD5292"/>
    <w:rsid w:val="00CE5B09"/>
    <w:rsid w:val="00CE61AA"/>
    <w:rsid w:val="00CF3876"/>
    <w:rsid w:val="00CF4300"/>
    <w:rsid w:val="00CF62CF"/>
    <w:rsid w:val="00CF7512"/>
    <w:rsid w:val="00D01825"/>
    <w:rsid w:val="00D0218D"/>
    <w:rsid w:val="00D02399"/>
    <w:rsid w:val="00D04FC0"/>
    <w:rsid w:val="00D070EA"/>
    <w:rsid w:val="00D10504"/>
    <w:rsid w:val="00D1365B"/>
    <w:rsid w:val="00D1533E"/>
    <w:rsid w:val="00D15CFF"/>
    <w:rsid w:val="00D25FB5"/>
    <w:rsid w:val="00D25FF2"/>
    <w:rsid w:val="00D30152"/>
    <w:rsid w:val="00D323DC"/>
    <w:rsid w:val="00D36228"/>
    <w:rsid w:val="00D4168B"/>
    <w:rsid w:val="00D41F4F"/>
    <w:rsid w:val="00D44198"/>
    <w:rsid w:val="00D44223"/>
    <w:rsid w:val="00D45652"/>
    <w:rsid w:val="00D45F0B"/>
    <w:rsid w:val="00D4691A"/>
    <w:rsid w:val="00D477D6"/>
    <w:rsid w:val="00D5094A"/>
    <w:rsid w:val="00D5136F"/>
    <w:rsid w:val="00D52C7D"/>
    <w:rsid w:val="00D56807"/>
    <w:rsid w:val="00D57A9C"/>
    <w:rsid w:val="00D61C54"/>
    <w:rsid w:val="00D6268E"/>
    <w:rsid w:val="00D6397E"/>
    <w:rsid w:val="00D66185"/>
    <w:rsid w:val="00D66D14"/>
    <w:rsid w:val="00D72118"/>
    <w:rsid w:val="00D75CFF"/>
    <w:rsid w:val="00D77EB9"/>
    <w:rsid w:val="00D80396"/>
    <w:rsid w:val="00D85234"/>
    <w:rsid w:val="00D855FC"/>
    <w:rsid w:val="00D85A2C"/>
    <w:rsid w:val="00D85A3F"/>
    <w:rsid w:val="00D87095"/>
    <w:rsid w:val="00D87196"/>
    <w:rsid w:val="00D87CC0"/>
    <w:rsid w:val="00D90FE7"/>
    <w:rsid w:val="00D929AD"/>
    <w:rsid w:val="00D93D2B"/>
    <w:rsid w:val="00D93D48"/>
    <w:rsid w:val="00D94982"/>
    <w:rsid w:val="00D95553"/>
    <w:rsid w:val="00D96BD3"/>
    <w:rsid w:val="00DA0A8E"/>
    <w:rsid w:val="00DA2529"/>
    <w:rsid w:val="00DA2EFF"/>
    <w:rsid w:val="00DB130A"/>
    <w:rsid w:val="00DB1AF2"/>
    <w:rsid w:val="00DB1F6A"/>
    <w:rsid w:val="00DB2EBB"/>
    <w:rsid w:val="00DB40B5"/>
    <w:rsid w:val="00DB687F"/>
    <w:rsid w:val="00DB79F6"/>
    <w:rsid w:val="00DC0DBE"/>
    <w:rsid w:val="00DC10A1"/>
    <w:rsid w:val="00DC568F"/>
    <w:rsid w:val="00DC6004"/>
    <w:rsid w:val="00DC6167"/>
    <w:rsid w:val="00DC655F"/>
    <w:rsid w:val="00DD03DA"/>
    <w:rsid w:val="00DD0B59"/>
    <w:rsid w:val="00DD1197"/>
    <w:rsid w:val="00DD2FB6"/>
    <w:rsid w:val="00DD456E"/>
    <w:rsid w:val="00DD5C11"/>
    <w:rsid w:val="00DD7EBD"/>
    <w:rsid w:val="00DE0A8D"/>
    <w:rsid w:val="00DE1508"/>
    <w:rsid w:val="00DE1C06"/>
    <w:rsid w:val="00DE33D3"/>
    <w:rsid w:val="00DE4993"/>
    <w:rsid w:val="00DE54D1"/>
    <w:rsid w:val="00DE5D3C"/>
    <w:rsid w:val="00DE6DDA"/>
    <w:rsid w:val="00DE72FC"/>
    <w:rsid w:val="00DE7DB1"/>
    <w:rsid w:val="00DF3CF3"/>
    <w:rsid w:val="00DF62B6"/>
    <w:rsid w:val="00E016AF"/>
    <w:rsid w:val="00E038A2"/>
    <w:rsid w:val="00E06043"/>
    <w:rsid w:val="00E07225"/>
    <w:rsid w:val="00E12345"/>
    <w:rsid w:val="00E12817"/>
    <w:rsid w:val="00E139E5"/>
    <w:rsid w:val="00E14733"/>
    <w:rsid w:val="00E17070"/>
    <w:rsid w:val="00E20C0B"/>
    <w:rsid w:val="00E2508A"/>
    <w:rsid w:val="00E32E96"/>
    <w:rsid w:val="00E3338D"/>
    <w:rsid w:val="00E4036B"/>
    <w:rsid w:val="00E40B7F"/>
    <w:rsid w:val="00E41ABF"/>
    <w:rsid w:val="00E45D7E"/>
    <w:rsid w:val="00E4635D"/>
    <w:rsid w:val="00E47FFB"/>
    <w:rsid w:val="00E5409F"/>
    <w:rsid w:val="00E60A38"/>
    <w:rsid w:val="00E64C9A"/>
    <w:rsid w:val="00E664EF"/>
    <w:rsid w:val="00E73889"/>
    <w:rsid w:val="00E73939"/>
    <w:rsid w:val="00E76336"/>
    <w:rsid w:val="00E77B97"/>
    <w:rsid w:val="00E80474"/>
    <w:rsid w:val="00E82959"/>
    <w:rsid w:val="00E904DA"/>
    <w:rsid w:val="00E92033"/>
    <w:rsid w:val="00E93C89"/>
    <w:rsid w:val="00E94408"/>
    <w:rsid w:val="00EB60A6"/>
    <w:rsid w:val="00EB63A6"/>
    <w:rsid w:val="00EB6584"/>
    <w:rsid w:val="00EB76A8"/>
    <w:rsid w:val="00EC6E7D"/>
    <w:rsid w:val="00EC7E7B"/>
    <w:rsid w:val="00ED36AD"/>
    <w:rsid w:val="00ED4BA7"/>
    <w:rsid w:val="00ED54AA"/>
    <w:rsid w:val="00ED6370"/>
    <w:rsid w:val="00ED6944"/>
    <w:rsid w:val="00EE413B"/>
    <w:rsid w:val="00EE5B22"/>
    <w:rsid w:val="00EE6480"/>
    <w:rsid w:val="00EE6488"/>
    <w:rsid w:val="00EE78B4"/>
    <w:rsid w:val="00EF6204"/>
    <w:rsid w:val="00EF6F7E"/>
    <w:rsid w:val="00F01EC2"/>
    <w:rsid w:val="00F021FA"/>
    <w:rsid w:val="00F03BFA"/>
    <w:rsid w:val="00F03C1D"/>
    <w:rsid w:val="00F0567A"/>
    <w:rsid w:val="00F07AD1"/>
    <w:rsid w:val="00F1235C"/>
    <w:rsid w:val="00F12749"/>
    <w:rsid w:val="00F14543"/>
    <w:rsid w:val="00F1686F"/>
    <w:rsid w:val="00F16FD2"/>
    <w:rsid w:val="00F17FDB"/>
    <w:rsid w:val="00F20397"/>
    <w:rsid w:val="00F20661"/>
    <w:rsid w:val="00F21609"/>
    <w:rsid w:val="00F2237E"/>
    <w:rsid w:val="00F252F8"/>
    <w:rsid w:val="00F254A5"/>
    <w:rsid w:val="00F25F28"/>
    <w:rsid w:val="00F261C4"/>
    <w:rsid w:val="00F31772"/>
    <w:rsid w:val="00F3221E"/>
    <w:rsid w:val="00F342E0"/>
    <w:rsid w:val="00F42AB7"/>
    <w:rsid w:val="00F47C12"/>
    <w:rsid w:val="00F5047D"/>
    <w:rsid w:val="00F51680"/>
    <w:rsid w:val="00F51F4B"/>
    <w:rsid w:val="00F549A8"/>
    <w:rsid w:val="00F56066"/>
    <w:rsid w:val="00F62E97"/>
    <w:rsid w:val="00F62F12"/>
    <w:rsid w:val="00F64209"/>
    <w:rsid w:val="00F66F59"/>
    <w:rsid w:val="00F70D35"/>
    <w:rsid w:val="00F72CFA"/>
    <w:rsid w:val="00F734B9"/>
    <w:rsid w:val="00F74AFA"/>
    <w:rsid w:val="00F74D15"/>
    <w:rsid w:val="00F75299"/>
    <w:rsid w:val="00F766F4"/>
    <w:rsid w:val="00F81030"/>
    <w:rsid w:val="00F818E8"/>
    <w:rsid w:val="00F82CB8"/>
    <w:rsid w:val="00F85EDD"/>
    <w:rsid w:val="00F86721"/>
    <w:rsid w:val="00F86D41"/>
    <w:rsid w:val="00F87F58"/>
    <w:rsid w:val="00F90BCC"/>
    <w:rsid w:val="00F912CF"/>
    <w:rsid w:val="00F930EA"/>
    <w:rsid w:val="00F93BF5"/>
    <w:rsid w:val="00FA31EA"/>
    <w:rsid w:val="00FA4A66"/>
    <w:rsid w:val="00FB239F"/>
    <w:rsid w:val="00FB44EE"/>
    <w:rsid w:val="00FB4B1C"/>
    <w:rsid w:val="00FC13FE"/>
    <w:rsid w:val="00FC2F3F"/>
    <w:rsid w:val="00FC3BBA"/>
    <w:rsid w:val="00FC4480"/>
    <w:rsid w:val="00FC717A"/>
    <w:rsid w:val="00FD18C9"/>
    <w:rsid w:val="00FD1B4D"/>
    <w:rsid w:val="00FD2BB2"/>
    <w:rsid w:val="00FD580D"/>
    <w:rsid w:val="00FE015A"/>
    <w:rsid w:val="00FE1188"/>
    <w:rsid w:val="00FE1EF7"/>
    <w:rsid w:val="00FE340D"/>
    <w:rsid w:val="00FE69A7"/>
    <w:rsid w:val="00FF182D"/>
    <w:rsid w:val="00FF25E5"/>
    <w:rsid w:val="00FF3979"/>
    <w:rsid w:val="00FF410F"/>
    <w:rsid w:val="00FF4307"/>
    <w:rsid w:val="1D1DEB0C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483D9A78"/>
  <w15:docId w15:val="{C7F986AC-8070-45A2-8495-A8FCAC0D9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0210E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rsid w:val="009F25C8"/>
    <w:pPr>
      <w:keepNext/>
      <w:numPr>
        <w:numId w:val="3"/>
      </w:numPr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7A1E6D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BA6196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C426B1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511968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036039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036039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1E01CA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1E01CA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link w:val="ParaNumChar"/>
    <w:rsid w:val="009F25C8"/>
    <w:pPr>
      <w:numPr>
        <w:numId w:val="2"/>
      </w:numPr>
      <w:spacing w:after="1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link w:val="FootnoteTextChar"/>
    <w:uiPriority w:val="99"/>
    <w:rsid w:val="000E3D42"/>
    <w:pPr>
      <w:spacing w:after="120"/>
    </w:pPr>
  </w:style>
  <w:style w:type="character" w:styleId="FootnoteReference">
    <w:name w:val="footnote reference"/>
    <w:uiPriority w:val="99"/>
    <w:rsid w:val="00A32C3B"/>
    <w:rPr>
      <w:rFonts w:ascii="Times New Roman" w:hAnsi="Times New Roman"/>
      <w:dstrike w:val="0"/>
      <w:color w:val="auto"/>
      <w:sz w:val="20"/>
      <w:vertAlign w:val="superscript"/>
    </w:rPr>
  </w:style>
  <w:style w:type="paragraph" w:styleId="TOC1">
    <w:name w:val="toc 1"/>
    <w:basedOn w:val="Normal"/>
    <w:next w:val="Normal"/>
    <w:semiHidden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pPr>
      <w:tabs>
        <w:tab w:val="center" w:pos="4680"/>
        <w:tab w:val="right" w:pos="9360"/>
      </w:tabs>
    </w:pPr>
    <w:rPr>
      <w:b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pPr>
      <w:tabs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p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096D8C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uiPriority w:val="99"/>
    <w:rsid w:val="002A2D2E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9D7308"/>
    <w:rPr>
      <w:snapToGrid w:val="0"/>
      <w:kern w:val="28"/>
      <w:sz w:val="22"/>
    </w:rPr>
  </w:style>
  <w:style w:type="character" w:customStyle="1" w:styleId="ParaNumChar">
    <w:name w:val="ParaNum Char"/>
    <w:link w:val="ParaNum"/>
    <w:locked/>
    <w:rsid w:val="00C0210E"/>
    <w:rPr>
      <w:snapToGrid w:val="0"/>
      <w:kern w:val="28"/>
      <w:sz w:val="22"/>
    </w:rPr>
  </w:style>
  <w:style w:type="character" w:customStyle="1" w:styleId="FootnoteTextChar">
    <w:name w:val="Footnote Text Char"/>
    <w:link w:val="FootnoteText"/>
    <w:uiPriority w:val="99"/>
    <w:rsid w:val="00C0210E"/>
  </w:style>
  <w:style w:type="paragraph" w:styleId="Revision">
    <w:name w:val="Revision"/>
    <w:hidden/>
    <w:uiPriority w:val="99"/>
    <w:semiHidden/>
    <w:rsid w:val="00B92D48"/>
    <w:rPr>
      <w:snapToGrid w:val="0"/>
      <w:kern w:val="28"/>
      <w:sz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E664E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rsid w:val="00431425"/>
    <w:rPr>
      <w:sz w:val="16"/>
      <w:szCs w:val="16"/>
    </w:rPr>
  </w:style>
  <w:style w:type="paragraph" w:styleId="CommentText">
    <w:name w:val="annotation text"/>
    <w:basedOn w:val="Normal"/>
    <w:link w:val="CommentTextChar"/>
    <w:rsid w:val="00431425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431425"/>
    <w:rPr>
      <w:snapToGrid w:val="0"/>
      <w:kern w:val="28"/>
    </w:rPr>
  </w:style>
  <w:style w:type="paragraph" w:styleId="CommentSubject">
    <w:name w:val="annotation subject"/>
    <w:basedOn w:val="CommentText"/>
    <w:next w:val="CommentText"/>
    <w:link w:val="CommentSubjectChar"/>
    <w:rsid w:val="004314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31425"/>
    <w:rPr>
      <w:b/>
      <w:bCs/>
      <w:snapToGrid w:val="0"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2.xml" /><Relationship Id="rId9" Type="http://schemas.openxmlformats.org/officeDocument/2006/relationships/footer" Target="footer3.xml" /></Relationships>
</file>

<file path=word/_rels/footnotes.xml.rels><?xml version="1.0" encoding="utf-8" standalone="yes"?><Relationships xmlns="http://schemas.openxmlformats.org/package/2006/relationships"><Relationship Id="rId1" Type="http://schemas.openxmlformats.org/officeDocument/2006/relationships/hyperlink" Target="http://www.panmore.com/verizon-organizational-structure-business-expansion" TargetMode="External" 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M:\forms\OS%20Process\Orders%20TOC%20by%20Paragraph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Orders TOC by Paragraph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