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E233DBF"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5904AAD7" w14:textId="2F6B9BBA">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2923BD">
        <w:rPr>
          <w:b/>
          <w:snapToGrid w:val="0"/>
          <w:kern w:val="28"/>
          <w:szCs w:val="22"/>
        </w:rPr>
        <w:t>1127</w:t>
      </w:r>
    </w:p>
    <w:p w:rsidR="00AD440B" w:rsidRPr="00CB6B4E" w:rsidP="00ED51D0" w14:paraId="231AEE06" w14:textId="35B15C4E">
      <w:pPr>
        <w:widowControl w:val="0"/>
        <w:jc w:val="right"/>
        <w:rPr>
          <w:b/>
          <w:snapToGrid w:val="0"/>
          <w:kern w:val="28"/>
          <w:szCs w:val="22"/>
        </w:rPr>
      </w:pPr>
      <w:r w:rsidRPr="00CB6B4E">
        <w:rPr>
          <w:b/>
          <w:snapToGrid w:val="0"/>
          <w:kern w:val="28"/>
          <w:szCs w:val="22"/>
        </w:rPr>
        <w:t xml:space="preserve">Released:  </w:t>
      </w:r>
      <w:r w:rsidR="00BF0215">
        <w:rPr>
          <w:b/>
          <w:snapToGrid w:val="0"/>
          <w:kern w:val="28"/>
          <w:szCs w:val="22"/>
        </w:rPr>
        <w:t xml:space="preserve">October </w:t>
      </w:r>
      <w:r w:rsidR="007C4D2F">
        <w:rPr>
          <w:b/>
          <w:snapToGrid w:val="0"/>
          <w:kern w:val="28"/>
          <w:szCs w:val="22"/>
        </w:rPr>
        <w:t>2</w:t>
      </w:r>
      <w:r w:rsidR="006D3591">
        <w:rPr>
          <w:b/>
          <w:snapToGrid w:val="0"/>
          <w:kern w:val="28"/>
          <w:szCs w:val="22"/>
        </w:rPr>
        <w:t>6</w:t>
      </w:r>
      <w:r w:rsidRPr="00CB6B4E">
        <w:rPr>
          <w:b/>
          <w:snapToGrid w:val="0"/>
          <w:kern w:val="28"/>
          <w:szCs w:val="22"/>
        </w:rPr>
        <w:t>, 202</w:t>
      </w:r>
      <w:r w:rsidRPr="00CB6B4E" w:rsidR="0089666B">
        <w:rPr>
          <w:b/>
          <w:snapToGrid w:val="0"/>
          <w:kern w:val="28"/>
          <w:szCs w:val="22"/>
        </w:rPr>
        <w:t>2</w:t>
      </w:r>
    </w:p>
    <w:p w:rsidR="00AD440B" w:rsidRPr="00CB6B4E" w:rsidP="00AD440B" w14:paraId="5B2A0F94" w14:textId="77777777">
      <w:pPr>
        <w:widowControl w:val="0"/>
        <w:spacing w:before="60"/>
        <w:jc w:val="center"/>
        <w:rPr>
          <w:b/>
          <w:snapToGrid w:val="0"/>
          <w:kern w:val="28"/>
          <w:szCs w:val="22"/>
        </w:rPr>
      </w:pPr>
    </w:p>
    <w:p w:rsidR="0060110D" w:rsidP="001F33B5" w14:paraId="13725750"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p>
    <w:p w:rsidR="00DF5722" w:rsidP="001F33B5" w14:paraId="42A40C95" w14:textId="1D7566E2">
      <w:pPr>
        <w:jc w:val="center"/>
        <w:rPr>
          <w:b/>
          <w:bCs/>
          <w:szCs w:val="22"/>
        </w:rPr>
      </w:pPr>
      <w:r>
        <w:rPr>
          <w:b/>
          <w:bCs/>
          <w:szCs w:val="22"/>
        </w:rPr>
        <w:t>FOR THE TRANSFER OF CONTROL OF OHIO TELECOM</w:t>
      </w:r>
      <w:r w:rsidR="00EC7DF9">
        <w:rPr>
          <w:b/>
          <w:bCs/>
          <w:szCs w:val="22"/>
        </w:rPr>
        <w:t>,</w:t>
      </w:r>
      <w:r>
        <w:rPr>
          <w:b/>
          <w:bCs/>
          <w:szCs w:val="22"/>
        </w:rPr>
        <w:t xml:space="preserve"> INC. </w:t>
      </w:r>
    </w:p>
    <w:p w:rsidR="001736D0" w:rsidP="001F33B5" w14:paraId="3E6679AE" w14:textId="70A9F189">
      <w:pPr>
        <w:jc w:val="center"/>
        <w:rPr>
          <w:b/>
          <w:bCs/>
          <w:caps/>
          <w:szCs w:val="22"/>
        </w:rPr>
      </w:pPr>
      <w:r>
        <w:rPr>
          <w:b/>
          <w:bCs/>
          <w:szCs w:val="22"/>
        </w:rPr>
        <w:t xml:space="preserve">TO OMNI FIBER, LLC </w:t>
      </w:r>
    </w:p>
    <w:p w:rsidR="00AD440B" w:rsidRPr="00AD440B" w:rsidP="00AD440B" w14:paraId="7C56D78F" w14:textId="77777777">
      <w:pPr>
        <w:jc w:val="center"/>
        <w:rPr>
          <w:b/>
          <w:bCs/>
          <w:szCs w:val="22"/>
        </w:rPr>
      </w:pPr>
      <w:r w:rsidRPr="00AD440B">
        <w:rPr>
          <w:b/>
          <w:bCs/>
          <w:caps/>
          <w:szCs w:val="22"/>
        </w:rPr>
        <w:t xml:space="preserve"> </w:t>
      </w:r>
    </w:p>
    <w:p w:rsidR="00AD440B" w:rsidP="0055505D" w14:paraId="2A987080" w14:textId="77777777">
      <w:pPr>
        <w:jc w:val="center"/>
        <w:rPr>
          <w:b/>
          <w:szCs w:val="22"/>
        </w:rPr>
      </w:pPr>
      <w:r w:rsidRPr="00AD440B">
        <w:rPr>
          <w:b/>
          <w:szCs w:val="22"/>
        </w:rPr>
        <w:t>STREAMLINED PLEADING CYCLE ESTABLISHED</w:t>
      </w:r>
    </w:p>
    <w:p w:rsidR="00031C8B" w:rsidRPr="0055505D" w:rsidP="0055505D" w14:paraId="3520B98A" w14:textId="77777777">
      <w:pPr>
        <w:jc w:val="center"/>
        <w:rPr>
          <w:b/>
          <w:szCs w:val="22"/>
        </w:rPr>
      </w:pPr>
    </w:p>
    <w:p w:rsidR="00AD440B" w:rsidRPr="00AD440B" w:rsidP="00AD440B" w14:paraId="437AB135" w14:textId="27EF3877">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4F1C11">
        <w:rPr>
          <w:b/>
          <w:snapToGrid w:val="0"/>
          <w:kern w:val="28"/>
          <w:szCs w:val="22"/>
        </w:rPr>
        <w:t>-</w:t>
      </w:r>
      <w:r w:rsidR="00BF0215">
        <w:rPr>
          <w:b/>
          <w:snapToGrid w:val="0"/>
          <w:kern w:val="28"/>
          <w:szCs w:val="22"/>
        </w:rPr>
        <w:t>361</w:t>
      </w:r>
    </w:p>
    <w:p w:rsidR="00E94F15" w:rsidP="00AD440B" w14:paraId="54ED226F" w14:textId="77777777">
      <w:pPr>
        <w:rPr>
          <w:b/>
          <w:szCs w:val="22"/>
        </w:rPr>
      </w:pPr>
    </w:p>
    <w:p w:rsidR="00AD440B" w:rsidRPr="00AD440B" w:rsidP="00AD440B" w14:paraId="284ED08C" w14:textId="680583BA">
      <w:pPr>
        <w:rPr>
          <w:b/>
          <w:szCs w:val="22"/>
        </w:rPr>
      </w:pPr>
      <w:r w:rsidRPr="00AD440B">
        <w:rPr>
          <w:b/>
          <w:szCs w:val="22"/>
        </w:rPr>
        <w:t xml:space="preserve">Comments Due:  </w:t>
      </w:r>
      <w:r w:rsidR="001B1B08">
        <w:rPr>
          <w:b/>
          <w:szCs w:val="22"/>
        </w:rPr>
        <w:t>Novem</w:t>
      </w:r>
      <w:r w:rsidR="00BF0215">
        <w:rPr>
          <w:b/>
          <w:szCs w:val="22"/>
        </w:rPr>
        <w:t xml:space="preserve">ber </w:t>
      </w:r>
      <w:r w:rsidR="006D3591">
        <w:rPr>
          <w:b/>
          <w:szCs w:val="22"/>
        </w:rPr>
        <w:t>9</w:t>
      </w:r>
      <w:r w:rsidRPr="00AD440B">
        <w:rPr>
          <w:b/>
          <w:szCs w:val="22"/>
        </w:rPr>
        <w:t>, 202</w:t>
      </w:r>
      <w:r w:rsidR="0089666B">
        <w:rPr>
          <w:b/>
          <w:szCs w:val="22"/>
        </w:rPr>
        <w:t>2</w:t>
      </w:r>
      <w:r w:rsidRPr="00AD440B">
        <w:rPr>
          <w:b/>
          <w:szCs w:val="22"/>
        </w:rPr>
        <w:t xml:space="preserve"> </w:t>
      </w:r>
    </w:p>
    <w:p w:rsidR="00AD440B" w:rsidRPr="00AD440B" w:rsidP="00AD440B" w14:paraId="72A344A0" w14:textId="03429176">
      <w:pPr>
        <w:rPr>
          <w:b/>
          <w:szCs w:val="22"/>
        </w:rPr>
      </w:pPr>
      <w:r w:rsidRPr="00AD440B">
        <w:rPr>
          <w:b/>
          <w:szCs w:val="22"/>
        </w:rPr>
        <w:t xml:space="preserve">Reply Comment Due:  </w:t>
      </w:r>
      <w:r w:rsidR="00BF0215">
        <w:rPr>
          <w:b/>
          <w:szCs w:val="22"/>
        </w:rPr>
        <w:t>November</w:t>
      </w:r>
      <w:r w:rsidR="00193234">
        <w:rPr>
          <w:b/>
          <w:szCs w:val="22"/>
        </w:rPr>
        <w:t xml:space="preserve"> </w:t>
      </w:r>
      <w:r w:rsidR="007C4D2F">
        <w:rPr>
          <w:b/>
          <w:szCs w:val="22"/>
        </w:rPr>
        <w:t>1</w:t>
      </w:r>
      <w:r w:rsidR="006D3591">
        <w:rPr>
          <w:b/>
          <w:szCs w:val="22"/>
        </w:rPr>
        <w:t>6</w:t>
      </w:r>
      <w:r w:rsidRPr="00AD440B">
        <w:rPr>
          <w:b/>
          <w:szCs w:val="22"/>
        </w:rPr>
        <w:t>, 202</w:t>
      </w:r>
      <w:r w:rsidR="0089666B">
        <w:rPr>
          <w:b/>
          <w:szCs w:val="22"/>
        </w:rPr>
        <w:t>2</w:t>
      </w:r>
      <w:r w:rsidRPr="00AD440B">
        <w:rPr>
          <w:b/>
          <w:szCs w:val="22"/>
        </w:rPr>
        <w:t xml:space="preserve"> </w:t>
      </w:r>
    </w:p>
    <w:p w:rsidR="00AD440B" w:rsidRPr="00AD440B" w:rsidP="00AD440B" w14:paraId="7C8CB00C" w14:textId="77777777">
      <w:pPr>
        <w:rPr>
          <w:b/>
          <w:szCs w:val="22"/>
        </w:rPr>
      </w:pPr>
    </w:p>
    <w:p w:rsidR="003570A6" w:rsidP="003570A6" w14:paraId="0E687417" w14:textId="1E66DC11">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117504500"/>
      <w:bookmarkStart w:id="4" w:name="_Hlk87961388"/>
      <w:bookmarkStart w:id="5" w:name="_Hlk73713070"/>
      <w:bookmarkStart w:id="6" w:name="_Hlk67917977"/>
      <w:r w:rsidR="00C2710F">
        <w:rPr>
          <w:szCs w:val="22"/>
        </w:rPr>
        <w:t>Michael Christiansen</w:t>
      </w:r>
      <w:bookmarkEnd w:id="3"/>
      <w:r w:rsidR="00C2710F">
        <w:rPr>
          <w:szCs w:val="22"/>
        </w:rPr>
        <w:t>, Ohio Telecom</w:t>
      </w:r>
      <w:r w:rsidR="001B1B08">
        <w:rPr>
          <w:szCs w:val="22"/>
        </w:rPr>
        <w:t>,</w:t>
      </w:r>
      <w:r w:rsidR="00C2710F">
        <w:rPr>
          <w:szCs w:val="22"/>
        </w:rPr>
        <w:t xml:space="preserve"> Inc</w:t>
      </w:r>
      <w:r w:rsidR="00EC7DF9">
        <w:rPr>
          <w:szCs w:val="22"/>
        </w:rPr>
        <w:t>.</w:t>
      </w:r>
      <w:r w:rsidR="00C2710F">
        <w:rPr>
          <w:szCs w:val="22"/>
        </w:rPr>
        <w:t xml:space="preserve"> (Ohio Telecom)</w:t>
      </w:r>
      <w:r w:rsidR="00EC7DF9">
        <w:rPr>
          <w:szCs w:val="22"/>
        </w:rPr>
        <w:t>,</w:t>
      </w:r>
      <w:r w:rsidR="00C2710F">
        <w:rPr>
          <w:szCs w:val="22"/>
        </w:rPr>
        <w:t xml:space="preserve"> and Omni Fiber, LLC (Omni Fiber) </w:t>
      </w:r>
      <w:bookmarkEnd w:id="4"/>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consent to transfer </w:t>
      </w:r>
      <w:r w:rsidR="00570DA8">
        <w:rPr>
          <w:szCs w:val="22"/>
        </w:rPr>
        <w:t>control of Ohio Telecom</w:t>
      </w:r>
      <w:r w:rsidR="00C2710F">
        <w:rPr>
          <w:szCs w:val="22"/>
        </w:rPr>
        <w:t xml:space="preserve"> to Omni Fiber</w:t>
      </w:r>
      <w:r w:rsidR="0055505D">
        <w:rPr>
          <w:szCs w:val="22"/>
        </w:rPr>
        <w:t>.</w:t>
      </w:r>
      <w:bookmarkEnd w:id="5"/>
      <w:bookmarkEnd w:id="6"/>
      <w:r>
        <w:rPr>
          <w:szCs w:val="22"/>
          <w:vertAlign w:val="superscript"/>
        </w:rPr>
        <w:footnoteReference w:id="3"/>
      </w:r>
      <w:r w:rsidR="0055505D">
        <w:rPr>
          <w:szCs w:val="22"/>
        </w:rPr>
        <w:t xml:space="preserve"> </w:t>
      </w:r>
      <w:r w:rsidRPr="00AD440B" w:rsidR="0029098D">
        <w:rPr>
          <w:szCs w:val="22"/>
        </w:rPr>
        <w:t xml:space="preserve"> </w:t>
      </w:r>
    </w:p>
    <w:p w:rsidR="003416E5" w:rsidP="007F7E7B" w14:paraId="58197ABE" w14:textId="737F7980">
      <w:pPr>
        <w:autoSpaceDE w:val="0"/>
        <w:autoSpaceDN w:val="0"/>
        <w:adjustRightInd w:val="0"/>
        <w:spacing w:after="120"/>
        <w:ind w:firstLine="720"/>
        <w:rPr>
          <w:szCs w:val="22"/>
        </w:rPr>
      </w:pPr>
      <w:r w:rsidRPr="00885BBC">
        <w:rPr>
          <w:szCs w:val="22"/>
        </w:rPr>
        <w:t>Ohio Telecom</w:t>
      </w:r>
      <w:r w:rsidR="00667736">
        <w:rPr>
          <w:szCs w:val="22"/>
        </w:rPr>
        <w:t xml:space="preserve">, </w:t>
      </w:r>
      <w:r w:rsidRPr="00885BBC">
        <w:rPr>
          <w:szCs w:val="22"/>
        </w:rPr>
        <w:t>an Ohio corporation</w:t>
      </w:r>
      <w:r w:rsidR="00570DA8">
        <w:rPr>
          <w:szCs w:val="22"/>
        </w:rPr>
        <w:t>,</w:t>
      </w:r>
      <w:r w:rsidR="00667736">
        <w:rPr>
          <w:szCs w:val="22"/>
        </w:rPr>
        <w:t xml:space="preserve"> </w:t>
      </w:r>
      <w:r w:rsidR="00570DA8">
        <w:rPr>
          <w:szCs w:val="22"/>
        </w:rPr>
        <w:t xml:space="preserve">is </w:t>
      </w:r>
      <w:r w:rsidR="007F7E7B">
        <w:rPr>
          <w:szCs w:val="22"/>
        </w:rPr>
        <w:t>contro</w:t>
      </w:r>
      <w:r w:rsidR="00155CC3">
        <w:rPr>
          <w:szCs w:val="22"/>
        </w:rPr>
        <w:t>l</w:t>
      </w:r>
      <w:r w:rsidR="007F7E7B">
        <w:rPr>
          <w:szCs w:val="22"/>
        </w:rPr>
        <w:t>led</w:t>
      </w:r>
      <w:r w:rsidR="00570DA8">
        <w:rPr>
          <w:szCs w:val="22"/>
        </w:rPr>
        <w:t xml:space="preserve"> by Michael Christiansen</w:t>
      </w:r>
      <w:r w:rsidR="007F7E7B">
        <w:rPr>
          <w:szCs w:val="22"/>
        </w:rPr>
        <w:t>,</w:t>
      </w:r>
      <w:r w:rsidRPr="00885BBC" w:rsidR="003570A6">
        <w:rPr>
          <w:szCs w:val="22"/>
        </w:rPr>
        <w:t xml:space="preserve"> the sole shareholder and director of </w:t>
      </w:r>
      <w:r w:rsidR="007F7E7B">
        <w:rPr>
          <w:szCs w:val="22"/>
        </w:rPr>
        <w:t>Ohio Telecom</w:t>
      </w:r>
      <w:r w:rsidRPr="00885BBC" w:rsidR="003570A6">
        <w:rPr>
          <w:szCs w:val="22"/>
        </w:rPr>
        <w:t xml:space="preserve">.  </w:t>
      </w:r>
      <w:r w:rsidR="007F7E7B">
        <w:rPr>
          <w:szCs w:val="22"/>
        </w:rPr>
        <w:t>Ohio Telecom</w:t>
      </w:r>
      <w:r w:rsidRPr="00885BBC" w:rsidR="00500BD0">
        <w:rPr>
          <w:szCs w:val="22"/>
        </w:rPr>
        <w:t xml:space="preserve"> provides </w:t>
      </w:r>
      <w:r w:rsidR="005E4129">
        <w:rPr>
          <w:szCs w:val="22"/>
        </w:rPr>
        <w:t xml:space="preserve">competitive </w:t>
      </w:r>
      <w:r w:rsidRPr="00885BBC" w:rsidR="00500BD0">
        <w:rPr>
          <w:szCs w:val="22"/>
        </w:rPr>
        <w:t xml:space="preserve">facilities-based </w:t>
      </w:r>
      <w:r w:rsidR="005336D7">
        <w:rPr>
          <w:szCs w:val="22"/>
        </w:rPr>
        <w:t xml:space="preserve">telecommunications </w:t>
      </w:r>
      <w:r w:rsidRPr="00885BBC" w:rsidR="00500BD0">
        <w:rPr>
          <w:szCs w:val="22"/>
        </w:rPr>
        <w:t xml:space="preserve">services </w:t>
      </w:r>
      <w:r w:rsidR="005336D7">
        <w:rPr>
          <w:szCs w:val="22"/>
        </w:rPr>
        <w:t xml:space="preserve">and other services </w:t>
      </w:r>
      <w:r w:rsidRPr="00885BBC" w:rsidR="00500BD0">
        <w:rPr>
          <w:szCs w:val="22"/>
        </w:rPr>
        <w:t xml:space="preserve">to residential and business customers in the Northwest region of Ohio.  </w:t>
      </w:r>
    </w:p>
    <w:p w:rsidR="00D43850" w:rsidP="007976EF" w14:paraId="3022E239" w14:textId="7B386764">
      <w:pPr>
        <w:autoSpaceDE w:val="0"/>
        <w:autoSpaceDN w:val="0"/>
        <w:adjustRightInd w:val="0"/>
        <w:spacing w:after="120"/>
        <w:ind w:firstLine="720"/>
        <w:rPr>
          <w:szCs w:val="22"/>
        </w:rPr>
      </w:pPr>
      <w:r w:rsidRPr="00885BBC">
        <w:rPr>
          <w:szCs w:val="22"/>
        </w:rPr>
        <w:t>Omni Fiber</w:t>
      </w:r>
      <w:r w:rsidR="000A5FD3">
        <w:rPr>
          <w:szCs w:val="22"/>
        </w:rPr>
        <w:t>, an Ohio limited liability company,</w:t>
      </w:r>
      <w:r w:rsidRPr="00885BBC">
        <w:rPr>
          <w:szCs w:val="22"/>
        </w:rPr>
        <w:t xml:space="preserve"> currently is not operational</w:t>
      </w:r>
      <w:r w:rsidR="00667736">
        <w:rPr>
          <w:szCs w:val="22"/>
        </w:rPr>
        <w:t>,</w:t>
      </w:r>
      <w:r w:rsidRPr="00885BBC">
        <w:rPr>
          <w:szCs w:val="22"/>
        </w:rPr>
        <w:t xml:space="preserve"> but is in the</w:t>
      </w:r>
      <w:r w:rsidRPr="00E54085">
        <w:rPr>
          <w:szCs w:val="22"/>
        </w:rPr>
        <w:t xml:space="preserve"> process of building out its network and services, with initial projects under construction in areas of Ohio</w:t>
      </w:r>
      <w:r w:rsidR="005E4129">
        <w:rPr>
          <w:szCs w:val="22"/>
        </w:rPr>
        <w:t xml:space="preserve">.  </w:t>
      </w:r>
      <w:r w:rsidR="000A5FD3">
        <w:rPr>
          <w:szCs w:val="22"/>
        </w:rPr>
        <w:t>Applicants state that i</w:t>
      </w:r>
      <w:r w:rsidR="005E4129">
        <w:rPr>
          <w:szCs w:val="22"/>
        </w:rPr>
        <w:t xml:space="preserve">t </w:t>
      </w:r>
      <w:r w:rsidRPr="00E54085">
        <w:rPr>
          <w:szCs w:val="22"/>
        </w:rPr>
        <w:t xml:space="preserve">anticipates additional deployments and services in Pennsylvania and Michigan in 2023.  Omni Fiber currently is owned and controlled by funds and entities associated with Oak </w:t>
      </w:r>
      <w:r w:rsidRPr="00E54085" w:rsidR="00521FBD">
        <w:rPr>
          <w:szCs w:val="22"/>
        </w:rPr>
        <w:t>Hill Capital Management (collectively the Oak Hill Investors),</w:t>
      </w:r>
      <w:r>
        <w:rPr>
          <w:rStyle w:val="FootnoteReference"/>
          <w:szCs w:val="22"/>
        </w:rPr>
        <w:footnoteReference w:id="4"/>
      </w:r>
      <w:r w:rsidRPr="00E54085" w:rsidR="00521FBD">
        <w:rPr>
          <w:szCs w:val="22"/>
        </w:rPr>
        <w:t xml:space="preserve"> which is a private equity fund based in the United States but whose funds are organized in the Cayman Islands.  The equity in </w:t>
      </w:r>
      <w:r w:rsidRPr="00E54085" w:rsidR="00521FBD">
        <w:rPr>
          <w:szCs w:val="22"/>
        </w:rPr>
        <w:t>the Oak Hill funds is held through limited partnership interests held by numerous, primarily U.S. based</w:t>
      </w:r>
      <w:r w:rsidR="00AA2F73">
        <w:rPr>
          <w:szCs w:val="22"/>
        </w:rPr>
        <w:t>,</w:t>
      </w:r>
      <w:r w:rsidRPr="00E54085" w:rsidR="00521FBD">
        <w:rPr>
          <w:szCs w:val="22"/>
        </w:rPr>
        <w:t xml:space="preserve"> investors, including individuals, trusts, institutions, and business entities</w:t>
      </w:r>
      <w:r w:rsidR="00155CC3">
        <w:rPr>
          <w:szCs w:val="22"/>
        </w:rPr>
        <w:t xml:space="preserve">. </w:t>
      </w:r>
      <w:r w:rsidRPr="00E54085" w:rsidR="00521FBD">
        <w:rPr>
          <w:szCs w:val="22"/>
        </w:rPr>
        <w:t xml:space="preserve"> </w:t>
      </w:r>
      <w:r w:rsidR="00FF23CF">
        <w:rPr>
          <w:szCs w:val="22"/>
        </w:rPr>
        <w:t xml:space="preserve">Control of these funds ultimately rests in U.S. entities or citizens. </w:t>
      </w:r>
      <w:r w:rsidR="00667736">
        <w:rPr>
          <w:szCs w:val="22"/>
        </w:rPr>
        <w:t xml:space="preserve"> </w:t>
      </w:r>
    </w:p>
    <w:p w:rsidR="00FF23CF" w:rsidP="007976EF" w14:paraId="7654871C" w14:textId="206EC2EF">
      <w:pPr>
        <w:autoSpaceDE w:val="0"/>
        <w:autoSpaceDN w:val="0"/>
        <w:adjustRightInd w:val="0"/>
        <w:spacing w:after="120"/>
        <w:ind w:firstLine="720"/>
        <w:rPr>
          <w:szCs w:val="22"/>
        </w:rPr>
      </w:pPr>
      <w:r>
        <w:rPr>
          <w:szCs w:val="22"/>
        </w:rPr>
        <w:t xml:space="preserve">Pursuant to the terms of the proposed transaction, Omni Fiber will purchase from </w:t>
      </w:r>
      <w:r w:rsidR="00EC7DF9">
        <w:rPr>
          <w:szCs w:val="22"/>
        </w:rPr>
        <w:t xml:space="preserve">Michael Christiansen </w:t>
      </w:r>
      <w:r>
        <w:rPr>
          <w:szCs w:val="22"/>
        </w:rPr>
        <w:t>all of the equity interests of</w:t>
      </w:r>
      <w:r w:rsidR="00EC7DF9">
        <w:rPr>
          <w:szCs w:val="22"/>
        </w:rPr>
        <w:t xml:space="preserve"> Ohio Telecom.  </w:t>
      </w:r>
      <w:r>
        <w:rPr>
          <w:szCs w:val="22"/>
        </w:rPr>
        <w:t xml:space="preserve">Omni Fiber will </w:t>
      </w:r>
      <w:r w:rsidR="00EC7DF9">
        <w:rPr>
          <w:szCs w:val="22"/>
        </w:rPr>
        <w:t xml:space="preserve">thereby </w:t>
      </w:r>
      <w:r>
        <w:rPr>
          <w:szCs w:val="22"/>
        </w:rPr>
        <w:t xml:space="preserve">acquire direct ownership and control of </w:t>
      </w:r>
      <w:r w:rsidR="00EC7DF9">
        <w:rPr>
          <w:szCs w:val="22"/>
        </w:rPr>
        <w:t>Ohio Telecom</w:t>
      </w:r>
      <w:r>
        <w:rPr>
          <w:szCs w:val="22"/>
        </w:rPr>
        <w:t xml:space="preserve">. </w:t>
      </w:r>
    </w:p>
    <w:p w:rsidR="009E32B3" w:rsidP="009E32B3" w14:paraId="64118370" w14:textId="289206CA">
      <w:pPr>
        <w:autoSpaceDE w:val="0"/>
        <w:autoSpaceDN w:val="0"/>
        <w:adjustRightInd w:val="0"/>
        <w:spacing w:after="120"/>
        <w:ind w:firstLine="720"/>
        <w:rPr>
          <w:bCs/>
          <w:szCs w:val="22"/>
        </w:rPr>
      </w:pPr>
      <w:r w:rsidRPr="00AD440B">
        <w:rPr>
          <w:bCs/>
          <w:szCs w:val="22"/>
        </w:rPr>
        <w:t xml:space="preserve">Applicants request streamlined treatment of the proposed transaction under the Commission’s rules and assert that a grant of the </w:t>
      </w:r>
      <w:r w:rsidR="009B6B9B">
        <w:rPr>
          <w:bCs/>
          <w:szCs w:val="22"/>
        </w:rPr>
        <w:t>a</w:t>
      </w:r>
      <w:r w:rsidRPr="00AD440B">
        <w:rPr>
          <w:bCs/>
          <w:szCs w:val="22"/>
        </w:rPr>
        <w:t xml:space="preserve">pplication would serve the public interest, convenience, and necessity.  </w:t>
      </w:r>
      <w:r w:rsidR="00667736">
        <w:rPr>
          <w:szCs w:val="22"/>
        </w:rPr>
        <w:t xml:space="preserve">Applicants state that Omni Fiber is affiliated </w:t>
      </w:r>
      <w:r w:rsidR="000A5FD3">
        <w:rPr>
          <w:szCs w:val="22"/>
        </w:rPr>
        <w:t xml:space="preserve">through the Oak Hill Investors </w:t>
      </w:r>
      <w:r w:rsidR="00667736">
        <w:rPr>
          <w:szCs w:val="22"/>
        </w:rPr>
        <w:t xml:space="preserve">with multiple </w:t>
      </w:r>
      <w:r w:rsidR="005E4129">
        <w:rPr>
          <w:szCs w:val="22"/>
        </w:rPr>
        <w:t>incumbent local exchange carrier (LEC) and competitive LEC</w:t>
      </w:r>
      <w:r w:rsidR="00667736">
        <w:rPr>
          <w:szCs w:val="22"/>
        </w:rPr>
        <w:t xml:space="preserve"> telecommunications providers</w:t>
      </w:r>
      <w:r w:rsidR="000A5FD3">
        <w:rPr>
          <w:szCs w:val="22"/>
        </w:rPr>
        <w:t xml:space="preserve"> operating in several states</w:t>
      </w:r>
      <w:r w:rsidR="00667736">
        <w:rPr>
          <w:szCs w:val="22"/>
        </w:rPr>
        <w:t xml:space="preserve">, </w:t>
      </w:r>
      <w:r w:rsidR="000A5FD3">
        <w:rPr>
          <w:szCs w:val="22"/>
        </w:rPr>
        <w:t xml:space="preserve">including Ohio, </w:t>
      </w:r>
      <w:r w:rsidR="00667736">
        <w:rPr>
          <w:szCs w:val="22"/>
        </w:rPr>
        <w:t xml:space="preserve">however, </w:t>
      </w:r>
      <w:r w:rsidR="000A5FD3">
        <w:rPr>
          <w:szCs w:val="22"/>
        </w:rPr>
        <w:t xml:space="preserve">they do not </w:t>
      </w:r>
      <w:r w:rsidR="00667736">
        <w:rPr>
          <w:szCs w:val="22"/>
        </w:rPr>
        <w:t xml:space="preserve">overlap </w:t>
      </w:r>
      <w:r w:rsidR="000A5FD3">
        <w:rPr>
          <w:szCs w:val="22"/>
        </w:rPr>
        <w:t>with the areas in which Ohio Telecom operates</w:t>
      </w:r>
      <w:r w:rsidR="00667736">
        <w:rPr>
          <w:szCs w:val="22"/>
        </w:rPr>
        <w:t xml:space="preserve">.  </w:t>
      </w:r>
      <w:r w:rsidRPr="00AD440B">
        <w:rPr>
          <w:bCs/>
          <w:szCs w:val="22"/>
        </w:rPr>
        <w:t xml:space="preserve">We accept the </w:t>
      </w:r>
      <w:r w:rsidR="000A5FD3">
        <w:rPr>
          <w:bCs/>
          <w:szCs w:val="22"/>
        </w:rPr>
        <w:t>A</w:t>
      </w:r>
      <w:r w:rsidRPr="00AD440B">
        <w:rPr>
          <w:bCs/>
          <w:szCs w:val="22"/>
        </w:rPr>
        <w:t xml:space="preserve">pplication for </w:t>
      </w:r>
      <w:r w:rsidR="000A5FD3">
        <w:rPr>
          <w:bCs/>
          <w:szCs w:val="22"/>
        </w:rPr>
        <w:t xml:space="preserve">streamlined </w:t>
      </w:r>
      <w:r w:rsidRPr="00AD440B">
        <w:rPr>
          <w:bCs/>
          <w:szCs w:val="22"/>
        </w:rPr>
        <w:t xml:space="preserve">filing under section </w:t>
      </w:r>
      <w:r w:rsidRPr="00B621AB">
        <w:rPr>
          <w:bCs/>
          <w:szCs w:val="22"/>
        </w:rPr>
        <w:t>63.03</w:t>
      </w:r>
      <w:r w:rsidR="00485BBB">
        <w:rPr>
          <w:bCs/>
          <w:szCs w:val="22"/>
        </w:rPr>
        <w:t>(b)(</w:t>
      </w:r>
      <w:r w:rsidR="00665C2A">
        <w:rPr>
          <w:bCs/>
          <w:szCs w:val="22"/>
        </w:rPr>
        <w:t>2</w:t>
      </w:r>
      <w:r w:rsidR="00485BBB">
        <w:rPr>
          <w:bCs/>
          <w:szCs w:val="22"/>
        </w:rPr>
        <w:t>)(</w:t>
      </w:r>
      <w:r w:rsidRPr="00A95B96" w:rsidR="00EA4DBF">
        <w:rPr>
          <w:bCs/>
          <w:szCs w:val="22"/>
        </w:rPr>
        <w:t>i</w:t>
      </w:r>
      <w:r w:rsidR="00064092">
        <w:rPr>
          <w:bCs/>
          <w:szCs w:val="22"/>
        </w:rPr>
        <w:t>i</w:t>
      </w:r>
      <w:r w:rsidR="00485BBB">
        <w:rPr>
          <w:bCs/>
          <w:szCs w:val="22"/>
        </w:rPr>
        <w:t>)</w:t>
      </w:r>
      <w:r w:rsidRPr="00B621AB">
        <w:rPr>
          <w:bCs/>
          <w:szCs w:val="22"/>
        </w:rPr>
        <w:t xml:space="preserve"> of</w:t>
      </w:r>
      <w:r w:rsidRPr="00AD440B">
        <w:rPr>
          <w:bCs/>
          <w:szCs w:val="22"/>
        </w:rPr>
        <w:t xml:space="preserve"> the Commission’s rules.</w:t>
      </w:r>
      <w:r>
        <w:rPr>
          <w:bCs/>
          <w:szCs w:val="22"/>
          <w:vertAlign w:val="superscript"/>
        </w:rPr>
        <w:footnoteReference w:id="5"/>
      </w:r>
    </w:p>
    <w:p w:rsidR="00A55996" w:rsidRPr="00A55996" w:rsidP="009E32B3" w14:paraId="051B352C" w14:textId="24625ED0">
      <w:pPr>
        <w:autoSpaceDE w:val="0"/>
        <w:autoSpaceDN w:val="0"/>
        <w:adjustRightInd w:val="0"/>
        <w:spacing w:after="120"/>
        <w:ind w:firstLine="720"/>
        <w:rPr>
          <w:bCs/>
          <w:szCs w:val="22"/>
        </w:rPr>
      </w:pPr>
      <w:r w:rsidRPr="00A55996">
        <w:rPr>
          <w:bCs/>
          <w:szCs w:val="22"/>
          <w:u w:val="single"/>
        </w:rPr>
        <w:t>No Referral to Executive Branch Agencies:</w:t>
      </w:r>
      <w:r w:rsidRPr="00A55996">
        <w:rPr>
          <w:b/>
          <w:bCs/>
          <w:szCs w:val="22"/>
        </w:rPr>
        <w:t xml:space="preserve">  </w:t>
      </w:r>
      <w:r w:rsidRPr="00A55996">
        <w:rPr>
          <w:color w:val="020100"/>
          <w:szCs w:val="22"/>
        </w:rPr>
        <w:t xml:space="preserve">The Commission determined in the </w:t>
      </w:r>
      <w:r w:rsidRPr="00A55996">
        <w:rPr>
          <w:i/>
          <w:iCs/>
          <w:color w:val="020100"/>
          <w:szCs w:val="22"/>
        </w:rPr>
        <w:t>Executive Branch Review Process Order</w:t>
      </w:r>
      <w:r w:rsidRPr="00A55996">
        <w:rPr>
          <w:color w:val="020100"/>
          <w:szCs w:val="22"/>
        </w:rPr>
        <w:t xml:space="preserve"> that it would not routinely refer to the Executive Branch “standalone applications to transfer control of domestic section 214 authority.”</w:t>
      </w:r>
      <w:r>
        <w:rPr>
          <w:rStyle w:val="FootnoteReference"/>
          <w:color w:val="020100"/>
          <w:szCs w:val="22"/>
        </w:rPr>
        <w:footnoteReference w:id="6"/>
      </w:r>
      <w:r w:rsidRPr="00A55996">
        <w:rPr>
          <w:color w:val="020100"/>
          <w:szCs w:val="22"/>
        </w:rPr>
        <w:t xml:space="preserve">  </w:t>
      </w:r>
      <w:r w:rsidRPr="00A55996">
        <w:rPr>
          <w:rStyle w:val="xcontentpasted0"/>
          <w:color w:val="000000"/>
          <w:szCs w:val="22"/>
        </w:rPr>
        <w:t>The Commission, however, retains the discretion to refer a domestic-only section 214 transaction should it find that a particular application may raise national security, law enforcement, foreign policy, and trade policy concerns for which it would benefit from the advice of the Executive Branch.</w:t>
      </w:r>
      <w:r>
        <w:rPr>
          <w:rStyle w:val="FootnoteReference"/>
          <w:color w:val="000000"/>
          <w:szCs w:val="22"/>
        </w:rPr>
        <w:footnoteReference w:id="7"/>
      </w:r>
      <w:r w:rsidRPr="00A55996">
        <w:rPr>
          <w:rStyle w:val="xcontentpasted0"/>
          <w:color w:val="000000"/>
          <w:szCs w:val="22"/>
        </w:rPr>
        <w:t xml:space="preserve">  Applicants state that the Application involves the transfer of control of carriers that hold only domestic section 214 authority, and that consistent with the decision in the </w:t>
      </w:r>
      <w:r w:rsidRPr="00A55996">
        <w:rPr>
          <w:rStyle w:val="xcontentpasted0"/>
          <w:i/>
          <w:iCs/>
          <w:color w:val="000000"/>
          <w:szCs w:val="22"/>
        </w:rPr>
        <w:t>Executive Branch Review Process Order</w:t>
      </w:r>
      <w:r w:rsidRPr="00A55996">
        <w:rPr>
          <w:rStyle w:val="xcontentpasted0"/>
          <w:color w:val="000000"/>
          <w:szCs w:val="22"/>
        </w:rPr>
        <w:t>, the Application does not require a referral to the Executive Branch.</w:t>
      </w:r>
      <w:r>
        <w:rPr>
          <w:rStyle w:val="FootnoteReference"/>
          <w:color w:val="000000"/>
          <w:szCs w:val="22"/>
        </w:rPr>
        <w:footnoteReference w:id="8"/>
      </w:r>
      <w:r w:rsidRPr="00A55996">
        <w:rPr>
          <w:rStyle w:val="xcontentpasted0"/>
          <w:color w:val="000000"/>
          <w:szCs w:val="22"/>
        </w:rPr>
        <w:t xml:space="preserve">  </w:t>
      </w:r>
      <w:r w:rsidRPr="00A55996">
        <w:rPr>
          <w:bCs/>
          <w:szCs w:val="22"/>
        </w:rPr>
        <w:t xml:space="preserve">We do not find any special circumstances that warrant referral of this Application to the Executive Branch agencies.  </w:t>
      </w:r>
      <w:r w:rsidRPr="00A55996">
        <w:rPr>
          <w:color w:val="000000"/>
          <w:szCs w:val="22"/>
        </w:rPr>
        <w:t>While we are not referring the Application, we will provide a courtesy copy of this public notice to the Executive Branch agencies.</w:t>
      </w:r>
      <w:r>
        <w:rPr>
          <w:rStyle w:val="FootnoteReference"/>
          <w:color w:val="000000"/>
          <w:szCs w:val="22"/>
        </w:rPr>
        <w:footnoteReference w:id="9"/>
      </w:r>
    </w:p>
    <w:p w:rsidR="00AD440B" w:rsidRPr="00AD440B" w:rsidP="008A103A" w14:paraId="4B25CF0E" w14:textId="7D08F2DE">
      <w:pPr>
        <w:ind w:left="720"/>
        <w:rPr>
          <w:szCs w:val="22"/>
        </w:rPr>
      </w:pPr>
      <w:r w:rsidRPr="00AD440B">
        <w:rPr>
          <w:szCs w:val="22"/>
        </w:rPr>
        <w:t xml:space="preserve">Domestic Section 214 Application Filed for the </w:t>
      </w:r>
      <w:r w:rsidR="009E32B3">
        <w:rPr>
          <w:szCs w:val="22"/>
        </w:rPr>
        <w:t>Transfer of Control of Ohio Telecom</w:t>
      </w:r>
      <w:r w:rsidR="00EC7DF9">
        <w:rPr>
          <w:szCs w:val="22"/>
        </w:rPr>
        <w:t>,</w:t>
      </w:r>
      <w:r w:rsidR="009E32B3">
        <w:rPr>
          <w:szCs w:val="22"/>
        </w:rPr>
        <w:t xml:space="preserve"> Inc. to Omni Fiber, LLC</w:t>
      </w:r>
      <w:r w:rsidR="00E94F15">
        <w:rPr>
          <w:szCs w:val="22"/>
        </w:rPr>
        <w:t>,</w:t>
      </w:r>
      <w:r w:rsidR="00366BC6">
        <w:rPr>
          <w:szCs w:val="22"/>
        </w:rPr>
        <w:t xml:space="preserve"> </w:t>
      </w:r>
      <w:r w:rsidRPr="0011590C" w:rsidR="000C1460">
        <w:rPr>
          <w:szCs w:val="22"/>
        </w:rPr>
        <w:t>WC Docket No. 2</w:t>
      </w:r>
      <w:r w:rsidRPr="0011590C" w:rsidR="00554D90">
        <w:rPr>
          <w:szCs w:val="22"/>
        </w:rPr>
        <w:t>2</w:t>
      </w:r>
      <w:r w:rsidRPr="0011590C" w:rsidR="000C1460">
        <w:rPr>
          <w:szCs w:val="22"/>
        </w:rPr>
        <w:t>-</w:t>
      </w:r>
      <w:r w:rsidR="00BF0215">
        <w:rPr>
          <w:szCs w:val="22"/>
        </w:rPr>
        <w:t>361</w:t>
      </w:r>
      <w:r w:rsidRPr="0011590C" w:rsidR="000C1460">
        <w:rPr>
          <w:szCs w:val="22"/>
        </w:rPr>
        <w:t xml:space="preserve"> (filed </w:t>
      </w:r>
      <w:r w:rsidR="00BF0215">
        <w:rPr>
          <w:szCs w:val="22"/>
        </w:rPr>
        <w:t>Oct</w:t>
      </w:r>
      <w:r w:rsidR="00BA5CCA">
        <w:rPr>
          <w:szCs w:val="22"/>
        </w:rPr>
        <w:t>.</w:t>
      </w:r>
      <w:r w:rsidRPr="0011590C" w:rsidR="000C1460">
        <w:rPr>
          <w:szCs w:val="22"/>
        </w:rPr>
        <w:t xml:space="preserve"> </w:t>
      </w:r>
      <w:r w:rsidR="00744E0C">
        <w:rPr>
          <w:szCs w:val="22"/>
        </w:rPr>
        <w:t>13</w:t>
      </w:r>
      <w:r w:rsidRPr="0011590C" w:rsidR="000C1460">
        <w:rPr>
          <w:szCs w:val="22"/>
        </w:rPr>
        <w:t>, 202</w:t>
      </w:r>
      <w:r w:rsidRPr="0011590C" w:rsidR="00B07676">
        <w:rPr>
          <w:szCs w:val="22"/>
        </w:rPr>
        <w:t>2</w:t>
      </w:r>
      <w:r w:rsidRPr="0011590C" w:rsidR="000C1460">
        <w:rPr>
          <w:szCs w:val="22"/>
        </w:rPr>
        <w:t>).</w:t>
      </w:r>
    </w:p>
    <w:p w:rsidR="00AD440B" w:rsidRPr="00AD440B" w:rsidP="00AD440B" w14:paraId="04851CA3" w14:textId="77777777">
      <w:pPr>
        <w:widowControl w:val="0"/>
        <w:rPr>
          <w:snapToGrid w:val="0"/>
          <w:kern w:val="28"/>
          <w:szCs w:val="22"/>
        </w:rPr>
      </w:pPr>
    </w:p>
    <w:p w:rsidR="00AD440B" w:rsidRPr="00AD440B" w:rsidP="00AD440B" w14:paraId="01A856CF" w14:textId="77777777">
      <w:pPr>
        <w:autoSpaceDE w:val="0"/>
        <w:autoSpaceDN w:val="0"/>
        <w:adjustRightInd w:val="0"/>
        <w:rPr>
          <w:szCs w:val="22"/>
        </w:rPr>
      </w:pPr>
      <w:r w:rsidRPr="00AD440B">
        <w:rPr>
          <w:b/>
          <w:szCs w:val="22"/>
          <w:u w:val="single"/>
        </w:rPr>
        <w:t>GENERAL INFORMATION</w:t>
      </w:r>
    </w:p>
    <w:p w:rsidR="00AD440B" w:rsidRPr="00AD440B" w:rsidP="00AD440B" w14:paraId="32170284" w14:textId="77777777">
      <w:pPr>
        <w:autoSpaceDE w:val="0"/>
        <w:autoSpaceDN w:val="0"/>
        <w:adjustRightInd w:val="0"/>
        <w:rPr>
          <w:szCs w:val="22"/>
        </w:rPr>
      </w:pPr>
    </w:p>
    <w:p w:rsidR="00AD440B" w:rsidRPr="00AD440B" w:rsidP="00AD440B" w14:paraId="37C84817" w14:textId="4C1EA3E9">
      <w:pPr>
        <w:autoSpaceDE w:val="0"/>
        <w:autoSpaceDN w:val="0"/>
        <w:adjustRightInd w:val="0"/>
        <w:spacing w:after="120"/>
        <w:ind w:firstLine="720"/>
        <w:rPr>
          <w:szCs w:val="22"/>
        </w:rPr>
      </w:pPr>
      <w:r w:rsidRPr="00AD440B">
        <w:rPr>
          <w:szCs w:val="22"/>
        </w:rPr>
        <w:t xml:space="preserve">The transfer of </w:t>
      </w:r>
      <w:r w:rsidR="00DF5722">
        <w:rPr>
          <w:szCs w:val="22"/>
        </w:rPr>
        <w:t xml:space="preserve">control </w:t>
      </w:r>
      <w:r w:rsidRPr="00AD440B">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1B1B08">
        <w:rPr>
          <w:b/>
          <w:szCs w:val="22"/>
        </w:rPr>
        <w:t>Novem</w:t>
      </w:r>
      <w:r w:rsidR="00FF23CF">
        <w:rPr>
          <w:b/>
          <w:szCs w:val="22"/>
        </w:rPr>
        <w:t xml:space="preserve">ber </w:t>
      </w:r>
      <w:r w:rsidR="006D3591">
        <w:rPr>
          <w:b/>
          <w:szCs w:val="22"/>
        </w:rPr>
        <w:t>9</w:t>
      </w:r>
      <w:r w:rsidRPr="00AD440B">
        <w:rPr>
          <w:b/>
          <w:szCs w:val="22"/>
        </w:rPr>
        <w:t>, 202</w:t>
      </w:r>
      <w:r w:rsidR="00464B4D">
        <w:rPr>
          <w:b/>
          <w:szCs w:val="22"/>
        </w:rPr>
        <w:t>2</w:t>
      </w:r>
      <w:r w:rsidRPr="00AD440B">
        <w:rPr>
          <w:szCs w:val="22"/>
        </w:rPr>
        <w:t xml:space="preserve">, and reply comments </w:t>
      </w:r>
      <w:r w:rsidRPr="00AD440B">
        <w:rPr>
          <w:b/>
          <w:szCs w:val="22"/>
        </w:rPr>
        <w:t xml:space="preserve">on or before </w:t>
      </w:r>
      <w:r w:rsidR="00FF23CF">
        <w:rPr>
          <w:b/>
          <w:szCs w:val="22"/>
        </w:rPr>
        <w:t xml:space="preserve">November </w:t>
      </w:r>
      <w:r w:rsidR="007C4D2F">
        <w:rPr>
          <w:b/>
          <w:szCs w:val="22"/>
        </w:rPr>
        <w:t>1</w:t>
      </w:r>
      <w:r w:rsidR="006D3591">
        <w:rPr>
          <w:b/>
          <w:szCs w:val="22"/>
        </w:rPr>
        <w:t>6</w:t>
      </w:r>
      <w:r w:rsidRPr="00AD440B">
        <w:rPr>
          <w:b/>
          <w:bCs/>
          <w:szCs w:val="22"/>
        </w:rPr>
        <w:t>,</w:t>
      </w:r>
      <w:r w:rsidRPr="00AD440B">
        <w:rPr>
          <w:b/>
          <w:szCs w:val="22"/>
        </w:rPr>
        <w:t xml:space="preserve"> 202</w:t>
      </w:r>
      <w:r w:rsidR="00464B4D">
        <w:rPr>
          <w:b/>
          <w:szCs w:val="22"/>
        </w:rPr>
        <w:t>2</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198259EF"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38C0F134"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907AE5" w:rsidRPr="00907AE5" w:rsidP="00907AE5" w14:paraId="5CF22763" w14:textId="59E70677">
      <w:pPr>
        <w:widowControl w:val="0"/>
        <w:numPr>
          <w:ilvl w:val="0"/>
          <w:numId w:val="18"/>
        </w:numPr>
        <w:autoSpaceDE w:val="0"/>
        <w:autoSpaceDN w:val="0"/>
        <w:adjustRightInd w:val="0"/>
        <w:spacing w:after="120"/>
        <w:rPr>
          <w:szCs w:val="22"/>
        </w:rPr>
      </w:pPr>
      <w:r>
        <w:rPr>
          <w:szCs w:val="22"/>
        </w:rPr>
        <w:t>Tracey Wilson</w:t>
      </w:r>
      <w:r w:rsidRPr="00907AE5" w:rsidR="007F3103">
        <w:rPr>
          <w:szCs w:val="22"/>
        </w:rPr>
        <w:t>, Competition Policy Division, Wireline Competition Bureau</w:t>
      </w:r>
      <w:r w:rsidR="007F3103">
        <w:rPr>
          <w:szCs w:val="22"/>
        </w:rPr>
        <w:t xml:space="preserve">, </w:t>
      </w:r>
      <w:hyperlink r:id="rId8" w:history="1">
        <w:r w:rsidRPr="009F5412">
          <w:rPr>
            <w:rStyle w:val="Hyperlink"/>
            <w:szCs w:val="22"/>
          </w:rPr>
          <w:t>tracey.wilson@fcc.gov</w:t>
        </w:r>
      </w:hyperlink>
      <w:r w:rsidR="007F3103">
        <w:rPr>
          <w:szCs w:val="22"/>
        </w:rPr>
        <w:t xml:space="preserve">;  </w:t>
      </w:r>
    </w:p>
    <w:p w:rsidR="00FE122A" w:rsidP="00FE122A" w14:paraId="50DDF674" w14:textId="00A26283">
      <w:pPr>
        <w:widowControl w:val="0"/>
        <w:numPr>
          <w:ilvl w:val="0"/>
          <w:numId w:val="18"/>
        </w:numPr>
        <w:autoSpaceDE w:val="0"/>
        <w:autoSpaceDN w:val="0"/>
        <w:adjustRightInd w:val="0"/>
        <w:spacing w:after="120"/>
        <w:rPr>
          <w:szCs w:val="22"/>
        </w:rPr>
      </w:pPr>
      <w:r>
        <w:rPr>
          <w:szCs w:val="22"/>
        </w:rPr>
        <w:t>Dennis Johnson</w:t>
      </w:r>
      <w:r w:rsidRPr="00AD440B" w:rsidR="00594E8C">
        <w:rPr>
          <w:szCs w:val="22"/>
        </w:rPr>
        <w:t xml:space="preserve">, Competition Policy Division, Wireline Competition Bureau, </w:t>
      </w:r>
      <w:hyperlink r:id="rId9" w:history="1">
        <w:r w:rsidRPr="000677D9">
          <w:rPr>
            <w:rStyle w:val="Hyperlink"/>
            <w:szCs w:val="22"/>
          </w:rPr>
          <w:t>dennis.johnson@fcc.gov</w:t>
        </w:r>
      </w:hyperlink>
      <w:r w:rsidRPr="00AD440B" w:rsidR="00594E8C">
        <w:rPr>
          <w:szCs w:val="22"/>
        </w:rPr>
        <w:t xml:space="preserve">; </w:t>
      </w:r>
      <w:r w:rsidR="00DF5722">
        <w:rPr>
          <w:szCs w:val="22"/>
        </w:rPr>
        <w:t>and</w:t>
      </w:r>
    </w:p>
    <w:p w:rsidR="00AD440B" w:rsidRPr="00FE122A" w:rsidP="00FE122A" w14:paraId="57C01045"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0" w:history="1">
        <w:r w:rsidRPr="00FE122A">
          <w:rPr>
            <w:color w:val="0000FF"/>
            <w:szCs w:val="22"/>
            <w:u w:val="single"/>
          </w:rPr>
          <w:t>jim.bird@fcc.gov</w:t>
        </w:r>
      </w:hyperlink>
      <w:r w:rsidRPr="00FE122A">
        <w:rPr>
          <w:szCs w:val="22"/>
        </w:rPr>
        <w:t>.</w:t>
      </w:r>
    </w:p>
    <w:p w:rsidR="00AD440B" w:rsidRPr="00AD440B" w:rsidP="00AD440B" w14:paraId="7E3D0C97"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1"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071901C8"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6566121F"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0"/>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6D3591" w14:paraId="730F7572" w14:textId="755AC141">
      <w:pPr>
        <w:autoSpaceDE w:val="0"/>
        <w:autoSpaceDN w:val="0"/>
        <w:adjustRightInd w:val="0"/>
        <w:spacing w:after="120"/>
        <w:ind w:firstLine="720"/>
        <w:rPr>
          <w:szCs w:val="22"/>
        </w:rPr>
      </w:pPr>
      <w:r w:rsidRPr="00AD440B">
        <w:rPr>
          <w:szCs w:val="22"/>
        </w:rPr>
        <w:t xml:space="preserve">For further information, please contact </w:t>
      </w:r>
      <w:r w:rsidR="007E6693">
        <w:rPr>
          <w:szCs w:val="22"/>
        </w:rPr>
        <w:t>Tracey Wilson</w:t>
      </w:r>
      <w:r w:rsidRPr="00AD440B">
        <w:rPr>
          <w:szCs w:val="22"/>
        </w:rPr>
        <w:t xml:space="preserve"> at (202) 418-1</w:t>
      </w:r>
      <w:r w:rsidR="007E6693">
        <w:rPr>
          <w:szCs w:val="22"/>
        </w:rPr>
        <w:t>394</w:t>
      </w:r>
      <w:r w:rsidRPr="00AD440B">
        <w:rPr>
          <w:szCs w:val="22"/>
        </w:rPr>
        <w:t xml:space="preserve"> or </w:t>
      </w:r>
      <w:r w:rsidR="00135941">
        <w:rPr>
          <w:szCs w:val="22"/>
        </w:rPr>
        <w:t xml:space="preserve">Dennis Johnson </w:t>
      </w:r>
      <w:r w:rsidRPr="00AD440B">
        <w:rPr>
          <w:szCs w:val="22"/>
        </w:rPr>
        <w:t>at (202)</w:t>
      </w:r>
      <w:r w:rsidR="00FB6CC3">
        <w:rPr>
          <w:szCs w:val="22"/>
        </w:rPr>
        <w:t xml:space="preserve"> </w:t>
      </w:r>
      <w:r w:rsidRPr="00AD440B">
        <w:rPr>
          <w:szCs w:val="22"/>
        </w:rPr>
        <w:t>418-</w:t>
      </w:r>
      <w:r w:rsidR="00135941">
        <w:rPr>
          <w:szCs w:val="22"/>
        </w:rPr>
        <w:t>0809</w:t>
      </w:r>
      <w:r w:rsidRPr="00AD440B">
        <w:rPr>
          <w:szCs w:val="22"/>
        </w:rPr>
        <w:t>.</w:t>
      </w:r>
    </w:p>
    <w:p w:rsidR="00524D79" w:rsidP="006D3591" w14:paraId="76F365BB" w14:textId="35B4E42F">
      <w:pPr>
        <w:autoSpaceDE w:val="0"/>
        <w:autoSpaceDN w:val="0"/>
        <w:adjustRightInd w:val="0"/>
        <w:jc w:val="center"/>
        <w:rPr>
          <w:color w:val="000000"/>
          <w:szCs w:val="22"/>
        </w:rPr>
      </w:pPr>
      <w:r w:rsidRPr="00AD440B">
        <w:rPr>
          <w:b/>
          <w:szCs w:val="22"/>
        </w:rPr>
        <w:t>FCC</w:t>
      </w:r>
      <w:bookmarkEnd w:id="1"/>
      <w:bookmarkEnd w:id="2"/>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D0C37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923BD">
      <w:rPr>
        <w:rStyle w:val="PageNumber"/>
      </w:rPr>
      <w:fldChar w:fldCharType="separate"/>
    </w:r>
    <w:r>
      <w:rPr>
        <w:rStyle w:val="PageNumber"/>
      </w:rPr>
      <w:fldChar w:fldCharType="end"/>
    </w:r>
  </w:p>
  <w:p w:rsidR="005E21F5" w14:paraId="08B42E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0159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AE365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AB8A4E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89A38C2" w14:textId="77777777"/>
  <w:p w:rsidR="005E21F5" w14:paraId="5F804F5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583F" w14:paraId="31B8F032" w14:textId="77777777">
      <w:r>
        <w:separator/>
      </w:r>
    </w:p>
  </w:footnote>
  <w:footnote w:type="continuationSeparator" w:id="1">
    <w:p w:rsidR="00AB583F" w14:paraId="16E8C270" w14:textId="77777777">
      <w:r>
        <w:continuationSeparator/>
      </w:r>
    </w:p>
  </w:footnote>
  <w:footnote w:type="continuationNotice" w:id="2">
    <w:p w:rsidR="00AB583F" w14:paraId="6A6755AE" w14:textId="77777777"/>
  </w:footnote>
  <w:footnote w:id="3">
    <w:p w:rsidR="005E21F5" w:rsidRPr="000D2383" w:rsidP="00287FB9" w14:paraId="44C411FC" w14:textId="79EC6859">
      <w:pPr>
        <w:spacing w:after="120"/>
        <w:rPr>
          <w:bCs/>
          <w:sz w:val="20"/>
        </w:rPr>
      </w:pPr>
      <w:r w:rsidRPr="000D2383">
        <w:rPr>
          <w:rStyle w:val="FootnoteReference"/>
          <w:sz w:val="20"/>
        </w:rPr>
        <w:footnoteRef/>
      </w:r>
      <w:r w:rsidRPr="000D2383">
        <w:rPr>
          <w:sz w:val="20"/>
        </w:rPr>
        <w:t xml:space="preserve"> </w:t>
      </w:r>
      <w:r w:rsidRPr="000D2383">
        <w:rPr>
          <w:i/>
          <w:sz w:val="20"/>
        </w:rPr>
        <w:t>See</w:t>
      </w:r>
      <w:r w:rsidRPr="000D2383">
        <w:rPr>
          <w:sz w:val="20"/>
        </w:rPr>
        <w:t xml:space="preserve"> 47 U.S.C. § 214; 47 CFR §§ 63.03-04</w:t>
      </w:r>
      <w:r w:rsidR="000A5FD3">
        <w:rPr>
          <w:sz w:val="20"/>
        </w:rPr>
        <w:t>; Application of Omni Fiber, LLC (Transferee), Michael Christiansen (Transferor), and Ohio Telcom, Inc (Licensee) for Consent Pursuant to Section 214 of the Communications Act of 1934, as Amended, WC Docket No. 22-361 (filed Oct. 13, 2022) (Application).</w:t>
      </w:r>
      <w:r w:rsidRPr="000D2383">
        <w:rPr>
          <w:sz w:val="20"/>
        </w:rPr>
        <w:t xml:space="preserve"> </w:t>
      </w:r>
    </w:p>
  </w:footnote>
  <w:footnote w:id="4">
    <w:p w:rsidR="00FF23CF" w:rsidRPr="000D2383" w14:paraId="039C228F" w14:textId="146C1966">
      <w:pPr>
        <w:pStyle w:val="FootnoteText"/>
        <w:rPr>
          <w:sz w:val="20"/>
        </w:rPr>
      </w:pPr>
      <w:r w:rsidRPr="000D2383">
        <w:rPr>
          <w:rStyle w:val="FootnoteReference"/>
          <w:sz w:val="20"/>
        </w:rPr>
        <w:footnoteRef/>
      </w:r>
      <w:r w:rsidRPr="000D2383">
        <w:rPr>
          <w:sz w:val="20"/>
        </w:rPr>
        <w:t xml:space="preserve"> The Oak Hill Investors include OHCP MGP VI, LLC (MGP VI)</w:t>
      </w:r>
      <w:r w:rsidR="005E4129">
        <w:rPr>
          <w:sz w:val="20"/>
        </w:rPr>
        <w:t xml:space="preserve">, a </w:t>
      </w:r>
      <w:r w:rsidR="006D3591">
        <w:rPr>
          <w:sz w:val="20"/>
        </w:rPr>
        <w:t>Cayman Islands</w:t>
      </w:r>
      <w:r w:rsidR="005E4129">
        <w:rPr>
          <w:sz w:val="20"/>
        </w:rPr>
        <w:t xml:space="preserve"> entity,</w:t>
      </w:r>
      <w:r w:rsidRPr="000D2383">
        <w:rPr>
          <w:sz w:val="20"/>
        </w:rPr>
        <w:t xml:space="preserve"> and certain funds and entities that it controls and OHCP GenPar Super Holdco GP, Ltd.</w:t>
      </w:r>
      <w:r w:rsidR="009B705E">
        <w:rPr>
          <w:sz w:val="20"/>
        </w:rPr>
        <w:t xml:space="preserve">, </w:t>
      </w:r>
      <w:r w:rsidR="005E4129">
        <w:rPr>
          <w:sz w:val="20"/>
        </w:rPr>
        <w:t>a Cayman Islands entity,</w:t>
      </w:r>
      <w:r w:rsidRPr="000D2383">
        <w:rPr>
          <w:sz w:val="20"/>
        </w:rPr>
        <w:t xml:space="preserve"> and certain funds and entities that it controls. </w:t>
      </w:r>
      <w:r w:rsidRPr="000D2383" w:rsidR="000D2383">
        <w:rPr>
          <w:sz w:val="20"/>
        </w:rPr>
        <w:t xml:space="preserve"> Applicants state that the following U.S. citizens hold interests in one or more Oak Hill Investors that may exceed a 10% attributable </w:t>
      </w:r>
      <w:r w:rsidR="005E4129">
        <w:rPr>
          <w:sz w:val="20"/>
        </w:rPr>
        <w:t xml:space="preserve">interest </w:t>
      </w:r>
      <w:r w:rsidRPr="000D2383" w:rsidR="000D2383">
        <w:rPr>
          <w:sz w:val="20"/>
        </w:rPr>
        <w:t xml:space="preserve">in Ohio Telecom: </w:t>
      </w:r>
      <w:r w:rsidR="005E4129">
        <w:rPr>
          <w:sz w:val="20"/>
        </w:rPr>
        <w:t xml:space="preserve"> </w:t>
      </w:r>
      <w:r w:rsidRPr="000D2383" w:rsidR="000D2383">
        <w:rPr>
          <w:sz w:val="20"/>
        </w:rPr>
        <w:t>Scott A. Baker</w:t>
      </w:r>
      <w:r w:rsidR="000D2383">
        <w:rPr>
          <w:sz w:val="20"/>
        </w:rPr>
        <w:t>,</w:t>
      </w:r>
      <w:r w:rsidRPr="000D2383" w:rsidR="000D2383">
        <w:rPr>
          <w:sz w:val="20"/>
        </w:rPr>
        <w:t xml:space="preserve"> Brian N. Cherry, Benjamin Diesbach, Stratton R. Heath, III, John R. Monsky, Steven G. Puccinelli, and Tyler J. Wolfram.  </w:t>
      </w:r>
      <w:r w:rsidR="009B705E">
        <w:rPr>
          <w:i/>
          <w:iCs/>
          <w:sz w:val="20"/>
        </w:rPr>
        <w:t xml:space="preserve">See </w:t>
      </w:r>
      <w:r w:rsidR="009B705E">
        <w:rPr>
          <w:sz w:val="20"/>
        </w:rPr>
        <w:t>A</w:t>
      </w:r>
      <w:r w:rsidR="005E4129">
        <w:rPr>
          <w:sz w:val="20"/>
        </w:rPr>
        <w:t>pplication</w:t>
      </w:r>
      <w:r w:rsidR="009B705E">
        <w:rPr>
          <w:sz w:val="20"/>
        </w:rPr>
        <w:t xml:space="preserve"> at Exh. A (Current and Post-Transaction Corporate Ownership Structure Charts) and Exh. B (Post-Transaction Ownership Structure)</w:t>
      </w:r>
      <w:r w:rsidR="005E4129">
        <w:rPr>
          <w:sz w:val="20"/>
        </w:rPr>
        <w:t>.</w:t>
      </w:r>
    </w:p>
  </w:footnote>
  <w:footnote w:id="5">
    <w:p w:rsidR="005E21F5" w:rsidRPr="000D2383" w:rsidP="00A55996" w14:paraId="6CB5905C" w14:textId="25C6F40F">
      <w:pPr>
        <w:spacing w:after="120"/>
        <w:rPr>
          <w:sz w:val="20"/>
        </w:rPr>
      </w:pPr>
      <w:r w:rsidRPr="000D2383">
        <w:rPr>
          <w:rStyle w:val="FootnoteReference"/>
          <w:sz w:val="20"/>
        </w:rPr>
        <w:footnoteRef/>
      </w:r>
      <w:r w:rsidRPr="000D2383">
        <w:rPr>
          <w:sz w:val="20"/>
        </w:rPr>
        <w:t xml:space="preserve"> </w:t>
      </w:r>
      <w:r w:rsidRPr="000D2383">
        <w:rPr>
          <w:color w:val="020100"/>
          <w:sz w:val="20"/>
        </w:rPr>
        <w:t>47 CFR § 63.03(b)(</w:t>
      </w:r>
      <w:r w:rsidRPr="000D2383" w:rsidR="00665C2A">
        <w:rPr>
          <w:color w:val="020100"/>
          <w:sz w:val="20"/>
        </w:rPr>
        <w:t>2</w:t>
      </w:r>
      <w:r w:rsidRPr="000D2383">
        <w:rPr>
          <w:color w:val="020100"/>
          <w:sz w:val="20"/>
        </w:rPr>
        <w:t>)(i</w:t>
      </w:r>
      <w:r w:rsidRPr="000D2383" w:rsidR="00BF0215">
        <w:rPr>
          <w:color w:val="020100"/>
          <w:sz w:val="20"/>
        </w:rPr>
        <w:t>i</w:t>
      </w:r>
      <w:r w:rsidRPr="000D2383">
        <w:rPr>
          <w:color w:val="020100"/>
          <w:sz w:val="20"/>
        </w:rPr>
        <w:t>).</w:t>
      </w:r>
      <w:r w:rsidRPr="000D2383" w:rsidR="00FD6447">
        <w:rPr>
          <w:rFonts w:ascii="Calibri" w:hAnsi="Calibri" w:cs="Calibri"/>
          <w:color w:val="242424"/>
          <w:sz w:val="20"/>
          <w:shd w:val="clear" w:color="auto" w:fill="FFFFFF"/>
        </w:rPr>
        <w:t xml:space="preserve"> </w:t>
      </w:r>
    </w:p>
  </w:footnote>
  <w:footnote w:id="6">
    <w:p w:rsidR="00A55996" w:rsidRPr="00A55996" w:rsidP="00A55996" w14:paraId="0005D67C" w14:textId="52BF0F63">
      <w:pPr>
        <w:spacing w:after="120"/>
        <w:rPr>
          <w:sz w:val="20"/>
        </w:rPr>
      </w:pPr>
      <w:r>
        <w:rPr>
          <w:rStyle w:val="FootnoteReference"/>
        </w:rPr>
        <w:footnoteRef/>
      </w:r>
      <w:r>
        <w:t xml:space="preserve"> </w:t>
      </w:r>
      <w:r w:rsidRPr="00A55996">
        <w:rPr>
          <w:i/>
          <w:iCs/>
          <w:color w:val="020100"/>
          <w:sz w:val="20"/>
        </w:rPr>
        <w:t>Process Reform for Executive Branch Review of Certain FCC Applications and Petitions Involving Foreign Ownership</w:t>
      </w:r>
      <w:r w:rsidRPr="00A55996">
        <w:rPr>
          <w:color w:val="020100"/>
          <w:sz w:val="20"/>
        </w:rPr>
        <w:t xml:space="preserve">, IB Docket 16-155, Report and Order, 35 FCC Rcd 10927, </w:t>
      </w:r>
      <w:r w:rsidR="009B705E">
        <w:rPr>
          <w:color w:val="020100"/>
          <w:sz w:val="20"/>
        </w:rPr>
        <w:t xml:space="preserve">10936, </w:t>
      </w:r>
      <w:r w:rsidRPr="00A55996">
        <w:rPr>
          <w:color w:val="020100"/>
          <w:sz w:val="20"/>
        </w:rPr>
        <w:t>para. 25 (2020) (</w:t>
      </w:r>
      <w:r w:rsidRPr="00A55996">
        <w:rPr>
          <w:i/>
          <w:iCs/>
          <w:color w:val="020100"/>
          <w:sz w:val="20"/>
        </w:rPr>
        <w:t>Executive Branch Review Process Order</w:t>
      </w:r>
      <w:r w:rsidRPr="00A55996">
        <w:rPr>
          <w:color w:val="020100"/>
          <w:sz w:val="20"/>
        </w:rPr>
        <w:t xml:space="preserve">).  </w:t>
      </w:r>
    </w:p>
  </w:footnote>
  <w:footnote w:id="7">
    <w:p w:rsidR="00A55996" w:rsidRPr="00A55996" w:rsidP="00A55996" w14:paraId="237FFAB9" w14:textId="1B623A6E">
      <w:pPr>
        <w:spacing w:after="120"/>
        <w:rPr>
          <w:sz w:val="20"/>
        </w:rPr>
      </w:pPr>
      <w:r w:rsidRPr="00A55996">
        <w:rPr>
          <w:rStyle w:val="FootnoteReference"/>
          <w:sz w:val="20"/>
        </w:rPr>
        <w:footnoteRef/>
      </w:r>
      <w:r w:rsidRPr="00A55996">
        <w:rPr>
          <w:sz w:val="20"/>
        </w:rPr>
        <w:t xml:space="preserve"> </w:t>
      </w:r>
      <w:r w:rsidRPr="00A55996">
        <w:rPr>
          <w:i/>
          <w:iCs/>
          <w:sz w:val="20"/>
        </w:rPr>
        <w:t>Id</w:t>
      </w:r>
      <w:r w:rsidRPr="00A55996">
        <w:rPr>
          <w:sz w:val="20"/>
        </w:rPr>
        <w:t>.</w:t>
      </w:r>
    </w:p>
  </w:footnote>
  <w:footnote w:id="8">
    <w:p w:rsidR="00A55996" w:rsidRPr="00A55996" w:rsidP="009B705E" w14:paraId="64A04D15" w14:textId="4E4F5216">
      <w:pPr>
        <w:spacing w:after="120"/>
        <w:rPr>
          <w:sz w:val="20"/>
        </w:rPr>
      </w:pPr>
      <w:r w:rsidRPr="00A55996">
        <w:rPr>
          <w:rStyle w:val="FootnoteReference"/>
          <w:sz w:val="20"/>
        </w:rPr>
        <w:footnoteRef/>
      </w:r>
      <w:r w:rsidRPr="00A55996">
        <w:rPr>
          <w:sz w:val="20"/>
        </w:rPr>
        <w:t xml:space="preserve"> Application at 14-15.</w:t>
      </w:r>
    </w:p>
  </w:footnote>
  <w:footnote w:id="9">
    <w:p w:rsidR="009B705E" w:rsidRPr="009B78C5" w:rsidP="009B705E" w14:paraId="691B40C8" w14:textId="77777777">
      <w:pPr>
        <w:spacing w:after="120"/>
        <w:rPr>
          <w:sz w:val="20"/>
        </w:rPr>
      </w:pPr>
      <w:r>
        <w:rPr>
          <w:rStyle w:val="FootnoteReference"/>
        </w:rPr>
        <w:footnoteRef/>
      </w:r>
      <w:r>
        <w:t xml:space="preserve"> </w:t>
      </w:r>
      <w:r w:rsidRPr="005C4C28">
        <w:rPr>
          <w:i/>
          <w:iCs/>
          <w:sz w:val="20"/>
        </w:rPr>
        <w:t>See</w:t>
      </w:r>
      <w:r w:rsidRPr="00DF79A2">
        <w:rPr>
          <w:sz w:val="20"/>
        </w:rPr>
        <w:t xml:space="preserve"> </w:t>
      </w:r>
      <w:r w:rsidRPr="00DF79A2">
        <w:rPr>
          <w:i/>
          <w:iCs/>
          <w:sz w:val="20"/>
        </w:rPr>
        <w:t>Executive Branch Review Process Order</w:t>
      </w:r>
      <w:r w:rsidRPr="00DF79A2">
        <w:rPr>
          <w:sz w:val="20"/>
        </w:rPr>
        <w:t xml:space="preserve"> at 10941, para. 36, n. 99; </w:t>
      </w:r>
      <w:r w:rsidRPr="00DF79A2">
        <w:rPr>
          <w:i/>
          <w:iCs/>
          <w:sz w:val="20"/>
        </w:rPr>
        <w:t>see also id</w:t>
      </w:r>
      <w:r w:rsidRPr="00DF79A2">
        <w:rPr>
          <w:sz w:val="20"/>
        </w:rPr>
        <w:t>. at 10939, para 30, n. 81.</w:t>
      </w:r>
    </w:p>
    <w:p w:rsidR="009B705E" w14:paraId="6CDC149F" w14:textId="559124EE">
      <w:pPr>
        <w:pStyle w:val="FootnoteText"/>
      </w:pPr>
    </w:p>
  </w:footnote>
  <w:footnote w:id="10">
    <w:p w:rsidR="005E21F5" w:rsidRPr="000D2383" w:rsidP="00AD440B" w14:paraId="0C70094B" w14:textId="77777777">
      <w:pPr>
        <w:pStyle w:val="FootnoteText"/>
        <w:tabs>
          <w:tab w:val="clear" w:pos="720"/>
        </w:tabs>
        <w:spacing w:after="120"/>
        <w:rPr>
          <w:sz w:val="20"/>
        </w:rPr>
      </w:pPr>
      <w:r w:rsidRPr="000D2383">
        <w:rPr>
          <w:rStyle w:val="FootnoteReference"/>
          <w:sz w:val="20"/>
        </w:rPr>
        <w:footnoteRef/>
      </w:r>
      <w:r w:rsidRPr="000D2383">
        <w:rPr>
          <w:sz w:val="20"/>
        </w:rPr>
        <w:t xml:space="preserve"> </w:t>
      </w:r>
      <w:r w:rsidRPr="000D2383">
        <w:rPr>
          <w:i/>
          <w:sz w:val="20"/>
        </w:rPr>
        <w:t>See</w:t>
      </w:r>
      <w:r w:rsidRPr="000D2383">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662683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3307F35" w14:textId="77777777">
                <w:pPr>
                  <w:rPr>
                    <w:rFonts w:ascii="Arial" w:hAnsi="Arial"/>
                    <w:b/>
                  </w:rPr>
                </w:pPr>
                <w:r>
                  <w:rPr>
                    <w:rFonts w:ascii="Arial" w:hAnsi="Arial"/>
                    <w:b/>
                  </w:rPr>
                  <w:t>Federal Communications Commission</w:t>
                </w:r>
              </w:p>
              <w:p w:rsidR="005E21F5" w14:paraId="668CD969" w14:textId="77777777">
                <w:pPr>
                  <w:rPr>
                    <w:rFonts w:ascii="Arial" w:hAnsi="Arial"/>
                    <w:b/>
                  </w:rPr>
                </w:pPr>
                <w:r>
                  <w:rPr>
                    <w:rFonts w:ascii="Arial" w:hAnsi="Arial"/>
                    <w:b/>
                  </w:rPr>
                  <w:t>45 L St., N.E.</w:t>
                </w:r>
              </w:p>
              <w:p w:rsidR="005E21F5" w14:paraId="447D8416"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5845B28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40722A1B" w14:textId="77777777">
                <w:pPr>
                  <w:spacing w:before="40"/>
                  <w:jc w:val="right"/>
                  <w:rPr>
                    <w:rFonts w:ascii="Arial" w:hAnsi="Arial"/>
                    <w:b/>
                    <w:sz w:val="16"/>
                  </w:rPr>
                </w:pPr>
                <w:r>
                  <w:rPr>
                    <w:rFonts w:ascii="Arial" w:hAnsi="Arial"/>
                    <w:b/>
                    <w:sz w:val="16"/>
                  </w:rPr>
                  <w:t>News Media Information 202 / 418-0500</w:t>
                </w:r>
              </w:p>
              <w:p w:rsidR="005E21F5" w14:paraId="76C6267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2ABDDF0C" w14:textId="77777777">
                <w:pPr>
                  <w:jc w:val="right"/>
                  <w:rPr>
                    <w:rFonts w:ascii="Arial" w:hAnsi="Arial"/>
                    <w:b/>
                    <w:sz w:val="16"/>
                  </w:rPr>
                </w:pPr>
              </w:p>
              <w:p w:rsidR="005E21F5" w14:paraId="51229E1C" w14:textId="77777777">
                <w:pPr>
                  <w:jc w:val="right"/>
                </w:pPr>
              </w:p>
            </w:txbxContent>
          </v:textbox>
        </v:shape>
      </w:pict>
    </w:r>
  </w:p>
  <w:p w:rsidR="005E21F5" w14:paraId="04DE614D"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3D7CB66"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34AC"/>
    <w:rsid w:val="000575E7"/>
    <w:rsid w:val="00057881"/>
    <w:rsid w:val="00057E12"/>
    <w:rsid w:val="000629CF"/>
    <w:rsid w:val="000639C7"/>
    <w:rsid w:val="00063CA5"/>
    <w:rsid w:val="00064092"/>
    <w:rsid w:val="00064C7D"/>
    <w:rsid w:val="000656F9"/>
    <w:rsid w:val="0006624C"/>
    <w:rsid w:val="00066D12"/>
    <w:rsid w:val="000677D9"/>
    <w:rsid w:val="000721D3"/>
    <w:rsid w:val="00073173"/>
    <w:rsid w:val="000735C8"/>
    <w:rsid w:val="00075D57"/>
    <w:rsid w:val="00077E64"/>
    <w:rsid w:val="00080F60"/>
    <w:rsid w:val="0008381D"/>
    <w:rsid w:val="00086D16"/>
    <w:rsid w:val="00087205"/>
    <w:rsid w:val="00092A4E"/>
    <w:rsid w:val="000946FB"/>
    <w:rsid w:val="0009534A"/>
    <w:rsid w:val="00097AB0"/>
    <w:rsid w:val="000A24AA"/>
    <w:rsid w:val="000A2EEF"/>
    <w:rsid w:val="000A3019"/>
    <w:rsid w:val="000A5FD3"/>
    <w:rsid w:val="000A65C4"/>
    <w:rsid w:val="000A671D"/>
    <w:rsid w:val="000B0795"/>
    <w:rsid w:val="000B1C31"/>
    <w:rsid w:val="000B2362"/>
    <w:rsid w:val="000B3146"/>
    <w:rsid w:val="000B390D"/>
    <w:rsid w:val="000B48A6"/>
    <w:rsid w:val="000B4EDD"/>
    <w:rsid w:val="000B5635"/>
    <w:rsid w:val="000B6839"/>
    <w:rsid w:val="000C004F"/>
    <w:rsid w:val="000C1460"/>
    <w:rsid w:val="000C7CA4"/>
    <w:rsid w:val="000D2383"/>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6F5A"/>
    <w:rsid w:val="001150BA"/>
    <w:rsid w:val="0011590C"/>
    <w:rsid w:val="0011599F"/>
    <w:rsid w:val="00117529"/>
    <w:rsid w:val="00117D06"/>
    <w:rsid w:val="001226CB"/>
    <w:rsid w:val="0012329A"/>
    <w:rsid w:val="0012437D"/>
    <w:rsid w:val="00126DDB"/>
    <w:rsid w:val="00131952"/>
    <w:rsid w:val="00132529"/>
    <w:rsid w:val="0013405D"/>
    <w:rsid w:val="00134FFC"/>
    <w:rsid w:val="001356E5"/>
    <w:rsid w:val="00135941"/>
    <w:rsid w:val="0014084C"/>
    <w:rsid w:val="00141388"/>
    <w:rsid w:val="00142ED5"/>
    <w:rsid w:val="001449F9"/>
    <w:rsid w:val="00144E61"/>
    <w:rsid w:val="001470F0"/>
    <w:rsid w:val="001513B4"/>
    <w:rsid w:val="0015217F"/>
    <w:rsid w:val="00152CF6"/>
    <w:rsid w:val="001538C4"/>
    <w:rsid w:val="00155CC3"/>
    <w:rsid w:val="00156EA3"/>
    <w:rsid w:val="00161A99"/>
    <w:rsid w:val="00165FDC"/>
    <w:rsid w:val="00171181"/>
    <w:rsid w:val="001736D0"/>
    <w:rsid w:val="00176BD0"/>
    <w:rsid w:val="0018581D"/>
    <w:rsid w:val="00187617"/>
    <w:rsid w:val="00190745"/>
    <w:rsid w:val="001916C0"/>
    <w:rsid w:val="00193234"/>
    <w:rsid w:val="001947E9"/>
    <w:rsid w:val="00194E1E"/>
    <w:rsid w:val="001A00A7"/>
    <w:rsid w:val="001A2DFA"/>
    <w:rsid w:val="001A3813"/>
    <w:rsid w:val="001A3E67"/>
    <w:rsid w:val="001A47EC"/>
    <w:rsid w:val="001A5568"/>
    <w:rsid w:val="001B1B08"/>
    <w:rsid w:val="001B1E25"/>
    <w:rsid w:val="001B2C26"/>
    <w:rsid w:val="001B2FBB"/>
    <w:rsid w:val="001B4C2F"/>
    <w:rsid w:val="001B57A4"/>
    <w:rsid w:val="001B69F9"/>
    <w:rsid w:val="001B6EFA"/>
    <w:rsid w:val="001C3C98"/>
    <w:rsid w:val="001C5D07"/>
    <w:rsid w:val="001C78FB"/>
    <w:rsid w:val="001C7CD1"/>
    <w:rsid w:val="001D10A0"/>
    <w:rsid w:val="001D3F27"/>
    <w:rsid w:val="001E1210"/>
    <w:rsid w:val="001E16CA"/>
    <w:rsid w:val="001E2274"/>
    <w:rsid w:val="001E382D"/>
    <w:rsid w:val="001E659B"/>
    <w:rsid w:val="001E7604"/>
    <w:rsid w:val="001F024C"/>
    <w:rsid w:val="001F1508"/>
    <w:rsid w:val="001F33B5"/>
    <w:rsid w:val="001F6762"/>
    <w:rsid w:val="0020342F"/>
    <w:rsid w:val="002057AC"/>
    <w:rsid w:val="002073D2"/>
    <w:rsid w:val="00207926"/>
    <w:rsid w:val="00210341"/>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C9D"/>
    <w:rsid w:val="00226CC3"/>
    <w:rsid w:val="002308A9"/>
    <w:rsid w:val="00230D61"/>
    <w:rsid w:val="002344E7"/>
    <w:rsid w:val="00234F46"/>
    <w:rsid w:val="00240B49"/>
    <w:rsid w:val="00241CB2"/>
    <w:rsid w:val="0024326F"/>
    <w:rsid w:val="002519DF"/>
    <w:rsid w:val="0025247F"/>
    <w:rsid w:val="00253247"/>
    <w:rsid w:val="00253AB2"/>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6187"/>
    <w:rsid w:val="00287432"/>
    <w:rsid w:val="00287FB9"/>
    <w:rsid w:val="0029098D"/>
    <w:rsid w:val="002923BD"/>
    <w:rsid w:val="00297F1D"/>
    <w:rsid w:val="002A1D13"/>
    <w:rsid w:val="002A30D9"/>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F2901"/>
    <w:rsid w:val="002F4E17"/>
    <w:rsid w:val="002F5F38"/>
    <w:rsid w:val="0030523C"/>
    <w:rsid w:val="00305D86"/>
    <w:rsid w:val="00306AAD"/>
    <w:rsid w:val="0031156F"/>
    <w:rsid w:val="00312CE1"/>
    <w:rsid w:val="00313546"/>
    <w:rsid w:val="00315BA9"/>
    <w:rsid w:val="00315D50"/>
    <w:rsid w:val="00315FCD"/>
    <w:rsid w:val="0031636F"/>
    <w:rsid w:val="00321F97"/>
    <w:rsid w:val="00325988"/>
    <w:rsid w:val="00325E35"/>
    <w:rsid w:val="0032625B"/>
    <w:rsid w:val="00334E5E"/>
    <w:rsid w:val="00334E6C"/>
    <w:rsid w:val="003357F4"/>
    <w:rsid w:val="0033631D"/>
    <w:rsid w:val="00340881"/>
    <w:rsid w:val="003416E5"/>
    <w:rsid w:val="00345CA2"/>
    <w:rsid w:val="003471AE"/>
    <w:rsid w:val="003479C9"/>
    <w:rsid w:val="00351689"/>
    <w:rsid w:val="00351D1D"/>
    <w:rsid w:val="00353CB5"/>
    <w:rsid w:val="0035663A"/>
    <w:rsid w:val="003570A6"/>
    <w:rsid w:val="00360A78"/>
    <w:rsid w:val="003632CF"/>
    <w:rsid w:val="00364590"/>
    <w:rsid w:val="00364DFB"/>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3E60"/>
    <w:rsid w:val="003B43C3"/>
    <w:rsid w:val="003B5CEE"/>
    <w:rsid w:val="003C18DA"/>
    <w:rsid w:val="003C2000"/>
    <w:rsid w:val="003C23FE"/>
    <w:rsid w:val="003C4A02"/>
    <w:rsid w:val="003C7229"/>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2CD4"/>
    <w:rsid w:val="003F398A"/>
    <w:rsid w:val="0040580F"/>
    <w:rsid w:val="004076BA"/>
    <w:rsid w:val="004077D0"/>
    <w:rsid w:val="00412C94"/>
    <w:rsid w:val="00417052"/>
    <w:rsid w:val="00420995"/>
    <w:rsid w:val="00422B16"/>
    <w:rsid w:val="0042593D"/>
    <w:rsid w:val="00425FAF"/>
    <w:rsid w:val="00425FF2"/>
    <w:rsid w:val="0042603C"/>
    <w:rsid w:val="004272E4"/>
    <w:rsid w:val="00430AC0"/>
    <w:rsid w:val="00431E30"/>
    <w:rsid w:val="004331D7"/>
    <w:rsid w:val="00433D8C"/>
    <w:rsid w:val="00434899"/>
    <w:rsid w:val="00434C96"/>
    <w:rsid w:val="004354F6"/>
    <w:rsid w:val="0043596D"/>
    <w:rsid w:val="00436B4A"/>
    <w:rsid w:val="0044009A"/>
    <w:rsid w:val="00440989"/>
    <w:rsid w:val="004435EE"/>
    <w:rsid w:val="00444548"/>
    <w:rsid w:val="00446342"/>
    <w:rsid w:val="004503EA"/>
    <w:rsid w:val="00452843"/>
    <w:rsid w:val="00453514"/>
    <w:rsid w:val="0045717F"/>
    <w:rsid w:val="00460914"/>
    <w:rsid w:val="004609A4"/>
    <w:rsid w:val="00462D8F"/>
    <w:rsid w:val="00464B4D"/>
    <w:rsid w:val="00464E8A"/>
    <w:rsid w:val="00465520"/>
    <w:rsid w:val="00466B9F"/>
    <w:rsid w:val="00473955"/>
    <w:rsid w:val="00476EFB"/>
    <w:rsid w:val="004808FC"/>
    <w:rsid w:val="00482EB0"/>
    <w:rsid w:val="00483B1B"/>
    <w:rsid w:val="00485BBB"/>
    <w:rsid w:val="00485D13"/>
    <w:rsid w:val="00490F6A"/>
    <w:rsid w:val="004913FF"/>
    <w:rsid w:val="00492290"/>
    <w:rsid w:val="00492A28"/>
    <w:rsid w:val="004951AE"/>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D7AF3"/>
    <w:rsid w:val="004E2081"/>
    <w:rsid w:val="004E5AE8"/>
    <w:rsid w:val="004E6AC6"/>
    <w:rsid w:val="004E718B"/>
    <w:rsid w:val="004E74EE"/>
    <w:rsid w:val="004F1C11"/>
    <w:rsid w:val="004F2447"/>
    <w:rsid w:val="004F3603"/>
    <w:rsid w:val="004F3CEC"/>
    <w:rsid w:val="004F515D"/>
    <w:rsid w:val="004F686B"/>
    <w:rsid w:val="004F6F64"/>
    <w:rsid w:val="00500BD0"/>
    <w:rsid w:val="00501D17"/>
    <w:rsid w:val="00501F06"/>
    <w:rsid w:val="00504505"/>
    <w:rsid w:val="00504BF5"/>
    <w:rsid w:val="00505DA1"/>
    <w:rsid w:val="005107DF"/>
    <w:rsid w:val="0051681C"/>
    <w:rsid w:val="00521FBD"/>
    <w:rsid w:val="005226C6"/>
    <w:rsid w:val="00522D66"/>
    <w:rsid w:val="00524D79"/>
    <w:rsid w:val="00526561"/>
    <w:rsid w:val="005273AB"/>
    <w:rsid w:val="005320B5"/>
    <w:rsid w:val="005336D7"/>
    <w:rsid w:val="00533917"/>
    <w:rsid w:val="00535877"/>
    <w:rsid w:val="00536ED2"/>
    <w:rsid w:val="0053732F"/>
    <w:rsid w:val="00541D22"/>
    <w:rsid w:val="005424F4"/>
    <w:rsid w:val="0054677E"/>
    <w:rsid w:val="005473A6"/>
    <w:rsid w:val="005505CE"/>
    <w:rsid w:val="00551202"/>
    <w:rsid w:val="00551ADB"/>
    <w:rsid w:val="005524B6"/>
    <w:rsid w:val="00554D90"/>
    <w:rsid w:val="00554E17"/>
    <w:rsid w:val="0055505D"/>
    <w:rsid w:val="0055684E"/>
    <w:rsid w:val="0056058F"/>
    <w:rsid w:val="0056467B"/>
    <w:rsid w:val="00567286"/>
    <w:rsid w:val="00570DA8"/>
    <w:rsid w:val="00573CA8"/>
    <w:rsid w:val="00576EDE"/>
    <w:rsid w:val="00580DBD"/>
    <w:rsid w:val="00581792"/>
    <w:rsid w:val="00585D57"/>
    <w:rsid w:val="0059084B"/>
    <w:rsid w:val="00591C54"/>
    <w:rsid w:val="00592F09"/>
    <w:rsid w:val="005932BA"/>
    <w:rsid w:val="00594A46"/>
    <w:rsid w:val="00594E8C"/>
    <w:rsid w:val="00597ABB"/>
    <w:rsid w:val="005A0D19"/>
    <w:rsid w:val="005A13D0"/>
    <w:rsid w:val="005A24CD"/>
    <w:rsid w:val="005A256B"/>
    <w:rsid w:val="005A3E2A"/>
    <w:rsid w:val="005A56D4"/>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4C28"/>
    <w:rsid w:val="005C5C55"/>
    <w:rsid w:val="005C740F"/>
    <w:rsid w:val="005C7DC4"/>
    <w:rsid w:val="005D1C91"/>
    <w:rsid w:val="005D4020"/>
    <w:rsid w:val="005D55CB"/>
    <w:rsid w:val="005D5B08"/>
    <w:rsid w:val="005D64C0"/>
    <w:rsid w:val="005D6BD0"/>
    <w:rsid w:val="005D709C"/>
    <w:rsid w:val="005D7F49"/>
    <w:rsid w:val="005E1BF3"/>
    <w:rsid w:val="005E21F5"/>
    <w:rsid w:val="005E40DD"/>
    <w:rsid w:val="005E4129"/>
    <w:rsid w:val="005E6383"/>
    <w:rsid w:val="005E65C4"/>
    <w:rsid w:val="005E7A72"/>
    <w:rsid w:val="005E7C21"/>
    <w:rsid w:val="005F0281"/>
    <w:rsid w:val="005F06C4"/>
    <w:rsid w:val="005F090A"/>
    <w:rsid w:val="005F189F"/>
    <w:rsid w:val="005F2812"/>
    <w:rsid w:val="005F73CF"/>
    <w:rsid w:val="00600B5F"/>
    <w:rsid w:val="0060105E"/>
    <w:rsid w:val="0060106A"/>
    <w:rsid w:val="0060110D"/>
    <w:rsid w:val="00601476"/>
    <w:rsid w:val="00601534"/>
    <w:rsid w:val="006034FD"/>
    <w:rsid w:val="00603E1E"/>
    <w:rsid w:val="00604A3C"/>
    <w:rsid w:val="00604CFF"/>
    <w:rsid w:val="0061117C"/>
    <w:rsid w:val="0061137C"/>
    <w:rsid w:val="00611B99"/>
    <w:rsid w:val="00611CD9"/>
    <w:rsid w:val="00611E7B"/>
    <w:rsid w:val="00615BB7"/>
    <w:rsid w:val="00616221"/>
    <w:rsid w:val="00616757"/>
    <w:rsid w:val="00617F31"/>
    <w:rsid w:val="00622967"/>
    <w:rsid w:val="00626D16"/>
    <w:rsid w:val="006311C4"/>
    <w:rsid w:val="00633290"/>
    <w:rsid w:val="00635062"/>
    <w:rsid w:val="0063611E"/>
    <w:rsid w:val="00636679"/>
    <w:rsid w:val="00637ECE"/>
    <w:rsid w:val="006420D0"/>
    <w:rsid w:val="00642643"/>
    <w:rsid w:val="00642F32"/>
    <w:rsid w:val="0064748A"/>
    <w:rsid w:val="00647C67"/>
    <w:rsid w:val="00650544"/>
    <w:rsid w:val="00653610"/>
    <w:rsid w:val="00654B1F"/>
    <w:rsid w:val="00656777"/>
    <w:rsid w:val="0065693D"/>
    <w:rsid w:val="006619A7"/>
    <w:rsid w:val="00661D82"/>
    <w:rsid w:val="00663300"/>
    <w:rsid w:val="00663975"/>
    <w:rsid w:val="006639BB"/>
    <w:rsid w:val="00665C2A"/>
    <w:rsid w:val="00667736"/>
    <w:rsid w:val="006703D5"/>
    <w:rsid w:val="0067115F"/>
    <w:rsid w:val="006768CC"/>
    <w:rsid w:val="00677DF3"/>
    <w:rsid w:val="0068067C"/>
    <w:rsid w:val="00680868"/>
    <w:rsid w:val="00684AB3"/>
    <w:rsid w:val="006876EF"/>
    <w:rsid w:val="00690EA9"/>
    <w:rsid w:val="00691832"/>
    <w:rsid w:val="006925E9"/>
    <w:rsid w:val="00693C2C"/>
    <w:rsid w:val="0069455A"/>
    <w:rsid w:val="00695785"/>
    <w:rsid w:val="00697832"/>
    <w:rsid w:val="006A138C"/>
    <w:rsid w:val="006A156E"/>
    <w:rsid w:val="006A19A2"/>
    <w:rsid w:val="006A1C8E"/>
    <w:rsid w:val="006A1F64"/>
    <w:rsid w:val="006B3480"/>
    <w:rsid w:val="006B36F1"/>
    <w:rsid w:val="006B5C06"/>
    <w:rsid w:val="006B6400"/>
    <w:rsid w:val="006C146A"/>
    <w:rsid w:val="006C211E"/>
    <w:rsid w:val="006C277B"/>
    <w:rsid w:val="006C2DC7"/>
    <w:rsid w:val="006C32C8"/>
    <w:rsid w:val="006C3309"/>
    <w:rsid w:val="006C4F3D"/>
    <w:rsid w:val="006C5160"/>
    <w:rsid w:val="006C5912"/>
    <w:rsid w:val="006C591C"/>
    <w:rsid w:val="006C6FE0"/>
    <w:rsid w:val="006D3591"/>
    <w:rsid w:val="006D49DF"/>
    <w:rsid w:val="006D4FB7"/>
    <w:rsid w:val="006E099D"/>
    <w:rsid w:val="006E3B3B"/>
    <w:rsid w:val="006E3C11"/>
    <w:rsid w:val="006E3E11"/>
    <w:rsid w:val="006E4EF0"/>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4722"/>
    <w:rsid w:val="0072750E"/>
    <w:rsid w:val="00733B9B"/>
    <w:rsid w:val="007349C4"/>
    <w:rsid w:val="007413DA"/>
    <w:rsid w:val="00741682"/>
    <w:rsid w:val="0074294F"/>
    <w:rsid w:val="00744022"/>
    <w:rsid w:val="00744E0C"/>
    <w:rsid w:val="00745559"/>
    <w:rsid w:val="00746FDA"/>
    <w:rsid w:val="00753889"/>
    <w:rsid w:val="00756775"/>
    <w:rsid w:val="007569C5"/>
    <w:rsid w:val="00760269"/>
    <w:rsid w:val="00760571"/>
    <w:rsid w:val="007631B9"/>
    <w:rsid w:val="0076331F"/>
    <w:rsid w:val="0076359A"/>
    <w:rsid w:val="00766B00"/>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6E19"/>
    <w:rsid w:val="00796E54"/>
    <w:rsid w:val="007976EF"/>
    <w:rsid w:val="00797794"/>
    <w:rsid w:val="007A0A24"/>
    <w:rsid w:val="007A2155"/>
    <w:rsid w:val="007A41CD"/>
    <w:rsid w:val="007A4B45"/>
    <w:rsid w:val="007A5BDB"/>
    <w:rsid w:val="007A6E5A"/>
    <w:rsid w:val="007B1EAE"/>
    <w:rsid w:val="007B3649"/>
    <w:rsid w:val="007B4269"/>
    <w:rsid w:val="007B430F"/>
    <w:rsid w:val="007B4683"/>
    <w:rsid w:val="007B4D1E"/>
    <w:rsid w:val="007B4DB8"/>
    <w:rsid w:val="007B5F97"/>
    <w:rsid w:val="007B7204"/>
    <w:rsid w:val="007C06D5"/>
    <w:rsid w:val="007C2014"/>
    <w:rsid w:val="007C263F"/>
    <w:rsid w:val="007C4108"/>
    <w:rsid w:val="007C4D2F"/>
    <w:rsid w:val="007D03E3"/>
    <w:rsid w:val="007D2657"/>
    <w:rsid w:val="007D27E1"/>
    <w:rsid w:val="007D2E71"/>
    <w:rsid w:val="007D31F7"/>
    <w:rsid w:val="007D3B6A"/>
    <w:rsid w:val="007D3B8F"/>
    <w:rsid w:val="007E0464"/>
    <w:rsid w:val="007E051A"/>
    <w:rsid w:val="007E44C2"/>
    <w:rsid w:val="007E47B5"/>
    <w:rsid w:val="007E64BB"/>
    <w:rsid w:val="007E6693"/>
    <w:rsid w:val="007F1CE8"/>
    <w:rsid w:val="007F23AB"/>
    <w:rsid w:val="007F3103"/>
    <w:rsid w:val="007F7E7B"/>
    <w:rsid w:val="0080023C"/>
    <w:rsid w:val="0080055D"/>
    <w:rsid w:val="00803625"/>
    <w:rsid w:val="00804B53"/>
    <w:rsid w:val="008052CD"/>
    <w:rsid w:val="00805DF1"/>
    <w:rsid w:val="00806E02"/>
    <w:rsid w:val="00807040"/>
    <w:rsid w:val="0081108D"/>
    <w:rsid w:val="00813C6D"/>
    <w:rsid w:val="0081531F"/>
    <w:rsid w:val="008177D0"/>
    <w:rsid w:val="00817B2E"/>
    <w:rsid w:val="00817CEC"/>
    <w:rsid w:val="00821491"/>
    <w:rsid w:val="0082271C"/>
    <w:rsid w:val="00824E65"/>
    <w:rsid w:val="0082798B"/>
    <w:rsid w:val="00830915"/>
    <w:rsid w:val="00831D30"/>
    <w:rsid w:val="0083237E"/>
    <w:rsid w:val="0083618B"/>
    <w:rsid w:val="00837B07"/>
    <w:rsid w:val="00840199"/>
    <w:rsid w:val="0084125A"/>
    <w:rsid w:val="0084563E"/>
    <w:rsid w:val="008470BA"/>
    <w:rsid w:val="0084778A"/>
    <w:rsid w:val="00850A62"/>
    <w:rsid w:val="0085101A"/>
    <w:rsid w:val="00851095"/>
    <w:rsid w:val="00853114"/>
    <w:rsid w:val="00853ACD"/>
    <w:rsid w:val="0085536D"/>
    <w:rsid w:val="0085579D"/>
    <w:rsid w:val="00856944"/>
    <w:rsid w:val="008650A4"/>
    <w:rsid w:val="0086691C"/>
    <w:rsid w:val="008675C7"/>
    <w:rsid w:val="00870E07"/>
    <w:rsid w:val="00872D12"/>
    <w:rsid w:val="00873C90"/>
    <w:rsid w:val="0087554B"/>
    <w:rsid w:val="00876629"/>
    <w:rsid w:val="0087685F"/>
    <w:rsid w:val="00876BE1"/>
    <w:rsid w:val="00877D35"/>
    <w:rsid w:val="008850A3"/>
    <w:rsid w:val="00885BBC"/>
    <w:rsid w:val="00890CFD"/>
    <w:rsid w:val="00893308"/>
    <w:rsid w:val="00894B20"/>
    <w:rsid w:val="008950DE"/>
    <w:rsid w:val="008954D0"/>
    <w:rsid w:val="00895561"/>
    <w:rsid w:val="00895EC3"/>
    <w:rsid w:val="0089666B"/>
    <w:rsid w:val="008A103A"/>
    <w:rsid w:val="008A16BE"/>
    <w:rsid w:val="008A2C8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5E0"/>
    <w:rsid w:val="008D5CEF"/>
    <w:rsid w:val="008E0514"/>
    <w:rsid w:val="008E1F98"/>
    <w:rsid w:val="008E27B4"/>
    <w:rsid w:val="008E3218"/>
    <w:rsid w:val="008E416A"/>
    <w:rsid w:val="008E6F5B"/>
    <w:rsid w:val="008E7011"/>
    <w:rsid w:val="008F1B26"/>
    <w:rsid w:val="008F1B9F"/>
    <w:rsid w:val="008F438E"/>
    <w:rsid w:val="008F4B15"/>
    <w:rsid w:val="008F4D2D"/>
    <w:rsid w:val="008F67DB"/>
    <w:rsid w:val="008F6981"/>
    <w:rsid w:val="009004A5"/>
    <w:rsid w:val="0090059F"/>
    <w:rsid w:val="00903154"/>
    <w:rsid w:val="00903330"/>
    <w:rsid w:val="00903DE0"/>
    <w:rsid w:val="009075DA"/>
    <w:rsid w:val="00907AE5"/>
    <w:rsid w:val="009101A4"/>
    <w:rsid w:val="00912D13"/>
    <w:rsid w:val="00913852"/>
    <w:rsid w:val="009161AD"/>
    <w:rsid w:val="009211C4"/>
    <w:rsid w:val="009236BF"/>
    <w:rsid w:val="0093491F"/>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66EE1"/>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6797"/>
    <w:rsid w:val="009B6B9B"/>
    <w:rsid w:val="009B705E"/>
    <w:rsid w:val="009B7836"/>
    <w:rsid w:val="009B78C5"/>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3"/>
    <w:rsid w:val="009E32BA"/>
    <w:rsid w:val="009E40EA"/>
    <w:rsid w:val="009E4467"/>
    <w:rsid w:val="009F4216"/>
    <w:rsid w:val="009F4470"/>
    <w:rsid w:val="009F52E2"/>
    <w:rsid w:val="009F5412"/>
    <w:rsid w:val="00A00CAA"/>
    <w:rsid w:val="00A02787"/>
    <w:rsid w:val="00A07DE6"/>
    <w:rsid w:val="00A11865"/>
    <w:rsid w:val="00A132F3"/>
    <w:rsid w:val="00A14824"/>
    <w:rsid w:val="00A14FAC"/>
    <w:rsid w:val="00A15248"/>
    <w:rsid w:val="00A21A77"/>
    <w:rsid w:val="00A229F0"/>
    <w:rsid w:val="00A25AB6"/>
    <w:rsid w:val="00A25C41"/>
    <w:rsid w:val="00A26754"/>
    <w:rsid w:val="00A268CF"/>
    <w:rsid w:val="00A30C04"/>
    <w:rsid w:val="00A326BD"/>
    <w:rsid w:val="00A3545A"/>
    <w:rsid w:val="00A36DEA"/>
    <w:rsid w:val="00A37CD0"/>
    <w:rsid w:val="00A4540E"/>
    <w:rsid w:val="00A47815"/>
    <w:rsid w:val="00A47EA1"/>
    <w:rsid w:val="00A55996"/>
    <w:rsid w:val="00A55BA1"/>
    <w:rsid w:val="00A55F2F"/>
    <w:rsid w:val="00A569E4"/>
    <w:rsid w:val="00A64935"/>
    <w:rsid w:val="00A8041F"/>
    <w:rsid w:val="00A824AF"/>
    <w:rsid w:val="00A826F0"/>
    <w:rsid w:val="00A845DF"/>
    <w:rsid w:val="00A85921"/>
    <w:rsid w:val="00A91559"/>
    <w:rsid w:val="00A92C9E"/>
    <w:rsid w:val="00A930EF"/>
    <w:rsid w:val="00A94D7F"/>
    <w:rsid w:val="00A95B96"/>
    <w:rsid w:val="00A964BE"/>
    <w:rsid w:val="00A9705F"/>
    <w:rsid w:val="00AA04BA"/>
    <w:rsid w:val="00AA1CE3"/>
    <w:rsid w:val="00AA2F73"/>
    <w:rsid w:val="00AA461C"/>
    <w:rsid w:val="00AA50FB"/>
    <w:rsid w:val="00AA662F"/>
    <w:rsid w:val="00AA79C4"/>
    <w:rsid w:val="00AB2A9E"/>
    <w:rsid w:val="00AB582C"/>
    <w:rsid w:val="00AB583F"/>
    <w:rsid w:val="00AB6787"/>
    <w:rsid w:val="00AC4CEF"/>
    <w:rsid w:val="00AC7FFC"/>
    <w:rsid w:val="00AD0360"/>
    <w:rsid w:val="00AD2147"/>
    <w:rsid w:val="00AD23E5"/>
    <w:rsid w:val="00AD440B"/>
    <w:rsid w:val="00AD68EA"/>
    <w:rsid w:val="00AD690B"/>
    <w:rsid w:val="00AD6AEC"/>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576C"/>
    <w:rsid w:val="00B55A93"/>
    <w:rsid w:val="00B565D8"/>
    <w:rsid w:val="00B56E1B"/>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0D9C"/>
    <w:rsid w:val="00BA42C4"/>
    <w:rsid w:val="00BA45FE"/>
    <w:rsid w:val="00BA47A9"/>
    <w:rsid w:val="00BA496C"/>
    <w:rsid w:val="00BA513A"/>
    <w:rsid w:val="00BA5CCA"/>
    <w:rsid w:val="00BA6803"/>
    <w:rsid w:val="00BB0D72"/>
    <w:rsid w:val="00BB1216"/>
    <w:rsid w:val="00BB16F2"/>
    <w:rsid w:val="00BB24EB"/>
    <w:rsid w:val="00BB7CEB"/>
    <w:rsid w:val="00BC0F23"/>
    <w:rsid w:val="00BC1394"/>
    <w:rsid w:val="00BC7555"/>
    <w:rsid w:val="00BD2520"/>
    <w:rsid w:val="00BD3278"/>
    <w:rsid w:val="00BD5AFA"/>
    <w:rsid w:val="00BD5F83"/>
    <w:rsid w:val="00BD6631"/>
    <w:rsid w:val="00BE0364"/>
    <w:rsid w:val="00BE063A"/>
    <w:rsid w:val="00BE09A9"/>
    <w:rsid w:val="00BE1FC9"/>
    <w:rsid w:val="00BE22A0"/>
    <w:rsid w:val="00BE4C7C"/>
    <w:rsid w:val="00BF0215"/>
    <w:rsid w:val="00BF0B00"/>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2710F"/>
    <w:rsid w:val="00C324E6"/>
    <w:rsid w:val="00C33788"/>
    <w:rsid w:val="00C35C48"/>
    <w:rsid w:val="00C3643D"/>
    <w:rsid w:val="00C3705B"/>
    <w:rsid w:val="00C37D69"/>
    <w:rsid w:val="00C404CF"/>
    <w:rsid w:val="00C405A1"/>
    <w:rsid w:val="00C42D1B"/>
    <w:rsid w:val="00C4446E"/>
    <w:rsid w:val="00C4607F"/>
    <w:rsid w:val="00C53E5E"/>
    <w:rsid w:val="00C60F32"/>
    <w:rsid w:val="00C612FD"/>
    <w:rsid w:val="00C64B14"/>
    <w:rsid w:val="00C64DFC"/>
    <w:rsid w:val="00C65747"/>
    <w:rsid w:val="00C66C4F"/>
    <w:rsid w:val="00C676AD"/>
    <w:rsid w:val="00C67FE7"/>
    <w:rsid w:val="00C70494"/>
    <w:rsid w:val="00C72423"/>
    <w:rsid w:val="00C744C3"/>
    <w:rsid w:val="00C749BC"/>
    <w:rsid w:val="00C75DF3"/>
    <w:rsid w:val="00C76B61"/>
    <w:rsid w:val="00C76C0E"/>
    <w:rsid w:val="00C76CCF"/>
    <w:rsid w:val="00C76DC9"/>
    <w:rsid w:val="00C80742"/>
    <w:rsid w:val="00C81DA7"/>
    <w:rsid w:val="00C82A4A"/>
    <w:rsid w:val="00C82D34"/>
    <w:rsid w:val="00C84A4A"/>
    <w:rsid w:val="00C8763B"/>
    <w:rsid w:val="00C9095A"/>
    <w:rsid w:val="00C930E0"/>
    <w:rsid w:val="00C9414E"/>
    <w:rsid w:val="00C950B4"/>
    <w:rsid w:val="00C9578D"/>
    <w:rsid w:val="00CA3644"/>
    <w:rsid w:val="00CA5169"/>
    <w:rsid w:val="00CB08EA"/>
    <w:rsid w:val="00CB1CBB"/>
    <w:rsid w:val="00CB56E5"/>
    <w:rsid w:val="00CB5D7D"/>
    <w:rsid w:val="00CB6B4E"/>
    <w:rsid w:val="00CC3327"/>
    <w:rsid w:val="00CC3DC6"/>
    <w:rsid w:val="00CC45A6"/>
    <w:rsid w:val="00CC70CB"/>
    <w:rsid w:val="00CC7E97"/>
    <w:rsid w:val="00CD20C1"/>
    <w:rsid w:val="00CD3CBE"/>
    <w:rsid w:val="00CD5614"/>
    <w:rsid w:val="00CD6760"/>
    <w:rsid w:val="00CD711A"/>
    <w:rsid w:val="00CE03DE"/>
    <w:rsid w:val="00CE2115"/>
    <w:rsid w:val="00CE3D85"/>
    <w:rsid w:val="00CE49B4"/>
    <w:rsid w:val="00CF1452"/>
    <w:rsid w:val="00CF2BC7"/>
    <w:rsid w:val="00CF569B"/>
    <w:rsid w:val="00CF6822"/>
    <w:rsid w:val="00CF6960"/>
    <w:rsid w:val="00D00C86"/>
    <w:rsid w:val="00D01A62"/>
    <w:rsid w:val="00D02269"/>
    <w:rsid w:val="00D04963"/>
    <w:rsid w:val="00D04DB0"/>
    <w:rsid w:val="00D05475"/>
    <w:rsid w:val="00D111DF"/>
    <w:rsid w:val="00D130E3"/>
    <w:rsid w:val="00D13A95"/>
    <w:rsid w:val="00D1542F"/>
    <w:rsid w:val="00D209FB"/>
    <w:rsid w:val="00D20D70"/>
    <w:rsid w:val="00D218FF"/>
    <w:rsid w:val="00D22738"/>
    <w:rsid w:val="00D23CB9"/>
    <w:rsid w:val="00D252B2"/>
    <w:rsid w:val="00D25A5D"/>
    <w:rsid w:val="00D261C4"/>
    <w:rsid w:val="00D30DAA"/>
    <w:rsid w:val="00D313A3"/>
    <w:rsid w:val="00D33FC7"/>
    <w:rsid w:val="00D343D8"/>
    <w:rsid w:val="00D347E0"/>
    <w:rsid w:val="00D34AD8"/>
    <w:rsid w:val="00D359B7"/>
    <w:rsid w:val="00D42D5A"/>
    <w:rsid w:val="00D4304C"/>
    <w:rsid w:val="00D43850"/>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1A74"/>
    <w:rsid w:val="00DB59FD"/>
    <w:rsid w:val="00DB6614"/>
    <w:rsid w:val="00DC0024"/>
    <w:rsid w:val="00DC063D"/>
    <w:rsid w:val="00DC097A"/>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5722"/>
    <w:rsid w:val="00DF635A"/>
    <w:rsid w:val="00DF6BB3"/>
    <w:rsid w:val="00DF79A2"/>
    <w:rsid w:val="00E00DB4"/>
    <w:rsid w:val="00E042F4"/>
    <w:rsid w:val="00E04732"/>
    <w:rsid w:val="00E05096"/>
    <w:rsid w:val="00E07B1B"/>
    <w:rsid w:val="00E100F3"/>
    <w:rsid w:val="00E10C0C"/>
    <w:rsid w:val="00E11A1D"/>
    <w:rsid w:val="00E12C12"/>
    <w:rsid w:val="00E1390B"/>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78CC"/>
    <w:rsid w:val="00E51A47"/>
    <w:rsid w:val="00E54085"/>
    <w:rsid w:val="00E54722"/>
    <w:rsid w:val="00E547F0"/>
    <w:rsid w:val="00E55A96"/>
    <w:rsid w:val="00E577F2"/>
    <w:rsid w:val="00E63C52"/>
    <w:rsid w:val="00E64254"/>
    <w:rsid w:val="00E6637B"/>
    <w:rsid w:val="00E67D1E"/>
    <w:rsid w:val="00E7033D"/>
    <w:rsid w:val="00E7095F"/>
    <w:rsid w:val="00E70C10"/>
    <w:rsid w:val="00E74981"/>
    <w:rsid w:val="00E76148"/>
    <w:rsid w:val="00E77553"/>
    <w:rsid w:val="00E8472C"/>
    <w:rsid w:val="00E84DF2"/>
    <w:rsid w:val="00E84F99"/>
    <w:rsid w:val="00E86FCB"/>
    <w:rsid w:val="00E87A1A"/>
    <w:rsid w:val="00E90A56"/>
    <w:rsid w:val="00E918BD"/>
    <w:rsid w:val="00E92F16"/>
    <w:rsid w:val="00E94F15"/>
    <w:rsid w:val="00E97EEF"/>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D3D"/>
    <w:rsid w:val="00EC7ADB"/>
    <w:rsid w:val="00EC7DF9"/>
    <w:rsid w:val="00ED2A13"/>
    <w:rsid w:val="00ED40B2"/>
    <w:rsid w:val="00ED4E9F"/>
    <w:rsid w:val="00ED51D0"/>
    <w:rsid w:val="00ED6A08"/>
    <w:rsid w:val="00ED6E8F"/>
    <w:rsid w:val="00EE0450"/>
    <w:rsid w:val="00EE37C8"/>
    <w:rsid w:val="00EE59BC"/>
    <w:rsid w:val="00EE7A85"/>
    <w:rsid w:val="00EF03E8"/>
    <w:rsid w:val="00EF45D4"/>
    <w:rsid w:val="00EF59CB"/>
    <w:rsid w:val="00F0047B"/>
    <w:rsid w:val="00F016FA"/>
    <w:rsid w:val="00F02173"/>
    <w:rsid w:val="00F03FBE"/>
    <w:rsid w:val="00F04342"/>
    <w:rsid w:val="00F048D9"/>
    <w:rsid w:val="00F04E22"/>
    <w:rsid w:val="00F05755"/>
    <w:rsid w:val="00F125FF"/>
    <w:rsid w:val="00F12675"/>
    <w:rsid w:val="00F12E9C"/>
    <w:rsid w:val="00F13E8E"/>
    <w:rsid w:val="00F149F6"/>
    <w:rsid w:val="00F151DB"/>
    <w:rsid w:val="00F22A55"/>
    <w:rsid w:val="00F23F94"/>
    <w:rsid w:val="00F24030"/>
    <w:rsid w:val="00F242B0"/>
    <w:rsid w:val="00F242B2"/>
    <w:rsid w:val="00F244C2"/>
    <w:rsid w:val="00F257E5"/>
    <w:rsid w:val="00F25C6B"/>
    <w:rsid w:val="00F270D4"/>
    <w:rsid w:val="00F27F09"/>
    <w:rsid w:val="00F3027E"/>
    <w:rsid w:val="00F3092F"/>
    <w:rsid w:val="00F30EA4"/>
    <w:rsid w:val="00F3488E"/>
    <w:rsid w:val="00F35D70"/>
    <w:rsid w:val="00F36FF9"/>
    <w:rsid w:val="00F3762F"/>
    <w:rsid w:val="00F41DFE"/>
    <w:rsid w:val="00F43CCF"/>
    <w:rsid w:val="00F4490B"/>
    <w:rsid w:val="00F451CB"/>
    <w:rsid w:val="00F51F08"/>
    <w:rsid w:val="00F52571"/>
    <w:rsid w:val="00F54AF5"/>
    <w:rsid w:val="00F57A04"/>
    <w:rsid w:val="00F639B0"/>
    <w:rsid w:val="00F644CD"/>
    <w:rsid w:val="00F65523"/>
    <w:rsid w:val="00F6664A"/>
    <w:rsid w:val="00F674FB"/>
    <w:rsid w:val="00F7052D"/>
    <w:rsid w:val="00F737C1"/>
    <w:rsid w:val="00F768B9"/>
    <w:rsid w:val="00F80D9C"/>
    <w:rsid w:val="00F825B6"/>
    <w:rsid w:val="00F83075"/>
    <w:rsid w:val="00F84F1C"/>
    <w:rsid w:val="00F859AF"/>
    <w:rsid w:val="00F91423"/>
    <w:rsid w:val="00FA093F"/>
    <w:rsid w:val="00FA32B6"/>
    <w:rsid w:val="00FA3E37"/>
    <w:rsid w:val="00FA546C"/>
    <w:rsid w:val="00FA68BC"/>
    <w:rsid w:val="00FA76F1"/>
    <w:rsid w:val="00FB15A3"/>
    <w:rsid w:val="00FB2DB4"/>
    <w:rsid w:val="00FB6CC3"/>
    <w:rsid w:val="00FB729A"/>
    <w:rsid w:val="00FC356C"/>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447"/>
    <w:rsid w:val="00FD7085"/>
    <w:rsid w:val="00FE122A"/>
    <w:rsid w:val="00FE2544"/>
    <w:rsid w:val="00FE41D5"/>
    <w:rsid w:val="00FE43B3"/>
    <w:rsid w:val="00FE48E3"/>
    <w:rsid w:val="00FE6F2D"/>
    <w:rsid w:val="00FF1466"/>
    <w:rsid w:val="00FF23CF"/>
    <w:rsid w:val="00FF29DC"/>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029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basedOn w:val="DefaultParagraphFont"/>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