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4B30D039"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AB0E723" w14:textId="77777777">
      <w:pPr>
        <w:pStyle w:val="StyleBoldCentered"/>
      </w:pPr>
      <w:r>
        <w:t>F</w:t>
      </w:r>
      <w:r>
        <w:rPr>
          <w:caps w:val="0"/>
        </w:rPr>
        <w:t>ederal Communications Commission</w:t>
      </w:r>
    </w:p>
    <w:p w:rsidR="004C2EE3" w:rsidP="00096D8C" w14:paraId="5F9FE7AE" w14:textId="77777777">
      <w:pPr>
        <w:pStyle w:val="StyleBoldCentered"/>
      </w:pPr>
      <w:r>
        <w:rPr>
          <w:caps w:val="0"/>
        </w:rPr>
        <w:t>Washington, D.C. 20554</w:t>
      </w:r>
    </w:p>
    <w:p w:rsidR="004C2EE3" w:rsidP="0070224F" w14:paraId="1487E05F" w14:textId="77777777"/>
    <w:p w:rsidR="004C2EE3" w:rsidP="00653BFE" w14:paraId="3BB74E0A" w14:textId="57AC7F2B">
      <w:pPr>
        <w:tabs>
          <w:tab w:val="left" w:pos="1455"/>
        </w:tabs>
      </w:pPr>
      <w:r>
        <w:tab/>
      </w:r>
    </w:p>
    <w:tbl>
      <w:tblPr>
        <w:tblW w:w="0" w:type="auto"/>
        <w:tblLayout w:type="fixed"/>
        <w:tblLook w:val="0000"/>
      </w:tblPr>
      <w:tblGrid>
        <w:gridCol w:w="4698"/>
        <w:gridCol w:w="630"/>
        <w:gridCol w:w="4248"/>
      </w:tblGrid>
      <w:tr w14:paraId="3C97CE6A" w14:textId="77777777">
        <w:tblPrEx>
          <w:tblW w:w="0" w:type="auto"/>
          <w:tblLayout w:type="fixed"/>
          <w:tblLook w:val="0000"/>
        </w:tblPrEx>
        <w:tc>
          <w:tcPr>
            <w:tcW w:w="4698" w:type="dxa"/>
          </w:tcPr>
          <w:p w:rsidR="009E0FF5" w:rsidRPr="00881509" w:rsidP="009E0FF5" w14:paraId="0239B1F3" w14:textId="77777777">
            <w:pPr>
              <w:tabs>
                <w:tab w:val="center" w:pos="4680"/>
              </w:tabs>
              <w:suppressAutoHyphens/>
              <w:rPr>
                <w:spacing w:val="-2"/>
              </w:rPr>
            </w:pPr>
            <w:r w:rsidRPr="00881509">
              <w:rPr>
                <w:spacing w:val="-2"/>
              </w:rPr>
              <w:t>In the Matter of</w:t>
            </w:r>
          </w:p>
          <w:p w:rsidR="009E0FF5" w:rsidRPr="00881509" w:rsidP="009E0FF5" w14:paraId="7A6C625C" w14:textId="77777777">
            <w:pPr>
              <w:tabs>
                <w:tab w:val="center" w:pos="4680"/>
              </w:tabs>
              <w:suppressAutoHyphens/>
              <w:rPr>
                <w:spacing w:val="-2"/>
              </w:rPr>
            </w:pPr>
          </w:p>
          <w:p w:rsidR="009E0FF5" w:rsidRPr="00E70F7D" w:rsidP="009E0FF5" w14:paraId="2B064E46" w14:textId="34C6939A">
            <w:pPr>
              <w:tabs>
                <w:tab w:val="center" w:pos="4680"/>
              </w:tabs>
              <w:suppressAutoHyphens/>
              <w:rPr>
                <w:spacing w:val="-2"/>
                <w:szCs w:val="22"/>
              </w:rPr>
            </w:pPr>
            <w:r w:rsidRPr="00E70F7D">
              <w:rPr>
                <w:spacing w:val="-2"/>
                <w:szCs w:val="22"/>
              </w:rPr>
              <w:t>Via</w:t>
            </w:r>
            <w:r w:rsidR="0028168A">
              <w:rPr>
                <w:spacing w:val="-2"/>
                <w:szCs w:val="22"/>
              </w:rPr>
              <w:t>s</w:t>
            </w:r>
            <w:r w:rsidRPr="00E70F7D">
              <w:rPr>
                <w:spacing w:val="-2"/>
                <w:szCs w:val="22"/>
              </w:rPr>
              <w:t>at</w:t>
            </w:r>
            <w:r w:rsidRPr="00E70F7D">
              <w:rPr>
                <w:spacing w:val="-2"/>
                <w:szCs w:val="22"/>
              </w:rPr>
              <w:t>, Inc.</w:t>
            </w:r>
          </w:p>
          <w:p w:rsidR="009E0FF5" w:rsidRPr="00E70F7D" w:rsidP="009E0FF5" w14:paraId="2BF59EBC" w14:textId="77777777">
            <w:pPr>
              <w:tabs>
                <w:tab w:val="center" w:pos="4680"/>
              </w:tabs>
              <w:suppressAutoHyphens/>
              <w:rPr>
                <w:spacing w:val="-2"/>
                <w:szCs w:val="22"/>
              </w:rPr>
            </w:pPr>
          </w:p>
          <w:p w:rsidR="004C2EE3" w:rsidRPr="007115F7" w:rsidP="009E0FF5" w14:paraId="08D75AD5" w14:textId="71D7FA63">
            <w:pPr>
              <w:tabs>
                <w:tab w:val="center" w:pos="4680"/>
              </w:tabs>
              <w:suppressAutoHyphens/>
              <w:rPr>
                <w:spacing w:val="-2"/>
              </w:rPr>
            </w:pPr>
            <w:r>
              <w:rPr>
                <w:spacing w:val="-2"/>
                <w:szCs w:val="22"/>
              </w:rPr>
              <w:t>Request to Extend or</w:t>
            </w:r>
            <w:r w:rsidRPr="00E70F7D" w:rsidR="009E0FF5">
              <w:rPr>
                <w:spacing w:val="-2"/>
                <w:szCs w:val="22"/>
              </w:rPr>
              <w:t xml:space="preserve"> Waive Milestone Date</w:t>
            </w:r>
          </w:p>
        </w:tc>
        <w:tc>
          <w:tcPr>
            <w:tcW w:w="630" w:type="dxa"/>
          </w:tcPr>
          <w:p w:rsidR="004C2EE3" w14:paraId="48C44A43" w14:textId="77777777">
            <w:pPr>
              <w:tabs>
                <w:tab w:val="center" w:pos="4680"/>
              </w:tabs>
              <w:suppressAutoHyphens/>
              <w:rPr>
                <w:b/>
                <w:spacing w:val="-2"/>
              </w:rPr>
            </w:pPr>
            <w:r>
              <w:rPr>
                <w:b/>
                <w:spacing w:val="-2"/>
              </w:rPr>
              <w:t>)</w:t>
            </w:r>
          </w:p>
          <w:p w:rsidR="004C2EE3" w14:paraId="2D61BE9D" w14:textId="77777777">
            <w:pPr>
              <w:tabs>
                <w:tab w:val="center" w:pos="4680"/>
              </w:tabs>
              <w:suppressAutoHyphens/>
              <w:rPr>
                <w:b/>
                <w:spacing w:val="-2"/>
              </w:rPr>
            </w:pPr>
            <w:r>
              <w:rPr>
                <w:b/>
                <w:spacing w:val="-2"/>
              </w:rPr>
              <w:t>)</w:t>
            </w:r>
          </w:p>
          <w:p w:rsidR="004C2EE3" w14:paraId="19DA5173" w14:textId="77777777">
            <w:pPr>
              <w:tabs>
                <w:tab w:val="center" w:pos="4680"/>
              </w:tabs>
              <w:suppressAutoHyphens/>
              <w:rPr>
                <w:b/>
                <w:spacing w:val="-2"/>
              </w:rPr>
            </w:pPr>
            <w:r>
              <w:rPr>
                <w:b/>
                <w:spacing w:val="-2"/>
              </w:rPr>
              <w:t>)</w:t>
            </w:r>
          </w:p>
          <w:p w:rsidR="004C2EE3" w14:paraId="67735608" w14:textId="77777777">
            <w:pPr>
              <w:tabs>
                <w:tab w:val="center" w:pos="4680"/>
              </w:tabs>
              <w:suppressAutoHyphens/>
              <w:rPr>
                <w:b/>
                <w:spacing w:val="-2"/>
              </w:rPr>
            </w:pPr>
            <w:r>
              <w:rPr>
                <w:b/>
                <w:spacing w:val="-2"/>
              </w:rPr>
              <w:t>)</w:t>
            </w:r>
          </w:p>
          <w:p w:rsidR="004C2EE3" w14:paraId="4EB86605" w14:textId="77777777">
            <w:pPr>
              <w:tabs>
                <w:tab w:val="center" w:pos="4680"/>
              </w:tabs>
              <w:suppressAutoHyphens/>
              <w:rPr>
                <w:b/>
                <w:spacing w:val="-2"/>
              </w:rPr>
            </w:pPr>
            <w:r>
              <w:rPr>
                <w:b/>
                <w:spacing w:val="-2"/>
              </w:rPr>
              <w:t>)</w:t>
            </w:r>
          </w:p>
          <w:p w:rsidR="004C2EE3" w14:paraId="132EA3FD" w14:textId="77777777">
            <w:pPr>
              <w:tabs>
                <w:tab w:val="center" w:pos="4680"/>
              </w:tabs>
              <w:suppressAutoHyphens/>
              <w:rPr>
                <w:b/>
                <w:spacing w:val="-2"/>
              </w:rPr>
            </w:pPr>
            <w:r>
              <w:rPr>
                <w:b/>
                <w:spacing w:val="-2"/>
              </w:rPr>
              <w:t>)</w:t>
            </w:r>
          </w:p>
          <w:p w:rsidR="004C2EE3" w14:paraId="7F55D009" w14:textId="77777777">
            <w:pPr>
              <w:tabs>
                <w:tab w:val="center" w:pos="4680"/>
              </w:tabs>
              <w:suppressAutoHyphens/>
              <w:rPr>
                <w:b/>
                <w:spacing w:val="-2"/>
              </w:rPr>
            </w:pPr>
          </w:p>
          <w:p w:rsidR="004C2EE3" w14:paraId="1A1AF324" w14:textId="77777777">
            <w:pPr>
              <w:tabs>
                <w:tab w:val="center" w:pos="4680"/>
              </w:tabs>
              <w:suppressAutoHyphens/>
              <w:rPr>
                <w:b/>
                <w:spacing w:val="-2"/>
              </w:rPr>
            </w:pPr>
          </w:p>
          <w:p w:rsidR="004C2EE3" w14:paraId="16EE67F3" w14:textId="77777777">
            <w:pPr>
              <w:tabs>
                <w:tab w:val="center" w:pos="4680"/>
              </w:tabs>
              <w:suppressAutoHyphens/>
              <w:rPr>
                <w:spacing w:val="-2"/>
              </w:rPr>
            </w:pPr>
          </w:p>
        </w:tc>
        <w:tc>
          <w:tcPr>
            <w:tcW w:w="4248" w:type="dxa"/>
          </w:tcPr>
          <w:p w:rsidR="004C2EE3" w14:paraId="53168DC6" w14:textId="77777777">
            <w:pPr>
              <w:tabs>
                <w:tab w:val="center" w:pos="4680"/>
              </w:tabs>
              <w:suppressAutoHyphens/>
              <w:rPr>
                <w:spacing w:val="-2"/>
              </w:rPr>
            </w:pPr>
          </w:p>
          <w:p w:rsidR="004C2EE3" w14:paraId="2349BD1F" w14:textId="77777777">
            <w:pPr>
              <w:pStyle w:val="TOAHeading"/>
              <w:tabs>
                <w:tab w:val="center" w:pos="4680"/>
                <w:tab w:val="clear" w:pos="9360"/>
              </w:tabs>
              <w:rPr>
                <w:spacing w:val="-2"/>
              </w:rPr>
            </w:pPr>
          </w:p>
          <w:p w:rsidR="00282DBF" w:rsidP="00282DBF" w14:paraId="5EE92015" w14:textId="4271D35D">
            <w:pPr>
              <w:tabs>
                <w:tab w:val="center" w:pos="4680"/>
              </w:tabs>
              <w:suppressAutoHyphens/>
              <w:rPr>
                <w:color w:val="000000"/>
              </w:rPr>
            </w:pPr>
            <w:r w:rsidRPr="00627374">
              <w:rPr>
                <w:spacing w:val="-2"/>
              </w:rPr>
              <w:t>IBFS File No.</w:t>
            </w:r>
            <w:r w:rsidR="005E183B">
              <w:rPr>
                <w:spacing w:val="-2"/>
              </w:rPr>
              <w:t>:</w:t>
            </w:r>
            <w:r w:rsidRPr="00627374">
              <w:rPr>
                <w:spacing w:val="-2"/>
              </w:rPr>
              <w:t xml:space="preserve"> SAT-</w:t>
            </w:r>
            <w:r w:rsidRPr="00627374">
              <w:rPr>
                <w:color w:val="000000"/>
              </w:rPr>
              <w:t>MOD-20</w:t>
            </w:r>
            <w:r w:rsidR="00A64DEB">
              <w:rPr>
                <w:color w:val="000000"/>
              </w:rPr>
              <w:t>2</w:t>
            </w:r>
            <w:r w:rsidR="00430C85">
              <w:rPr>
                <w:color w:val="000000"/>
              </w:rPr>
              <w:t>20819-00091</w:t>
            </w:r>
          </w:p>
          <w:p w:rsidR="005E183B" w:rsidRPr="00627374" w:rsidP="00282DBF" w14:paraId="4A087B5F" w14:textId="77777777">
            <w:pPr>
              <w:tabs>
                <w:tab w:val="center" w:pos="4680"/>
              </w:tabs>
              <w:suppressAutoHyphens/>
              <w:rPr>
                <w:spacing w:val="-2"/>
              </w:rPr>
            </w:pPr>
          </w:p>
          <w:p w:rsidR="00282DBF" w:rsidRPr="00627374" w:rsidP="00282DBF" w14:paraId="3080ACF5" w14:textId="4E80FC46">
            <w:pPr>
              <w:tabs>
                <w:tab w:val="center" w:pos="4680"/>
              </w:tabs>
              <w:rPr>
                <w:spacing w:val="-2"/>
              </w:rPr>
            </w:pPr>
            <w:r w:rsidRPr="00627374">
              <w:rPr>
                <w:spacing w:val="-2"/>
              </w:rPr>
              <w:t>Call Sign</w:t>
            </w:r>
            <w:r w:rsidR="005E183B">
              <w:rPr>
                <w:spacing w:val="-2"/>
              </w:rPr>
              <w:t xml:space="preserve">: </w:t>
            </w:r>
            <w:r w:rsidRPr="00627374">
              <w:rPr>
                <w:spacing w:val="-2"/>
              </w:rPr>
              <w:t xml:space="preserve">S2917 </w:t>
            </w:r>
          </w:p>
          <w:p w:rsidR="004C2EE3" w14:paraId="5377F8FC" w14:textId="77777777">
            <w:pPr>
              <w:tabs>
                <w:tab w:val="center" w:pos="4680"/>
              </w:tabs>
              <w:suppressAutoHyphens/>
              <w:rPr>
                <w:spacing w:val="-2"/>
              </w:rPr>
            </w:pPr>
          </w:p>
        </w:tc>
      </w:tr>
    </w:tbl>
    <w:p w:rsidR="00841AB1" w:rsidP="00F021FA" w14:paraId="0D973617" w14:textId="77777777">
      <w:pPr>
        <w:pStyle w:val="StyleBoldCentered"/>
      </w:pPr>
      <w:r>
        <w:t>order</w:t>
      </w:r>
    </w:p>
    <w:p w:rsidR="004C2EE3" w14:paraId="7D02C241" w14:textId="77777777">
      <w:pPr>
        <w:tabs>
          <w:tab w:val="left" w:pos="-720"/>
        </w:tabs>
        <w:suppressAutoHyphens/>
        <w:spacing w:line="227" w:lineRule="auto"/>
        <w:rPr>
          <w:spacing w:val="-2"/>
        </w:rPr>
      </w:pPr>
    </w:p>
    <w:p w:rsidR="004C2EE3" w:rsidP="00133F79" w14:paraId="6DE336C4" w14:textId="5C257551">
      <w:pPr>
        <w:tabs>
          <w:tab w:val="left" w:pos="720"/>
          <w:tab w:val="right" w:pos="9360"/>
        </w:tabs>
        <w:suppressAutoHyphens/>
        <w:spacing w:line="227" w:lineRule="auto"/>
        <w:rPr>
          <w:spacing w:val="-2"/>
        </w:rPr>
      </w:pPr>
      <w:r>
        <w:rPr>
          <w:b/>
          <w:spacing w:val="-2"/>
        </w:rPr>
        <w:t xml:space="preserve">Adopted: </w:t>
      </w:r>
      <w:r w:rsidR="000A36DF">
        <w:rPr>
          <w:b/>
          <w:spacing w:val="-2"/>
        </w:rPr>
        <w:t>October 31</w:t>
      </w:r>
      <w:r w:rsidR="00807E23">
        <w:rPr>
          <w:b/>
          <w:spacing w:val="-2"/>
        </w:rPr>
        <w:t>, 202</w:t>
      </w:r>
      <w:r w:rsidR="00D06B1C">
        <w:rPr>
          <w:b/>
          <w:spacing w:val="-2"/>
        </w:rPr>
        <w:t>2</w:t>
      </w:r>
      <w:r>
        <w:rPr>
          <w:b/>
          <w:spacing w:val="-2"/>
        </w:rPr>
        <w:tab/>
      </w:r>
      <w:r w:rsidR="00822CE0">
        <w:rPr>
          <w:b/>
          <w:spacing w:val="-2"/>
        </w:rPr>
        <w:t>Released</w:t>
      </w:r>
      <w:r>
        <w:rPr>
          <w:b/>
          <w:spacing w:val="-2"/>
        </w:rPr>
        <w:t>:</w:t>
      </w:r>
      <w:r w:rsidR="000A36DF">
        <w:rPr>
          <w:b/>
          <w:spacing w:val="-2"/>
        </w:rPr>
        <w:t xml:space="preserve"> October 31</w:t>
      </w:r>
      <w:r w:rsidR="00636E55">
        <w:rPr>
          <w:b/>
          <w:spacing w:val="-2"/>
        </w:rPr>
        <w:t xml:space="preserve">, </w:t>
      </w:r>
      <w:r w:rsidR="00807E23">
        <w:rPr>
          <w:b/>
          <w:spacing w:val="-2"/>
        </w:rPr>
        <w:t>202</w:t>
      </w:r>
      <w:r w:rsidR="00D06B1C">
        <w:rPr>
          <w:b/>
          <w:spacing w:val="-2"/>
        </w:rPr>
        <w:t>2</w:t>
      </w:r>
    </w:p>
    <w:p w:rsidR="00822CE0" w14:paraId="40B8E07C" w14:textId="77777777"/>
    <w:p w:rsidR="005B5100" w14:paraId="0F88C273" w14:textId="77777777">
      <w:pPr>
        <w:rPr>
          <w:spacing w:val="-2"/>
        </w:rPr>
      </w:pPr>
      <w:r>
        <w:t xml:space="preserve">By </w:t>
      </w:r>
      <w:r w:rsidR="004E4A22">
        <w:t>the</w:t>
      </w:r>
      <w:r w:rsidR="002A54CF">
        <w:t xml:space="preserve"> Chief, International Bureau</w:t>
      </w:r>
      <w:r w:rsidR="00B92865">
        <w:t>:</w:t>
      </w:r>
    </w:p>
    <w:p w:rsidR="00822CE0" w14:paraId="0C98819C" w14:textId="77777777">
      <w:pPr>
        <w:rPr>
          <w:spacing w:val="-2"/>
        </w:rPr>
      </w:pPr>
    </w:p>
    <w:p w:rsidR="00412FC5" w:rsidP="00C36B4C" w14:paraId="51B0EA41" w14:textId="77777777">
      <w:pPr>
        <w:pStyle w:val="Heading1"/>
      </w:pPr>
      <w:r>
        <w:t>INTRODUCTION</w:t>
      </w:r>
    </w:p>
    <w:p w:rsidR="005B5100" w:rsidRPr="00627374" w:rsidP="006F2A97" w14:paraId="0B179C61" w14:textId="08B58097">
      <w:pPr>
        <w:pStyle w:val="ParaNum"/>
        <w:widowControl/>
      </w:pPr>
      <w:r w:rsidRPr="00627374">
        <w:t xml:space="preserve">By this Order, we grant the request of </w:t>
      </w:r>
      <w:r w:rsidR="0028168A">
        <w:t>Viasat</w:t>
      </w:r>
      <w:r w:rsidRPr="00627374">
        <w:t>, Inc. (</w:t>
      </w:r>
      <w:r w:rsidR="0028168A">
        <w:t>Viasat</w:t>
      </w:r>
      <w:r w:rsidRPr="00627374">
        <w:t xml:space="preserve">) to modify the </w:t>
      </w:r>
      <w:r w:rsidR="008D2FF2">
        <w:t xml:space="preserve">milestone for launching and beginning to operate the VIASAT-3 satellite, </w:t>
      </w:r>
      <w:r w:rsidR="008B7DFE">
        <w:t xml:space="preserve">which is planned to </w:t>
      </w:r>
      <w:r w:rsidRPr="00627374">
        <w:t>provide fixed-satellite service (FSS) at the 88.9º W.L. orbital location</w:t>
      </w:r>
      <w:r w:rsidR="008B7DFE">
        <w:t>.</w:t>
      </w:r>
      <w:r>
        <w:rPr>
          <w:rStyle w:val="FootnoteReference"/>
        </w:rPr>
        <w:footnoteReference w:id="3"/>
      </w:r>
      <w:r w:rsidRPr="00627374">
        <w:t xml:space="preserve">  Specifically, we modify the </w:t>
      </w:r>
      <w:r w:rsidR="008B7DFE">
        <w:t>milestone</w:t>
      </w:r>
      <w:r w:rsidR="00A5276E">
        <w:t xml:space="preserve"> </w:t>
      </w:r>
      <w:r w:rsidRPr="00627374">
        <w:t>by extending</w:t>
      </w:r>
      <w:r w:rsidR="008B7DFE">
        <w:t xml:space="preserve"> it from the current date, </w:t>
      </w:r>
      <w:r w:rsidR="008513A5">
        <w:t>October</w:t>
      </w:r>
      <w:r w:rsidR="008B7DFE">
        <w:t xml:space="preserve"> 31, 202</w:t>
      </w:r>
      <w:r w:rsidR="008513A5">
        <w:t>2</w:t>
      </w:r>
      <w:r w:rsidR="008B7DFE">
        <w:t xml:space="preserve">, to </w:t>
      </w:r>
      <w:r w:rsidR="008513A5">
        <w:t>April 30</w:t>
      </w:r>
      <w:r w:rsidRPr="00627374">
        <w:t>, 202</w:t>
      </w:r>
      <w:r w:rsidR="0015356E">
        <w:t>3</w:t>
      </w:r>
      <w:r w:rsidR="008B7DFE">
        <w:t>.</w:t>
      </w:r>
      <w:r w:rsidRPr="00627374">
        <w:t xml:space="preserve"> </w:t>
      </w:r>
      <w:r w:rsidR="004E172C">
        <w:t xml:space="preserve"> </w:t>
      </w:r>
      <w:r w:rsidR="00B82448">
        <w:t xml:space="preserve">This action is taken based on a finding </w:t>
      </w:r>
      <w:r w:rsidR="00F3728B">
        <w:t xml:space="preserve">that </w:t>
      </w:r>
      <w:r w:rsidR="007202A9">
        <w:t xml:space="preserve">the </w:t>
      </w:r>
      <w:r w:rsidR="005928E5">
        <w:t xml:space="preserve">additional time </w:t>
      </w:r>
      <w:r w:rsidR="00BA13AD">
        <w:t xml:space="preserve">needed </w:t>
      </w:r>
      <w:r w:rsidR="005928E5">
        <w:t xml:space="preserve">by </w:t>
      </w:r>
      <w:r w:rsidR="0028168A">
        <w:t>Viasat</w:t>
      </w:r>
      <w:r w:rsidR="005928E5">
        <w:t xml:space="preserve"> to launch and operate </w:t>
      </w:r>
      <w:r w:rsidR="00B82448">
        <w:t>is due to</w:t>
      </w:r>
      <w:r w:rsidR="00E36595">
        <w:t xml:space="preserve"> </w:t>
      </w:r>
      <w:r w:rsidR="00497DF3">
        <w:t>continued COVID-19-related delays</w:t>
      </w:r>
      <w:r w:rsidR="00B82448">
        <w:t xml:space="preserve"> beyond </w:t>
      </w:r>
      <w:r w:rsidR="0028168A">
        <w:t>Viasat</w:t>
      </w:r>
      <w:r w:rsidR="00B82448">
        <w:t>’s</w:t>
      </w:r>
      <w:r w:rsidR="00B82448">
        <w:t xml:space="preserve"> control</w:t>
      </w:r>
      <w:r w:rsidR="00A5276E">
        <w:t xml:space="preserve">. </w:t>
      </w:r>
      <w:r w:rsidR="00B82448">
        <w:t xml:space="preserve"> </w:t>
      </w:r>
      <w:r w:rsidRPr="00627374">
        <w:t xml:space="preserve">Grant of this request </w:t>
      </w:r>
      <w:r w:rsidR="00B82448">
        <w:t xml:space="preserve">for a </w:t>
      </w:r>
      <w:r w:rsidR="00497DF3">
        <w:t>six</w:t>
      </w:r>
      <w:r w:rsidR="00B1680F">
        <w:t>-</w:t>
      </w:r>
      <w:r w:rsidR="00B82448">
        <w:t xml:space="preserve">month extension will allow </w:t>
      </w:r>
      <w:r w:rsidR="00497DF3">
        <w:t xml:space="preserve">for integration of the completed </w:t>
      </w:r>
      <w:r w:rsidR="00840DEC">
        <w:t>communications</w:t>
      </w:r>
      <w:r w:rsidR="00497DF3">
        <w:t xml:space="preserve"> module with the satellite bus</w:t>
      </w:r>
      <w:r w:rsidR="00B82448">
        <w:t xml:space="preserve"> and </w:t>
      </w:r>
      <w:r w:rsidR="0015356E">
        <w:t xml:space="preserve">enable Boeing to complete environmental testing of the integrated satellite.  The </w:t>
      </w:r>
      <w:r w:rsidR="00B82448">
        <w:t>launch</w:t>
      </w:r>
      <w:r w:rsidR="00BB378B">
        <w:t xml:space="preserve"> </w:t>
      </w:r>
      <w:r w:rsidR="0015356E">
        <w:t xml:space="preserve">and operation of </w:t>
      </w:r>
      <w:r w:rsidR="00B1680F">
        <w:t xml:space="preserve">the VIASAT-3 </w:t>
      </w:r>
      <w:r w:rsidR="00BB378B">
        <w:t xml:space="preserve">satellite will provide </w:t>
      </w:r>
      <w:r w:rsidRPr="00627374">
        <w:t xml:space="preserve">broadband connectivity to </w:t>
      </w:r>
      <w:r w:rsidR="00B1680F">
        <w:t xml:space="preserve">customers in </w:t>
      </w:r>
      <w:r w:rsidRPr="00627374">
        <w:t>rural and urban areas</w:t>
      </w:r>
      <w:r w:rsidR="00B1680F">
        <w:t xml:space="preserve"> of the United States</w:t>
      </w:r>
      <w:r w:rsidRPr="00627374">
        <w:t xml:space="preserve">, </w:t>
      </w:r>
      <w:r w:rsidR="00B1680F">
        <w:t xml:space="preserve">as well as to </w:t>
      </w:r>
      <w:r w:rsidRPr="00627374">
        <w:t xml:space="preserve">aircraft and ships, and enhanced services for </w:t>
      </w:r>
      <w:r w:rsidR="0062238A">
        <w:t xml:space="preserve">U.S. </w:t>
      </w:r>
      <w:r w:rsidRPr="00627374">
        <w:t>military and government customers.</w:t>
      </w:r>
    </w:p>
    <w:p w:rsidR="005B5100" w:rsidRPr="006F2A97" w:rsidP="008071F2" w14:paraId="23D6E3C5" w14:textId="77777777">
      <w:pPr>
        <w:pStyle w:val="Heading1"/>
        <w:tabs>
          <w:tab w:val="left" w:pos="720"/>
        </w:tabs>
      </w:pPr>
      <w:r w:rsidRPr="006F2A97">
        <w:t>BACKGROUND</w:t>
      </w:r>
    </w:p>
    <w:p w:rsidR="005B5100" w:rsidRPr="00627374" w:rsidP="005B5100" w14:paraId="05ECCEB1" w14:textId="0ADE98C3">
      <w:pPr>
        <w:pStyle w:val="ParaNum"/>
        <w:widowControl/>
      </w:pPr>
      <w:r w:rsidRPr="00627374">
        <w:t xml:space="preserve">On June 18, 2014, the Satellite Division granted </w:t>
      </w:r>
      <w:r w:rsidR="0028168A">
        <w:t>Viasat</w:t>
      </w:r>
      <w:r w:rsidRPr="00627374">
        <w:t xml:space="preserve"> access to the United States market to provide FSS in the 19.7-20.2 GHz (space-to-Earth) and 29.5-30.0 GHz (Earth-to-space) bands, as well as the 18.3-19.3 GHz (space-to-Earth) and 28.1-29.1 GHz (Earth-to-space) bands,</w:t>
      </w:r>
      <w:r>
        <w:rPr>
          <w:rStyle w:val="FootnoteReference"/>
          <w:sz w:val="22"/>
        </w:rPr>
        <w:footnoteReference w:id="4"/>
      </w:r>
      <w:r w:rsidRPr="00627374">
        <w:t xml:space="preserve"> via </w:t>
      </w:r>
      <w:r w:rsidR="00BB378B">
        <w:t xml:space="preserve">the proposed </w:t>
      </w:r>
      <w:r w:rsidRPr="00627374">
        <w:t>VIASAT-3</w:t>
      </w:r>
      <w:r w:rsidR="00BB378B">
        <w:t xml:space="preserve"> satellite</w:t>
      </w:r>
      <w:r w:rsidRPr="00627374">
        <w:t>, to be operated at the 88.9º W.L. orbital location.</w:t>
      </w:r>
      <w:r>
        <w:rPr>
          <w:rStyle w:val="FootnoteReference"/>
          <w:sz w:val="22"/>
        </w:rPr>
        <w:footnoteReference w:id="5"/>
      </w:r>
      <w:r w:rsidRPr="00627374">
        <w:t xml:space="preserve">  The Commission’s rules and the conditions of the grant required that </w:t>
      </w:r>
      <w:r w:rsidR="0028168A">
        <w:t>Viasat</w:t>
      </w:r>
      <w:r w:rsidRPr="00627374">
        <w:t xml:space="preserve"> launch and begin operations of VIASAT-3 by June 18, 2019.</w:t>
      </w:r>
      <w:r>
        <w:rPr>
          <w:rStyle w:val="FootnoteReference"/>
          <w:sz w:val="22"/>
        </w:rPr>
        <w:footnoteReference w:id="6"/>
      </w:r>
      <w:r w:rsidRPr="00627374">
        <w:t xml:space="preserve">  </w:t>
      </w:r>
    </w:p>
    <w:p w:rsidR="00261AC7" w:rsidRPr="00627374" w:rsidP="005B5100" w14:paraId="68C212C6" w14:textId="3BD7D0F6">
      <w:pPr>
        <w:pStyle w:val="ParaNum"/>
        <w:widowControl/>
      </w:pPr>
      <w:r w:rsidRPr="00627374">
        <w:t xml:space="preserve">On June 17, 2019, </w:t>
      </w:r>
      <w:r w:rsidR="0028168A">
        <w:t>Viasat</w:t>
      </w:r>
      <w:r w:rsidRPr="00627374">
        <w:t xml:space="preserve"> filed </w:t>
      </w:r>
      <w:r w:rsidR="00AE69F7">
        <w:t>a</w:t>
      </w:r>
      <w:r w:rsidRPr="00627374">
        <w:t xml:space="preserve"> request to modify the terms of the VIASAT-3 grant</w:t>
      </w:r>
      <w:r w:rsidR="005747D9">
        <w:t>, noting that delays related to construction of radio-frequency payload necessitated additional time to complete construction.</w:t>
      </w:r>
      <w:r>
        <w:rPr>
          <w:rStyle w:val="FootnoteReference"/>
          <w:sz w:val="22"/>
        </w:rPr>
        <w:footnoteReference w:id="7"/>
      </w:r>
      <w:r w:rsidRPr="00627374">
        <w:t xml:space="preserve">  </w:t>
      </w:r>
      <w:r w:rsidR="0028168A">
        <w:t>Viasat</w:t>
      </w:r>
      <w:r w:rsidR="005747D9">
        <w:t xml:space="preserve"> noted that it </w:t>
      </w:r>
      <w:r w:rsidRPr="00627374" w:rsidR="005747D9">
        <w:t>had expended over 80 percent of the total cost of developing and manufacturing the V</w:t>
      </w:r>
      <w:r w:rsidR="005747D9">
        <w:t>IASAT</w:t>
      </w:r>
      <w:r w:rsidRPr="00627374" w:rsidR="005747D9">
        <w:t>-3 satellite</w:t>
      </w:r>
      <w:r w:rsidR="005747D9">
        <w:t xml:space="preserve"> and that the </w:t>
      </w:r>
      <w:r w:rsidRPr="00627374" w:rsidR="005747D9">
        <w:t>satellite bus was in advanced integration and testing stages.</w:t>
      </w:r>
      <w:r>
        <w:rPr>
          <w:rStyle w:val="FootnoteReference"/>
          <w:sz w:val="22"/>
        </w:rPr>
        <w:footnoteReference w:id="8"/>
      </w:r>
      <w:r w:rsidR="005747D9">
        <w:t xml:space="preserve">  In granting the extension, </w:t>
      </w:r>
      <w:r w:rsidR="00064C7B">
        <w:t>we</w:t>
      </w:r>
      <w:r w:rsidR="003B5253">
        <w:t xml:space="preserve"> </w:t>
      </w:r>
      <w:r w:rsidRPr="00064C7B" w:rsidR="005747D9">
        <w:t>concluded</w:t>
      </w:r>
      <w:r w:rsidR="005747D9">
        <w:t xml:space="preserve"> that “there are unique and overriding public interest considerations that warrant </w:t>
      </w:r>
      <w:r w:rsidRPr="00627374" w:rsidR="005747D9">
        <w:t xml:space="preserve">grant </w:t>
      </w:r>
      <w:r w:rsidR="005747D9">
        <w:t xml:space="preserve">of </w:t>
      </w:r>
      <w:r w:rsidR="0028168A">
        <w:t>Viasat</w:t>
      </w:r>
      <w:r w:rsidRPr="00627374" w:rsidR="005747D9">
        <w:t>’s</w:t>
      </w:r>
      <w:r w:rsidRPr="00627374" w:rsidR="005747D9">
        <w:t xml:space="preserve"> request</w:t>
      </w:r>
      <w:r w:rsidR="005747D9">
        <w:t xml:space="preserve">,” and that there was no basis for concluding that </w:t>
      </w:r>
      <w:r w:rsidR="0028168A">
        <w:t>Viasat</w:t>
      </w:r>
      <w:r w:rsidR="005747D9">
        <w:t xml:space="preserve"> was unwilling or unable to proceed with completion of the satellite.</w:t>
      </w:r>
      <w:r>
        <w:rPr>
          <w:rStyle w:val="FootnoteReference"/>
        </w:rPr>
        <w:footnoteReference w:id="9"/>
      </w:r>
      <w:r w:rsidRPr="00627374" w:rsidR="005747D9">
        <w:t xml:space="preserve"> </w:t>
      </w:r>
      <w:r w:rsidR="005747D9">
        <w:t xml:space="preserve"> </w:t>
      </w:r>
      <w:r w:rsidR="00064C7B">
        <w:t xml:space="preserve">We </w:t>
      </w:r>
      <w:r w:rsidRPr="00064C7B" w:rsidR="005747D9">
        <w:t>concluded that</w:t>
      </w:r>
      <w:r w:rsidR="005747D9">
        <w:t xml:space="preserve"> </w:t>
      </w:r>
      <w:r w:rsidR="0028168A">
        <w:t>Viasat</w:t>
      </w:r>
      <w:r w:rsidR="005747D9">
        <w:t xml:space="preserve"> had demonstrated a </w:t>
      </w:r>
      <w:r w:rsidR="005747D9">
        <w:rPr>
          <w:color w:val="000000"/>
        </w:rPr>
        <w:t xml:space="preserve">substantial and continuing commitment towards completion and system implementation, that it was working diligently to overcome construction delays, and that there was no basis to inquire further as to whether the delays were a foreseeable outcome of </w:t>
      </w:r>
      <w:r w:rsidR="0028168A">
        <w:rPr>
          <w:color w:val="000000"/>
        </w:rPr>
        <w:t>Viasat</w:t>
      </w:r>
      <w:r w:rsidR="005747D9">
        <w:rPr>
          <w:color w:val="000000"/>
        </w:rPr>
        <w:t>’s</w:t>
      </w:r>
      <w:r w:rsidR="005747D9">
        <w:rPr>
          <w:color w:val="000000"/>
        </w:rPr>
        <w:t xml:space="preserve"> decision to alter its satellite design.</w:t>
      </w:r>
      <w:r>
        <w:rPr>
          <w:rStyle w:val="FootnoteReference"/>
        </w:rPr>
        <w:footnoteReference w:id="10"/>
      </w:r>
      <w:r w:rsidR="005747D9">
        <w:rPr>
          <w:color w:val="000000"/>
        </w:rPr>
        <w:t xml:space="preserve">  Additionally, </w:t>
      </w:r>
      <w:r w:rsidR="00064C7B">
        <w:rPr>
          <w:color w:val="000000"/>
        </w:rPr>
        <w:t>we n</w:t>
      </w:r>
      <w:r w:rsidR="005747D9">
        <w:rPr>
          <w:color w:val="000000"/>
        </w:rPr>
        <w:t xml:space="preserve">oted that </w:t>
      </w:r>
      <w:r w:rsidR="0028168A">
        <w:rPr>
          <w:color w:val="000000"/>
        </w:rPr>
        <w:t>Viasat</w:t>
      </w:r>
      <w:r w:rsidR="005747D9">
        <w:rPr>
          <w:color w:val="000000"/>
        </w:rPr>
        <w:t>’s</w:t>
      </w:r>
      <w:r w:rsidR="005747D9">
        <w:rPr>
          <w:color w:val="000000"/>
        </w:rPr>
        <w:t xml:space="preserve"> voluntary proposal to increase its milestone bond was consistent with and supportive of the Commission’s policy of using a market-based approach toward ensuring that licensees complete construction and not warehouse scarce resources</w:t>
      </w:r>
      <w:r w:rsidR="00C173A6">
        <w:rPr>
          <w:color w:val="000000"/>
        </w:rPr>
        <w:t>.</w:t>
      </w:r>
      <w:r>
        <w:rPr>
          <w:rStyle w:val="FootnoteReference"/>
        </w:rPr>
        <w:footnoteReference w:id="11"/>
      </w:r>
      <w:r w:rsidR="005747D9">
        <w:rPr>
          <w:color w:val="000000"/>
        </w:rPr>
        <w:t xml:space="preserve">  </w:t>
      </w:r>
      <w:r w:rsidR="005747D9">
        <w:t xml:space="preserve">The request was granted and, among other modifications authorized, the milestone for </w:t>
      </w:r>
      <w:r w:rsidRPr="00627374" w:rsidR="005747D9">
        <w:t>launch</w:t>
      </w:r>
      <w:r w:rsidR="005747D9">
        <w:t>ing</w:t>
      </w:r>
      <w:r w:rsidRPr="00627374" w:rsidR="005747D9">
        <w:t xml:space="preserve"> and begin</w:t>
      </w:r>
      <w:r w:rsidR="005747D9">
        <w:t>ning</w:t>
      </w:r>
      <w:r w:rsidRPr="00627374" w:rsidR="005747D9">
        <w:t xml:space="preserve"> operations </w:t>
      </w:r>
      <w:r w:rsidR="005747D9">
        <w:t xml:space="preserve">was extended </w:t>
      </w:r>
      <w:r w:rsidRPr="00627374" w:rsidR="005747D9">
        <w:t>until December 31, 2021.</w:t>
      </w:r>
      <w:r>
        <w:rPr>
          <w:rStyle w:val="FootnoteReference"/>
        </w:rPr>
        <w:footnoteReference w:id="12"/>
      </w:r>
      <w:r w:rsidR="00B70F60">
        <w:t xml:space="preserve"> </w:t>
      </w:r>
    </w:p>
    <w:p w:rsidR="005B5100" w:rsidP="001309A1" w14:paraId="785711CA" w14:textId="66E4F119">
      <w:pPr>
        <w:pStyle w:val="ParaNum"/>
        <w:widowControl/>
      </w:pPr>
      <w:r>
        <w:t xml:space="preserve">On August 25, 2021, </w:t>
      </w:r>
      <w:r w:rsidR="0028168A">
        <w:t>Viasat</w:t>
      </w:r>
      <w:r>
        <w:t xml:space="preserve"> filed </w:t>
      </w:r>
      <w:r w:rsidR="00640668">
        <w:t>a</w:t>
      </w:r>
      <w:r>
        <w:t xml:space="preserve"> request to extend or waive </w:t>
      </w:r>
      <w:r w:rsidR="00B13A62">
        <w:t xml:space="preserve">the launch and begin operations milestone </w:t>
      </w:r>
      <w:r w:rsidR="006D62C6">
        <w:t>until October 31, 2022</w:t>
      </w:r>
      <w:r w:rsidR="00111A7A">
        <w:t>,</w:t>
      </w:r>
      <w:r>
        <w:rPr>
          <w:rStyle w:val="FootnoteReference"/>
        </w:rPr>
        <w:footnoteReference w:id="13"/>
      </w:r>
      <w:r>
        <w:t xml:space="preserve"> </w:t>
      </w:r>
      <w:r w:rsidR="00111A7A">
        <w:t xml:space="preserve">stating that additional time was required due to unforeseen circumstances beyond </w:t>
      </w:r>
      <w:r w:rsidR="00111A7A">
        <w:t>Viasat’s</w:t>
      </w:r>
      <w:r w:rsidR="00111A7A">
        <w:t xml:space="preserve"> control, specifically dela</w:t>
      </w:r>
      <w:r w:rsidR="00DB3CEC">
        <w:t>y</w:t>
      </w:r>
      <w:r w:rsidR="00111A7A">
        <w:t>s due to the COVID-19 pandemic.</w:t>
      </w:r>
      <w:r>
        <w:rPr>
          <w:rStyle w:val="FootnoteReference"/>
        </w:rPr>
        <w:footnoteReference w:id="14"/>
      </w:r>
      <w:r w:rsidR="00111A7A">
        <w:t xml:space="preserve">  </w:t>
      </w:r>
      <w:r w:rsidR="00121D30">
        <w:t xml:space="preserve">In </w:t>
      </w:r>
      <w:r w:rsidR="00EC56BF">
        <w:t>that</w:t>
      </w:r>
      <w:r w:rsidR="00121D30">
        <w:t xml:space="preserve"> request, </w:t>
      </w:r>
      <w:r w:rsidR="00121D30">
        <w:t>Viasat</w:t>
      </w:r>
      <w:r w:rsidR="00121D30">
        <w:t xml:space="preserve"> state</w:t>
      </w:r>
      <w:r w:rsidR="00EC56BF">
        <w:t>d</w:t>
      </w:r>
      <w:r w:rsidR="00121D30">
        <w:t xml:space="preserve"> that it ha</w:t>
      </w:r>
      <w:r w:rsidR="00293B60">
        <w:t>d</w:t>
      </w:r>
      <w:r w:rsidR="00121D30">
        <w:t xml:space="preserve"> expended approximately 89 percent of the total construction costs and expect</w:t>
      </w:r>
      <w:r w:rsidR="00EC56BF">
        <w:t>ed</w:t>
      </w:r>
      <w:r w:rsidR="00121D30">
        <w:t xml:space="preserve"> this number to increase to 93 percent by the end of 2021,</w:t>
      </w:r>
      <w:r w:rsidR="00121D30">
        <w:rPr>
          <w:rStyle w:val="FootnoteReference"/>
        </w:rPr>
        <w:t xml:space="preserve"> </w:t>
      </w:r>
      <w:r w:rsidR="00121D30">
        <w:t xml:space="preserve"> and that it ha</w:t>
      </w:r>
      <w:r w:rsidR="00EC56BF">
        <w:t>d</w:t>
      </w:r>
      <w:r w:rsidR="00121D30">
        <w:t xml:space="preserve"> secured a launch slot, expended more than 70 percent of launch-related costs, and made significant progress towards deploying the necessary ground infrastructure.</w:t>
      </w:r>
      <w:r>
        <w:rPr>
          <w:rStyle w:val="FootnoteReference"/>
        </w:rPr>
        <w:footnoteReference w:id="15"/>
      </w:r>
      <w:r w:rsidR="00121D30">
        <w:t xml:space="preserve">  </w:t>
      </w:r>
      <w:r w:rsidR="00121D30">
        <w:t>Viasat</w:t>
      </w:r>
      <w:r w:rsidR="00121D30">
        <w:t xml:space="preserve"> </w:t>
      </w:r>
      <w:r w:rsidR="00EC56BF">
        <w:t xml:space="preserve">stated </w:t>
      </w:r>
      <w:r w:rsidR="00121D30">
        <w:t>that it ha</w:t>
      </w:r>
      <w:r w:rsidR="00EC56BF">
        <w:t>d</w:t>
      </w:r>
      <w:r w:rsidR="00121D30">
        <w:t xml:space="preserve"> completed two telemetry, tracking, and </w:t>
      </w:r>
      <w:r w:rsidR="00EC56BF">
        <w:t xml:space="preserve">control sites, </w:t>
      </w:r>
      <w:r w:rsidR="00121D30">
        <w:t>and made “very significant progress” regarding the deployment of satellite access nodes (SANs) by conducting extensive engineering work and having completed terrestrial coordination for “almost all” SANs locations that will be used once VIASAT-3 is brought into service.</w:t>
      </w:r>
      <w:r>
        <w:rPr>
          <w:rStyle w:val="FootnoteReference"/>
          <w:sz w:val="22"/>
        </w:rPr>
        <w:footnoteReference w:id="16"/>
      </w:r>
      <w:r w:rsidR="00121D30">
        <w:t xml:space="preserve">  </w:t>
      </w:r>
      <w:r w:rsidR="00121D30">
        <w:rPr>
          <w:color w:val="000000"/>
        </w:rPr>
        <w:t>Viasat</w:t>
      </w:r>
      <w:r w:rsidRPr="00BE3226" w:rsidR="00121D30">
        <w:rPr>
          <w:color w:val="000000"/>
        </w:rPr>
        <w:t xml:space="preserve"> </w:t>
      </w:r>
      <w:r w:rsidRPr="004678FC" w:rsidR="00121D30">
        <w:rPr>
          <w:color w:val="000000"/>
        </w:rPr>
        <w:t>state</w:t>
      </w:r>
      <w:r w:rsidR="00EC56BF">
        <w:rPr>
          <w:color w:val="000000"/>
        </w:rPr>
        <w:t>d</w:t>
      </w:r>
      <w:r w:rsidRPr="00BE3226" w:rsidR="00121D30">
        <w:rPr>
          <w:color w:val="000000"/>
        </w:rPr>
        <w:t xml:space="preserve"> that the </w:t>
      </w:r>
      <w:r w:rsidR="00121D30">
        <w:rPr>
          <w:color w:val="000000"/>
        </w:rPr>
        <w:t>COVID</w:t>
      </w:r>
      <w:r w:rsidRPr="00BE3226" w:rsidR="00121D30">
        <w:rPr>
          <w:color w:val="000000"/>
        </w:rPr>
        <w:t>-19 pandemic, however, ha</w:t>
      </w:r>
      <w:r w:rsidR="00EC56BF">
        <w:rPr>
          <w:color w:val="000000"/>
        </w:rPr>
        <w:t>d</w:t>
      </w:r>
      <w:r w:rsidRPr="00BE3226" w:rsidR="00121D30">
        <w:rPr>
          <w:color w:val="000000"/>
        </w:rPr>
        <w:t xml:space="preserve"> resulted in supply chain</w:t>
      </w:r>
      <w:r w:rsidR="00121D30">
        <w:rPr>
          <w:color w:val="000000"/>
        </w:rPr>
        <w:t xml:space="preserve"> and</w:t>
      </w:r>
      <w:r w:rsidRPr="00BE3226" w:rsidR="00121D30">
        <w:rPr>
          <w:color w:val="000000"/>
        </w:rPr>
        <w:t xml:space="preserve"> human resource disruptions, and </w:t>
      </w:r>
      <w:r w:rsidR="00121D30">
        <w:rPr>
          <w:color w:val="000000"/>
        </w:rPr>
        <w:t xml:space="preserve">consequent </w:t>
      </w:r>
      <w:r w:rsidRPr="00BE3226" w:rsidR="00121D30">
        <w:rPr>
          <w:color w:val="000000"/>
        </w:rPr>
        <w:t xml:space="preserve">construction and delivery delays beyond </w:t>
      </w:r>
      <w:r w:rsidR="00121D30">
        <w:rPr>
          <w:color w:val="000000"/>
        </w:rPr>
        <w:t>Viasat</w:t>
      </w:r>
      <w:r w:rsidRPr="00BE3226" w:rsidR="00121D30">
        <w:rPr>
          <w:color w:val="000000"/>
        </w:rPr>
        <w:t>’s</w:t>
      </w:r>
      <w:r w:rsidRPr="00BE3226" w:rsidR="00121D30">
        <w:rPr>
          <w:color w:val="000000"/>
        </w:rPr>
        <w:t xml:space="preserve"> control</w:t>
      </w:r>
      <w:r>
        <w:rPr>
          <w:rStyle w:val="FootnoteReference"/>
        </w:rPr>
        <w:footnoteReference w:id="17"/>
      </w:r>
      <w:r w:rsidRPr="00BE3226" w:rsidR="00121D30">
        <w:rPr>
          <w:color w:val="000000"/>
        </w:rPr>
        <w:t xml:space="preserve"> </w:t>
      </w:r>
      <w:r w:rsidR="00EC56BF">
        <w:rPr>
          <w:color w:val="000000"/>
        </w:rPr>
        <w:t>that made</w:t>
      </w:r>
      <w:r w:rsidRPr="00BE3226" w:rsidR="00121D30">
        <w:rPr>
          <w:color w:val="000000"/>
        </w:rPr>
        <w:t xml:space="preserve"> the Decemb</w:t>
      </w:r>
      <w:r w:rsidR="00121D30">
        <w:rPr>
          <w:color w:val="000000"/>
        </w:rPr>
        <w:t xml:space="preserve">er </w:t>
      </w:r>
      <w:r w:rsidRPr="00BE3226" w:rsidR="00121D30">
        <w:rPr>
          <w:color w:val="000000"/>
        </w:rPr>
        <w:t>31, 2021</w:t>
      </w:r>
      <w:r w:rsidR="00EC56BF">
        <w:rPr>
          <w:color w:val="000000"/>
        </w:rPr>
        <w:t>,</w:t>
      </w:r>
      <w:r w:rsidRPr="00BE3226" w:rsidR="00121D30">
        <w:rPr>
          <w:color w:val="000000"/>
        </w:rPr>
        <w:t xml:space="preserve"> </w:t>
      </w:r>
      <w:r w:rsidRPr="00BE3226" w:rsidR="00121D30">
        <w:rPr>
          <w:color w:val="000000"/>
        </w:rPr>
        <w:t>launch and operation milestone deadline unattainable.</w:t>
      </w:r>
      <w:r>
        <w:rPr>
          <w:rStyle w:val="FootnoteReference"/>
        </w:rPr>
        <w:footnoteReference w:id="18"/>
      </w:r>
      <w:r w:rsidRPr="00BE3226" w:rsidR="00121D30">
        <w:rPr>
          <w:color w:val="000000"/>
        </w:rPr>
        <w:t xml:space="preserve">  </w:t>
      </w:r>
      <w:r w:rsidR="00121D30">
        <w:rPr>
          <w:color w:val="000000"/>
        </w:rPr>
        <w:t>Viasat</w:t>
      </w:r>
      <w:r w:rsidRPr="00BE3226" w:rsidR="00121D30">
        <w:rPr>
          <w:color w:val="000000"/>
        </w:rPr>
        <w:t xml:space="preserve"> also </w:t>
      </w:r>
      <w:r w:rsidR="00EC56BF">
        <w:rPr>
          <w:color w:val="000000"/>
        </w:rPr>
        <w:t xml:space="preserve">noted </w:t>
      </w:r>
      <w:r w:rsidRPr="00BE3226" w:rsidR="00121D30">
        <w:rPr>
          <w:color w:val="000000"/>
        </w:rPr>
        <w:t>that although it ha</w:t>
      </w:r>
      <w:r w:rsidR="00EC56BF">
        <w:rPr>
          <w:color w:val="000000"/>
        </w:rPr>
        <w:t>d</w:t>
      </w:r>
      <w:r w:rsidRPr="00BE3226" w:rsidR="00121D30">
        <w:rPr>
          <w:color w:val="000000"/>
        </w:rPr>
        <w:t xml:space="preserve"> completed construction of the V</w:t>
      </w:r>
      <w:r w:rsidR="00121D30">
        <w:rPr>
          <w:color w:val="000000"/>
        </w:rPr>
        <w:t>IASAT</w:t>
      </w:r>
      <w:r w:rsidRPr="00BE3226" w:rsidR="00121D30">
        <w:rPr>
          <w:color w:val="000000"/>
        </w:rPr>
        <w:t xml:space="preserve">-3 </w:t>
      </w:r>
      <w:r w:rsidR="00121D30">
        <w:rPr>
          <w:color w:val="000000"/>
        </w:rPr>
        <w:t xml:space="preserve">radio-frequency module </w:t>
      </w:r>
      <w:r w:rsidRPr="00BE3226" w:rsidR="00121D30">
        <w:rPr>
          <w:color w:val="000000"/>
        </w:rPr>
        <w:t>and delivered it to</w:t>
      </w:r>
      <w:r w:rsidR="00121D30">
        <w:rPr>
          <w:color w:val="000000"/>
        </w:rPr>
        <w:t xml:space="preserve"> Boeing for integration into the satellite bus,</w:t>
      </w:r>
      <w:r w:rsidRPr="00BE3226" w:rsidR="00121D30">
        <w:rPr>
          <w:color w:val="000000"/>
        </w:rPr>
        <w:t xml:space="preserve"> </w:t>
      </w:r>
      <w:r w:rsidR="00121D30">
        <w:rPr>
          <w:color w:val="000000"/>
        </w:rPr>
        <w:t>COVID</w:t>
      </w:r>
      <w:r w:rsidRPr="00BE3226" w:rsidR="00121D30">
        <w:rPr>
          <w:color w:val="000000"/>
        </w:rPr>
        <w:t>-related disruptions ha</w:t>
      </w:r>
      <w:r w:rsidR="00EC56BF">
        <w:rPr>
          <w:color w:val="000000"/>
        </w:rPr>
        <w:t>d</w:t>
      </w:r>
      <w:r w:rsidRPr="00BE3226" w:rsidR="00121D30">
        <w:rPr>
          <w:color w:val="000000"/>
        </w:rPr>
        <w:t xml:space="preserve"> affected Boeing’s ability to complete </w:t>
      </w:r>
      <w:r w:rsidR="00121D30">
        <w:rPr>
          <w:color w:val="000000"/>
        </w:rPr>
        <w:t xml:space="preserve">integration </w:t>
      </w:r>
      <w:r w:rsidRPr="00BE3226" w:rsidR="00121D30">
        <w:rPr>
          <w:color w:val="000000"/>
        </w:rPr>
        <w:t>in a timely fashio</w:t>
      </w:r>
      <w:r w:rsidRPr="00551853" w:rsidR="00121D30">
        <w:rPr>
          <w:color w:val="000000"/>
        </w:rPr>
        <w:t>n</w:t>
      </w:r>
      <w:r w:rsidR="00121D30">
        <w:rPr>
          <w:color w:val="000000"/>
        </w:rPr>
        <w:t>.</w:t>
      </w:r>
      <w:r>
        <w:rPr>
          <w:rStyle w:val="FootnoteReference"/>
        </w:rPr>
        <w:footnoteReference w:id="19"/>
      </w:r>
      <w:r w:rsidR="00C173A6">
        <w:rPr>
          <w:color w:val="000000"/>
        </w:rPr>
        <w:t xml:space="preserve">  </w:t>
      </w:r>
      <w:r w:rsidR="00C173A6">
        <w:t xml:space="preserve">The request was granted and, among other modifications authorized, the milestone for </w:t>
      </w:r>
      <w:r w:rsidRPr="00627374" w:rsidR="00C173A6">
        <w:t>launch</w:t>
      </w:r>
      <w:r w:rsidR="00C173A6">
        <w:t>ing</w:t>
      </w:r>
      <w:r w:rsidRPr="00627374" w:rsidR="00C173A6">
        <w:t xml:space="preserve"> and begin</w:t>
      </w:r>
      <w:r w:rsidR="00C173A6">
        <w:t>ning</w:t>
      </w:r>
      <w:r w:rsidRPr="00627374" w:rsidR="00C173A6">
        <w:t xml:space="preserve"> operations </w:t>
      </w:r>
      <w:r w:rsidR="00C173A6">
        <w:t xml:space="preserve">was extended </w:t>
      </w:r>
      <w:r w:rsidRPr="00627374" w:rsidR="00C173A6">
        <w:t xml:space="preserve">until </w:t>
      </w:r>
      <w:r w:rsidR="00C173A6">
        <w:t>October</w:t>
      </w:r>
      <w:r w:rsidRPr="00627374" w:rsidR="00C173A6">
        <w:t xml:space="preserve"> 31, 202</w:t>
      </w:r>
      <w:r w:rsidR="00C173A6">
        <w:t>2.</w:t>
      </w:r>
      <w:r>
        <w:rPr>
          <w:rStyle w:val="FootnoteReference"/>
        </w:rPr>
        <w:footnoteReference w:id="20"/>
      </w:r>
    </w:p>
    <w:p w:rsidR="00C173A6" w:rsidRPr="00261AC7" w:rsidP="00BD6027" w14:paraId="07459866" w14:textId="2DA5AB15">
      <w:pPr>
        <w:pStyle w:val="ParaNum"/>
        <w:widowControl/>
      </w:pPr>
      <w:r>
        <w:t xml:space="preserve">On August 19, 2022, </w:t>
      </w:r>
      <w:r>
        <w:t>Viasat</w:t>
      </w:r>
      <w:r>
        <w:t xml:space="preserve"> filed the present request to extend or waive the launch and begin operations milestone until April 3</w:t>
      </w:r>
      <w:r w:rsidR="006D47B5">
        <w:t>0</w:t>
      </w:r>
      <w:r>
        <w:t xml:space="preserve">, 2023.  </w:t>
      </w:r>
      <w:r>
        <w:t>Viasat</w:t>
      </w:r>
      <w:r w:rsidRPr="00627374">
        <w:t>’s</w:t>
      </w:r>
      <w:r w:rsidRPr="00627374">
        <w:t xml:space="preserve"> request was accepted for filing and placed on public notice</w:t>
      </w:r>
      <w:r>
        <w:t>,</w:t>
      </w:r>
      <w:r>
        <w:rPr>
          <w:rStyle w:val="FootnoteReference"/>
          <w:sz w:val="22"/>
        </w:rPr>
        <w:footnoteReference w:id="21"/>
      </w:r>
      <w:r w:rsidRPr="00627374">
        <w:t xml:space="preserve"> </w:t>
      </w:r>
      <w:r>
        <w:t>and no comments were filed in response.</w:t>
      </w:r>
    </w:p>
    <w:p w:rsidR="005B5100" w:rsidRPr="00627374" w:rsidP="003C6DA9" w14:paraId="3F5266BF" w14:textId="77777777">
      <w:pPr>
        <w:pStyle w:val="Heading1"/>
      </w:pPr>
      <w:r w:rsidRPr="00627374">
        <w:t xml:space="preserve"> </w:t>
      </w:r>
      <w:r w:rsidR="00261AC7">
        <w:t>Discussion</w:t>
      </w:r>
    </w:p>
    <w:p w:rsidR="00111A7A" w:rsidRPr="00627374" w:rsidP="005F3B25" w14:paraId="0201BD49" w14:textId="0A5DA2F1">
      <w:pPr>
        <w:pStyle w:val="ParaNum"/>
        <w:widowControl/>
      </w:pPr>
      <w:r w:rsidRPr="00627374">
        <w:t>Milestone extensions may be granted when the delay</w:t>
      </w:r>
      <w:r w:rsidR="004678FC">
        <w:t xml:space="preserve"> in meeting the milestone</w:t>
      </w:r>
      <w:r w:rsidRPr="00627374">
        <w:t xml:space="preserve"> is due to unforeseeable circumstances beyond the applicant’s control, or when there are unique and overriding public interest concerns that justify an extension</w:t>
      </w:r>
      <w:r w:rsidR="00EC1353">
        <w:t>.</w:t>
      </w:r>
      <w:r>
        <w:rPr>
          <w:rStyle w:val="FootnoteReference"/>
          <w:sz w:val="22"/>
        </w:rPr>
        <w:footnoteReference w:id="22"/>
      </w:r>
      <w:r w:rsidRPr="00627374">
        <w:t xml:space="preserve"> </w:t>
      </w:r>
      <w:r w:rsidR="00ED0A5B">
        <w:t xml:space="preserve"> </w:t>
      </w:r>
      <w:r w:rsidR="00EC1353">
        <w:t>A</w:t>
      </w:r>
      <w:r w:rsidR="00B13A62">
        <w:t xml:space="preserve">dditionally, </w:t>
      </w:r>
      <w:r w:rsidR="0035169D">
        <w:t>a</w:t>
      </w:r>
      <w:r w:rsidRPr="00627374">
        <w:t>n applicant must justify the precise extension period requested.</w:t>
      </w:r>
      <w:r>
        <w:rPr>
          <w:rStyle w:val="FootnoteReference"/>
          <w:sz w:val="22"/>
        </w:rPr>
        <w:footnoteReference w:id="23"/>
      </w:r>
      <w:r>
        <w:t xml:space="preserve">  </w:t>
      </w:r>
      <w:r w:rsidR="002C5D05">
        <w:t xml:space="preserve">According to </w:t>
      </w:r>
      <w:r w:rsidR="0028168A">
        <w:t>Viasat</w:t>
      </w:r>
      <w:r w:rsidR="002C5D05">
        <w:t>,</w:t>
      </w:r>
      <w:r w:rsidR="000C6BAE">
        <w:t xml:space="preserve"> it ha</w:t>
      </w:r>
      <w:r w:rsidR="00B33993">
        <w:t>s</w:t>
      </w:r>
      <w:r w:rsidR="000C6BAE">
        <w:t xml:space="preserve"> </w:t>
      </w:r>
      <w:r w:rsidR="00EC0B9B">
        <w:t xml:space="preserve">now </w:t>
      </w:r>
      <w:r w:rsidR="000C6BAE">
        <w:t xml:space="preserve">expended approximately </w:t>
      </w:r>
      <w:r w:rsidR="00B33993">
        <w:t>95</w:t>
      </w:r>
      <w:r w:rsidR="000C6BAE">
        <w:t xml:space="preserve"> percent of the total construction costs and expect</w:t>
      </w:r>
      <w:r w:rsidR="00B33993">
        <w:t>s</w:t>
      </w:r>
      <w:r w:rsidR="000C6BAE">
        <w:t xml:space="preserve"> this </w:t>
      </w:r>
      <w:r w:rsidR="004E7408">
        <w:t xml:space="preserve">number </w:t>
      </w:r>
      <w:r w:rsidR="000C6BAE">
        <w:t>to increase to 9</w:t>
      </w:r>
      <w:r w:rsidR="00B33993">
        <w:t>8</w:t>
      </w:r>
      <w:r w:rsidR="000C6BAE">
        <w:t xml:space="preserve"> percent by</w:t>
      </w:r>
      <w:r w:rsidR="00BE3226">
        <w:t xml:space="preserve"> the</w:t>
      </w:r>
      <w:r w:rsidR="000C6BAE">
        <w:t xml:space="preserve"> end of </w:t>
      </w:r>
      <w:r w:rsidR="00B33993">
        <w:t>October 2022</w:t>
      </w:r>
      <w:r w:rsidR="006462E1">
        <w:t>,</w:t>
      </w:r>
      <w:r w:rsidR="004E7408">
        <w:rPr>
          <w:rStyle w:val="FootnoteReference"/>
        </w:rPr>
        <w:t xml:space="preserve"> </w:t>
      </w:r>
      <w:r w:rsidR="000C6BAE">
        <w:t xml:space="preserve"> </w:t>
      </w:r>
      <w:r w:rsidR="000E458D">
        <w:t xml:space="preserve">and </w:t>
      </w:r>
      <w:r w:rsidR="00F863D5">
        <w:t xml:space="preserve">it has </w:t>
      </w:r>
      <w:r>
        <w:t xml:space="preserve">expended more than </w:t>
      </w:r>
      <w:r w:rsidR="00B33993">
        <w:t>95</w:t>
      </w:r>
      <w:r>
        <w:t xml:space="preserve"> percent of launch-related costs</w:t>
      </w:r>
      <w:r w:rsidR="002B11E2">
        <w:t>.</w:t>
      </w:r>
      <w:r>
        <w:rPr>
          <w:rStyle w:val="FootnoteReference"/>
        </w:rPr>
        <w:footnoteReference w:id="24"/>
      </w:r>
      <w:r w:rsidR="002B11E2">
        <w:t xml:space="preserve">  </w:t>
      </w:r>
      <w:r w:rsidR="002C5D05">
        <w:t>Viasat</w:t>
      </w:r>
      <w:r w:rsidR="002C5D05">
        <w:t xml:space="preserve"> states that it has completed construction of the satellite’s payload</w:t>
      </w:r>
      <w:r w:rsidR="00840DEC">
        <w:t xml:space="preserve">, </w:t>
      </w:r>
      <w:r w:rsidRPr="00EE45C9" w:rsidR="00840DEC">
        <w:rPr>
          <w:i/>
          <w:iCs/>
        </w:rPr>
        <w:t>i.e.</w:t>
      </w:r>
      <w:r w:rsidR="00840DEC">
        <w:t>, the equipment that receives and generates radiofrequency signals.</w:t>
      </w:r>
      <w:r w:rsidR="002C5D05">
        <w:t xml:space="preserve"> </w:t>
      </w:r>
      <w:r w:rsidR="00324837">
        <w:t xml:space="preserve"> </w:t>
      </w:r>
      <w:r w:rsidR="00840DEC">
        <w:t>T</w:t>
      </w:r>
      <w:r w:rsidR="002C5D05">
        <w:t>he completed module</w:t>
      </w:r>
      <w:r w:rsidR="00840DEC">
        <w:t xml:space="preserve"> has been provided</w:t>
      </w:r>
      <w:r w:rsidR="002C5D05">
        <w:t xml:space="preserve"> to Boeing for integration</w:t>
      </w:r>
      <w:r w:rsidR="00A44D1E">
        <w:t>, and Boeing is completing all major environmental testing of the integrated satellite</w:t>
      </w:r>
      <w:r w:rsidR="002C5D05">
        <w:t>.</w:t>
      </w:r>
      <w:r>
        <w:rPr>
          <w:rStyle w:val="FootnoteReference"/>
        </w:rPr>
        <w:footnoteReference w:id="25"/>
      </w:r>
      <w:r w:rsidR="002C5D05">
        <w:t xml:space="preserve">  </w:t>
      </w:r>
      <w:r w:rsidR="002C5D05">
        <w:t>Viasat</w:t>
      </w:r>
      <w:r w:rsidR="002C5D05">
        <w:t xml:space="preserve"> notes, however, that </w:t>
      </w:r>
      <w:r w:rsidRPr="002B11E2">
        <w:rPr>
          <w:color w:val="000000"/>
        </w:rPr>
        <w:t xml:space="preserve">the COVID-19 pandemic </w:t>
      </w:r>
      <w:r w:rsidRPr="002B11E2" w:rsidR="00B33993">
        <w:rPr>
          <w:color w:val="000000"/>
        </w:rPr>
        <w:t>continues to create</w:t>
      </w:r>
      <w:r w:rsidRPr="002B11E2">
        <w:rPr>
          <w:color w:val="000000"/>
        </w:rPr>
        <w:t xml:space="preserve"> supply chain and human resource disruptions, and consequent construction and delivery delays beyond </w:t>
      </w:r>
      <w:r w:rsidRPr="002B11E2">
        <w:rPr>
          <w:color w:val="000000"/>
        </w:rPr>
        <w:t>Viasat’s</w:t>
      </w:r>
      <w:r w:rsidRPr="002B11E2">
        <w:rPr>
          <w:color w:val="000000"/>
        </w:rPr>
        <w:t xml:space="preserve"> control,</w:t>
      </w:r>
      <w:r>
        <w:rPr>
          <w:rStyle w:val="FootnoteReference"/>
        </w:rPr>
        <w:footnoteReference w:id="26"/>
      </w:r>
      <w:r w:rsidRPr="002B11E2">
        <w:rPr>
          <w:color w:val="000000"/>
        </w:rPr>
        <w:t xml:space="preserve"> making the </w:t>
      </w:r>
      <w:r w:rsidRPr="002B11E2" w:rsidR="00B33993">
        <w:rPr>
          <w:color w:val="000000"/>
        </w:rPr>
        <w:t>October</w:t>
      </w:r>
      <w:r w:rsidRPr="002B11E2">
        <w:rPr>
          <w:color w:val="000000"/>
        </w:rPr>
        <w:t xml:space="preserve"> 31, 202</w:t>
      </w:r>
      <w:r w:rsidRPr="002B11E2" w:rsidR="00B33993">
        <w:rPr>
          <w:color w:val="000000"/>
        </w:rPr>
        <w:t>2</w:t>
      </w:r>
      <w:r w:rsidRPr="002B11E2">
        <w:rPr>
          <w:color w:val="000000"/>
        </w:rPr>
        <w:t xml:space="preserve"> launch and operation milestone deadline unattainable.</w:t>
      </w:r>
      <w:r>
        <w:rPr>
          <w:rStyle w:val="FootnoteReference"/>
        </w:rPr>
        <w:footnoteReference w:id="27"/>
      </w:r>
      <w:r w:rsidRPr="002B11E2" w:rsidR="00B33993">
        <w:rPr>
          <w:color w:val="000000"/>
        </w:rPr>
        <w:t xml:space="preserve">  </w:t>
      </w:r>
      <w:r w:rsidRPr="002B11E2" w:rsidR="00EC0B9B">
        <w:rPr>
          <w:color w:val="000000"/>
        </w:rPr>
        <w:t>Viasat</w:t>
      </w:r>
      <w:r w:rsidRPr="002B11E2" w:rsidR="00EC0B9B">
        <w:rPr>
          <w:color w:val="000000"/>
        </w:rPr>
        <w:t xml:space="preserve"> </w:t>
      </w:r>
      <w:r w:rsidR="00147A81">
        <w:rPr>
          <w:color w:val="000000"/>
        </w:rPr>
        <w:t>notes</w:t>
      </w:r>
      <w:r w:rsidRPr="002B11E2" w:rsidR="00EC0B9B">
        <w:rPr>
          <w:color w:val="000000"/>
        </w:rPr>
        <w:t xml:space="preserve"> that persistent staff shortages at Boeing</w:t>
      </w:r>
      <w:r w:rsidR="004037E2">
        <w:rPr>
          <w:color w:val="000000"/>
        </w:rPr>
        <w:t>, C</w:t>
      </w:r>
      <w:r w:rsidR="00E50ED1">
        <w:rPr>
          <w:color w:val="000000"/>
        </w:rPr>
        <w:t>OVID-19</w:t>
      </w:r>
      <w:r w:rsidR="004037E2">
        <w:rPr>
          <w:color w:val="000000"/>
        </w:rPr>
        <w:t>-related changes to working conditions in the Boeing factor</w:t>
      </w:r>
      <w:r w:rsidR="001B3BB9">
        <w:rPr>
          <w:color w:val="000000"/>
        </w:rPr>
        <w:t>y</w:t>
      </w:r>
      <w:r w:rsidR="004037E2">
        <w:rPr>
          <w:color w:val="000000"/>
        </w:rPr>
        <w:t>,</w:t>
      </w:r>
      <w:r w:rsidRPr="002B11E2" w:rsidR="00EC0B9B">
        <w:rPr>
          <w:color w:val="000000"/>
        </w:rPr>
        <w:t xml:space="preserve"> and other changes </w:t>
      </w:r>
      <w:r w:rsidR="001B3BB9">
        <w:rPr>
          <w:color w:val="000000"/>
        </w:rPr>
        <w:t xml:space="preserve">resulting from public health directives </w:t>
      </w:r>
      <w:r w:rsidRPr="002B11E2" w:rsidR="00EC0B9B">
        <w:rPr>
          <w:color w:val="000000"/>
        </w:rPr>
        <w:t xml:space="preserve">have delayed </w:t>
      </w:r>
      <w:r w:rsidR="001B3BB9">
        <w:rPr>
          <w:color w:val="000000"/>
        </w:rPr>
        <w:t xml:space="preserve">Boeing’s </w:t>
      </w:r>
      <w:r w:rsidRPr="002B11E2" w:rsidR="00A44D1E">
        <w:rPr>
          <w:color w:val="000000"/>
        </w:rPr>
        <w:t xml:space="preserve">completion of </w:t>
      </w:r>
      <w:r w:rsidRPr="002B11E2" w:rsidR="00EC0B9B">
        <w:rPr>
          <w:color w:val="000000"/>
        </w:rPr>
        <w:t xml:space="preserve">the </w:t>
      </w:r>
      <w:r w:rsidRPr="002B11E2" w:rsidR="00A44D1E">
        <w:rPr>
          <w:color w:val="000000"/>
        </w:rPr>
        <w:t xml:space="preserve">final phase of the </w:t>
      </w:r>
      <w:r w:rsidRPr="002B11E2" w:rsidR="00EC0B9B">
        <w:rPr>
          <w:color w:val="000000"/>
        </w:rPr>
        <w:t>construction process</w:t>
      </w:r>
      <w:r w:rsidR="001B3BB9">
        <w:rPr>
          <w:color w:val="000000"/>
        </w:rPr>
        <w:t>.</w:t>
      </w:r>
      <w:r>
        <w:rPr>
          <w:rStyle w:val="FootnoteReference"/>
        </w:rPr>
        <w:footnoteReference w:id="28"/>
      </w:r>
      <w:r w:rsidR="001B3BB9">
        <w:rPr>
          <w:color w:val="000000"/>
        </w:rPr>
        <w:t xml:space="preserve">  In </w:t>
      </w:r>
      <w:r w:rsidRPr="002B11E2" w:rsidR="00EC0B9B">
        <w:rPr>
          <w:color w:val="000000"/>
        </w:rPr>
        <w:t>response to such delays</w:t>
      </w:r>
      <w:r w:rsidR="001B3BB9">
        <w:rPr>
          <w:color w:val="000000"/>
        </w:rPr>
        <w:t>,</w:t>
      </w:r>
      <w:r w:rsidRPr="002B11E2" w:rsidR="00EC0B9B">
        <w:rPr>
          <w:color w:val="000000"/>
        </w:rPr>
        <w:t xml:space="preserve"> </w:t>
      </w:r>
      <w:r w:rsidRPr="002B11E2" w:rsidR="00B33993">
        <w:rPr>
          <w:color w:val="000000"/>
        </w:rPr>
        <w:t>Viasat</w:t>
      </w:r>
      <w:r w:rsidRPr="002B11E2" w:rsidR="00B33993">
        <w:rPr>
          <w:color w:val="000000"/>
        </w:rPr>
        <w:t xml:space="preserve"> </w:t>
      </w:r>
      <w:r w:rsidR="001B3BB9">
        <w:rPr>
          <w:color w:val="000000"/>
        </w:rPr>
        <w:t xml:space="preserve">states that it </w:t>
      </w:r>
      <w:r w:rsidRPr="002B11E2" w:rsidR="00EC0B9B">
        <w:rPr>
          <w:color w:val="000000"/>
        </w:rPr>
        <w:t xml:space="preserve">has assigned </w:t>
      </w:r>
      <w:r w:rsidRPr="002B11E2" w:rsidR="00B33993">
        <w:rPr>
          <w:color w:val="000000"/>
        </w:rPr>
        <w:t>more personnel to Boeing</w:t>
      </w:r>
      <w:r w:rsidRPr="002B11E2" w:rsidR="00EC0B9B">
        <w:rPr>
          <w:color w:val="000000"/>
        </w:rPr>
        <w:t xml:space="preserve"> to improve performance</w:t>
      </w:r>
      <w:r w:rsidRPr="002B11E2" w:rsidR="00B33993">
        <w:rPr>
          <w:color w:val="000000"/>
        </w:rPr>
        <w:t>.</w:t>
      </w:r>
      <w:r>
        <w:rPr>
          <w:rStyle w:val="FootnoteReference"/>
        </w:rPr>
        <w:footnoteReference w:id="29"/>
      </w:r>
      <w:r w:rsidRPr="002B11E2" w:rsidR="00EC0B9B">
        <w:rPr>
          <w:color w:val="000000"/>
        </w:rPr>
        <w:t xml:space="preserve">  </w:t>
      </w:r>
      <w:r w:rsidRPr="002B11E2" w:rsidR="00A44D1E">
        <w:rPr>
          <w:color w:val="000000"/>
        </w:rPr>
        <w:t>Viasat</w:t>
      </w:r>
      <w:r w:rsidRPr="002B11E2" w:rsidR="00A44D1E">
        <w:rPr>
          <w:color w:val="000000"/>
        </w:rPr>
        <w:t xml:space="preserve"> states that at the outset of its contract with Boeing, it had no reason to anticipate Boeing’s poor </w:t>
      </w:r>
      <w:r w:rsidR="00147A81">
        <w:rPr>
          <w:color w:val="000000"/>
        </w:rPr>
        <w:t xml:space="preserve">scheduling </w:t>
      </w:r>
      <w:r w:rsidRPr="002B11E2" w:rsidR="00A44D1E">
        <w:rPr>
          <w:color w:val="000000"/>
        </w:rPr>
        <w:t>performance.</w:t>
      </w:r>
      <w:r>
        <w:rPr>
          <w:rStyle w:val="FootnoteReference"/>
        </w:rPr>
        <w:footnoteReference w:id="30"/>
      </w:r>
      <w:r w:rsidRPr="002B11E2" w:rsidR="00A44D1E">
        <w:rPr>
          <w:color w:val="000000"/>
        </w:rPr>
        <w:t xml:space="preserve">  </w:t>
      </w:r>
      <w:r w:rsidRPr="002B11E2" w:rsidR="00EC0B9B">
        <w:rPr>
          <w:color w:val="000000"/>
        </w:rPr>
        <w:t>Viasat</w:t>
      </w:r>
      <w:r w:rsidRPr="002B11E2" w:rsidR="00EC0B9B">
        <w:rPr>
          <w:color w:val="000000"/>
        </w:rPr>
        <w:t xml:space="preserve"> contends that its extraordinary efforts, </w:t>
      </w:r>
      <w:r w:rsidRPr="002B11E2" w:rsidR="00EC0B9B">
        <w:rPr>
          <w:i/>
          <w:iCs/>
          <w:color w:val="000000"/>
        </w:rPr>
        <w:t>e.g</w:t>
      </w:r>
      <w:r w:rsidRPr="002B11E2" w:rsidR="00EC0B9B">
        <w:rPr>
          <w:color w:val="000000"/>
        </w:rPr>
        <w:t>., working more closely with vendors to mitigate pandemic effects, creat</w:t>
      </w:r>
      <w:r w:rsidR="00324837">
        <w:rPr>
          <w:color w:val="000000"/>
        </w:rPr>
        <w:t>ing</w:t>
      </w:r>
      <w:r w:rsidRPr="002B11E2" w:rsidR="00EC0B9B">
        <w:rPr>
          <w:color w:val="000000"/>
        </w:rPr>
        <w:t xml:space="preserve"> greater contractual incentives for </w:t>
      </w:r>
      <w:r w:rsidRPr="002B11E2" w:rsidR="00EC0B9B">
        <w:rPr>
          <w:color w:val="000000"/>
        </w:rPr>
        <w:t>improved performance</w:t>
      </w:r>
      <w:r w:rsidRPr="002B11E2" w:rsidR="00C438A3">
        <w:rPr>
          <w:color w:val="000000"/>
        </w:rPr>
        <w:t xml:space="preserve"> for critical items, </w:t>
      </w:r>
      <w:r w:rsidR="00324837">
        <w:rPr>
          <w:color w:val="000000"/>
        </w:rPr>
        <w:t xml:space="preserve">and </w:t>
      </w:r>
      <w:r w:rsidRPr="002B11E2" w:rsidR="00C438A3">
        <w:rPr>
          <w:color w:val="000000"/>
        </w:rPr>
        <w:t>improv</w:t>
      </w:r>
      <w:r w:rsidR="00324837">
        <w:rPr>
          <w:color w:val="000000"/>
        </w:rPr>
        <w:t>ing</w:t>
      </w:r>
      <w:r w:rsidRPr="002B11E2" w:rsidR="00C438A3">
        <w:rPr>
          <w:color w:val="000000"/>
        </w:rPr>
        <w:t xml:space="preserve"> schedule management between various suppliers, are responsible for why it has made the progress it has.</w:t>
      </w:r>
      <w:r>
        <w:rPr>
          <w:rStyle w:val="FootnoteReference"/>
        </w:rPr>
        <w:footnoteReference w:id="31"/>
      </w:r>
    </w:p>
    <w:p w:rsidR="000D5457" w:rsidP="007214EA" w14:paraId="48A0C7CB" w14:textId="22ED9FE3">
      <w:pPr>
        <w:pStyle w:val="ParaNum"/>
        <w:autoSpaceDE w:val="0"/>
        <w:autoSpaceDN w:val="0"/>
        <w:adjustRightInd w:val="0"/>
      </w:pPr>
      <w:r>
        <w:t xml:space="preserve">The </w:t>
      </w:r>
      <w:r w:rsidR="00DA6352">
        <w:t>COVID</w:t>
      </w:r>
      <w:r>
        <w:t xml:space="preserve">-19 pandemic, as the </w:t>
      </w:r>
      <w:r w:rsidRPr="007D1912" w:rsidR="002200D1">
        <w:t>Commission has acknowledged</w:t>
      </w:r>
      <w:r>
        <w:t>,</w:t>
      </w:r>
      <w:r w:rsidRPr="007D1912" w:rsidR="002200D1">
        <w:t xml:space="preserve"> </w:t>
      </w:r>
      <w:r w:rsidR="00E06E8C">
        <w:t xml:space="preserve">is a unique and unusual circumstance that </w:t>
      </w:r>
      <w:r w:rsidRPr="007D1912" w:rsidR="002200D1">
        <w:t xml:space="preserve">has resulted in “widespread delays in the receipt of communications equipment” and </w:t>
      </w:r>
      <w:r w:rsidR="007D1912">
        <w:t xml:space="preserve">has </w:t>
      </w:r>
      <w:r w:rsidRPr="007D1912" w:rsidR="002200D1">
        <w:t>caus</w:t>
      </w:r>
      <w:r w:rsidR="007D1912">
        <w:t>ed</w:t>
      </w:r>
      <w:r w:rsidRPr="007D1912" w:rsidR="002200D1">
        <w:t xml:space="preserve"> delays in network construction.</w:t>
      </w:r>
      <w:r>
        <w:rPr>
          <w:rStyle w:val="FootnoteReference"/>
        </w:rPr>
        <w:footnoteReference w:id="32"/>
      </w:r>
      <w:r w:rsidRPr="007D1912" w:rsidR="002200D1">
        <w:t xml:space="preserve">  </w:t>
      </w:r>
      <w:r w:rsidR="007D1912">
        <w:t xml:space="preserve">The Commission </w:t>
      </w:r>
      <w:r w:rsidR="00551853">
        <w:t xml:space="preserve">has </w:t>
      </w:r>
      <w:r w:rsidR="007D1912">
        <w:t xml:space="preserve">noted that </w:t>
      </w:r>
      <w:r w:rsidR="00DA6352">
        <w:t>COVID</w:t>
      </w:r>
      <w:r w:rsidR="007D1912">
        <w:t xml:space="preserve">-19 delays differ from, for example, natural disaster delays in that </w:t>
      </w:r>
      <w:r w:rsidR="00DA6352">
        <w:t>COVID</w:t>
      </w:r>
      <w:r w:rsidR="00254B57">
        <w:t>-19 delays are</w:t>
      </w:r>
      <w:r w:rsidR="007D1912">
        <w:t xml:space="preserve"> more ubiquitous where</w:t>
      </w:r>
      <w:r>
        <w:t>as</w:t>
      </w:r>
      <w:r w:rsidR="007D1912">
        <w:t xml:space="preserve"> </w:t>
      </w:r>
      <w:r w:rsidR="00254B57">
        <w:t>natural disaster</w:t>
      </w:r>
      <w:r w:rsidR="00193573">
        <w:t xml:space="preserve"> delays</w:t>
      </w:r>
      <w:r w:rsidR="007D1912">
        <w:t xml:space="preserve"> are more discrete</w:t>
      </w:r>
      <w:r w:rsidR="00383775">
        <w:t>,</w:t>
      </w:r>
      <w:r w:rsidR="00394575">
        <w:t xml:space="preserve"> </w:t>
      </w:r>
      <w:r w:rsidR="00383775">
        <w:t xml:space="preserve">and that various stay-at-home orders, while necessary for public health and safety, </w:t>
      </w:r>
      <w:r w:rsidR="00254B57">
        <w:t xml:space="preserve">have </w:t>
      </w:r>
      <w:r w:rsidRPr="001555F1" w:rsidR="00176DEF">
        <w:rPr>
          <w:color w:val="3D3D3D"/>
          <w:shd w:val="clear" w:color="auto" w:fill="FFFFFF"/>
        </w:rPr>
        <w:t>create</w:t>
      </w:r>
      <w:r w:rsidRPr="001555F1" w:rsidR="00383775">
        <w:rPr>
          <w:color w:val="3D3D3D"/>
          <w:shd w:val="clear" w:color="auto" w:fill="FFFFFF"/>
        </w:rPr>
        <w:t>d</w:t>
      </w:r>
      <w:r w:rsidRPr="001555F1" w:rsidR="00176DEF">
        <w:rPr>
          <w:color w:val="3D3D3D"/>
          <w:shd w:val="clear" w:color="auto" w:fill="FFFFFF"/>
        </w:rPr>
        <w:t xml:space="preserve"> </w:t>
      </w:r>
      <w:r w:rsidRPr="001555F1" w:rsidR="00383775">
        <w:rPr>
          <w:color w:val="3D3D3D"/>
          <w:shd w:val="clear" w:color="auto" w:fill="FFFFFF"/>
        </w:rPr>
        <w:t>“</w:t>
      </w:r>
      <w:r w:rsidRPr="001555F1" w:rsidR="00176DEF">
        <w:rPr>
          <w:color w:val="3D3D3D"/>
          <w:shd w:val="clear" w:color="auto" w:fill="FFFFFF"/>
        </w:rPr>
        <w:t>gaps in all phases of the supply and deployment chain.</w:t>
      </w:r>
      <w:r w:rsidRPr="001555F1" w:rsidR="00383775">
        <w:rPr>
          <w:color w:val="3D3D3D"/>
          <w:shd w:val="clear" w:color="auto" w:fill="FFFFFF"/>
        </w:rPr>
        <w:t>”</w:t>
      </w:r>
      <w:r>
        <w:rPr>
          <w:rStyle w:val="FootnoteReference"/>
        </w:rPr>
        <w:footnoteReference w:id="33"/>
      </w:r>
      <w:r>
        <w:rPr>
          <w:rStyle w:val="FootnoteReference"/>
        </w:rPr>
        <w:t xml:space="preserve"> </w:t>
      </w:r>
      <w:r w:rsidR="001B516E">
        <w:t xml:space="preserve"> </w:t>
      </w:r>
      <w:r w:rsidR="00193573">
        <w:t xml:space="preserve">Therefore, we find </w:t>
      </w:r>
      <w:r w:rsidR="0028168A">
        <w:t>Viasat</w:t>
      </w:r>
      <w:r w:rsidR="00193573">
        <w:t>’s</w:t>
      </w:r>
      <w:r w:rsidR="00193573">
        <w:t xml:space="preserve"> statements regarding </w:t>
      </w:r>
      <w:r w:rsidR="00DA6352">
        <w:t>COVID</w:t>
      </w:r>
      <w:r w:rsidR="00193573">
        <w:t>-19-related delays to be generally credible.</w:t>
      </w:r>
      <w:r w:rsidR="001555F1">
        <w:t xml:space="preserve">  Further, t</w:t>
      </w:r>
      <w:r>
        <w:t>he factors that led us to grant the milestone extension</w:t>
      </w:r>
      <w:r w:rsidR="005529F6">
        <w:t xml:space="preserve"> in 2020</w:t>
      </w:r>
      <w:r w:rsidR="00043A98">
        <w:t xml:space="preserve"> </w:t>
      </w:r>
      <w:r w:rsidR="00E50ED1">
        <w:t xml:space="preserve">and 2021 </w:t>
      </w:r>
      <w:r w:rsidR="00043A98">
        <w:t>are still present here</w:t>
      </w:r>
      <w:r>
        <w:t xml:space="preserve">, </w:t>
      </w:r>
      <w:r w:rsidRPr="007214EA">
        <w:rPr>
          <w:i/>
          <w:iCs/>
        </w:rPr>
        <w:t>e.g</w:t>
      </w:r>
      <w:r>
        <w:t xml:space="preserve">., </w:t>
      </w:r>
      <w:r w:rsidR="0028168A">
        <w:t>Viasat</w:t>
      </w:r>
      <w:r>
        <w:t>’s</w:t>
      </w:r>
      <w:r>
        <w:t xml:space="preserve"> </w:t>
      </w:r>
      <w:r w:rsidR="00CB14CC">
        <w:t xml:space="preserve">representation </w:t>
      </w:r>
      <w:r w:rsidRPr="00627374">
        <w:t xml:space="preserve">that </w:t>
      </w:r>
      <w:r>
        <w:t xml:space="preserve">VIASAT-3 </w:t>
      </w:r>
      <w:r w:rsidRPr="00627374">
        <w:t>is at an advanced stage of construction</w:t>
      </w:r>
      <w:r w:rsidR="003003AE">
        <w:t>,</w:t>
      </w:r>
      <w:r w:rsidRPr="00627374">
        <w:t xml:space="preserve"> </w:t>
      </w:r>
      <w:r w:rsidRPr="00064C7B" w:rsidR="00CB14CC">
        <w:t>representations concerning</w:t>
      </w:r>
      <w:r w:rsidR="000C7B07">
        <w:t xml:space="preserve"> </w:t>
      </w:r>
      <w:r w:rsidRPr="00627374">
        <w:t>diligent</w:t>
      </w:r>
      <w:r w:rsidR="00D830D7">
        <w:t xml:space="preserve"> efforts</w:t>
      </w:r>
      <w:r w:rsidRPr="00627374">
        <w:t xml:space="preserve"> to overcome construction delays</w:t>
      </w:r>
      <w:r>
        <w:t xml:space="preserve">, </w:t>
      </w:r>
      <w:r w:rsidR="00E50ED1">
        <w:t xml:space="preserve">COVID-19-related delays, </w:t>
      </w:r>
      <w:r w:rsidR="003003AE">
        <w:t xml:space="preserve">and </w:t>
      </w:r>
      <w:r w:rsidR="00CB14CC">
        <w:t>circumstances indicating</w:t>
      </w:r>
      <w:r w:rsidR="000C7B07">
        <w:t xml:space="preserve"> </w:t>
      </w:r>
      <w:r w:rsidR="005026C1">
        <w:t>that warehousing</w:t>
      </w:r>
      <w:r>
        <w:rPr>
          <w:rStyle w:val="FootnoteReference"/>
        </w:rPr>
        <w:footnoteReference w:id="34"/>
      </w:r>
      <w:r w:rsidR="000D5061">
        <w:t xml:space="preserve">spectrum </w:t>
      </w:r>
      <w:r w:rsidR="005026C1">
        <w:t xml:space="preserve">is not a concern due to </w:t>
      </w:r>
      <w:r w:rsidR="0028168A">
        <w:t>Viasat</w:t>
      </w:r>
      <w:r w:rsidR="005026C1">
        <w:t>’s</w:t>
      </w:r>
      <w:r w:rsidR="005026C1">
        <w:t xml:space="preserve"> </w:t>
      </w:r>
      <w:r w:rsidR="00D830D7">
        <w:t xml:space="preserve">intent and ability </w:t>
      </w:r>
      <w:r w:rsidRPr="00627374" w:rsidR="003003AE">
        <w:t>to launch and operate VIASAT-3</w:t>
      </w:r>
      <w:r w:rsidRPr="00627374">
        <w:t>.</w:t>
      </w:r>
      <w:r>
        <w:rPr>
          <w:rStyle w:val="FootnoteReference"/>
        </w:rPr>
        <w:footnoteReference w:id="35"/>
      </w:r>
      <w:r w:rsidRPr="00627374">
        <w:t xml:space="preserve">  </w:t>
      </w:r>
      <w:r w:rsidR="00935290">
        <w:t xml:space="preserve">Given that </w:t>
      </w:r>
      <w:r w:rsidR="00DA6352">
        <w:t>COVID</w:t>
      </w:r>
      <w:r w:rsidR="00935290">
        <w:t xml:space="preserve">-19 is the singular new variable, </w:t>
      </w:r>
      <w:r w:rsidR="00BF67BF">
        <w:t xml:space="preserve">and </w:t>
      </w:r>
      <w:r w:rsidR="0028168A">
        <w:t>Viasat</w:t>
      </w:r>
      <w:r w:rsidR="00BF67BF">
        <w:t xml:space="preserve"> has </w:t>
      </w:r>
      <w:r w:rsidR="00837824">
        <w:t xml:space="preserve">made significant </w:t>
      </w:r>
      <w:r w:rsidR="00BF67BF">
        <w:t xml:space="preserve">progress toward completion of the project despite </w:t>
      </w:r>
      <w:r w:rsidR="0073441E">
        <w:t xml:space="preserve">the unforeseeable delays associated with </w:t>
      </w:r>
      <w:r w:rsidR="00DA6352">
        <w:t>COVID</w:t>
      </w:r>
      <w:r w:rsidR="0073441E">
        <w:t xml:space="preserve">-19, </w:t>
      </w:r>
      <w:r w:rsidR="00935290">
        <w:t xml:space="preserve">we see no reason to reach a different conclusion regarding the merits of a milestone extension.  </w:t>
      </w:r>
      <w:r w:rsidRPr="00627374">
        <w:t xml:space="preserve">In light of these factors, grant </w:t>
      </w:r>
      <w:r w:rsidRPr="001555F1">
        <w:rPr>
          <w:color w:val="000000"/>
          <w:shd w:val="clear" w:color="auto" w:fill="FFFFFF"/>
        </w:rPr>
        <w:t xml:space="preserve">of an extension will serve the public interest by allowing </w:t>
      </w:r>
      <w:r w:rsidR="0028168A">
        <w:rPr>
          <w:color w:val="000000"/>
          <w:shd w:val="clear" w:color="auto" w:fill="FFFFFF"/>
        </w:rPr>
        <w:t>Viasat</w:t>
      </w:r>
      <w:r w:rsidRPr="001555F1">
        <w:rPr>
          <w:color w:val="000000"/>
          <w:shd w:val="clear" w:color="auto" w:fill="FFFFFF"/>
        </w:rPr>
        <w:t xml:space="preserve"> to expeditiously complete implementation of its system.</w:t>
      </w:r>
      <w:r w:rsidRPr="001555F1" w:rsidR="000C7B07">
        <w:rPr>
          <w:color w:val="000000"/>
          <w:shd w:val="clear" w:color="auto" w:fill="FFFFFF"/>
        </w:rPr>
        <w:t xml:space="preserve"> </w:t>
      </w:r>
    </w:p>
    <w:p w:rsidR="005B5100" w:rsidRPr="00627374" w:rsidP="005B5100" w14:paraId="5B1D9262" w14:textId="77777777">
      <w:pPr>
        <w:pStyle w:val="Heading1"/>
        <w:keepNext w:val="0"/>
        <w:widowControl/>
        <w:suppressAutoHyphens w:val="0"/>
        <w:rPr>
          <w:rFonts w:ascii="Times New Roman" w:hAnsi="Times New Roman"/>
        </w:rPr>
      </w:pPr>
      <w:bookmarkStart w:id="3" w:name="co_pp_sp_1511_17700_1"/>
      <w:bookmarkStart w:id="4" w:name="co_tablefootnote_12_1"/>
      <w:bookmarkStart w:id="5" w:name="co_tablefootnote_13_1"/>
      <w:bookmarkStart w:id="6" w:name="co_tablefootnote_14_1"/>
      <w:bookmarkStart w:id="7" w:name="co_tablefootnote_19_1"/>
      <w:bookmarkStart w:id="8" w:name="co_tablefootnote_27_1"/>
      <w:bookmarkStart w:id="9" w:name="co_pp_sp_999_3_1"/>
      <w:bookmarkEnd w:id="3"/>
      <w:bookmarkEnd w:id="4"/>
      <w:bookmarkEnd w:id="5"/>
      <w:bookmarkEnd w:id="6"/>
      <w:bookmarkEnd w:id="7"/>
      <w:bookmarkEnd w:id="8"/>
      <w:bookmarkEnd w:id="9"/>
      <w:r w:rsidRPr="00627374">
        <w:rPr>
          <w:rFonts w:ascii="Times New Roman" w:hAnsi="Times New Roman"/>
        </w:rPr>
        <w:t>ordering clauses</w:t>
      </w:r>
    </w:p>
    <w:p w:rsidR="002F06DE" w:rsidP="000870D0" w14:paraId="18859910" w14:textId="7A1056E3">
      <w:pPr>
        <w:pStyle w:val="ParaNum"/>
        <w:tabs>
          <w:tab w:val="clear" w:pos="1080"/>
          <w:tab w:val="num" w:pos="1440"/>
        </w:tabs>
        <w:autoSpaceDE w:val="0"/>
        <w:autoSpaceDN w:val="0"/>
        <w:adjustRightInd w:val="0"/>
      </w:pPr>
      <w:r>
        <w:t xml:space="preserve">Accordingly, IT IS ORDERED that </w:t>
      </w:r>
      <w:r w:rsidR="0028168A">
        <w:t>Viasat</w:t>
      </w:r>
      <w:r w:rsidR="00FC5D3A">
        <w:t xml:space="preserve"> Inc</w:t>
      </w:r>
      <w:r w:rsidR="00324837">
        <w:t>.</w:t>
      </w:r>
      <w:r>
        <w:t xml:space="preserve">’s </w:t>
      </w:r>
      <w:r w:rsidR="00FE0D34">
        <w:t xml:space="preserve">Request to Extend or Waive Milestone Deadline for the VIASAT-3 </w:t>
      </w:r>
      <w:r w:rsidR="00B70F60">
        <w:t>satellite</w:t>
      </w:r>
      <w:r w:rsidR="00FE0D34">
        <w:t xml:space="preserve"> </w:t>
      </w:r>
      <w:r>
        <w:t>is GRANTED</w:t>
      </w:r>
      <w:r w:rsidR="00FC5D3A">
        <w:t xml:space="preserve"> </w:t>
      </w:r>
      <w:r>
        <w:t xml:space="preserve">pursuant to sections </w:t>
      </w:r>
      <w:r w:rsidR="00252118">
        <w:t xml:space="preserve">0.51, </w:t>
      </w:r>
      <w:r w:rsidR="009F29CB">
        <w:t xml:space="preserve">0.261, </w:t>
      </w:r>
      <w:r w:rsidR="00C64426">
        <w:t xml:space="preserve">and 25.117(e) </w:t>
      </w:r>
      <w:r>
        <w:t>of the Commission's Rules,</w:t>
      </w:r>
      <w:hyperlink r:id="rId5" w:history="1">
        <w:r>
          <w:t xml:space="preserve"> 47 CFR §§</w:t>
        </w:r>
        <w:r w:rsidR="00C65A89">
          <w:t xml:space="preserve"> </w:t>
        </w:r>
        <w:r w:rsidR="00252118">
          <w:t xml:space="preserve">0.51, </w:t>
        </w:r>
        <w:r>
          <w:t>0.261</w:t>
        </w:r>
        <w:r w:rsidR="00D40E46">
          <w:t xml:space="preserve"> and </w:t>
        </w:r>
        <w:r w:rsidR="00A6252B">
          <w:t>25.</w:t>
        </w:r>
        <w:r w:rsidR="00D40E46">
          <w:t>1</w:t>
        </w:r>
        <w:r w:rsidR="00C64426">
          <w:t>1</w:t>
        </w:r>
        <w:r w:rsidR="00D40E46">
          <w:t>7(</w:t>
        </w:r>
        <w:r w:rsidR="00C64426">
          <w:t>e</w:t>
        </w:r>
        <w:r w:rsidR="00D40E46">
          <w:t>)</w:t>
        </w:r>
        <w:r>
          <w:t>.</w:t>
        </w:r>
      </w:hyperlink>
    </w:p>
    <w:p w:rsidR="002F06DE" w:rsidP="000870D0" w14:paraId="584DBE06" w14:textId="7501ACD6">
      <w:pPr>
        <w:pStyle w:val="ParaNum"/>
        <w:tabs>
          <w:tab w:val="clear" w:pos="1080"/>
          <w:tab w:val="num" w:pos="1440"/>
        </w:tabs>
        <w:autoSpaceDE w:val="0"/>
        <w:autoSpaceDN w:val="0"/>
        <w:adjustRightInd w:val="0"/>
      </w:pPr>
      <w:bookmarkStart w:id="10" w:name="_Hlk89179114"/>
      <w:r>
        <w:t>Viasat</w:t>
      </w:r>
      <w:r>
        <w:t xml:space="preserve"> must maintain a surety bond requiring payment in the event of default as defined in section 25.165(c) of the FCC rules, in an amount, at a minimum, determined according to the following formula, with the resulting dollar amount rounded to the nearest $10,000: A= $3,</w:t>
      </w:r>
      <w:r w:rsidR="00914E79">
        <w:t>0</w:t>
      </w:r>
      <w:r>
        <w:t xml:space="preserve">00,000 + $2,000,000*D/1827, where A is the amount to be paid and D is the lesser of </w:t>
      </w:r>
      <w:r w:rsidR="00E73E51">
        <w:t>1</w:t>
      </w:r>
      <w:r w:rsidR="00AD428D">
        <w:t>41</w:t>
      </w:r>
      <w:r w:rsidR="00E73E51">
        <w:t>2</w:t>
      </w:r>
      <w:r>
        <w:t xml:space="preserve"> or the number of days elapsed from June 19, 2019, until the date when the grant is surrendered.  </w:t>
      </w:r>
      <w:bookmarkEnd w:id="10"/>
    </w:p>
    <w:p w:rsidR="00CB7AFC" w:rsidRPr="00913279" w:rsidP="00B70F60" w14:paraId="397FC366" w14:textId="7B3D26B1">
      <w:pPr>
        <w:pStyle w:val="ParaNum"/>
        <w:tabs>
          <w:tab w:val="clear" w:pos="1080"/>
          <w:tab w:val="num" w:pos="1440"/>
        </w:tabs>
        <w:autoSpaceDE w:val="0"/>
        <w:autoSpaceDN w:val="0"/>
        <w:adjustRightInd w:val="0"/>
      </w:pPr>
      <w:r>
        <w:t>Viasat</w:t>
      </w:r>
      <w:r w:rsidRPr="00627374" w:rsidR="00C64426">
        <w:t xml:space="preserve"> must launch the VIASAT-3 </w:t>
      </w:r>
      <w:r w:rsidR="005378E8">
        <w:t>satellite</w:t>
      </w:r>
      <w:r w:rsidRPr="00627374" w:rsidR="00C64426">
        <w:t xml:space="preserve">, position it in its assigned orbital location, and operate it in accordance </w:t>
      </w:r>
      <w:r w:rsidRPr="005928E5" w:rsidR="00C64426">
        <w:t>with th</w:t>
      </w:r>
      <w:r w:rsidRPr="005928E5" w:rsidR="002F06DE">
        <w:t>e</w:t>
      </w:r>
      <w:r w:rsidRPr="005928E5" w:rsidR="00C64426">
        <w:t xml:space="preserve"> grant</w:t>
      </w:r>
      <w:r w:rsidRPr="005928E5" w:rsidR="00983EB8">
        <w:t>s</w:t>
      </w:r>
      <w:r w:rsidRPr="005928E5" w:rsidR="00484750">
        <w:t xml:space="preserve"> in</w:t>
      </w:r>
      <w:r w:rsidRPr="005928E5" w:rsidR="002F06DE">
        <w:t xml:space="preserve"> </w:t>
      </w:r>
      <w:r w:rsidRPr="00BE24A0">
        <w:rPr>
          <w:i/>
          <w:iCs/>
        </w:rPr>
        <w:t>Viasat</w:t>
      </w:r>
      <w:r w:rsidRPr="00BE24A0" w:rsidR="00484750">
        <w:rPr>
          <w:i/>
          <w:iCs/>
        </w:rPr>
        <w:t>, Inc.</w:t>
      </w:r>
      <w:r w:rsidRPr="005928E5" w:rsidR="00484750">
        <w:t xml:space="preserve">, 35 FCC </w:t>
      </w:r>
      <w:r w:rsidRPr="005928E5" w:rsidR="00484750">
        <w:t>Rcd</w:t>
      </w:r>
      <w:r w:rsidRPr="005928E5" w:rsidR="00484750">
        <w:t xml:space="preserve"> 5416, </w:t>
      </w:r>
      <w:r w:rsidRPr="005928E5" w:rsidR="00C64426">
        <w:t>and</w:t>
      </w:r>
      <w:r w:rsidRPr="005928E5" w:rsidR="00983EB8">
        <w:t xml:space="preserve"> in</w:t>
      </w:r>
      <w:r w:rsidRPr="005928E5" w:rsidR="00C64426">
        <w:t xml:space="preserve"> </w:t>
      </w:r>
      <w:bookmarkStart w:id="11" w:name="_Hlk87947375"/>
      <w:r w:rsidR="007D0166">
        <w:t xml:space="preserve">IBFS </w:t>
      </w:r>
      <w:r w:rsidRPr="005928E5" w:rsidR="00C64426">
        <w:t>File No. SAT-LOA-20190617-0004</w:t>
      </w:r>
      <w:r w:rsidRPr="005928E5" w:rsidR="00655B8B">
        <w:t>8</w:t>
      </w:r>
      <w:bookmarkEnd w:id="11"/>
      <w:r w:rsidRPr="005928E5" w:rsidR="00983EB8">
        <w:t>,</w:t>
      </w:r>
      <w:r w:rsidRPr="00161DBB" w:rsidR="00C64426">
        <w:t xml:space="preserve"> </w:t>
      </w:r>
      <w:r w:rsidRPr="00780023" w:rsidR="00C64426">
        <w:t xml:space="preserve">no later than </w:t>
      </w:r>
      <w:r w:rsidR="00AD428D">
        <w:t>April</w:t>
      </w:r>
      <w:r w:rsidRPr="00913279" w:rsidR="00C64426">
        <w:t xml:space="preserve"> 3</w:t>
      </w:r>
      <w:r w:rsidR="00B2159E">
        <w:t>0</w:t>
      </w:r>
      <w:r w:rsidRPr="00913279" w:rsidR="00C64426">
        <w:t>, 202</w:t>
      </w:r>
      <w:r w:rsidR="00AD428D">
        <w:t>3</w:t>
      </w:r>
      <w:r w:rsidRPr="00913279" w:rsidR="00C64426">
        <w:t>.</w:t>
      </w:r>
    </w:p>
    <w:p w:rsidR="006F2A97" w:rsidP="00B70F60" w14:paraId="7577E403" w14:textId="193421D2">
      <w:pPr>
        <w:pStyle w:val="ParaNum"/>
        <w:tabs>
          <w:tab w:val="clear" w:pos="1080"/>
          <w:tab w:val="num" w:pos="1440"/>
        </w:tabs>
        <w:autoSpaceDE w:val="0"/>
        <w:autoSpaceDN w:val="0"/>
        <w:adjustRightInd w:val="0"/>
      </w:pPr>
      <w:r w:rsidRPr="00627374">
        <w:t>Th</w:t>
      </w:r>
      <w:r w:rsidR="00CB7AFC">
        <w:t>is</w:t>
      </w:r>
      <w:r w:rsidR="00B70F60">
        <w:t xml:space="preserve"> </w:t>
      </w:r>
      <w:r w:rsidRPr="00627374">
        <w:t>grant</w:t>
      </w:r>
      <w:r w:rsidR="00B70F60">
        <w:t xml:space="preserve"> </w:t>
      </w:r>
      <w:r w:rsidRPr="00627374">
        <w:t>will be null and void automatically, without further Commission action</w:t>
      </w:r>
      <w:r w:rsidR="00F863D5">
        <w:t>,</w:t>
      </w:r>
      <w:r w:rsidRPr="00627374">
        <w:t xml:space="preserve"> if </w:t>
      </w:r>
      <w:r w:rsidR="0028168A">
        <w:t>Viasat</w:t>
      </w:r>
      <w:r w:rsidRPr="00627374">
        <w:t xml:space="preserve"> fails to comply with these requirements.  Failure to comply with the milestone requirement will also result in forfeiture of </w:t>
      </w:r>
      <w:r w:rsidR="0028168A">
        <w:t>Viasat</w:t>
      </w:r>
      <w:r w:rsidRPr="00627374">
        <w:t>’s</w:t>
      </w:r>
      <w:r w:rsidRPr="00627374">
        <w:t xml:space="preserve"> surety bond.  </w:t>
      </w:r>
      <w:r w:rsidRPr="00C75492">
        <w:t xml:space="preserve">By </w:t>
      </w:r>
      <w:r w:rsidR="00AD428D">
        <w:t>May</w:t>
      </w:r>
      <w:r w:rsidRPr="00C75492">
        <w:t xml:space="preserve"> 15, 202</w:t>
      </w:r>
      <w:r w:rsidR="00AD428D">
        <w:t>3</w:t>
      </w:r>
      <w:r w:rsidRPr="00627374">
        <w:t xml:space="preserve">, </w:t>
      </w:r>
      <w:r w:rsidR="0028168A">
        <w:t>Viasat</w:t>
      </w:r>
      <w:r w:rsidRPr="00627374">
        <w:t xml:space="preserve"> must either demonstrate compliance with its milestone requirement or notify the Commission in writing that the requirement was not met. </w:t>
      </w:r>
      <w:r>
        <w:t xml:space="preserve"> </w:t>
      </w:r>
      <w:r w:rsidRPr="00627374">
        <w:t>47 CFR § 25.164(f).</w:t>
      </w:r>
    </w:p>
    <w:p w:rsidR="00EA4715" w:rsidRPr="00627374" w:rsidP="005B5100" w14:paraId="13733DA1" w14:textId="77777777"/>
    <w:p w:rsidR="005B5100" w:rsidRPr="00627374" w:rsidP="00825711" w14:paraId="47100AC0" w14:textId="77777777">
      <w:pPr>
        <w:ind w:left="2880" w:firstLine="720"/>
      </w:pPr>
      <w:r w:rsidRPr="00627374">
        <w:t>FEDERAL COMMUNICATIONS COMMISSION</w:t>
      </w:r>
    </w:p>
    <w:p w:rsidR="005B5100" w:rsidRPr="00627374" w:rsidP="005B5100" w14:paraId="4D79499B" w14:textId="77777777"/>
    <w:p w:rsidR="005B5100" w:rsidRPr="00627374" w:rsidP="005B5100" w14:paraId="4109A1B1" w14:textId="77777777"/>
    <w:p w:rsidR="005B5100" w:rsidRPr="00627374" w:rsidP="005B5100" w14:paraId="298CC9BC" w14:textId="77777777"/>
    <w:p w:rsidR="005B5100" w:rsidRPr="00627374" w:rsidP="00825711" w14:paraId="19240140" w14:textId="77777777">
      <w:pPr>
        <w:autoSpaceDE w:val="0"/>
        <w:autoSpaceDN w:val="0"/>
        <w:adjustRightInd w:val="0"/>
        <w:spacing w:before="200"/>
        <w:ind w:left="2880" w:firstLine="720"/>
        <w:rPr>
          <w:color w:val="000000"/>
        </w:rPr>
      </w:pPr>
      <w:r w:rsidRPr="00627374">
        <w:rPr>
          <w:color w:val="000000"/>
        </w:rPr>
        <w:t>Thomas</w:t>
      </w:r>
      <w:r w:rsidR="000618D7">
        <w:rPr>
          <w:color w:val="000000"/>
        </w:rPr>
        <w:t xml:space="preserve"> P.</w:t>
      </w:r>
      <w:r w:rsidRPr="00627374">
        <w:rPr>
          <w:color w:val="000000"/>
        </w:rPr>
        <w:t xml:space="preserve"> Sullivan</w:t>
      </w:r>
    </w:p>
    <w:p w:rsidR="000618D7" w:rsidP="00825711" w14:paraId="1550A076" w14:textId="77777777">
      <w:pPr>
        <w:autoSpaceDE w:val="0"/>
        <w:autoSpaceDN w:val="0"/>
        <w:adjustRightInd w:val="0"/>
        <w:ind w:left="2880" w:firstLine="720"/>
        <w:rPr>
          <w:color w:val="000000"/>
        </w:rPr>
      </w:pPr>
      <w:r w:rsidRPr="00627374">
        <w:rPr>
          <w:color w:val="000000"/>
        </w:rPr>
        <w:t>Chief</w:t>
      </w:r>
      <w:r w:rsidR="00EB19F6">
        <w:rPr>
          <w:color w:val="000000"/>
        </w:rPr>
        <w:t xml:space="preserve">, </w:t>
      </w:r>
      <w:r>
        <w:rPr>
          <w:color w:val="000000"/>
        </w:rPr>
        <w:t xml:space="preserve">International Bureau </w:t>
      </w:r>
    </w:p>
    <w:p w:rsidR="00EB19F6" w:rsidP="005B5100" w14:paraId="512888C9" w14:textId="77777777">
      <w:pPr>
        <w:autoSpaceDE w:val="0"/>
        <w:autoSpaceDN w:val="0"/>
        <w:adjustRightInd w:val="0"/>
        <w:ind w:left="2160" w:firstLine="720"/>
        <w:rPr>
          <w:color w:val="000000"/>
        </w:rPr>
      </w:pPr>
    </w:p>
    <w:p w:rsidR="00EB19F6" w:rsidP="005B5100" w14:paraId="1B147085" w14:textId="77777777">
      <w:pPr>
        <w:autoSpaceDE w:val="0"/>
        <w:autoSpaceDN w:val="0"/>
        <w:adjustRightInd w:val="0"/>
        <w:ind w:left="2160" w:firstLine="720"/>
        <w:rPr>
          <w:color w:val="000000"/>
        </w:rPr>
      </w:pPr>
    </w:p>
    <w:p w:rsidR="00EB19F6" w:rsidP="005B5100" w14:paraId="7A2D6E90" w14:textId="77777777">
      <w:pPr>
        <w:autoSpaceDE w:val="0"/>
        <w:autoSpaceDN w:val="0"/>
        <w:adjustRightInd w:val="0"/>
        <w:ind w:left="2160" w:firstLine="720"/>
        <w:rPr>
          <w:color w:val="000000"/>
        </w:rPr>
      </w:pPr>
    </w:p>
    <w:p w:rsidR="00EB19F6" w:rsidP="003711F8" w14:paraId="3BF778C2" w14:textId="77777777">
      <w:pPr>
        <w:pStyle w:val="ParaNum"/>
        <w:numPr>
          <w:ilvl w:val="0"/>
          <w:numId w:val="0"/>
        </w:numPr>
        <w:tabs>
          <w:tab w:val="left" w:pos="720"/>
          <w:tab w:val="left" w:pos="1800"/>
        </w:tabs>
        <w:ind w:left="180"/>
        <w:rPr>
          <w:szCs w:val="22"/>
        </w:rPr>
      </w:pPr>
      <w:r>
        <w:rPr>
          <w:szCs w:val="22"/>
        </w:rPr>
        <w:tab/>
      </w:r>
      <w:r>
        <w:rPr>
          <w:szCs w:val="22"/>
        </w:rPr>
        <w:tab/>
      </w:r>
      <w:r>
        <w:rPr>
          <w:szCs w:val="22"/>
        </w:rPr>
        <w:tab/>
      </w:r>
      <w:r>
        <w:rPr>
          <w:szCs w:val="22"/>
        </w:rPr>
        <w:tab/>
      </w:r>
      <w:r>
        <w:rPr>
          <w:szCs w:val="22"/>
        </w:rPr>
        <w:tab/>
      </w:r>
      <w:r>
        <w:rPr>
          <w:szCs w:val="22"/>
        </w:rPr>
        <w:tab/>
      </w:r>
    </w:p>
    <w:p w:rsidR="00C049BA" w:rsidP="00EB19F6" w14:paraId="1FE07A6D" w14:textId="77777777">
      <w:pPr>
        <w:pStyle w:val="Style30"/>
        <w:spacing w:after="0"/>
        <w:ind w:firstLine="0"/>
        <w:rPr>
          <w:szCs w:val="22"/>
        </w:rPr>
      </w:pPr>
      <w:r>
        <w:rPr>
          <w:szCs w:val="22"/>
        </w:rPr>
        <w:tab/>
      </w:r>
      <w:r>
        <w:rPr>
          <w:szCs w:val="22"/>
        </w:rPr>
        <w:tab/>
      </w:r>
      <w:r>
        <w:rPr>
          <w:szCs w:val="22"/>
        </w:rPr>
        <w:tab/>
      </w:r>
      <w:r>
        <w:rPr>
          <w:szCs w:val="22"/>
        </w:rPr>
        <w:tab/>
      </w:r>
      <w:r>
        <w:rPr>
          <w:szCs w:val="22"/>
        </w:rPr>
        <w:tab/>
      </w:r>
      <w:r>
        <w:rPr>
          <w:szCs w:val="22"/>
        </w:rPr>
        <w:tab/>
      </w:r>
    </w:p>
    <w:p w:rsidR="00EB19F6" w:rsidP="000870D0" w14:paraId="01C57A2C" w14:textId="77777777">
      <w:pPr>
        <w:pStyle w:val="Style30"/>
        <w:spacing w:after="0"/>
        <w:ind w:firstLine="0"/>
        <w:rPr>
          <w:szCs w:val="22"/>
        </w:rPr>
      </w:pPr>
      <w:r>
        <w:rPr>
          <w:szCs w:val="22"/>
        </w:rPr>
        <w:tab/>
      </w:r>
      <w:r>
        <w:rPr>
          <w:szCs w:val="22"/>
        </w:rPr>
        <w:tab/>
      </w:r>
      <w:r>
        <w:rPr>
          <w:szCs w:val="22"/>
        </w:rPr>
        <w:tab/>
      </w:r>
      <w:r>
        <w:rPr>
          <w:szCs w:val="22"/>
        </w:rPr>
        <w:tab/>
      </w:r>
      <w:r>
        <w:rPr>
          <w:szCs w:val="22"/>
        </w:rPr>
        <w:tab/>
      </w:r>
      <w:r>
        <w:rPr>
          <w:szCs w:val="22"/>
        </w:rPr>
        <w:tab/>
      </w:r>
    </w:p>
    <w:p w:rsidR="00EB19F6" w:rsidRPr="005B5100" w:rsidP="005B5100" w14:paraId="0FECA3E8" w14:textId="77777777">
      <w:pPr>
        <w:autoSpaceDE w:val="0"/>
        <w:autoSpaceDN w:val="0"/>
        <w:adjustRightInd w:val="0"/>
        <w:ind w:left="2160" w:firstLine="720"/>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8C01FD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D934E8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F31BAA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31D387B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A6B2A5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12C44" w14:paraId="59560A01" w14:textId="77777777">
      <w:r>
        <w:separator/>
      </w:r>
    </w:p>
  </w:footnote>
  <w:footnote w:type="continuationSeparator" w:id="1">
    <w:p w:rsidR="00112C44" w:rsidP="00C721AC" w14:paraId="7FE25259" w14:textId="77777777">
      <w:pPr>
        <w:spacing w:before="120"/>
        <w:rPr>
          <w:sz w:val="20"/>
        </w:rPr>
      </w:pPr>
      <w:r>
        <w:rPr>
          <w:sz w:val="20"/>
        </w:rPr>
        <w:t xml:space="preserve">(Continued from previous page)  </w:t>
      </w:r>
      <w:r>
        <w:rPr>
          <w:sz w:val="20"/>
        </w:rPr>
        <w:separator/>
      </w:r>
    </w:p>
  </w:footnote>
  <w:footnote w:type="continuationNotice" w:id="2">
    <w:p w:rsidR="00112C44" w:rsidP="00C721AC" w14:paraId="092EBF78" w14:textId="77777777">
      <w:pPr>
        <w:jc w:val="right"/>
        <w:rPr>
          <w:sz w:val="20"/>
        </w:rPr>
      </w:pPr>
      <w:r>
        <w:rPr>
          <w:sz w:val="20"/>
        </w:rPr>
        <w:t>(continued….)</w:t>
      </w:r>
    </w:p>
  </w:footnote>
  <w:footnote w:id="3">
    <w:p w:rsidR="002E0C8B" w14:paraId="1217A2F9" w14:textId="03291735">
      <w:pPr>
        <w:pStyle w:val="FootnoteText"/>
      </w:pPr>
      <w:r>
        <w:rPr>
          <w:rStyle w:val="FootnoteReference"/>
        </w:rPr>
        <w:footnoteRef/>
      </w:r>
      <w:r>
        <w:t xml:space="preserve"> </w:t>
      </w:r>
      <w:bookmarkStart w:id="0" w:name="_Hlk86912325"/>
      <w:r w:rsidRPr="00832173" w:rsidR="00294D08">
        <w:rPr>
          <w:i/>
          <w:iCs/>
        </w:rPr>
        <w:t>See</w:t>
      </w:r>
      <w:r w:rsidRPr="008616B5" w:rsidR="00294D08">
        <w:t xml:space="preserve"> </w:t>
      </w:r>
      <w:r w:rsidR="00294D08">
        <w:rPr>
          <w:color w:val="000000"/>
        </w:rPr>
        <w:t xml:space="preserve">Request to Extend or Waive Milestone Date, </w:t>
      </w:r>
      <w:r w:rsidRPr="008616B5" w:rsidR="00294D08">
        <w:t xml:space="preserve">IBFS File No. </w:t>
      </w:r>
      <w:r w:rsidRPr="00BE24A0" w:rsidR="00497DF3">
        <w:rPr>
          <w:spacing w:val="-2"/>
        </w:rPr>
        <w:t>SAT-</w:t>
      </w:r>
      <w:r w:rsidRPr="00627374" w:rsidR="00497DF3">
        <w:rPr>
          <w:color w:val="000000"/>
        </w:rPr>
        <w:t>MOD-20</w:t>
      </w:r>
      <w:r w:rsidR="00497DF3">
        <w:rPr>
          <w:color w:val="000000"/>
        </w:rPr>
        <w:t>220819-00091</w:t>
      </w:r>
      <w:r w:rsidR="00294D08">
        <w:rPr>
          <w:color w:val="000000"/>
        </w:rPr>
        <w:t xml:space="preserve"> </w:t>
      </w:r>
      <w:r w:rsidR="00EC0B9B">
        <w:rPr>
          <w:color w:val="000000"/>
        </w:rPr>
        <w:t>(filed Aug. 19, 2022)</w:t>
      </w:r>
      <w:r w:rsidRPr="00CA561B" w:rsidR="00CA561B">
        <w:rPr>
          <w:color w:val="000000"/>
        </w:rPr>
        <w:t xml:space="preserve"> </w:t>
      </w:r>
      <w:r w:rsidR="00CA561B">
        <w:rPr>
          <w:color w:val="000000"/>
        </w:rPr>
        <w:t>(</w:t>
      </w:r>
      <w:r w:rsidRPr="00CD2C6F" w:rsidR="00CA561B">
        <w:rPr>
          <w:i/>
          <w:iCs/>
          <w:color w:val="000000"/>
        </w:rPr>
        <w:t>Milestone Request</w:t>
      </w:r>
      <w:r w:rsidR="00CA561B">
        <w:rPr>
          <w:color w:val="000000"/>
        </w:rPr>
        <w:t>)</w:t>
      </w:r>
      <w:r w:rsidR="00294D08">
        <w:rPr>
          <w:color w:val="000000"/>
        </w:rPr>
        <w:t xml:space="preserve">. </w:t>
      </w:r>
      <w:r w:rsidR="00294D08">
        <w:t xml:space="preserve"> </w:t>
      </w:r>
      <w:r>
        <w:t xml:space="preserve"> </w:t>
      </w:r>
      <w:bookmarkEnd w:id="0"/>
    </w:p>
  </w:footnote>
  <w:footnote w:id="4">
    <w:p w:rsidR="005B5100" w:rsidRPr="008C03FD" w:rsidP="005B5100" w14:paraId="2FD3DF5C" w14:textId="47F79430">
      <w:pPr>
        <w:pStyle w:val="FootnoteText"/>
      </w:pPr>
      <w:r w:rsidRPr="008C03FD">
        <w:rPr>
          <w:rStyle w:val="FootnoteReference"/>
        </w:rPr>
        <w:footnoteRef/>
      </w:r>
      <w:r w:rsidRPr="008C03FD">
        <w:t xml:space="preserve"> </w:t>
      </w:r>
      <w:r>
        <w:t xml:space="preserve">IBFS </w:t>
      </w:r>
      <w:r w:rsidRPr="008C03FD">
        <w:t>File Nos. SAT-LOI-20140204-00013; SAT-AMD-20140218-00023</w:t>
      </w:r>
      <w:r>
        <w:t xml:space="preserve"> (grant stamp, dated June 18, 2014)</w:t>
      </w:r>
      <w:r w:rsidRPr="008C03FD">
        <w:t xml:space="preserve">. </w:t>
      </w:r>
      <w:r>
        <w:t xml:space="preserve"> </w:t>
      </w:r>
      <w:r>
        <w:t>Via</w:t>
      </w:r>
      <w:r w:rsidR="0028168A">
        <w:t>s</w:t>
      </w:r>
      <w:r>
        <w:t>at</w:t>
      </w:r>
      <w:r>
        <w:t xml:space="preserve"> was also subsequently granted a modification of the terms of market access for VIASAT-3 to change the center frequencies used for telemetry, tracking, and command operations and to reflect other revised technical parameters of the VIASAT-3 satellite under contract for construction.  </w:t>
      </w:r>
      <w:r w:rsidRPr="00930550">
        <w:rPr>
          <w:i/>
        </w:rPr>
        <w:t>See</w:t>
      </w:r>
      <w:r>
        <w:t xml:space="preserve"> IBFS File No. SAT-MOD-20150618-00037 (grant stamp, dated Oct. 21, 2015).</w:t>
      </w:r>
    </w:p>
  </w:footnote>
  <w:footnote w:id="5">
    <w:p w:rsidR="005B5100" w:rsidP="005B5100" w14:paraId="6E2C8909" w14:textId="77777777">
      <w:pPr>
        <w:pStyle w:val="FootnoteText"/>
      </w:pPr>
      <w:r>
        <w:rPr>
          <w:rStyle w:val="FootnoteReference"/>
        </w:rPr>
        <w:footnoteRef/>
      </w:r>
      <w:r>
        <w:t xml:space="preserve"> </w:t>
      </w:r>
      <w:r w:rsidRPr="008C03FD">
        <w:t>Th</w:t>
      </w:r>
      <w:r>
        <w:t xml:space="preserve">is satellite was originally to be called </w:t>
      </w:r>
      <w:r w:rsidRPr="008C03FD">
        <w:t>VIASAT KA-89W</w:t>
      </w:r>
      <w:r>
        <w:t>, but</w:t>
      </w:r>
      <w:r w:rsidRPr="008C03FD">
        <w:t xml:space="preserve"> </w:t>
      </w:r>
      <w:r>
        <w:t xml:space="preserve">the name </w:t>
      </w:r>
      <w:r w:rsidRPr="008C03FD">
        <w:t>was subsequently changed to V</w:t>
      </w:r>
      <w:r>
        <w:t>IASAT</w:t>
      </w:r>
      <w:r>
        <w:noBreakHyphen/>
      </w:r>
      <w:r w:rsidRPr="008C03FD">
        <w:t xml:space="preserve">3. </w:t>
      </w:r>
      <w:r>
        <w:t xml:space="preserve"> </w:t>
      </w:r>
      <w:r w:rsidRPr="008C03FD">
        <w:rPr>
          <w:i/>
        </w:rPr>
        <w:t>See</w:t>
      </w:r>
      <w:r w:rsidRPr="008C03FD">
        <w:t xml:space="preserve"> </w:t>
      </w:r>
      <w:r>
        <w:t xml:space="preserve">IBFS File No. </w:t>
      </w:r>
      <w:r w:rsidRPr="008C03FD">
        <w:t>SAT-MOD-20150618-00037</w:t>
      </w:r>
      <w:r>
        <w:t xml:space="preserve"> (grant stamp, dated Oct. 21, 2015).</w:t>
      </w:r>
    </w:p>
  </w:footnote>
  <w:footnote w:id="6">
    <w:p w:rsidR="005B5100" w:rsidP="005B5100" w14:paraId="3D921C73" w14:textId="6A20E1E8">
      <w:pPr>
        <w:pStyle w:val="FootnoteText"/>
      </w:pPr>
      <w:r>
        <w:rPr>
          <w:rStyle w:val="FootnoteReference"/>
        </w:rPr>
        <w:footnoteRef/>
      </w:r>
      <w:r>
        <w:t xml:space="preserve"> </w:t>
      </w:r>
      <w:r>
        <w:t>47 CFR §§ 25.137(d)</w:t>
      </w:r>
      <w:r w:rsidR="000F20CC">
        <w:t>,</w:t>
      </w:r>
      <w:r>
        <w:t xml:space="preserve"> 25.164(a); IBFS File No. </w:t>
      </w:r>
      <w:r w:rsidRPr="008C03FD">
        <w:t>SAT-LOI-20140204-00013</w:t>
      </w:r>
      <w:r>
        <w:t xml:space="preserve">, condition 12 (grant stamp, dated June 18, 2014).  </w:t>
      </w:r>
      <w:r w:rsidRPr="003B5253">
        <w:t>The Satellite Division subsequently re-issued the market access grant for VIASAT-3 on March 23, 2017</w:t>
      </w:r>
      <w:r w:rsidRPr="003B5253" w:rsidR="00A5276E">
        <w:t>,</w:t>
      </w:r>
      <w:r w:rsidRPr="003B5253">
        <w:t xml:space="preserve"> to incorporate</w:t>
      </w:r>
      <w:r w:rsidRPr="003B5253" w:rsidR="008D2FF2">
        <w:t xml:space="preserve"> </w:t>
      </w:r>
      <w:r w:rsidRPr="003B5253">
        <w:t xml:space="preserve">revised milestone and </w:t>
      </w:r>
      <w:r w:rsidRPr="003B5253" w:rsidR="00E753FE">
        <w:t xml:space="preserve">associated performance </w:t>
      </w:r>
      <w:r w:rsidRPr="003B5253">
        <w:t>bond provisions that were adopted by the Commission in 2015.</w:t>
      </w:r>
      <w:r>
        <w:t xml:space="preserve">  </w:t>
      </w:r>
      <w:r w:rsidRPr="00930550">
        <w:rPr>
          <w:i/>
        </w:rPr>
        <w:t>See Comprehensive Review of Licensing and Operating Rules for Satellite Services</w:t>
      </w:r>
      <w:r>
        <w:t xml:space="preserve">, Second Report and Order, </w:t>
      </w:r>
      <w:r w:rsidRPr="00714A65">
        <w:t xml:space="preserve">30 FCC </w:t>
      </w:r>
      <w:r w:rsidRPr="00714A65">
        <w:t>Rcd</w:t>
      </w:r>
      <w:r w:rsidRPr="00714A65">
        <w:t xml:space="preserve"> 14713</w:t>
      </w:r>
      <w:r>
        <w:t xml:space="preserve"> (2015) (</w:t>
      </w:r>
      <w:r w:rsidRPr="00930550">
        <w:rPr>
          <w:i/>
        </w:rPr>
        <w:t>Part 25 Streamlining Second Report and Order</w:t>
      </w:r>
      <w:r>
        <w:t xml:space="preserve">).  </w:t>
      </w:r>
    </w:p>
  </w:footnote>
  <w:footnote w:id="7">
    <w:p w:rsidR="005B5100" w:rsidRPr="008C03FD" w:rsidP="005B5100" w14:paraId="295A3D1F" w14:textId="0EC7E37A">
      <w:pPr>
        <w:pStyle w:val="FootnoteText"/>
      </w:pPr>
      <w:r w:rsidRPr="008C03FD">
        <w:rPr>
          <w:rStyle w:val="FootnoteReference"/>
        </w:rPr>
        <w:footnoteRef/>
      </w:r>
      <w:r w:rsidRPr="008C03FD">
        <w:t xml:space="preserve"> </w:t>
      </w:r>
      <w:bookmarkStart w:id="1" w:name="_Hlk30601591"/>
      <w:r>
        <w:rPr>
          <w:i/>
        </w:rPr>
        <w:t xml:space="preserve">See </w:t>
      </w:r>
      <w:r w:rsidRPr="00BE24A0">
        <w:rPr>
          <w:iCs/>
        </w:rPr>
        <w:t xml:space="preserve">Application for Modification of Market Access Grant and for Extension or Waiver of Milestone Date, </w:t>
      </w:r>
      <w:r w:rsidR="00D80C22">
        <w:rPr>
          <w:iCs/>
        </w:rPr>
        <w:t xml:space="preserve">IBFS File No. </w:t>
      </w:r>
      <w:r w:rsidRPr="00D80C22">
        <w:rPr>
          <w:iCs/>
        </w:rPr>
        <w:t>SAT-MOD-20190617-00047</w:t>
      </w:r>
      <w:bookmarkEnd w:id="1"/>
      <w:r w:rsidR="00D80C22">
        <w:rPr>
          <w:iCs/>
        </w:rPr>
        <w:t xml:space="preserve"> (</w:t>
      </w:r>
      <w:r w:rsidRPr="00D80C22" w:rsidR="002B2E4F">
        <w:rPr>
          <w:iCs/>
        </w:rPr>
        <w:t>granted</w:t>
      </w:r>
      <w:r w:rsidRPr="00D80C22" w:rsidR="00294D08">
        <w:rPr>
          <w:iCs/>
        </w:rPr>
        <w:t xml:space="preserve"> May 28, 2020</w:t>
      </w:r>
      <w:r w:rsidR="00D80C22">
        <w:rPr>
          <w:iCs/>
        </w:rPr>
        <w:t>)</w:t>
      </w:r>
      <w:r w:rsidRPr="00BE24A0" w:rsidR="00D80C22">
        <w:rPr>
          <w:iCs/>
        </w:rPr>
        <w:t>;</w:t>
      </w:r>
      <w:r w:rsidRPr="00BE24A0" w:rsidR="002B2E4F">
        <w:rPr>
          <w:i/>
        </w:rPr>
        <w:t xml:space="preserve"> </w:t>
      </w:r>
      <w:bookmarkStart w:id="2" w:name="_Hlk86914834"/>
      <w:r w:rsidRPr="00BE24A0" w:rsidR="002B2E4F">
        <w:rPr>
          <w:i/>
        </w:rPr>
        <w:t>Via</w:t>
      </w:r>
      <w:r w:rsidRPr="00BE24A0" w:rsidR="00F277F1">
        <w:rPr>
          <w:i/>
        </w:rPr>
        <w:t>s</w:t>
      </w:r>
      <w:r w:rsidRPr="00BE24A0" w:rsidR="002B2E4F">
        <w:rPr>
          <w:i/>
        </w:rPr>
        <w:t>at</w:t>
      </w:r>
      <w:r w:rsidRPr="00BE24A0" w:rsidR="002B2E4F">
        <w:rPr>
          <w:i/>
        </w:rPr>
        <w:t>, Inc.</w:t>
      </w:r>
      <w:r w:rsidR="002B2E4F">
        <w:t>,</w:t>
      </w:r>
      <w:r w:rsidR="00294D08">
        <w:t xml:space="preserve"> </w:t>
      </w:r>
      <w:r w:rsidR="00806014">
        <w:t xml:space="preserve">Order and Declaratory Ruling, </w:t>
      </w:r>
      <w:r w:rsidRPr="00832173" w:rsidR="00294D08">
        <w:rPr>
          <w:color w:val="3D3D3D"/>
          <w:shd w:val="clear" w:color="auto" w:fill="FFFFFF"/>
        </w:rPr>
        <w:t xml:space="preserve">35 FCC </w:t>
      </w:r>
      <w:r w:rsidRPr="00832173" w:rsidR="00294D08">
        <w:rPr>
          <w:color w:val="3D3D3D"/>
          <w:shd w:val="clear" w:color="auto" w:fill="FFFFFF"/>
        </w:rPr>
        <w:t>Rcd</w:t>
      </w:r>
      <w:r w:rsidRPr="00832173" w:rsidR="00294D08">
        <w:rPr>
          <w:color w:val="3D3D3D"/>
          <w:shd w:val="clear" w:color="auto" w:fill="FFFFFF"/>
        </w:rPr>
        <w:t xml:space="preserve"> 5416</w:t>
      </w:r>
      <w:bookmarkEnd w:id="2"/>
      <w:r w:rsidR="005747D9">
        <w:rPr>
          <w:color w:val="3D3D3D"/>
          <w:shd w:val="clear" w:color="auto" w:fill="FFFFFF"/>
        </w:rPr>
        <w:t xml:space="preserve">, </w:t>
      </w:r>
      <w:r w:rsidR="0054445D">
        <w:rPr>
          <w:color w:val="3D3D3D"/>
          <w:shd w:val="clear" w:color="auto" w:fill="FFFFFF"/>
        </w:rPr>
        <w:t xml:space="preserve">5418, </w:t>
      </w:r>
      <w:r w:rsidR="005747D9">
        <w:rPr>
          <w:color w:val="3D3D3D"/>
          <w:shd w:val="clear" w:color="auto" w:fill="FFFFFF"/>
        </w:rPr>
        <w:t>para. 6</w:t>
      </w:r>
      <w:r w:rsidRPr="00832173" w:rsidR="00294D08">
        <w:rPr>
          <w:color w:val="3D3D3D"/>
          <w:shd w:val="clear" w:color="auto" w:fill="FFFFFF"/>
        </w:rPr>
        <w:t xml:space="preserve"> (</w:t>
      </w:r>
      <w:r w:rsidR="002B2E4F">
        <w:rPr>
          <w:color w:val="3D3D3D"/>
          <w:shd w:val="clear" w:color="auto" w:fill="FFFFFF"/>
        </w:rPr>
        <w:t>I</w:t>
      </w:r>
      <w:r w:rsidR="00CA561B">
        <w:rPr>
          <w:color w:val="3D3D3D"/>
          <w:shd w:val="clear" w:color="auto" w:fill="FFFFFF"/>
        </w:rPr>
        <w:t xml:space="preserve">B, </w:t>
      </w:r>
      <w:r w:rsidR="002B2E4F">
        <w:rPr>
          <w:color w:val="3D3D3D"/>
          <w:shd w:val="clear" w:color="auto" w:fill="FFFFFF"/>
        </w:rPr>
        <w:t xml:space="preserve">OET </w:t>
      </w:r>
      <w:r w:rsidRPr="00832173" w:rsidR="00294D08">
        <w:rPr>
          <w:color w:val="3D3D3D"/>
          <w:shd w:val="clear" w:color="auto" w:fill="FFFFFF"/>
        </w:rPr>
        <w:t>2020)</w:t>
      </w:r>
      <w:r w:rsidR="005747D9">
        <w:rPr>
          <w:color w:val="3D3D3D"/>
          <w:shd w:val="clear" w:color="auto" w:fill="FFFFFF"/>
        </w:rPr>
        <w:t xml:space="preserve"> </w:t>
      </w:r>
      <w:r w:rsidR="002B2E4F">
        <w:rPr>
          <w:color w:val="3D3D3D"/>
          <w:shd w:val="clear" w:color="auto" w:fill="FFFFFF"/>
        </w:rPr>
        <w:t>(</w:t>
      </w:r>
      <w:r w:rsidR="002B2E4F">
        <w:rPr>
          <w:i/>
          <w:iCs/>
          <w:color w:val="3D3D3D"/>
          <w:shd w:val="clear" w:color="auto" w:fill="FFFFFF"/>
        </w:rPr>
        <w:t>2020 Extension Grant</w:t>
      </w:r>
      <w:r w:rsidRPr="00BE24A0" w:rsidR="002B2E4F">
        <w:rPr>
          <w:color w:val="3D3D3D"/>
          <w:shd w:val="clear" w:color="auto" w:fill="FFFFFF"/>
        </w:rPr>
        <w:t>)</w:t>
      </w:r>
      <w:r w:rsidRPr="007F7D91" w:rsidR="00294D08">
        <w:t xml:space="preserve">. </w:t>
      </w:r>
      <w:r w:rsidR="00294D08">
        <w:t xml:space="preserve"> </w:t>
      </w:r>
    </w:p>
  </w:footnote>
  <w:footnote w:id="8">
    <w:p w:rsidR="005747D9" w:rsidP="005747D9" w14:paraId="05E7A3D5" w14:textId="77777777">
      <w:pPr>
        <w:pStyle w:val="FootnoteText"/>
      </w:pPr>
      <w:r>
        <w:rPr>
          <w:rStyle w:val="FootnoteReference"/>
        </w:rPr>
        <w:footnoteRef/>
      </w:r>
      <w:r>
        <w:t xml:space="preserve"> </w:t>
      </w:r>
      <w:r w:rsidRPr="00832173">
        <w:rPr>
          <w:i/>
          <w:iCs/>
        </w:rPr>
        <w:t>See</w:t>
      </w:r>
      <w:r>
        <w:t xml:space="preserve"> </w:t>
      </w:r>
      <w:r w:rsidRPr="0023529D">
        <w:t xml:space="preserve">IBFS File No. </w:t>
      </w:r>
      <w:r w:rsidRPr="00832173">
        <w:rPr>
          <w:color w:val="000000"/>
        </w:rPr>
        <w:t>SAT-MOD-20190617</w:t>
      </w:r>
      <w:r>
        <w:rPr>
          <w:color w:val="000000"/>
        </w:rPr>
        <w:t xml:space="preserve">, </w:t>
      </w:r>
      <w:r>
        <w:t>Narrative at 8</w:t>
      </w:r>
      <w:r w:rsidRPr="00832173">
        <w:t>.</w:t>
      </w:r>
    </w:p>
  </w:footnote>
  <w:footnote w:id="9">
    <w:p w:rsidR="005747D9" w:rsidP="005747D9" w14:paraId="2284E67E" w14:textId="77777777">
      <w:pPr>
        <w:pStyle w:val="FootnoteText"/>
      </w:pPr>
      <w:r>
        <w:rPr>
          <w:rStyle w:val="FootnoteReference"/>
        </w:rPr>
        <w:footnoteRef/>
      </w:r>
      <w:r>
        <w:t xml:space="preserve"> </w:t>
      </w:r>
      <w:r w:rsidRPr="00DB7FB6">
        <w:rPr>
          <w:i/>
          <w:iCs/>
        </w:rPr>
        <w:t xml:space="preserve">See </w:t>
      </w:r>
      <w:r>
        <w:rPr>
          <w:i/>
          <w:iCs/>
        </w:rPr>
        <w:t xml:space="preserve">2020 </w:t>
      </w:r>
      <w:r w:rsidRPr="00DB7FB6">
        <w:rPr>
          <w:i/>
          <w:iCs/>
        </w:rPr>
        <w:t>Extension</w:t>
      </w:r>
      <w:r>
        <w:rPr>
          <w:i/>
          <w:iCs/>
        </w:rPr>
        <w:t xml:space="preserve"> Grant</w:t>
      </w:r>
      <w:r>
        <w:t xml:space="preserve">, 35 FCC </w:t>
      </w:r>
      <w:r>
        <w:t>Rcd</w:t>
      </w:r>
      <w:r>
        <w:t xml:space="preserve"> at 5420, para. 11.</w:t>
      </w:r>
    </w:p>
  </w:footnote>
  <w:footnote w:id="10">
    <w:p w:rsidR="005747D9" w:rsidP="005747D9" w14:paraId="5F8B2785" w14:textId="38B1DEC3">
      <w:pPr>
        <w:pStyle w:val="FootnoteText"/>
      </w:pPr>
      <w:r>
        <w:rPr>
          <w:rStyle w:val="FootnoteReference"/>
        </w:rPr>
        <w:footnoteRef/>
      </w:r>
      <w:r>
        <w:t xml:space="preserve"> </w:t>
      </w:r>
      <w:r>
        <w:rPr>
          <w:i/>
          <w:iCs/>
        </w:rPr>
        <w:t>Id.</w:t>
      </w:r>
      <w:r w:rsidRPr="00DB7FB6">
        <w:rPr>
          <w:i/>
          <w:iCs/>
        </w:rPr>
        <w:t xml:space="preserve"> </w:t>
      </w:r>
      <w:r w:rsidRPr="007214EA">
        <w:t>at</w:t>
      </w:r>
      <w:r>
        <w:t xml:space="preserve"> paras</w:t>
      </w:r>
      <w:r w:rsidR="00324837">
        <w:t>.</w:t>
      </w:r>
      <w:r>
        <w:t xml:space="preserve"> 9, 11</w:t>
      </w:r>
      <w:r w:rsidR="0084359A">
        <w:t>.</w:t>
      </w:r>
    </w:p>
  </w:footnote>
  <w:footnote w:id="11">
    <w:p w:rsidR="005747D9" w:rsidP="005747D9" w14:paraId="7877F88C" w14:textId="4A3870F3">
      <w:pPr>
        <w:pStyle w:val="FootnoteText"/>
      </w:pPr>
      <w:r>
        <w:rPr>
          <w:rStyle w:val="FootnoteReference"/>
        </w:rPr>
        <w:footnoteRef/>
      </w:r>
      <w:r>
        <w:t xml:space="preserve"> </w:t>
      </w:r>
      <w:r>
        <w:rPr>
          <w:i/>
          <w:iCs/>
        </w:rPr>
        <w:t>Id.</w:t>
      </w:r>
      <w:r w:rsidRPr="00DB7FB6">
        <w:rPr>
          <w:i/>
          <w:iCs/>
        </w:rPr>
        <w:t xml:space="preserve"> </w:t>
      </w:r>
      <w:r>
        <w:t>at para</w:t>
      </w:r>
      <w:r w:rsidR="00324837">
        <w:t>.</w:t>
      </w:r>
      <w:r>
        <w:t xml:space="preserve"> 10.</w:t>
      </w:r>
    </w:p>
  </w:footnote>
  <w:footnote w:id="12">
    <w:p w:rsidR="00B70F60" w14:paraId="2D870DE5" w14:textId="25BDF03E">
      <w:pPr>
        <w:pStyle w:val="FootnoteText"/>
      </w:pPr>
      <w:r>
        <w:rPr>
          <w:rStyle w:val="FootnoteReference"/>
        </w:rPr>
        <w:footnoteRef/>
      </w:r>
      <w:r>
        <w:t xml:space="preserve"> </w:t>
      </w:r>
      <w:r w:rsidR="00CB7AFC">
        <w:t xml:space="preserve">Contemporaneously, </w:t>
      </w:r>
      <w:r w:rsidR="00CB7AFC">
        <w:t>Via</w:t>
      </w:r>
      <w:r w:rsidR="00F277F1">
        <w:t>s</w:t>
      </w:r>
      <w:r w:rsidR="00CB7AFC">
        <w:t>at</w:t>
      </w:r>
      <w:r w:rsidR="00CB7AFC">
        <w:t xml:space="preserve"> was granted </w:t>
      </w:r>
      <w:r w:rsidR="005378E8">
        <w:t xml:space="preserve">additional </w:t>
      </w:r>
      <w:r w:rsidR="00CB7AFC">
        <w:t xml:space="preserve">authority with respect to </w:t>
      </w:r>
      <w:r w:rsidR="005378E8">
        <w:t xml:space="preserve">certain </w:t>
      </w:r>
      <w:r w:rsidR="00CB7AFC">
        <w:t xml:space="preserve">frequencies on the VIASAT-3 satellite.  </w:t>
      </w:r>
      <w:r w:rsidR="005378E8">
        <w:rPr>
          <w:i/>
          <w:iCs/>
        </w:rPr>
        <w:t xml:space="preserve">See </w:t>
      </w:r>
      <w:r w:rsidR="00CB7AFC">
        <w:t xml:space="preserve">IBFS </w:t>
      </w:r>
      <w:r w:rsidRPr="00627374" w:rsidR="00CB7AFC">
        <w:t xml:space="preserve">File No. </w:t>
      </w:r>
      <w:r w:rsidRPr="00484750" w:rsidR="00CB7AFC">
        <w:t>SAT-LOA-20190617-0004</w:t>
      </w:r>
      <w:r w:rsidR="00CB7AFC">
        <w:t>8.</w:t>
      </w:r>
      <w:r w:rsidR="00A5276E">
        <w:t xml:space="preserve">  </w:t>
      </w:r>
    </w:p>
  </w:footnote>
  <w:footnote w:id="13">
    <w:p w:rsidR="00111A7A" w14:paraId="79AAC29B" w14:textId="1FC028B5">
      <w:pPr>
        <w:pStyle w:val="FootnoteText"/>
      </w:pPr>
      <w:r>
        <w:rPr>
          <w:rStyle w:val="FootnoteReference"/>
        </w:rPr>
        <w:footnoteRef/>
      </w:r>
      <w:r>
        <w:t xml:space="preserve"> </w:t>
      </w:r>
      <w:r w:rsidRPr="00832173" w:rsidR="00BB7F77">
        <w:rPr>
          <w:i/>
          <w:iCs/>
        </w:rPr>
        <w:t>See</w:t>
      </w:r>
      <w:r w:rsidRPr="008616B5" w:rsidR="00BB7F77">
        <w:t xml:space="preserve"> </w:t>
      </w:r>
      <w:r w:rsidR="00BB7F77">
        <w:rPr>
          <w:color w:val="000000"/>
        </w:rPr>
        <w:t xml:space="preserve">Request to Extend or Waive Milestone Date, </w:t>
      </w:r>
      <w:r w:rsidRPr="008616B5" w:rsidR="00BB7F77">
        <w:t xml:space="preserve">IBFS File No. </w:t>
      </w:r>
      <w:r w:rsidRPr="00832173" w:rsidR="00BB7F77">
        <w:rPr>
          <w:color w:val="000000"/>
        </w:rPr>
        <w:t>SAT-MOD-20210825-00110</w:t>
      </w:r>
      <w:r w:rsidR="00BB7F77">
        <w:rPr>
          <w:color w:val="000000"/>
        </w:rPr>
        <w:t xml:space="preserve"> (</w:t>
      </w:r>
      <w:r w:rsidR="00BB7F77">
        <w:rPr>
          <w:i/>
          <w:iCs/>
          <w:color w:val="000000"/>
        </w:rPr>
        <w:t>2021 M</w:t>
      </w:r>
      <w:r w:rsidRPr="00CD2C6F" w:rsidR="00BB7F77">
        <w:rPr>
          <w:i/>
          <w:iCs/>
          <w:color w:val="000000"/>
        </w:rPr>
        <w:t>ilestone Request</w:t>
      </w:r>
      <w:r w:rsidR="00BB7F77">
        <w:rPr>
          <w:color w:val="000000"/>
        </w:rPr>
        <w:t xml:space="preserve">). </w:t>
      </w:r>
      <w:r w:rsidR="00BB7F77">
        <w:t xml:space="preserve">  </w:t>
      </w:r>
    </w:p>
  </w:footnote>
  <w:footnote w:id="14">
    <w:p w:rsidR="00111A7A" w14:paraId="2B443305" w14:textId="49D0A1D8">
      <w:pPr>
        <w:pStyle w:val="FootnoteText"/>
      </w:pPr>
      <w:r>
        <w:rPr>
          <w:rStyle w:val="FootnoteReference"/>
        </w:rPr>
        <w:footnoteRef/>
      </w:r>
      <w:r>
        <w:t xml:space="preserve"> </w:t>
      </w:r>
      <w:r w:rsidR="0060568F">
        <w:rPr>
          <w:i/>
          <w:iCs/>
        </w:rPr>
        <w:t xml:space="preserve">2021 </w:t>
      </w:r>
      <w:r w:rsidRPr="00D93951" w:rsidR="004532E2">
        <w:rPr>
          <w:i/>
          <w:iCs/>
          <w:color w:val="000000"/>
        </w:rPr>
        <w:t>Milestone Request</w:t>
      </w:r>
      <w:r w:rsidR="004532E2">
        <w:rPr>
          <w:color w:val="000000"/>
        </w:rPr>
        <w:t xml:space="preserve">, </w:t>
      </w:r>
      <w:r w:rsidR="004532E2">
        <w:t xml:space="preserve">Narrative at </w:t>
      </w:r>
      <w:r w:rsidR="0060568F">
        <w:t>2</w:t>
      </w:r>
      <w:r w:rsidR="004532E2">
        <w:t>.</w:t>
      </w:r>
    </w:p>
  </w:footnote>
  <w:footnote w:id="15">
    <w:p w:rsidR="00121D30" w:rsidP="00121D30" w14:paraId="35208AB4" w14:textId="513BB6FC">
      <w:pPr>
        <w:pStyle w:val="FootnoteText"/>
      </w:pPr>
      <w:r>
        <w:rPr>
          <w:rStyle w:val="FootnoteReference"/>
        </w:rPr>
        <w:footnoteRef/>
      </w:r>
      <w:r>
        <w:t xml:space="preserve"> </w:t>
      </w:r>
      <w:r w:rsidR="004532E2">
        <w:rPr>
          <w:i/>
          <w:iCs/>
          <w:color w:val="000000"/>
        </w:rPr>
        <w:t>Id.</w:t>
      </w:r>
      <w:r>
        <w:rPr>
          <w:color w:val="000000"/>
        </w:rPr>
        <w:t xml:space="preserve"> </w:t>
      </w:r>
      <w:r>
        <w:t>at 1</w:t>
      </w:r>
      <w:r w:rsidR="0060568F">
        <w:t>, 3</w:t>
      </w:r>
      <w:r>
        <w:rPr>
          <w:i/>
          <w:iCs/>
        </w:rPr>
        <w:t>.</w:t>
      </w:r>
    </w:p>
  </w:footnote>
  <w:footnote w:id="16">
    <w:p w:rsidR="00121D30" w:rsidP="00121D30" w14:paraId="29B2814D" w14:textId="77777777">
      <w:pPr>
        <w:pStyle w:val="FootnoteText"/>
      </w:pPr>
      <w:r>
        <w:rPr>
          <w:rStyle w:val="FootnoteReference"/>
        </w:rPr>
        <w:footnoteRef/>
      </w:r>
      <w:r>
        <w:t xml:space="preserve"> </w:t>
      </w:r>
      <w:r w:rsidRPr="007214EA">
        <w:rPr>
          <w:i/>
          <w:iCs/>
        </w:rPr>
        <w:t>Id</w:t>
      </w:r>
      <w:r>
        <w:t>. at 3-4.</w:t>
      </w:r>
    </w:p>
  </w:footnote>
  <w:footnote w:id="17">
    <w:p w:rsidR="00121D30" w:rsidP="00121D30" w14:paraId="4017430F" w14:textId="77777777">
      <w:pPr>
        <w:pStyle w:val="FootnoteText"/>
      </w:pPr>
      <w:r>
        <w:rPr>
          <w:rStyle w:val="FootnoteReference"/>
        </w:rPr>
        <w:footnoteRef/>
      </w:r>
      <w:r>
        <w:t xml:space="preserve"> </w:t>
      </w:r>
      <w:r w:rsidRPr="007214EA">
        <w:rPr>
          <w:i/>
          <w:iCs/>
        </w:rPr>
        <w:t>Id</w:t>
      </w:r>
      <w:r>
        <w:t>. at 2.</w:t>
      </w:r>
    </w:p>
  </w:footnote>
  <w:footnote w:id="18">
    <w:p w:rsidR="00121D30" w:rsidP="00121D30" w14:paraId="5774795A" w14:textId="77777777">
      <w:pPr>
        <w:pStyle w:val="FootnoteText"/>
      </w:pPr>
      <w:r>
        <w:rPr>
          <w:rStyle w:val="FootnoteReference"/>
        </w:rPr>
        <w:footnoteRef/>
      </w:r>
      <w:r>
        <w:t xml:space="preserve"> </w:t>
      </w:r>
      <w:r w:rsidRPr="007214EA">
        <w:rPr>
          <w:i/>
          <w:iCs/>
        </w:rPr>
        <w:t>Id</w:t>
      </w:r>
      <w:r>
        <w:t>. 2-3.</w:t>
      </w:r>
    </w:p>
  </w:footnote>
  <w:footnote w:id="19">
    <w:p w:rsidR="00121D30" w:rsidP="00121D30" w14:paraId="2A6068E8" w14:textId="77777777">
      <w:pPr>
        <w:pStyle w:val="FootnoteText"/>
      </w:pPr>
      <w:r>
        <w:rPr>
          <w:rStyle w:val="FootnoteReference"/>
        </w:rPr>
        <w:footnoteRef/>
      </w:r>
      <w:r>
        <w:t xml:space="preserve"> </w:t>
      </w:r>
      <w:r w:rsidRPr="007214EA">
        <w:rPr>
          <w:i/>
          <w:iCs/>
        </w:rPr>
        <w:t>Id</w:t>
      </w:r>
      <w:r>
        <w:t>.</w:t>
      </w:r>
    </w:p>
  </w:footnote>
  <w:footnote w:id="20">
    <w:p w:rsidR="005D401D" w14:paraId="780243D0" w14:textId="6579AA87">
      <w:pPr>
        <w:pStyle w:val="FootnoteText"/>
      </w:pPr>
      <w:r>
        <w:rPr>
          <w:rStyle w:val="FootnoteReference"/>
        </w:rPr>
        <w:footnoteRef/>
      </w:r>
      <w:r>
        <w:t xml:space="preserve"> </w:t>
      </w:r>
      <w:r w:rsidRPr="00E752FB" w:rsidR="00E752FB">
        <w:rPr>
          <w:i/>
          <w:iCs/>
        </w:rPr>
        <w:t>Viasat</w:t>
      </w:r>
      <w:r w:rsidRPr="00E752FB" w:rsidR="00E752FB">
        <w:rPr>
          <w:i/>
          <w:iCs/>
        </w:rPr>
        <w:t>, Inc. Application for Extension or Waiver of Milestone Date</w:t>
      </w:r>
      <w:r w:rsidR="00E752FB">
        <w:t xml:space="preserve">, Order, DA 21-1638, </w:t>
      </w:r>
      <w:r w:rsidRPr="00E752FB" w:rsidR="00E752FB">
        <w:t>2021 WL 6106176</w:t>
      </w:r>
      <w:r w:rsidR="00E752FB">
        <w:t xml:space="preserve"> (IB Dec. 23, 2021).</w:t>
      </w:r>
    </w:p>
  </w:footnote>
  <w:footnote w:id="21">
    <w:p w:rsidR="00C173A6" w:rsidP="00C173A6" w14:paraId="20A13A25" w14:textId="51D70408">
      <w:pPr>
        <w:pStyle w:val="FootnoteText"/>
      </w:pPr>
      <w:r>
        <w:rPr>
          <w:rStyle w:val="FootnoteReference"/>
        </w:rPr>
        <w:footnoteRef/>
      </w:r>
      <w:r>
        <w:t xml:space="preserve"> </w:t>
      </w:r>
      <w:r w:rsidRPr="00930550">
        <w:rPr>
          <w:i/>
        </w:rPr>
        <w:t>Satellite Policy Branch Information: Space Station Applications Accepted for Filing</w:t>
      </w:r>
      <w:r>
        <w:t xml:space="preserve">, Public Notice, Report No. </w:t>
      </w:r>
      <w:r w:rsidR="00ED0A5B">
        <w:t xml:space="preserve">SAT-01664 </w:t>
      </w:r>
      <w:r>
        <w:t>(Sep</w:t>
      </w:r>
      <w:r w:rsidR="00324837">
        <w:t>t</w:t>
      </w:r>
      <w:r>
        <w:t>. 1</w:t>
      </w:r>
      <w:r w:rsidR="00ED0A5B">
        <w:t>6</w:t>
      </w:r>
      <w:r>
        <w:t>, 202</w:t>
      </w:r>
      <w:r w:rsidR="00ED0A5B">
        <w:t>2</w:t>
      </w:r>
      <w:r>
        <w:t>).</w:t>
      </w:r>
    </w:p>
  </w:footnote>
  <w:footnote w:id="22">
    <w:p w:rsidR="0078112D" w:rsidP="0078112D" w14:paraId="1DF089B9" w14:textId="77777777">
      <w:pPr>
        <w:pStyle w:val="FootnoteText"/>
      </w:pPr>
      <w:r>
        <w:rPr>
          <w:rStyle w:val="FootnoteReference"/>
        </w:rPr>
        <w:footnoteRef/>
      </w:r>
      <w:r>
        <w:t xml:space="preserve"> </w:t>
      </w:r>
      <w:r>
        <w:t>47 CFR § 25.117(e).</w:t>
      </w:r>
    </w:p>
  </w:footnote>
  <w:footnote w:id="23">
    <w:p w:rsidR="0078112D" w:rsidP="0078112D" w14:paraId="2FE050B4" w14:textId="77777777">
      <w:pPr>
        <w:pStyle w:val="FootnoteText"/>
      </w:pPr>
      <w:r>
        <w:rPr>
          <w:rStyle w:val="FootnoteReference"/>
        </w:rPr>
        <w:footnoteRef/>
      </w:r>
      <w:r>
        <w:t xml:space="preserve"> </w:t>
      </w:r>
      <w:r w:rsidRPr="0072707F">
        <w:rPr>
          <w:i/>
          <w:iCs/>
        </w:rPr>
        <w:t>Id</w:t>
      </w:r>
      <w:r>
        <w:t>.</w:t>
      </w:r>
    </w:p>
  </w:footnote>
  <w:footnote w:id="24">
    <w:p w:rsidR="002B11E2" w14:paraId="5650F982" w14:textId="5C95CCC4">
      <w:pPr>
        <w:pStyle w:val="FootnoteText"/>
      </w:pPr>
      <w:r>
        <w:rPr>
          <w:rStyle w:val="FootnoteReference"/>
        </w:rPr>
        <w:footnoteRef/>
      </w:r>
      <w:r>
        <w:t xml:space="preserve"> </w:t>
      </w:r>
      <w:r w:rsidRPr="00D93951">
        <w:rPr>
          <w:i/>
          <w:iCs/>
          <w:color w:val="000000"/>
        </w:rPr>
        <w:t>Milestone Request</w:t>
      </w:r>
      <w:r>
        <w:rPr>
          <w:color w:val="000000"/>
        </w:rPr>
        <w:t xml:space="preserve">, </w:t>
      </w:r>
      <w:r>
        <w:t>Narrative at 1</w:t>
      </w:r>
      <w:r>
        <w:rPr>
          <w:i/>
          <w:iCs/>
        </w:rPr>
        <w:t>.</w:t>
      </w:r>
    </w:p>
  </w:footnote>
  <w:footnote w:id="25">
    <w:p w:rsidR="009C5AD4" w14:paraId="6D4D212D" w14:textId="4681FF2E">
      <w:pPr>
        <w:pStyle w:val="FootnoteText"/>
      </w:pPr>
      <w:r>
        <w:rPr>
          <w:rStyle w:val="FootnoteReference"/>
        </w:rPr>
        <w:footnoteRef/>
      </w:r>
      <w:r>
        <w:t xml:space="preserve"> </w:t>
      </w:r>
      <w:r w:rsidRPr="009C5AD4">
        <w:rPr>
          <w:i/>
          <w:iCs/>
        </w:rPr>
        <w:t>Id</w:t>
      </w:r>
      <w:r>
        <w:t>.</w:t>
      </w:r>
    </w:p>
  </w:footnote>
  <w:footnote w:id="26">
    <w:p w:rsidR="00111A7A" w:rsidP="00111A7A" w14:paraId="3E2B2A68" w14:textId="2F34A18C">
      <w:pPr>
        <w:pStyle w:val="FootnoteText"/>
      </w:pPr>
      <w:r>
        <w:rPr>
          <w:rStyle w:val="FootnoteReference"/>
        </w:rPr>
        <w:footnoteRef/>
      </w:r>
      <w:r>
        <w:t xml:space="preserve"> </w:t>
      </w:r>
      <w:r w:rsidRPr="007214EA">
        <w:rPr>
          <w:i/>
          <w:iCs/>
        </w:rPr>
        <w:t>Id</w:t>
      </w:r>
      <w:r>
        <w:t>.</w:t>
      </w:r>
    </w:p>
  </w:footnote>
  <w:footnote w:id="27">
    <w:p w:rsidR="00111A7A" w:rsidP="00111A7A" w14:paraId="1906BB97" w14:textId="5538C14B">
      <w:pPr>
        <w:pStyle w:val="FootnoteText"/>
      </w:pPr>
      <w:r>
        <w:rPr>
          <w:rStyle w:val="FootnoteReference"/>
        </w:rPr>
        <w:footnoteRef/>
      </w:r>
      <w:r>
        <w:t xml:space="preserve"> </w:t>
      </w:r>
      <w:r w:rsidRPr="007214EA">
        <w:rPr>
          <w:i/>
          <w:iCs/>
        </w:rPr>
        <w:t>Id</w:t>
      </w:r>
      <w:r>
        <w:t>.</w:t>
      </w:r>
    </w:p>
  </w:footnote>
  <w:footnote w:id="28">
    <w:p w:rsidR="001B3BB9" w14:paraId="68101A0B" w14:textId="6D8EC0B8">
      <w:pPr>
        <w:pStyle w:val="FootnoteText"/>
      </w:pPr>
      <w:r>
        <w:rPr>
          <w:rStyle w:val="FootnoteReference"/>
        </w:rPr>
        <w:footnoteRef/>
      </w:r>
      <w:r>
        <w:t xml:space="preserve"> </w:t>
      </w:r>
      <w:r w:rsidRPr="001B3BB9">
        <w:rPr>
          <w:i/>
          <w:iCs/>
        </w:rPr>
        <w:t>Id</w:t>
      </w:r>
      <w:r>
        <w:t>.</w:t>
      </w:r>
    </w:p>
  </w:footnote>
  <w:footnote w:id="29">
    <w:p w:rsidR="00ED569F" w14:paraId="26A7AFF7" w14:textId="34004752">
      <w:pPr>
        <w:pStyle w:val="FootnoteText"/>
      </w:pPr>
      <w:r>
        <w:rPr>
          <w:rStyle w:val="FootnoteReference"/>
        </w:rPr>
        <w:footnoteRef/>
      </w:r>
      <w:r>
        <w:t xml:space="preserve"> </w:t>
      </w:r>
      <w:r w:rsidRPr="00ED569F">
        <w:rPr>
          <w:i/>
          <w:iCs/>
        </w:rPr>
        <w:t>Id</w:t>
      </w:r>
      <w:r>
        <w:t>. at 1, 3.</w:t>
      </w:r>
    </w:p>
  </w:footnote>
  <w:footnote w:id="30">
    <w:p w:rsidR="00564A69" w14:paraId="4D01A284" w14:textId="4CAC5BEC">
      <w:pPr>
        <w:pStyle w:val="FootnoteText"/>
      </w:pPr>
      <w:r w:rsidRPr="00BE24A0">
        <w:rPr>
          <w:rStyle w:val="FootnoteReference"/>
          <w:i/>
          <w:iCs/>
        </w:rPr>
        <w:footnoteRef/>
      </w:r>
      <w:r>
        <w:t xml:space="preserve"> </w:t>
      </w:r>
      <w:r w:rsidR="00324837">
        <w:rPr>
          <w:i/>
          <w:iCs/>
        </w:rPr>
        <w:t xml:space="preserve">Milestone </w:t>
      </w:r>
      <w:r w:rsidRPr="00324837" w:rsidR="00324837">
        <w:rPr>
          <w:i/>
          <w:iCs/>
        </w:rPr>
        <w:t>Request</w:t>
      </w:r>
      <w:r w:rsidR="00324837">
        <w:t>, Narrative</w:t>
      </w:r>
      <w:r>
        <w:t xml:space="preserve"> at 1.</w:t>
      </w:r>
    </w:p>
  </w:footnote>
  <w:footnote w:id="31">
    <w:p w:rsidR="00ED569F" w14:paraId="4438116F" w14:textId="2EF5A9BA">
      <w:pPr>
        <w:pStyle w:val="FootnoteText"/>
      </w:pPr>
      <w:r>
        <w:rPr>
          <w:rStyle w:val="FootnoteReference"/>
        </w:rPr>
        <w:footnoteRef/>
      </w:r>
      <w:r>
        <w:t xml:space="preserve"> </w:t>
      </w:r>
      <w:r w:rsidRPr="00ED569F">
        <w:rPr>
          <w:i/>
          <w:iCs/>
        </w:rPr>
        <w:t>Id</w:t>
      </w:r>
      <w:r>
        <w:t>. at 3.</w:t>
      </w:r>
    </w:p>
  </w:footnote>
  <w:footnote w:id="32">
    <w:p w:rsidR="00181898" w:rsidP="00181898" w14:paraId="508FD248" w14:textId="47ABBDEB">
      <w:pPr>
        <w:pStyle w:val="FootnoteText"/>
      </w:pPr>
      <w:r>
        <w:rPr>
          <w:rStyle w:val="FootnoteReference"/>
        </w:rPr>
        <w:footnoteRef/>
      </w:r>
      <w:r>
        <w:t xml:space="preserve"> </w:t>
      </w:r>
      <w:r w:rsidRPr="00832173" w:rsidR="00C600B9">
        <w:rPr>
          <w:i/>
          <w:iCs/>
        </w:rPr>
        <w:t>See</w:t>
      </w:r>
      <w:r w:rsidRPr="00832173" w:rsidR="00C600B9">
        <w:t xml:space="preserve">, </w:t>
      </w:r>
      <w:r w:rsidRPr="00832173" w:rsidR="00C600B9">
        <w:rPr>
          <w:i/>
          <w:iCs/>
        </w:rPr>
        <w:t>e.g</w:t>
      </w:r>
      <w:r w:rsidRPr="00832173" w:rsidR="00C600B9">
        <w:t xml:space="preserve">., </w:t>
      </w:r>
      <w:r w:rsidRPr="00832173">
        <w:rPr>
          <w:i/>
          <w:iCs/>
        </w:rPr>
        <w:t>Waiver of FCC Rule Sections 1.946 (c) and (d) for Wireless Site-Based and Mobile-Only</w:t>
      </w:r>
      <w:r w:rsidRPr="00832173" w:rsidR="00C600B9">
        <w:rPr>
          <w:i/>
          <w:iCs/>
        </w:rPr>
        <w:t xml:space="preserve"> </w:t>
      </w:r>
      <w:r w:rsidRPr="00832173">
        <w:rPr>
          <w:i/>
          <w:iCs/>
        </w:rPr>
        <w:t>System</w:t>
      </w:r>
      <w:r w:rsidRPr="00832173">
        <w:t xml:space="preserve">, </w:t>
      </w:r>
      <w:r w:rsidR="00B31683">
        <w:t xml:space="preserve">Order, </w:t>
      </w:r>
      <w:r w:rsidRPr="00832173">
        <w:t xml:space="preserve">35 FCC </w:t>
      </w:r>
      <w:r w:rsidRPr="00832173">
        <w:t>Rcd</w:t>
      </w:r>
      <w:r w:rsidRPr="00832173">
        <w:t xml:space="preserve"> 3536, </w:t>
      </w:r>
      <w:r w:rsidR="00AB281C">
        <w:t xml:space="preserve">3536-3539, </w:t>
      </w:r>
      <w:r w:rsidR="000A4CB5">
        <w:t>paras.</w:t>
      </w:r>
      <w:r w:rsidRPr="00832173">
        <w:t xml:space="preserve"> 2</w:t>
      </w:r>
      <w:r w:rsidR="00AB281C">
        <w:t>-5</w:t>
      </w:r>
      <w:r w:rsidRPr="00832173">
        <w:t xml:space="preserve"> (</w:t>
      </w:r>
      <w:r w:rsidR="00BF391F">
        <w:t xml:space="preserve">WTB, PSHSB </w:t>
      </w:r>
      <w:r w:rsidRPr="00832173">
        <w:t>2020)</w:t>
      </w:r>
      <w:r w:rsidR="00AB281C">
        <w:t xml:space="preserve"> (</w:t>
      </w:r>
      <w:r w:rsidRPr="00832173" w:rsidR="00AB281C">
        <w:rPr>
          <w:i/>
          <w:iCs/>
        </w:rPr>
        <w:t>Waiver of 1.946</w:t>
      </w:r>
      <w:r w:rsidR="00AB281C">
        <w:t>)</w:t>
      </w:r>
      <w:r w:rsidRPr="00832173">
        <w:t xml:space="preserve">; </w:t>
      </w:r>
      <w:r w:rsidRPr="00832173">
        <w:rPr>
          <w:i/>
          <w:iCs/>
        </w:rPr>
        <w:t>Request for Waiver by the Schools, Health &amp; Libraries Broadband (SHLB) Coalition</w:t>
      </w:r>
      <w:r w:rsidRPr="00832173">
        <w:t xml:space="preserve">, </w:t>
      </w:r>
      <w:r w:rsidR="00033073">
        <w:t xml:space="preserve">Order, </w:t>
      </w:r>
      <w:r w:rsidR="00806014">
        <w:t xml:space="preserve">36 FCC </w:t>
      </w:r>
      <w:r w:rsidR="00806014">
        <w:t>Rcd</w:t>
      </w:r>
      <w:r w:rsidR="00806014">
        <w:t xml:space="preserve"> 9956, 9958-59,</w:t>
      </w:r>
      <w:r w:rsidR="000A4CB5">
        <w:t xml:space="preserve"> paras.</w:t>
      </w:r>
      <w:r w:rsidR="00C46552">
        <w:t xml:space="preserve"> </w:t>
      </w:r>
      <w:r w:rsidRPr="00832173">
        <w:t>4</w:t>
      </w:r>
      <w:r w:rsidR="00C46552">
        <w:t>-7</w:t>
      </w:r>
      <w:r w:rsidR="00E06E8C">
        <w:t xml:space="preserve"> </w:t>
      </w:r>
      <w:r w:rsidRPr="00832173">
        <w:t>(</w:t>
      </w:r>
      <w:r w:rsidR="00806014">
        <w:t xml:space="preserve">WCB </w:t>
      </w:r>
      <w:r w:rsidRPr="00832173">
        <w:t>2021)</w:t>
      </w:r>
      <w:r w:rsidRPr="00A715EA" w:rsidR="00A715EA">
        <w:t xml:space="preserve"> </w:t>
      </w:r>
      <w:r w:rsidR="00A715EA">
        <w:t>(</w:t>
      </w:r>
      <w:r w:rsidRPr="00832173" w:rsidR="00A715EA">
        <w:rPr>
          <w:i/>
          <w:iCs/>
        </w:rPr>
        <w:t>SHLB Coalition</w:t>
      </w:r>
      <w:r w:rsidR="00A715EA">
        <w:t>)</w:t>
      </w:r>
      <w:r w:rsidR="00394575">
        <w:t>.</w:t>
      </w:r>
    </w:p>
  </w:footnote>
  <w:footnote w:id="33">
    <w:p w:rsidR="00BF67BF" w:rsidRPr="00D70AAE" w:rsidP="00BE24A0" w14:paraId="11084BCA" w14:textId="457F0115">
      <w:pPr>
        <w:pStyle w:val="FootnoteText"/>
      </w:pPr>
      <w:r>
        <w:rPr>
          <w:rStyle w:val="FootnoteReference"/>
        </w:rPr>
        <w:footnoteRef/>
      </w:r>
      <w:r>
        <w:t xml:space="preserve"> </w:t>
      </w:r>
      <w:r w:rsidRPr="00043A98">
        <w:rPr>
          <w:i/>
          <w:iCs/>
        </w:rPr>
        <w:t>Waiver of 1.946</w:t>
      </w:r>
      <w:r w:rsidRPr="00043A98">
        <w:t xml:space="preserve">, 35 FCC </w:t>
      </w:r>
      <w:r w:rsidRPr="00043A98">
        <w:t>Rcd</w:t>
      </w:r>
      <w:r w:rsidRPr="00043A98">
        <w:t xml:space="preserve"> at 3537, </w:t>
      </w:r>
      <w:r w:rsidRPr="00043A98" w:rsidR="003003AE">
        <w:t>paras.</w:t>
      </w:r>
      <w:r w:rsidRPr="00043A98">
        <w:t xml:space="preserve"> 4-5</w:t>
      </w:r>
      <w:r w:rsidRPr="00043A98" w:rsidR="00E06E8C">
        <w:t xml:space="preserve">; </w:t>
      </w:r>
      <w:r w:rsidRPr="009F598E" w:rsidR="00225419">
        <w:rPr>
          <w:i/>
          <w:iCs/>
          <w:shd w:val="clear" w:color="auto" w:fill="FFFFFF"/>
        </w:rPr>
        <w:t>SHLB Coalition</w:t>
      </w:r>
      <w:r w:rsidR="00225419">
        <w:rPr>
          <w:shd w:val="clear" w:color="auto" w:fill="FFFFFF"/>
        </w:rPr>
        <w:t xml:space="preserve">, 36 FCC </w:t>
      </w:r>
      <w:r w:rsidR="00225419">
        <w:rPr>
          <w:shd w:val="clear" w:color="auto" w:fill="FFFFFF"/>
        </w:rPr>
        <w:t>Rcd</w:t>
      </w:r>
      <w:r w:rsidR="00225419">
        <w:rPr>
          <w:shd w:val="clear" w:color="auto" w:fill="FFFFFF"/>
        </w:rPr>
        <w:t xml:space="preserve"> </w:t>
      </w:r>
      <w:r w:rsidR="00FA4C66">
        <w:rPr>
          <w:shd w:val="clear" w:color="auto" w:fill="FFFFFF"/>
        </w:rPr>
        <w:t xml:space="preserve">at </w:t>
      </w:r>
      <w:r w:rsidR="00225419">
        <w:rPr>
          <w:shd w:val="clear" w:color="auto" w:fill="FFFFFF"/>
        </w:rPr>
        <w:t>9958,</w:t>
      </w:r>
      <w:r w:rsidRPr="00043A98" w:rsidR="00225419">
        <w:rPr>
          <w:shd w:val="clear" w:color="auto" w:fill="FFFFFF"/>
        </w:rPr>
        <w:t xml:space="preserve"> para. 4</w:t>
      </w:r>
      <w:r w:rsidRPr="00043A98" w:rsidR="00225419">
        <w:t xml:space="preserve"> </w:t>
      </w:r>
      <w:r w:rsidR="00225419">
        <w:t>(</w:t>
      </w:r>
      <w:r w:rsidRPr="00043A98" w:rsidR="00E06E8C">
        <w:t>“[T]</w:t>
      </w:r>
      <w:r w:rsidRPr="00043A98" w:rsidR="00E06E8C">
        <w:rPr>
          <w:shd w:val="clear" w:color="auto" w:fill="FFFFFF"/>
        </w:rPr>
        <w:t xml:space="preserve">he impacts of the virus are still being felt. </w:t>
      </w:r>
      <w:r w:rsidR="005928E5">
        <w:rPr>
          <w:shd w:val="clear" w:color="auto" w:fill="FFFFFF"/>
        </w:rPr>
        <w:t xml:space="preserve"> </w:t>
      </w:r>
      <w:r w:rsidRPr="00043A98" w:rsidR="00E06E8C">
        <w:rPr>
          <w:shd w:val="clear" w:color="auto" w:fill="FFFFFF"/>
        </w:rPr>
        <w:t xml:space="preserve">For example, widespread delays in the </w:t>
      </w:r>
      <w:r w:rsidRPr="00BE24A0" w:rsidR="00E06E8C">
        <w:t>receipt</w:t>
      </w:r>
      <w:r w:rsidRPr="00043A98" w:rsidR="00E06E8C">
        <w:rPr>
          <w:shd w:val="clear" w:color="auto" w:fill="FFFFFF"/>
        </w:rPr>
        <w:t xml:space="preserve"> of </w:t>
      </w:r>
      <w:r w:rsidR="00225419">
        <w:rPr>
          <w:shd w:val="clear" w:color="auto" w:fill="FFFFFF"/>
        </w:rPr>
        <w:t>‘</w:t>
      </w:r>
      <w:r w:rsidRPr="00043A98" w:rsidR="00E06E8C">
        <w:rPr>
          <w:shd w:val="clear" w:color="auto" w:fill="FFFFFF"/>
        </w:rPr>
        <w:t>communications equipment of all kinds, which extends not only to electronics (such as routers, optical network terminals, and customer premises equipment (CPE)) but also fiber</w:t>
      </w:r>
      <w:r w:rsidR="00225419">
        <w:rPr>
          <w:shd w:val="clear" w:color="auto" w:fill="FFFFFF"/>
        </w:rPr>
        <w:t>’</w:t>
      </w:r>
      <w:r w:rsidRPr="00043A98" w:rsidR="00E06E8C">
        <w:rPr>
          <w:shd w:val="clear" w:color="auto" w:fill="FFFFFF"/>
        </w:rPr>
        <w:t xml:space="preserve"> is causing delays in network construction. </w:t>
      </w:r>
      <w:r w:rsidR="005928E5">
        <w:rPr>
          <w:shd w:val="clear" w:color="auto" w:fill="FFFFFF"/>
        </w:rPr>
        <w:t xml:space="preserve"> </w:t>
      </w:r>
      <w:r w:rsidRPr="00043A98" w:rsidR="00E06E8C">
        <w:rPr>
          <w:shd w:val="clear" w:color="auto" w:fill="FFFFFF"/>
        </w:rPr>
        <w:t>The impact of the pandemic is causing delays in construction projects across the country.”</w:t>
      </w:r>
      <w:r w:rsidR="00225419">
        <w:rPr>
          <w:shd w:val="clear" w:color="auto" w:fill="FFFFFF"/>
        </w:rPr>
        <w:t>)</w:t>
      </w:r>
      <w:r w:rsidRPr="00043A98" w:rsidR="00E06E8C">
        <w:rPr>
          <w:shd w:val="clear" w:color="auto" w:fill="FFFFFF"/>
        </w:rPr>
        <w:t>.</w:t>
      </w:r>
    </w:p>
  </w:footnote>
  <w:footnote w:id="34">
    <w:p w:rsidR="000C7B07" w:rsidRPr="002617C0" w:rsidP="000C7B07" w14:paraId="06502BF3" w14:textId="6137E78C">
      <w:pPr>
        <w:pStyle w:val="FootnoteText"/>
      </w:pPr>
      <w:r w:rsidRPr="003003AE">
        <w:rPr>
          <w:rStyle w:val="FootnoteReference"/>
        </w:rPr>
        <w:footnoteRef/>
      </w:r>
      <w:r w:rsidRPr="003003AE">
        <w:t xml:space="preserve"> </w:t>
      </w:r>
      <w:hyperlink r:id="rId1" w:history="1">
        <w:r w:rsidRPr="002617C0">
          <w:rPr>
            <w:rStyle w:val="Emphasis"/>
            <w:bdr w:val="none" w:sz="0" w:space="0" w:color="auto" w:frame="1"/>
            <w:shd w:val="clear" w:color="auto" w:fill="FFFFFF"/>
          </w:rPr>
          <w:t>Comprehensive Review of Licensing and Operating Rules for Satellite Services</w:t>
        </w:r>
        <w:r w:rsidRPr="002617C0">
          <w:rPr>
            <w:rStyle w:val="Hyperlink"/>
            <w:color w:val="auto"/>
            <w:u w:val="none"/>
            <w:bdr w:val="none" w:sz="0" w:space="0" w:color="auto" w:frame="1"/>
            <w:shd w:val="clear" w:color="auto" w:fill="FFFFFF"/>
          </w:rPr>
          <w:t xml:space="preserve">, Second Report and Order, 30 FCC </w:t>
        </w:r>
        <w:r w:rsidRPr="002617C0">
          <w:rPr>
            <w:rStyle w:val="Hyperlink"/>
            <w:color w:val="auto"/>
            <w:u w:val="none"/>
            <w:bdr w:val="none" w:sz="0" w:space="0" w:color="auto" w:frame="1"/>
            <w:shd w:val="clear" w:color="auto" w:fill="FFFFFF"/>
          </w:rPr>
          <w:t>Rcd</w:t>
        </w:r>
        <w:r w:rsidRPr="002617C0">
          <w:rPr>
            <w:rStyle w:val="Hyperlink"/>
            <w:color w:val="auto"/>
            <w:u w:val="none"/>
            <w:bdr w:val="none" w:sz="0" w:space="0" w:color="auto" w:frame="1"/>
            <w:shd w:val="clear" w:color="auto" w:fill="FFFFFF"/>
          </w:rPr>
          <w:t xml:space="preserve"> 14713 (2015)</w:t>
        </w:r>
      </w:hyperlink>
      <w:r w:rsidRPr="002617C0">
        <w:t xml:space="preserve">.  </w:t>
      </w:r>
      <w:r w:rsidRPr="002617C0">
        <w:rPr>
          <w:shd w:val="clear" w:color="auto" w:fill="FFFFFF"/>
        </w:rPr>
        <w:t>As the Commission has elaborated, warehousing refers to the retention of preemptive rights to use spectrum and orbital resources by an entity that “does not intend to bear the cost and risk of constructing, launching, and operating an authorized space station, is not fully committed to doing so, or finds out after accepting the license that it is unable to fulfill the associated obligations.”</w:t>
      </w:r>
      <w:r w:rsidRPr="002617C0">
        <w:rPr>
          <w:bdr w:val="none" w:sz="0" w:space="0" w:color="auto" w:frame="1"/>
        </w:rPr>
        <w:t xml:space="preserve"> </w:t>
      </w:r>
      <w:r w:rsidRPr="002617C0">
        <w:rPr>
          <w:shd w:val="clear" w:color="auto" w:fill="FFFFFF"/>
        </w:rPr>
        <w:t> </w:t>
      </w:r>
      <w:r w:rsidRPr="006665A4">
        <w:rPr>
          <w:i/>
          <w:iCs/>
          <w:shd w:val="clear" w:color="auto" w:fill="FFFFFF"/>
        </w:rPr>
        <w:t>Id</w:t>
      </w:r>
      <w:r w:rsidRPr="002617C0">
        <w:rPr>
          <w:shd w:val="clear" w:color="auto" w:fill="FFFFFF"/>
        </w:rPr>
        <w:t xml:space="preserve">. at </w:t>
      </w:r>
      <w:hyperlink r:id="rId2" w:anchor="co_pp_sp_4493_14735" w:history="1">
        <w:r w:rsidRPr="002617C0">
          <w:rPr>
            <w:rStyle w:val="Hyperlink"/>
            <w:color w:val="auto"/>
            <w:u w:val="none"/>
            <w:bdr w:val="none" w:sz="0" w:space="0" w:color="auto" w:frame="1"/>
            <w:shd w:val="clear" w:color="auto" w:fill="FFFFFF"/>
          </w:rPr>
          <w:t>14735, para. 53</w:t>
        </w:r>
      </w:hyperlink>
      <w:r w:rsidRPr="002617C0">
        <w:t>.</w:t>
      </w:r>
    </w:p>
  </w:footnote>
  <w:footnote w:id="35">
    <w:p w:rsidR="00D830D7" w:rsidRPr="003003AE" w:rsidP="00D830D7" w14:paraId="4CB2B928" w14:textId="0B1D9324">
      <w:pPr>
        <w:pStyle w:val="FootnoteText"/>
      </w:pPr>
      <w:r w:rsidRPr="003003AE">
        <w:rPr>
          <w:rStyle w:val="FootnoteReference"/>
        </w:rPr>
        <w:footnoteRef/>
      </w:r>
      <w:r w:rsidR="000C7B07">
        <w:t xml:space="preserve">  </w:t>
      </w:r>
      <w:r w:rsidR="008D2FF2">
        <w:t>Th</w:t>
      </w:r>
      <w:r w:rsidRPr="00627374" w:rsidR="000C7B07">
        <w:t xml:space="preserve">e </w:t>
      </w:r>
      <w:r w:rsidR="008D2FF2">
        <w:t xml:space="preserve">previous </w:t>
      </w:r>
      <w:r w:rsidRPr="00627374" w:rsidR="000C7B07">
        <w:t xml:space="preserve">milestone extension </w:t>
      </w:r>
      <w:r w:rsidR="000C7B07">
        <w:t>was</w:t>
      </w:r>
      <w:r w:rsidRPr="00627374" w:rsidR="000C7B07">
        <w:t xml:space="preserve"> conditioned on maintenance of an escalating surety bond for VIASAT-3</w:t>
      </w:r>
      <w:r w:rsidR="000C7B07">
        <w:t>.  T</w:t>
      </w:r>
      <w:r w:rsidRPr="00C75492" w:rsidR="000C7B07">
        <w:t>he escalation of the bond value beyond the regular five-year period is a simple extrapolation of the linear increase</w:t>
      </w:r>
      <w:r w:rsidR="000C7B07">
        <w:t xml:space="preserve">, </w:t>
      </w:r>
      <w:r w:rsidRPr="00B2429A" w:rsidR="000C7B07">
        <w:rPr>
          <w:i/>
          <w:iCs/>
        </w:rPr>
        <w:t>i.e</w:t>
      </w:r>
      <w:r w:rsidR="000C7B07">
        <w:t>., $400,000 per year,</w:t>
      </w:r>
      <w:r w:rsidRPr="00C75492" w:rsidR="000C7B07">
        <w:t xml:space="preserve"> applicable within the five years.  </w:t>
      </w:r>
      <w:r w:rsidRPr="00C75492" w:rsidR="000C7B07">
        <w:rPr>
          <w:i/>
          <w:iCs/>
        </w:rPr>
        <w:t>See</w:t>
      </w:r>
      <w:r w:rsidR="000C7B07">
        <w:t xml:space="preserve"> </w:t>
      </w:r>
      <w:r w:rsidRPr="00C75492" w:rsidR="000C7B07">
        <w:t xml:space="preserve">47 CFR § 25.165(a)(2) (requiring the posting of a surety bond equal to $1 million plus an amount per day that escalates to $2 million over a five-year period, </w:t>
      </w:r>
      <w:r w:rsidRPr="00C75492" w:rsidR="000C7B07">
        <w:rPr>
          <w:i/>
          <w:iCs/>
        </w:rPr>
        <w:t>i.e</w:t>
      </w:r>
      <w:r w:rsidRPr="00C75492" w:rsidR="000C7B07">
        <w:t>., approximately $1,100</w:t>
      </w:r>
      <w:r w:rsidR="000C7B07">
        <w:t xml:space="preserve"> </w:t>
      </w:r>
      <w:r w:rsidRPr="00C75492" w:rsidR="000C7B07">
        <w:t>per day, rounded to the nearest $10,000).</w:t>
      </w:r>
      <w:r w:rsidRPr="00627374" w:rsidR="000C7B07">
        <w:t xml:space="preserve"> </w:t>
      </w:r>
      <w:r w:rsidR="000C7B07">
        <w:t xml:space="preserve"> </w:t>
      </w:r>
      <w:r w:rsidR="00BF67BF">
        <w:t xml:space="preserve">As part of this grant, we modify the conditions of </w:t>
      </w:r>
      <w:r w:rsidR="001B516E">
        <w:t>Via</w:t>
      </w:r>
      <w:r w:rsidR="0028168A">
        <w:t>s</w:t>
      </w:r>
      <w:r w:rsidR="001B516E">
        <w:t>at’s</w:t>
      </w:r>
      <w:r w:rsidR="001B516E">
        <w:t xml:space="preserve"> grant </w:t>
      </w:r>
      <w:r w:rsidR="00BF67BF">
        <w:t xml:space="preserve">to continue the escalation of the bond through </w:t>
      </w:r>
      <w:r w:rsidR="000D5061">
        <w:t>April</w:t>
      </w:r>
      <w:r w:rsidR="00BF67BF">
        <w:t xml:space="preserve"> 3</w:t>
      </w:r>
      <w:r w:rsidR="006D47B5">
        <w:t>0</w:t>
      </w:r>
      <w:r w:rsidR="00BF67BF">
        <w:t>, 202</w:t>
      </w:r>
      <w:r w:rsidR="000D5061">
        <w:t>3</w:t>
      </w:r>
      <w:r w:rsidR="000C7B0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6303373" w14:textId="4D97403A">
    <w:pPr>
      <w:pStyle w:val="Header"/>
      <w:rPr>
        <w:b w:val="0"/>
      </w:rPr>
    </w:pPr>
    <w:r>
      <w:tab/>
    </w:r>
    <w:r>
      <w:t>Federal Communications Commission</w:t>
    </w:r>
    <w:r>
      <w:tab/>
    </w:r>
    <w:r w:rsidR="0088574D">
      <w:t>DA 22-1141</w:t>
    </w:r>
  </w:p>
  <w:p w:rsidR="00D25FB5" w14:paraId="223280F8" w14:textId="320624C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68A7AC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D4DC245" w14:textId="0223523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5B5100">
      <w:rPr>
        <w:spacing w:val="-2"/>
      </w:rPr>
      <w:t xml:space="preserve">DA </w:t>
    </w:r>
    <w:r w:rsidR="0088574D">
      <w:rPr>
        <w:spacing w:val="-2"/>
      </w:rPr>
      <w:t>22-1141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8228CBA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E385B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C490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C428E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ECD7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8E73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30C01F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B74A52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B6649D8"/>
    <w:lvl w:ilvl="0">
      <w:start w:val="1"/>
      <w:numFmt w:val="decimal"/>
      <w:pStyle w:val="ListNumber"/>
      <w:lvlText w:val="%1."/>
      <w:lvlJc w:val="left"/>
      <w:pPr>
        <w:tabs>
          <w:tab w:val="num" w:pos="360"/>
        </w:tabs>
        <w:ind w:left="360" w:hanging="360"/>
      </w:pPr>
    </w:lvl>
  </w:abstractNum>
  <w:abstractNum w:abstractNumId="9">
    <w:nsid w:val="FFFFFF89"/>
    <w:multiLevelType w:val="singleLevel"/>
    <w:tmpl w:val="F3DCD1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E20C4F"/>
    <w:multiLevelType w:val="hybridMultilevel"/>
    <w:tmpl w:val="C3504A8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84B453C"/>
    <w:multiLevelType w:val="singleLevel"/>
    <w:tmpl w:val="40A8E97A"/>
    <w:lvl w:ilvl="0">
      <w:start w:val="1"/>
      <w:numFmt w:val="decimal"/>
      <w:lvlText w:val="%1."/>
      <w:lvlJc w:val="left"/>
      <w:pPr>
        <w:tabs>
          <w:tab w:val="num" w:pos="1080"/>
        </w:tabs>
        <w:ind w:left="0" w:firstLine="720"/>
      </w:pPr>
    </w:lvl>
  </w:abstractNum>
  <w:abstractNum w:abstractNumId="1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3">
    <w:nsid w:val="248246F3"/>
    <w:multiLevelType w:val="singleLevel"/>
    <w:tmpl w:val="B1F45678"/>
    <w:lvl w:ilvl="0">
      <w:start w:val="1"/>
      <w:numFmt w:val="decimal"/>
      <w:lvlText w:val="%1."/>
      <w:lvlJc w:val="left"/>
      <w:pPr>
        <w:tabs>
          <w:tab w:val="num" w:pos="1080"/>
        </w:tabs>
        <w:ind w:left="0" w:firstLine="720"/>
      </w:pPr>
    </w:lvl>
  </w:abstractNum>
  <w:abstractNum w:abstractNumId="1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314A2CF4"/>
    <w:multiLevelType w:val="hybridMultilevel"/>
    <w:tmpl w:val="6E949D04"/>
    <w:lvl w:ilvl="0">
      <w:start w:val="1"/>
      <w:numFmt w:val="lowerLetter"/>
      <w:lvlText w:val="%1."/>
      <w:lvlJc w:val="left"/>
      <w:pPr>
        <w:ind w:left="720" w:hanging="360"/>
      </w:pPr>
      <w:rPr>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31A1FB2"/>
    <w:multiLevelType w:val="hybridMultilevel"/>
    <w:tmpl w:val="AAA29A94"/>
    <w:lvl w:ilvl="0">
      <w:start w:val="1"/>
      <w:numFmt w:val="decimal"/>
      <w:lvlText w:val="%1."/>
      <w:lvlJc w:val="left"/>
      <w:pPr>
        <w:ind w:left="1140" w:hanging="360"/>
      </w:pPr>
      <w:rPr>
        <w:rFonts w:hint="default"/>
        <w:sz w:val="22"/>
        <w:szCs w:val="22"/>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17">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4FA120A5"/>
    <w:multiLevelType w:val="hybridMultilevel"/>
    <w:tmpl w:val="7360BD08"/>
    <w:lvl w:ilvl="0">
      <w:start w:val="1"/>
      <w:numFmt w:val="decimal"/>
      <w:lvlText w:val="%1."/>
      <w:lvlJc w:val="left"/>
      <w:pPr>
        <w:ind w:left="1080" w:hanging="360"/>
      </w:pPr>
      <w:rPr>
        <w:rFonts w:ascii="Times New Roman" w:hAnsi="Times New Roman" w:cs="Times New Roman" w:hint="default"/>
        <w:b w:val="0"/>
        <w:color w:val="auto"/>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50477B0D"/>
    <w:multiLevelType w:val="hybridMultilevel"/>
    <w:tmpl w:val="46382E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2"/>
  </w:num>
  <w:num w:numId="2">
    <w:abstractNumId w:val="21"/>
  </w:num>
  <w:num w:numId="3">
    <w:abstractNumId w:val="14"/>
  </w:num>
  <w:num w:numId="4">
    <w:abstractNumId w:val="18"/>
  </w:num>
  <w:num w:numId="5">
    <w:abstractNumId w:val="13"/>
  </w:num>
  <w:num w:numId="6">
    <w:abstractNumId w:val="11"/>
  </w:num>
  <w:num w:numId="7">
    <w:abstractNumId w:val="1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0"/>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17"/>
  </w:num>
  <w:num w:numId="15">
    <w:abstractNumId w:val="19"/>
  </w:num>
  <w:num w:numId="16">
    <w:abstractNumId w:val="16"/>
  </w:num>
  <w:num w:numId="17">
    <w:abstractNumId w:val="21"/>
    <w:lvlOverride w:ilvl="0">
      <w:startOverride w:val="1"/>
    </w:lvlOverride>
  </w:num>
  <w:num w:numId="18">
    <w:abstractNumId w:val="21"/>
    <w:lvlOverride w:ilvl="0">
      <w:startOverride w:val="1"/>
    </w:lvlOverride>
  </w:num>
  <w:num w:numId="19">
    <w:abstractNumId w:val="21"/>
    <w:lvlOverride w:ilvl="0">
      <w:startOverride w:val="1"/>
    </w:lvlOverride>
  </w:num>
  <w:num w:numId="20">
    <w:abstractNumId w:val="21"/>
    <w:lvlOverride w:ilvl="0">
      <w:startOverride w:val="1"/>
    </w:lvlOverride>
  </w:num>
  <w:num w:numId="21">
    <w:abstractNumId w:val="21"/>
    <w:lvlOverride w:ilvl="0">
      <w:startOverride w:val="1"/>
    </w:lvlOverride>
  </w:num>
  <w:num w:numId="22">
    <w:abstractNumId w:val="21"/>
    <w:lvlOverride w:ilvl="0">
      <w:startOverride w:val="1"/>
    </w:lvlOverride>
  </w:num>
  <w:num w:numId="23">
    <w:abstractNumId w:val="21"/>
    <w:lvlOverride w:ilvl="0">
      <w:startOverride w:val="1"/>
    </w:lvlOverride>
  </w:num>
  <w:num w:numId="24">
    <w:abstractNumId w:val="21"/>
    <w:lvlOverride w:ilvl="0">
      <w:startOverride w:val="1"/>
    </w:lvlOverride>
  </w:num>
  <w:num w:numId="25">
    <w:abstractNumId w:val="21"/>
  </w:num>
  <w:num w:numId="26">
    <w:abstractNumId w:val="14"/>
  </w:num>
  <w:num w:numId="27">
    <w:abstractNumId w:val="21"/>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1"/>
    <w:lvlOverride w:ilvl="0">
      <w:startOverride w:val="1"/>
    </w:lvlOverride>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00"/>
    <w:rsid w:val="00004D1D"/>
    <w:rsid w:val="00013C2E"/>
    <w:rsid w:val="00031E22"/>
    <w:rsid w:val="00033073"/>
    <w:rsid w:val="00035196"/>
    <w:rsid w:val="00036039"/>
    <w:rsid w:val="00037F90"/>
    <w:rsid w:val="00043A98"/>
    <w:rsid w:val="00052111"/>
    <w:rsid w:val="00054159"/>
    <w:rsid w:val="000557E4"/>
    <w:rsid w:val="000618D7"/>
    <w:rsid w:val="00064C7B"/>
    <w:rsid w:val="00070650"/>
    <w:rsid w:val="00071B95"/>
    <w:rsid w:val="00074639"/>
    <w:rsid w:val="000870D0"/>
    <w:rsid w:val="000875BF"/>
    <w:rsid w:val="00096D8C"/>
    <w:rsid w:val="000A36DF"/>
    <w:rsid w:val="000A4CB5"/>
    <w:rsid w:val="000A6D99"/>
    <w:rsid w:val="000C0B65"/>
    <w:rsid w:val="000C1719"/>
    <w:rsid w:val="000C6BAE"/>
    <w:rsid w:val="000C7B07"/>
    <w:rsid w:val="000D0F0C"/>
    <w:rsid w:val="000D201C"/>
    <w:rsid w:val="000D5061"/>
    <w:rsid w:val="000D5457"/>
    <w:rsid w:val="000E05FE"/>
    <w:rsid w:val="000E11E4"/>
    <w:rsid w:val="000E3D42"/>
    <w:rsid w:val="000E458D"/>
    <w:rsid w:val="000F20CC"/>
    <w:rsid w:val="00111A7A"/>
    <w:rsid w:val="00112C44"/>
    <w:rsid w:val="00121D30"/>
    <w:rsid w:val="00122BD5"/>
    <w:rsid w:val="001309A1"/>
    <w:rsid w:val="00133F79"/>
    <w:rsid w:val="00145A5D"/>
    <w:rsid w:val="00147A81"/>
    <w:rsid w:val="0015356E"/>
    <w:rsid w:val="001555F1"/>
    <w:rsid w:val="00156336"/>
    <w:rsid w:val="00161DBB"/>
    <w:rsid w:val="001636D8"/>
    <w:rsid w:val="00165240"/>
    <w:rsid w:val="00176DEF"/>
    <w:rsid w:val="00181898"/>
    <w:rsid w:val="00193573"/>
    <w:rsid w:val="00194A66"/>
    <w:rsid w:val="001A2CA9"/>
    <w:rsid w:val="001A6469"/>
    <w:rsid w:val="001B3BB9"/>
    <w:rsid w:val="001B516E"/>
    <w:rsid w:val="001B661D"/>
    <w:rsid w:val="001D6BCF"/>
    <w:rsid w:val="001E01CA"/>
    <w:rsid w:val="001E10E5"/>
    <w:rsid w:val="001F5D3D"/>
    <w:rsid w:val="001F7464"/>
    <w:rsid w:val="00204FB9"/>
    <w:rsid w:val="002200D1"/>
    <w:rsid w:val="00225419"/>
    <w:rsid w:val="00232DDE"/>
    <w:rsid w:val="0023529D"/>
    <w:rsid w:val="00251C1A"/>
    <w:rsid w:val="00252118"/>
    <w:rsid w:val="0025296E"/>
    <w:rsid w:val="0025371A"/>
    <w:rsid w:val="00254B57"/>
    <w:rsid w:val="002617C0"/>
    <w:rsid w:val="00261AC7"/>
    <w:rsid w:val="00275CF5"/>
    <w:rsid w:val="002761CF"/>
    <w:rsid w:val="0028168A"/>
    <w:rsid w:val="00282DBF"/>
    <w:rsid w:val="0028301F"/>
    <w:rsid w:val="00285017"/>
    <w:rsid w:val="00287750"/>
    <w:rsid w:val="002877BA"/>
    <w:rsid w:val="00293B60"/>
    <w:rsid w:val="00294CDC"/>
    <w:rsid w:val="00294D08"/>
    <w:rsid w:val="002A2D2E"/>
    <w:rsid w:val="002A54CF"/>
    <w:rsid w:val="002B11E2"/>
    <w:rsid w:val="002B2E4F"/>
    <w:rsid w:val="002B2EC7"/>
    <w:rsid w:val="002B445C"/>
    <w:rsid w:val="002C00E8"/>
    <w:rsid w:val="002C5D05"/>
    <w:rsid w:val="002D17D7"/>
    <w:rsid w:val="002D69F6"/>
    <w:rsid w:val="002E0C8B"/>
    <w:rsid w:val="002E5CB6"/>
    <w:rsid w:val="002F06DE"/>
    <w:rsid w:val="003003AE"/>
    <w:rsid w:val="0031674F"/>
    <w:rsid w:val="00324837"/>
    <w:rsid w:val="00331E3E"/>
    <w:rsid w:val="0034033C"/>
    <w:rsid w:val="00343749"/>
    <w:rsid w:val="0035169D"/>
    <w:rsid w:val="00360C3F"/>
    <w:rsid w:val="003660ED"/>
    <w:rsid w:val="00370DB6"/>
    <w:rsid w:val="003711F8"/>
    <w:rsid w:val="00383775"/>
    <w:rsid w:val="00394575"/>
    <w:rsid w:val="003A726E"/>
    <w:rsid w:val="003B0550"/>
    <w:rsid w:val="003B4E28"/>
    <w:rsid w:val="003B5253"/>
    <w:rsid w:val="003B694F"/>
    <w:rsid w:val="003C0606"/>
    <w:rsid w:val="003C2412"/>
    <w:rsid w:val="003C53DB"/>
    <w:rsid w:val="003C6DA9"/>
    <w:rsid w:val="003D0DE1"/>
    <w:rsid w:val="003D66B9"/>
    <w:rsid w:val="003E7841"/>
    <w:rsid w:val="003F171C"/>
    <w:rsid w:val="003F4344"/>
    <w:rsid w:val="004028EC"/>
    <w:rsid w:val="004037E2"/>
    <w:rsid w:val="00406D75"/>
    <w:rsid w:val="00412FC5"/>
    <w:rsid w:val="00422276"/>
    <w:rsid w:val="004242F1"/>
    <w:rsid w:val="00424D10"/>
    <w:rsid w:val="0042604A"/>
    <w:rsid w:val="0042795B"/>
    <w:rsid w:val="00430B6F"/>
    <w:rsid w:val="00430C85"/>
    <w:rsid w:val="00436C84"/>
    <w:rsid w:val="00445A00"/>
    <w:rsid w:val="00451B0F"/>
    <w:rsid w:val="004532E2"/>
    <w:rsid w:val="00460B2A"/>
    <w:rsid w:val="00464D0A"/>
    <w:rsid w:val="004678FC"/>
    <w:rsid w:val="00467FA3"/>
    <w:rsid w:val="00481602"/>
    <w:rsid w:val="00484750"/>
    <w:rsid w:val="004861B8"/>
    <w:rsid w:val="00494F0E"/>
    <w:rsid w:val="00497DF3"/>
    <w:rsid w:val="004B59C9"/>
    <w:rsid w:val="004C1E3D"/>
    <w:rsid w:val="004C2EE3"/>
    <w:rsid w:val="004E172C"/>
    <w:rsid w:val="004E4A22"/>
    <w:rsid w:val="004E7408"/>
    <w:rsid w:val="004F5790"/>
    <w:rsid w:val="005026C1"/>
    <w:rsid w:val="00511653"/>
    <w:rsid w:val="00511968"/>
    <w:rsid w:val="00532BAB"/>
    <w:rsid w:val="005378E8"/>
    <w:rsid w:val="0054445D"/>
    <w:rsid w:val="00551853"/>
    <w:rsid w:val="005529F6"/>
    <w:rsid w:val="0055614C"/>
    <w:rsid w:val="00562986"/>
    <w:rsid w:val="0056397E"/>
    <w:rsid w:val="00564A69"/>
    <w:rsid w:val="00566D06"/>
    <w:rsid w:val="005747D9"/>
    <w:rsid w:val="005757F1"/>
    <w:rsid w:val="005827DC"/>
    <w:rsid w:val="00583759"/>
    <w:rsid w:val="005928E5"/>
    <w:rsid w:val="005A1E78"/>
    <w:rsid w:val="005B5100"/>
    <w:rsid w:val="005D074E"/>
    <w:rsid w:val="005D1927"/>
    <w:rsid w:val="005D250E"/>
    <w:rsid w:val="005D401D"/>
    <w:rsid w:val="005D7C9A"/>
    <w:rsid w:val="005E122B"/>
    <w:rsid w:val="005E14C2"/>
    <w:rsid w:val="005E183B"/>
    <w:rsid w:val="005F3399"/>
    <w:rsid w:val="005F3B25"/>
    <w:rsid w:val="006006C8"/>
    <w:rsid w:val="0060568F"/>
    <w:rsid w:val="00607BA5"/>
    <w:rsid w:val="0061180A"/>
    <w:rsid w:val="0062238A"/>
    <w:rsid w:val="006236C3"/>
    <w:rsid w:val="00626EB6"/>
    <w:rsid w:val="00627374"/>
    <w:rsid w:val="00636E55"/>
    <w:rsid w:val="00640668"/>
    <w:rsid w:val="006408CA"/>
    <w:rsid w:val="00640C70"/>
    <w:rsid w:val="006462E1"/>
    <w:rsid w:val="00653BFE"/>
    <w:rsid w:val="006549E4"/>
    <w:rsid w:val="00655B8B"/>
    <w:rsid w:val="00655D03"/>
    <w:rsid w:val="00664BD0"/>
    <w:rsid w:val="006665A4"/>
    <w:rsid w:val="00683388"/>
    <w:rsid w:val="00683F84"/>
    <w:rsid w:val="00692860"/>
    <w:rsid w:val="006A4F50"/>
    <w:rsid w:val="006A6A81"/>
    <w:rsid w:val="006B04E5"/>
    <w:rsid w:val="006B2D26"/>
    <w:rsid w:val="006D278E"/>
    <w:rsid w:val="006D47B5"/>
    <w:rsid w:val="006D62C6"/>
    <w:rsid w:val="006F2A97"/>
    <w:rsid w:val="006F48F8"/>
    <w:rsid w:val="006F7393"/>
    <w:rsid w:val="0070224F"/>
    <w:rsid w:val="007115F7"/>
    <w:rsid w:val="00714A65"/>
    <w:rsid w:val="007202A9"/>
    <w:rsid w:val="007214EA"/>
    <w:rsid w:val="0072707F"/>
    <w:rsid w:val="0073441E"/>
    <w:rsid w:val="00735012"/>
    <w:rsid w:val="00736C3D"/>
    <w:rsid w:val="00742FD6"/>
    <w:rsid w:val="007568CF"/>
    <w:rsid w:val="0076253C"/>
    <w:rsid w:val="00780023"/>
    <w:rsid w:val="0078112D"/>
    <w:rsid w:val="007830DA"/>
    <w:rsid w:val="00783F6D"/>
    <w:rsid w:val="00785689"/>
    <w:rsid w:val="0079035F"/>
    <w:rsid w:val="0079754B"/>
    <w:rsid w:val="007A0C8D"/>
    <w:rsid w:val="007A1E6D"/>
    <w:rsid w:val="007B0EB2"/>
    <w:rsid w:val="007B51B2"/>
    <w:rsid w:val="007D0166"/>
    <w:rsid w:val="007D1912"/>
    <w:rsid w:val="007D2F5E"/>
    <w:rsid w:val="007F021A"/>
    <w:rsid w:val="007F797D"/>
    <w:rsid w:val="007F7D91"/>
    <w:rsid w:val="0080231E"/>
    <w:rsid w:val="00806014"/>
    <w:rsid w:val="008071F2"/>
    <w:rsid w:val="00807E23"/>
    <w:rsid w:val="00810B6F"/>
    <w:rsid w:val="00813BD9"/>
    <w:rsid w:val="008164EA"/>
    <w:rsid w:val="00822CE0"/>
    <w:rsid w:val="0082306E"/>
    <w:rsid w:val="00825711"/>
    <w:rsid w:val="008270E0"/>
    <w:rsid w:val="00832173"/>
    <w:rsid w:val="00837824"/>
    <w:rsid w:val="00840DEC"/>
    <w:rsid w:val="00841AB1"/>
    <w:rsid w:val="00843384"/>
    <w:rsid w:val="0084359A"/>
    <w:rsid w:val="008513A5"/>
    <w:rsid w:val="008616B5"/>
    <w:rsid w:val="00867FF1"/>
    <w:rsid w:val="00881509"/>
    <w:rsid w:val="0088574D"/>
    <w:rsid w:val="0089200B"/>
    <w:rsid w:val="00895250"/>
    <w:rsid w:val="008B7DFE"/>
    <w:rsid w:val="008C03FD"/>
    <w:rsid w:val="008C68F1"/>
    <w:rsid w:val="008D0309"/>
    <w:rsid w:val="008D0736"/>
    <w:rsid w:val="008D2FF2"/>
    <w:rsid w:val="008D5FAC"/>
    <w:rsid w:val="008E1041"/>
    <w:rsid w:val="008E5A6E"/>
    <w:rsid w:val="00913279"/>
    <w:rsid w:val="00914E79"/>
    <w:rsid w:val="00921803"/>
    <w:rsid w:val="00923658"/>
    <w:rsid w:val="00926503"/>
    <w:rsid w:val="00930550"/>
    <w:rsid w:val="00935290"/>
    <w:rsid w:val="00942031"/>
    <w:rsid w:val="0094747D"/>
    <w:rsid w:val="00957750"/>
    <w:rsid w:val="0097159F"/>
    <w:rsid w:val="009726D8"/>
    <w:rsid w:val="00981739"/>
    <w:rsid w:val="00983EB8"/>
    <w:rsid w:val="00983F29"/>
    <w:rsid w:val="0099448C"/>
    <w:rsid w:val="009A0BB6"/>
    <w:rsid w:val="009A6FBC"/>
    <w:rsid w:val="009C5AD4"/>
    <w:rsid w:val="009D5FD7"/>
    <w:rsid w:val="009D7308"/>
    <w:rsid w:val="009E0FF5"/>
    <w:rsid w:val="009E106E"/>
    <w:rsid w:val="009E5316"/>
    <w:rsid w:val="009E7B93"/>
    <w:rsid w:val="009F230A"/>
    <w:rsid w:val="009F29CB"/>
    <w:rsid w:val="009F598E"/>
    <w:rsid w:val="009F76DB"/>
    <w:rsid w:val="00A26D94"/>
    <w:rsid w:val="00A32805"/>
    <w:rsid w:val="00A32C3B"/>
    <w:rsid w:val="00A3766D"/>
    <w:rsid w:val="00A37BF9"/>
    <w:rsid w:val="00A4234E"/>
    <w:rsid w:val="00A44D1E"/>
    <w:rsid w:val="00A45F4F"/>
    <w:rsid w:val="00A46860"/>
    <w:rsid w:val="00A5276E"/>
    <w:rsid w:val="00A600A9"/>
    <w:rsid w:val="00A6252B"/>
    <w:rsid w:val="00A64DEB"/>
    <w:rsid w:val="00A715EA"/>
    <w:rsid w:val="00A74414"/>
    <w:rsid w:val="00A84AC6"/>
    <w:rsid w:val="00A97EA0"/>
    <w:rsid w:val="00AA1DE2"/>
    <w:rsid w:val="00AA55B7"/>
    <w:rsid w:val="00AA5B9E"/>
    <w:rsid w:val="00AB2407"/>
    <w:rsid w:val="00AB281C"/>
    <w:rsid w:val="00AB53DF"/>
    <w:rsid w:val="00AC1B00"/>
    <w:rsid w:val="00AC2D18"/>
    <w:rsid w:val="00AC3B37"/>
    <w:rsid w:val="00AC430B"/>
    <w:rsid w:val="00AC4C3F"/>
    <w:rsid w:val="00AC52CD"/>
    <w:rsid w:val="00AD428D"/>
    <w:rsid w:val="00AD6E6C"/>
    <w:rsid w:val="00AE69F7"/>
    <w:rsid w:val="00AF2302"/>
    <w:rsid w:val="00AF665A"/>
    <w:rsid w:val="00B07E5C"/>
    <w:rsid w:val="00B13A62"/>
    <w:rsid w:val="00B154B3"/>
    <w:rsid w:val="00B1680F"/>
    <w:rsid w:val="00B2159E"/>
    <w:rsid w:val="00B2429A"/>
    <w:rsid w:val="00B31683"/>
    <w:rsid w:val="00B33993"/>
    <w:rsid w:val="00B33CAA"/>
    <w:rsid w:val="00B366A6"/>
    <w:rsid w:val="00B44E5D"/>
    <w:rsid w:val="00B66FD9"/>
    <w:rsid w:val="00B70F60"/>
    <w:rsid w:val="00B7281E"/>
    <w:rsid w:val="00B811F7"/>
    <w:rsid w:val="00B82448"/>
    <w:rsid w:val="00B92865"/>
    <w:rsid w:val="00BA13AD"/>
    <w:rsid w:val="00BA5DC6"/>
    <w:rsid w:val="00BA6196"/>
    <w:rsid w:val="00BA765A"/>
    <w:rsid w:val="00BB378B"/>
    <w:rsid w:val="00BB567D"/>
    <w:rsid w:val="00BB7F77"/>
    <w:rsid w:val="00BC6D8C"/>
    <w:rsid w:val="00BD6027"/>
    <w:rsid w:val="00BE24A0"/>
    <w:rsid w:val="00BE3226"/>
    <w:rsid w:val="00BF27C9"/>
    <w:rsid w:val="00BF391F"/>
    <w:rsid w:val="00BF67BF"/>
    <w:rsid w:val="00C03FD7"/>
    <w:rsid w:val="00C049BA"/>
    <w:rsid w:val="00C173A6"/>
    <w:rsid w:val="00C34006"/>
    <w:rsid w:val="00C35870"/>
    <w:rsid w:val="00C36B4C"/>
    <w:rsid w:val="00C426B1"/>
    <w:rsid w:val="00C438A3"/>
    <w:rsid w:val="00C46552"/>
    <w:rsid w:val="00C600B9"/>
    <w:rsid w:val="00C630CD"/>
    <w:rsid w:val="00C64426"/>
    <w:rsid w:val="00C65A89"/>
    <w:rsid w:val="00C66160"/>
    <w:rsid w:val="00C721AC"/>
    <w:rsid w:val="00C75492"/>
    <w:rsid w:val="00C86B10"/>
    <w:rsid w:val="00C90D6A"/>
    <w:rsid w:val="00C95F37"/>
    <w:rsid w:val="00CA2372"/>
    <w:rsid w:val="00CA247E"/>
    <w:rsid w:val="00CA561B"/>
    <w:rsid w:val="00CA6D21"/>
    <w:rsid w:val="00CB0710"/>
    <w:rsid w:val="00CB14CC"/>
    <w:rsid w:val="00CB5E71"/>
    <w:rsid w:val="00CB7AFC"/>
    <w:rsid w:val="00CC55DC"/>
    <w:rsid w:val="00CC72B6"/>
    <w:rsid w:val="00CD2C6F"/>
    <w:rsid w:val="00CD45E1"/>
    <w:rsid w:val="00CD671B"/>
    <w:rsid w:val="00CF4A10"/>
    <w:rsid w:val="00D0218D"/>
    <w:rsid w:val="00D06B1C"/>
    <w:rsid w:val="00D25FB5"/>
    <w:rsid w:val="00D31252"/>
    <w:rsid w:val="00D4041A"/>
    <w:rsid w:val="00D40E46"/>
    <w:rsid w:val="00D44223"/>
    <w:rsid w:val="00D45065"/>
    <w:rsid w:val="00D56D64"/>
    <w:rsid w:val="00D65CB8"/>
    <w:rsid w:val="00D67951"/>
    <w:rsid w:val="00D70AAE"/>
    <w:rsid w:val="00D80C22"/>
    <w:rsid w:val="00D830D7"/>
    <w:rsid w:val="00D93951"/>
    <w:rsid w:val="00D93B2B"/>
    <w:rsid w:val="00DA2529"/>
    <w:rsid w:val="00DA3AEC"/>
    <w:rsid w:val="00DA6352"/>
    <w:rsid w:val="00DB130A"/>
    <w:rsid w:val="00DB2EBB"/>
    <w:rsid w:val="00DB3CEC"/>
    <w:rsid w:val="00DB7FB6"/>
    <w:rsid w:val="00DC10A1"/>
    <w:rsid w:val="00DC655F"/>
    <w:rsid w:val="00DD0B59"/>
    <w:rsid w:val="00DD7EBD"/>
    <w:rsid w:val="00DF1668"/>
    <w:rsid w:val="00DF62B6"/>
    <w:rsid w:val="00E06E8C"/>
    <w:rsid w:val="00E07225"/>
    <w:rsid w:val="00E11A6E"/>
    <w:rsid w:val="00E22019"/>
    <w:rsid w:val="00E2376B"/>
    <w:rsid w:val="00E35238"/>
    <w:rsid w:val="00E36595"/>
    <w:rsid w:val="00E50ED1"/>
    <w:rsid w:val="00E5409F"/>
    <w:rsid w:val="00E63505"/>
    <w:rsid w:val="00E70F7D"/>
    <w:rsid w:val="00E73E51"/>
    <w:rsid w:val="00E7493D"/>
    <w:rsid w:val="00E752FB"/>
    <w:rsid w:val="00E753FE"/>
    <w:rsid w:val="00E913E9"/>
    <w:rsid w:val="00EA4715"/>
    <w:rsid w:val="00EB19F6"/>
    <w:rsid w:val="00EB7BEA"/>
    <w:rsid w:val="00EC00C0"/>
    <w:rsid w:val="00EC0B9B"/>
    <w:rsid w:val="00EC1353"/>
    <w:rsid w:val="00EC56BF"/>
    <w:rsid w:val="00ED0A5B"/>
    <w:rsid w:val="00ED569F"/>
    <w:rsid w:val="00EE45C9"/>
    <w:rsid w:val="00EE6488"/>
    <w:rsid w:val="00F021FA"/>
    <w:rsid w:val="00F21A35"/>
    <w:rsid w:val="00F277F1"/>
    <w:rsid w:val="00F31026"/>
    <w:rsid w:val="00F3728B"/>
    <w:rsid w:val="00F54710"/>
    <w:rsid w:val="00F62E97"/>
    <w:rsid w:val="00F64209"/>
    <w:rsid w:val="00F863D5"/>
    <w:rsid w:val="00F90C4A"/>
    <w:rsid w:val="00F93BF5"/>
    <w:rsid w:val="00FA0849"/>
    <w:rsid w:val="00FA4C66"/>
    <w:rsid w:val="00FC3DC9"/>
    <w:rsid w:val="00FC5D3A"/>
    <w:rsid w:val="00FD0988"/>
    <w:rsid w:val="00FD24E6"/>
    <w:rsid w:val="00FE0943"/>
    <w:rsid w:val="00FE0D34"/>
    <w:rsid w:val="00FE5E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9E5A9B5"/>
  <w15:chartTrackingRefBased/>
  <w15:docId w15:val="{C72B4C8B-21D8-4E2B-9436-256D2A26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 Char,Footnote Text Char Char Char Char Char,Footnote Text Char1,Footnote Text Char1 Char,Footnote Text Char1 Char Char Char,Footnote Text Char1 Char Char Char Char Char,Footnote Text Char2,fn,fn Char,ft"/>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5B5100"/>
    <w:rPr>
      <w:rFonts w:ascii="Segoe UI" w:hAnsi="Segoe UI" w:cs="Segoe UI"/>
      <w:sz w:val="18"/>
      <w:szCs w:val="18"/>
    </w:rPr>
  </w:style>
  <w:style w:type="character" w:customStyle="1" w:styleId="BalloonTextChar">
    <w:name w:val="Balloon Text Char"/>
    <w:link w:val="BalloonText"/>
    <w:rsid w:val="005B5100"/>
    <w:rPr>
      <w:rFonts w:ascii="Segoe UI" w:hAnsi="Segoe UI" w:cs="Segoe UI"/>
      <w:snapToGrid w:val="0"/>
      <w:kern w:val="28"/>
      <w:sz w:val="18"/>
      <w:szCs w:val="18"/>
    </w:rPr>
  </w:style>
  <w:style w:type="character" w:customStyle="1" w:styleId="FootnoteTextChar">
    <w:name w:val="Footnote Text Char"/>
    <w:aliases w:val="Footnote Text Char Char Char Char Char Char1,Footnote Text Char Char Char Char1,Footnote Text Char1 Char Char Char Char Char Char1,Footnote Text Char1 Char Char Char Char1,Footnote Text Char1 Char Char1,Footnote Text Char2 Char"/>
    <w:link w:val="FootnoteText"/>
    <w:rsid w:val="005B5100"/>
  </w:style>
  <w:style w:type="character" w:customStyle="1" w:styleId="ParaNumChar1">
    <w:name w:val="ParaNum Char1"/>
    <w:link w:val="ParaNum"/>
    <w:rsid w:val="005B5100"/>
    <w:rPr>
      <w:snapToGrid w:val="0"/>
      <w:kern w:val="28"/>
      <w:sz w:val="22"/>
    </w:rPr>
  </w:style>
  <w:style w:type="paragraph" w:styleId="ListParagraph">
    <w:name w:val="List Paragraph"/>
    <w:basedOn w:val="Normal"/>
    <w:uiPriority w:val="34"/>
    <w:qFormat/>
    <w:rsid w:val="005B5100"/>
    <w:pPr>
      <w:widowControl/>
      <w:ind w:left="720"/>
      <w:contextualSpacing/>
    </w:pPr>
    <w:rPr>
      <w:rFonts w:ascii="Calibri" w:eastAsia="Calibri" w:hAnsi="Calibri"/>
      <w:snapToGrid/>
      <w:kern w:val="0"/>
      <w:szCs w:val="22"/>
    </w:rPr>
  </w:style>
  <w:style w:type="paragraph" w:customStyle="1" w:styleId="Default">
    <w:name w:val="Default"/>
    <w:rsid w:val="005B5100"/>
    <w:pPr>
      <w:autoSpaceDE w:val="0"/>
      <w:autoSpaceDN w:val="0"/>
      <w:adjustRightInd w:val="0"/>
    </w:pPr>
    <w:rPr>
      <w:color w:val="000000"/>
      <w:sz w:val="24"/>
      <w:szCs w:val="24"/>
    </w:rPr>
  </w:style>
  <w:style w:type="character" w:styleId="CommentReference">
    <w:name w:val="annotation reference"/>
    <w:rsid w:val="005B5100"/>
    <w:rPr>
      <w:sz w:val="16"/>
      <w:szCs w:val="16"/>
    </w:rPr>
  </w:style>
  <w:style w:type="paragraph" w:styleId="CommentText">
    <w:name w:val="annotation text"/>
    <w:basedOn w:val="Normal"/>
    <w:link w:val="CommentTextChar"/>
    <w:rsid w:val="005B5100"/>
    <w:pPr>
      <w:widowControl/>
    </w:pPr>
    <w:rPr>
      <w:rFonts w:ascii="Calibri" w:eastAsia="Calibri" w:hAnsi="Calibri"/>
      <w:snapToGrid/>
      <w:kern w:val="0"/>
      <w:sz w:val="20"/>
      <w:szCs w:val="22"/>
    </w:rPr>
  </w:style>
  <w:style w:type="character" w:customStyle="1" w:styleId="CommentTextChar">
    <w:name w:val="Comment Text Char"/>
    <w:link w:val="CommentText"/>
    <w:rsid w:val="005B5100"/>
    <w:rPr>
      <w:rFonts w:ascii="Calibri" w:eastAsia="Calibri" w:hAnsi="Calibri"/>
      <w:szCs w:val="22"/>
    </w:rPr>
  </w:style>
  <w:style w:type="paragraph" w:styleId="CommentSubject">
    <w:name w:val="annotation subject"/>
    <w:basedOn w:val="CommentText"/>
    <w:next w:val="CommentText"/>
    <w:link w:val="CommentSubjectChar"/>
    <w:rsid w:val="005B5100"/>
    <w:rPr>
      <w:b/>
      <w:bCs/>
    </w:rPr>
  </w:style>
  <w:style w:type="character" w:customStyle="1" w:styleId="CommentSubjectChar">
    <w:name w:val="Comment Subject Char"/>
    <w:link w:val="CommentSubject"/>
    <w:rsid w:val="005B5100"/>
    <w:rPr>
      <w:rFonts w:ascii="Calibri" w:eastAsia="Calibri" w:hAnsi="Calibri"/>
      <w:b/>
      <w:bCs/>
      <w:szCs w:val="22"/>
    </w:rPr>
  </w:style>
  <w:style w:type="character" w:styleId="UnresolvedMention">
    <w:name w:val="Unresolved Mention"/>
    <w:uiPriority w:val="99"/>
    <w:semiHidden/>
    <w:unhideWhenUsed/>
    <w:rsid w:val="005B5100"/>
    <w:rPr>
      <w:color w:val="605E5C"/>
      <w:shd w:val="clear" w:color="auto" w:fill="E1DFDD"/>
    </w:rPr>
  </w:style>
  <w:style w:type="character" w:customStyle="1" w:styleId="FootnoteTextChar3">
    <w:name w:val="Footnote Text Char3"/>
    <w:aliases w:val="Footnote Text Char Char,Footnote Text Char Char Char Char,Footnote Text Char Char Char Char Char Char,Footnote Text Char1 Char Char,Footnote Text Char1 Char Char Char Char,Footnote Text Char1 Char Char Char Char Char Char,ft Char"/>
    <w:rsid w:val="005B5100"/>
    <w:rPr>
      <w:lang w:val="en-US" w:eastAsia="en-US" w:bidi="ar-SA"/>
    </w:rPr>
  </w:style>
  <w:style w:type="character" w:customStyle="1" w:styleId="apple-converted-space">
    <w:name w:val="apple-converted-space"/>
    <w:rsid w:val="005B5100"/>
  </w:style>
  <w:style w:type="paragraph" w:styleId="Revision">
    <w:name w:val="Revision"/>
    <w:hidden/>
    <w:uiPriority w:val="99"/>
    <w:semiHidden/>
    <w:rsid w:val="005B5100"/>
    <w:rPr>
      <w:rFonts w:ascii="Calibri" w:eastAsia="Calibri" w:hAnsi="Calibri"/>
      <w:sz w:val="22"/>
      <w:szCs w:val="22"/>
    </w:rPr>
  </w:style>
  <w:style w:type="paragraph" w:customStyle="1" w:styleId="Style30">
    <w:name w:val="Style3"/>
    <w:basedOn w:val="ParaNum"/>
    <w:rsid w:val="00EB19F6"/>
    <w:pPr>
      <w:numPr>
        <w:numId w:val="0"/>
      </w:numPr>
      <w:tabs>
        <w:tab w:val="left" w:pos="720"/>
        <w:tab w:val="left" w:pos="1800"/>
      </w:tabs>
      <w:snapToGrid w:val="0"/>
      <w:ind w:firstLine="720"/>
    </w:pPr>
    <w:rPr>
      <w:snapToGrid/>
    </w:rPr>
  </w:style>
  <w:style w:type="character" w:customStyle="1" w:styleId="Artdef">
    <w:name w:val="Art_def"/>
    <w:rsid w:val="00052111"/>
    <w:rPr>
      <w:rFonts w:ascii="Times New Roman" w:hAnsi="Times New Roman"/>
      <w:b/>
      <w:bCs/>
    </w:rPr>
  </w:style>
  <w:style w:type="paragraph" w:customStyle="1" w:styleId="Note">
    <w:name w:val="Note"/>
    <w:basedOn w:val="Normal"/>
    <w:link w:val="NoteChar"/>
    <w:rsid w:val="00052111"/>
    <w:pPr>
      <w:widowControl/>
      <w:tabs>
        <w:tab w:val="left" w:pos="284"/>
        <w:tab w:val="left" w:pos="1134"/>
        <w:tab w:val="left" w:pos="1871"/>
        <w:tab w:val="left" w:pos="2268"/>
      </w:tabs>
      <w:overflowPunct w:val="0"/>
      <w:autoSpaceDE w:val="0"/>
      <w:autoSpaceDN w:val="0"/>
      <w:adjustRightInd w:val="0"/>
      <w:spacing w:before="80"/>
      <w:textAlignment w:val="baseline"/>
    </w:pPr>
    <w:rPr>
      <w:snapToGrid/>
      <w:kern w:val="0"/>
      <w:sz w:val="24"/>
      <w:szCs w:val="22"/>
      <w:lang w:val="en-GB"/>
    </w:rPr>
  </w:style>
  <w:style w:type="character" w:customStyle="1" w:styleId="NoteChar">
    <w:name w:val="Note Char"/>
    <w:link w:val="Note"/>
    <w:rsid w:val="00052111"/>
    <w:rPr>
      <w:sz w:val="24"/>
      <w:szCs w:val="22"/>
      <w:lang w:val="en-GB"/>
    </w:rPr>
  </w:style>
  <w:style w:type="character" w:customStyle="1" w:styleId="Artref">
    <w:name w:val="Art_ref"/>
    <w:uiPriority w:val="99"/>
    <w:rsid w:val="00052111"/>
  </w:style>
  <w:style w:type="character" w:customStyle="1" w:styleId="costarpage">
    <w:name w:val="co_starpage"/>
    <w:basedOn w:val="DefaultParagraphFont"/>
    <w:rsid w:val="00CF4A10"/>
  </w:style>
  <w:style w:type="character" w:styleId="Emphasis">
    <w:name w:val="Emphasis"/>
    <w:uiPriority w:val="20"/>
    <w:qFormat/>
    <w:rsid w:val="006D278E"/>
    <w:rPr>
      <w:i/>
      <w:iCs/>
    </w:rPr>
  </w:style>
  <w:style w:type="paragraph" w:styleId="Bibliography">
    <w:name w:val="Bibliography"/>
    <w:basedOn w:val="Normal"/>
    <w:next w:val="Normal"/>
    <w:uiPriority w:val="37"/>
    <w:semiHidden/>
    <w:unhideWhenUsed/>
    <w:rsid w:val="00653BFE"/>
  </w:style>
  <w:style w:type="paragraph" w:styleId="BodyText">
    <w:name w:val="Body Text"/>
    <w:basedOn w:val="Normal"/>
    <w:link w:val="BodyTextChar"/>
    <w:rsid w:val="00653BFE"/>
    <w:pPr>
      <w:spacing w:after="120"/>
    </w:pPr>
  </w:style>
  <w:style w:type="character" w:customStyle="1" w:styleId="BodyTextChar">
    <w:name w:val="Body Text Char"/>
    <w:basedOn w:val="DefaultParagraphFont"/>
    <w:link w:val="BodyText"/>
    <w:rsid w:val="00653BFE"/>
    <w:rPr>
      <w:snapToGrid w:val="0"/>
      <w:kern w:val="28"/>
      <w:sz w:val="22"/>
    </w:rPr>
  </w:style>
  <w:style w:type="paragraph" w:styleId="BodyText2">
    <w:name w:val="Body Text 2"/>
    <w:basedOn w:val="Normal"/>
    <w:link w:val="BodyText2Char"/>
    <w:rsid w:val="00653BFE"/>
    <w:pPr>
      <w:spacing w:after="120" w:line="480" w:lineRule="auto"/>
    </w:pPr>
  </w:style>
  <w:style w:type="character" w:customStyle="1" w:styleId="BodyText2Char">
    <w:name w:val="Body Text 2 Char"/>
    <w:basedOn w:val="DefaultParagraphFont"/>
    <w:link w:val="BodyText2"/>
    <w:rsid w:val="00653BFE"/>
    <w:rPr>
      <w:snapToGrid w:val="0"/>
      <w:kern w:val="28"/>
      <w:sz w:val="22"/>
    </w:rPr>
  </w:style>
  <w:style w:type="paragraph" w:styleId="BodyText3">
    <w:name w:val="Body Text 3"/>
    <w:basedOn w:val="Normal"/>
    <w:link w:val="BodyText3Char"/>
    <w:rsid w:val="00653BFE"/>
    <w:pPr>
      <w:spacing w:after="120"/>
    </w:pPr>
    <w:rPr>
      <w:sz w:val="16"/>
      <w:szCs w:val="16"/>
    </w:rPr>
  </w:style>
  <w:style w:type="character" w:customStyle="1" w:styleId="BodyText3Char">
    <w:name w:val="Body Text 3 Char"/>
    <w:basedOn w:val="DefaultParagraphFont"/>
    <w:link w:val="BodyText3"/>
    <w:rsid w:val="00653BFE"/>
    <w:rPr>
      <w:snapToGrid w:val="0"/>
      <w:kern w:val="28"/>
      <w:sz w:val="16"/>
      <w:szCs w:val="16"/>
    </w:rPr>
  </w:style>
  <w:style w:type="paragraph" w:styleId="BodyTextFirstIndent">
    <w:name w:val="Body Text First Indent"/>
    <w:basedOn w:val="BodyText"/>
    <w:link w:val="BodyTextFirstIndentChar"/>
    <w:rsid w:val="00653BFE"/>
    <w:pPr>
      <w:ind w:firstLine="210"/>
    </w:pPr>
  </w:style>
  <w:style w:type="character" w:customStyle="1" w:styleId="BodyTextFirstIndentChar">
    <w:name w:val="Body Text First Indent Char"/>
    <w:basedOn w:val="BodyTextChar"/>
    <w:link w:val="BodyTextFirstIndent"/>
    <w:rsid w:val="00653BFE"/>
    <w:rPr>
      <w:snapToGrid w:val="0"/>
      <w:kern w:val="28"/>
      <w:sz w:val="22"/>
    </w:rPr>
  </w:style>
  <w:style w:type="paragraph" w:styleId="BodyTextIndent">
    <w:name w:val="Body Text Indent"/>
    <w:basedOn w:val="Normal"/>
    <w:link w:val="BodyTextIndentChar"/>
    <w:rsid w:val="00653BFE"/>
    <w:pPr>
      <w:spacing w:after="120"/>
      <w:ind w:left="360"/>
    </w:pPr>
  </w:style>
  <w:style w:type="character" w:customStyle="1" w:styleId="BodyTextIndentChar">
    <w:name w:val="Body Text Indent Char"/>
    <w:basedOn w:val="DefaultParagraphFont"/>
    <w:link w:val="BodyTextIndent"/>
    <w:rsid w:val="00653BFE"/>
    <w:rPr>
      <w:snapToGrid w:val="0"/>
      <w:kern w:val="28"/>
      <w:sz w:val="22"/>
    </w:rPr>
  </w:style>
  <w:style w:type="paragraph" w:styleId="BodyTextFirstIndent2">
    <w:name w:val="Body Text First Indent 2"/>
    <w:basedOn w:val="BodyTextIndent"/>
    <w:link w:val="BodyTextFirstIndent2Char"/>
    <w:rsid w:val="00653BFE"/>
    <w:pPr>
      <w:ind w:firstLine="210"/>
    </w:pPr>
  </w:style>
  <w:style w:type="character" w:customStyle="1" w:styleId="BodyTextFirstIndent2Char">
    <w:name w:val="Body Text First Indent 2 Char"/>
    <w:basedOn w:val="BodyTextIndentChar"/>
    <w:link w:val="BodyTextFirstIndent2"/>
    <w:rsid w:val="00653BFE"/>
    <w:rPr>
      <w:snapToGrid w:val="0"/>
      <w:kern w:val="28"/>
      <w:sz w:val="22"/>
    </w:rPr>
  </w:style>
  <w:style w:type="paragraph" w:styleId="BodyTextIndent2">
    <w:name w:val="Body Text Indent 2"/>
    <w:basedOn w:val="Normal"/>
    <w:link w:val="BodyTextIndent2Char"/>
    <w:rsid w:val="00653BFE"/>
    <w:pPr>
      <w:spacing w:after="120" w:line="480" w:lineRule="auto"/>
      <w:ind w:left="360"/>
    </w:pPr>
  </w:style>
  <w:style w:type="character" w:customStyle="1" w:styleId="BodyTextIndent2Char">
    <w:name w:val="Body Text Indent 2 Char"/>
    <w:basedOn w:val="DefaultParagraphFont"/>
    <w:link w:val="BodyTextIndent2"/>
    <w:rsid w:val="00653BFE"/>
    <w:rPr>
      <w:snapToGrid w:val="0"/>
      <w:kern w:val="28"/>
      <w:sz w:val="22"/>
    </w:rPr>
  </w:style>
  <w:style w:type="paragraph" w:styleId="BodyTextIndent3">
    <w:name w:val="Body Text Indent 3"/>
    <w:basedOn w:val="Normal"/>
    <w:link w:val="BodyTextIndent3Char"/>
    <w:rsid w:val="00653BFE"/>
    <w:pPr>
      <w:spacing w:after="120"/>
      <w:ind w:left="360"/>
    </w:pPr>
    <w:rPr>
      <w:sz w:val="16"/>
      <w:szCs w:val="16"/>
    </w:rPr>
  </w:style>
  <w:style w:type="character" w:customStyle="1" w:styleId="BodyTextIndent3Char">
    <w:name w:val="Body Text Indent 3 Char"/>
    <w:basedOn w:val="DefaultParagraphFont"/>
    <w:link w:val="BodyTextIndent3"/>
    <w:rsid w:val="00653BFE"/>
    <w:rPr>
      <w:snapToGrid w:val="0"/>
      <w:kern w:val="28"/>
      <w:sz w:val="16"/>
      <w:szCs w:val="16"/>
    </w:rPr>
  </w:style>
  <w:style w:type="paragraph" w:styleId="Caption">
    <w:name w:val="caption"/>
    <w:basedOn w:val="Normal"/>
    <w:next w:val="Normal"/>
    <w:semiHidden/>
    <w:unhideWhenUsed/>
    <w:qFormat/>
    <w:rsid w:val="00653BFE"/>
    <w:rPr>
      <w:b/>
      <w:bCs/>
      <w:sz w:val="20"/>
    </w:rPr>
  </w:style>
  <w:style w:type="paragraph" w:styleId="Closing">
    <w:name w:val="Closing"/>
    <w:basedOn w:val="Normal"/>
    <w:link w:val="ClosingChar"/>
    <w:rsid w:val="00653BFE"/>
    <w:pPr>
      <w:ind w:left="4320"/>
    </w:pPr>
  </w:style>
  <w:style w:type="character" w:customStyle="1" w:styleId="ClosingChar">
    <w:name w:val="Closing Char"/>
    <w:basedOn w:val="DefaultParagraphFont"/>
    <w:link w:val="Closing"/>
    <w:rsid w:val="00653BFE"/>
    <w:rPr>
      <w:snapToGrid w:val="0"/>
      <w:kern w:val="28"/>
      <w:sz w:val="22"/>
    </w:rPr>
  </w:style>
  <w:style w:type="paragraph" w:styleId="Date">
    <w:name w:val="Date"/>
    <w:basedOn w:val="Normal"/>
    <w:next w:val="Normal"/>
    <w:link w:val="DateChar"/>
    <w:rsid w:val="00653BFE"/>
  </w:style>
  <w:style w:type="character" w:customStyle="1" w:styleId="DateChar">
    <w:name w:val="Date Char"/>
    <w:basedOn w:val="DefaultParagraphFont"/>
    <w:link w:val="Date"/>
    <w:rsid w:val="00653BFE"/>
    <w:rPr>
      <w:snapToGrid w:val="0"/>
      <w:kern w:val="28"/>
      <w:sz w:val="22"/>
    </w:rPr>
  </w:style>
  <w:style w:type="paragraph" w:styleId="DocumentMap">
    <w:name w:val="Document Map"/>
    <w:basedOn w:val="Normal"/>
    <w:link w:val="DocumentMapChar"/>
    <w:rsid w:val="00653BFE"/>
    <w:rPr>
      <w:rFonts w:ascii="Segoe UI" w:hAnsi="Segoe UI" w:cs="Segoe UI"/>
      <w:sz w:val="16"/>
      <w:szCs w:val="16"/>
    </w:rPr>
  </w:style>
  <w:style w:type="character" w:customStyle="1" w:styleId="DocumentMapChar">
    <w:name w:val="Document Map Char"/>
    <w:basedOn w:val="DefaultParagraphFont"/>
    <w:link w:val="DocumentMap"/>
    <w:rsid w:val="00653BFE"/>
    <w:rPr>
      <w:rFonts w:ascii="Segoe UI" w:hAnsi="Segoe UI" w:cs="Segoe UI"/>
      <w:snapToGrid w:val="0"/>
      <w:kern w:val="28"/>
      <w:sz w:val="16"/>
      <w:szCs w:val="16"/>
    </w:rPr>
  </w:style>
  <w:style w:type="paragraph" w:styleId="E-mailSignature">
    <w:name w:val="E-mail Signature"/>
    <w:basedOn w:val="Normal"/>
    <w:link w:val="E-mailSignatureChar"/>
    <w:rsid w:val="00653BFE"/>
  </w:style>
  <w:style w:type="character" w:customStyle="1" w:styleId="E-mailSignatureChar">
    <w:name w:val="E-mail Signature Char"/>
    <w:basedOn w:val="DefaultParagraphFont"/>
    <w:link w:val="E-mailSignature"/>
    <w:rsid w:val="00653BFE"/>
    <w:rPr>
      <w:snapToGrid w:val="0"/>
      <w:kern w:val="28"/>
      <w:sz w:val="22"/>
    </w:rPr>
  </w:style>
  <w:style w:type="paragraph" w:styleId="EnvelopeAddress">
    <w:name w:val="envelope address"/>
    <w:basedOn w:val="Normal"/>
    <w:rsid w:val="00653BF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53BFE"/>
    <w:rPr>
      <w:rFonts w:asciiTheme="majorHAnsi" w:eastAsiaTheme="majorEastAsia" w:hAnsiTheme="majorHAnsi" w:cstheme="majorBidi"/>
      <w:sz w:val="20"/>
    </w:rPr>
  </w:style>
  <w:style w:type="paragraph" w:styleId="HTMLAddress">
    <w:name w:val="HTML Address"/>
    <w:basedOn w:val="Normal"/>
    <w:link w:val="HTMLAddressChar"/>
    <w:rsid w:val="00653BFE"/>
    <w:rPr>
      <w:i/>
      <w:iCs/>
    </w:rPr>
  </w:style>
  <w:style w:type="character" w:customStyle="1" w:styleId="HTMLAddressChar">
    <w:name w:val="HTML Address Char"/>
    <w:basedOn w:val="DefaultParagraphFont"/>
    <w:link w:val="HTMLAddress"/>
    <w:rsid w:val="00653BFE"/>
    <w:rPr>
      <w:i/>
      <w:iCs/>
      <w:snapToGrid w:val="0"/>
      <w:kern w:val="28"/>
      <w:sz w:val="22"/>
    </w:rPr>
  </w:style>
  <w:style w:type="paragraph" w:styleId="HTMLPreformatted">
    <w:name w:val="HTML Preformatted"/>
    <w:basedOn w:val="Normal"/>
    <w:link w:val="HTMLPreformattedChar"/>
    <w:rsid w:val="00653BFE"/>
    <w:rPr>
      <w:rFonts w:ascii="Courier New" w:hAnsi="Courier New" w:cs="Courier New"/>
      <w:sz w:val="20"/>
    </w:rPr>
  </w:style>
  <w:style w:type="character" w:customStyle="1" w:styleId="HTMLPreformattedChar">
    <w:name w:val="HTML Preformatted Char"/>
    <w:basedOn w:val="DefaultParagraphFont"/>
    <w:link w:val="HTMLPreformatted"/>
    <w:rsid w:val="00653BFE"/>
    <w:rPr>
      <w:rFonts w:ascii="Courier New" w:hAnsi="Courier New" w:cs="Courier New"/>
      <w:snapToGrid w:val="0"/>
      <w:kern w:val="28"/>
    </w:rPr>
  </w:style>
  <w:style w:type="paragraph" w:styleId="Index1">
    <w:name w:val="index 1"/>
    <w:basedOn w:val="Normal"/>
    <w:next w:val="Normal"/>
    <w:autoRedefine/>
    <w:rsid w:val="00653BFE"/>
    <w:pPr>
      <w:ind w:left="220" w:hanging="220"/>
    </w:pPr>
  </w:style>
  <w:style w:type="paragraph" w:styleId="Index2">
    <w:name w:val="index 2"/>
    <w:basedOn w:val="Normal"/>
    <w:next w:val="Normal"/>
    <w:autoRedefine/>
    <w:rsid w:val="00653BFE"/>
    <w:pPr>
      <w:ind w:left="440" w:hanging="220"/>
    </w:pPr>
  </w:style>
  <w:style w:type="paragraph" w:styleId="Index3">
    <w:name w:val="index 3"/>
    <w:basedOn w:val="Normal"/>
    <w:next w:val="Normal"/>
    <w:autoRedefine/>
    <w:rsid w:val="00653BFE"/>
    <w:pPr>
      <w:ind w:left="660" w:hanging="220"/>
    </w:pPr>
  </w:style>
  <w:style w:type="paragraph" w:styleId="Index4">
    <w:name w:val="index 4"/>
    <w:basedOn w:val="Normal"/>
    <w:next w:val="Normal"/>
    <w:autoRedefine/>
    <w:rsid w:val="00653BFE"/>
    <w:pPr>
      <w:ind w:left="880" w:hanging="220"/>
    </w:pPr>
  </w:style>
  <w:style w:type="paragraph" w:styleId="Index5">
    <w:name w:val="index 5"/>
    <w:basedOn w:val="Normal"/>
    <w:next w:val="Normal"/>
    <w:autoRedefine/>
    <w:rsid w:val="00653BFE"/>
    <w:pPr>
      <w:ind w:left="1100" w:hanging="220"/>
    </w:pPr>
  </w:style>
  <w:style w:type="paragraph" w:styleId="Index6">
    <w:name w:val="index 6"/>
    <w:basedOn w:val="Normal"/>
    <w:next w:val="Normal"/>
    <w:autoRedefine/>
    <w:rsid w:val="00653BFE"/>
    <w:pPr>
      <w:ind w:left="1320" w:hanging="220"/>
    </w:pPr>
  </w:style>
  <w:style w:type="paragraph" w:styleId="Index7">
    <w:name w:val="index 7"/>
    <w:basedOn w:val="Normal"/>
    <w:next w:val="Normal"/>
    <w:autoRedefine/>
    <w:rsid w:val="00653BFE"/>
    <w:pPr>
      <w:ind w:left="1540" w:hanging="220"/>
    </w:pPr>
  </w:style>
  <w:style w:type="paragraph" w:styleId="Index8">
    <w:name w:val="index 8"/>
    <w:basedOn w:val="Normal"/>
    <w:next w:val="Normal"/>
    <w:autoRedefine/>
    <w:rsid w:val="00653BFE"/>
    <w:pPr>
      <w:ind w:left="1760" w:hanging="220"/>
    </w:pPr>
  </w:style>
  <w:style w:type="paragraph" w:styleId="Index9">
    <w:name w:val="index 9"/>
    <w:basedOn w:val="Normal"/>
    <w:next w:val="Normal"/>
    <w:autoRedefine/>
    <w:rsid w:val="00653BFE"/>
    <w:pPr>
      <w:ind w:left="1980" w:hanging="220"/>
    </w:pPr>
  </w:style>
  <w:style w:type="paragraph" w:styleId="IndexHeading">
    <w:name w:val="index heading"/>
    <w:basedOn w:val="Normal"/>
    <w:next w:val="Index1"/>
    <w:rsid w:val="00653BF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53BF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53BFE"/>
    <w:rPr>
      <w:i/>
      <w:iCs/>
      <w:snapToGrid w:val="0"/>
      <w:color w:val="4472C4" w:themeColor="accent1"/>
      <w:kern w:val="28"/>
      <w:sz w:val="22"/>
    </w:rPr>
  </w:style>
  <w:style w:type="paragraph" w:styleId="List">
    <w:name w:val="List"/>
    <w:basedOn w:val="Normal"/>
    <w:rsid w:val="00653BFE"/>
    <w:pPr>
      <w:ind w:left="360" w:hanging="360"/>
      <w:contextualSpacing/>
    </w:pPr>
  </w:style>
  <w:style w:type="paragraph" w:styleId="List2">
    <w:name w:val="List 2"/>
    <w:basedOn w:val="Normal"/>
    <w:rsid w:val="00653BFE"/>
    <w:pPr>
      <w:ind w:left="720" w:hanging="360"/>
      <w:contextualSpacing/>
    </w:pPr>
  </w:style>
  <w:style w:type="paragraph" w:styleId="List3">
    <w:name w:val="List 3"/>
    <w:basedOn w:val="Normal"/>
    <w:rsid w:val="00653BFE"/>
    <w:pPr>
      <w:ind w:left="1080" w:hanging="360"/>
      <w:contextualSpacing/>
    </w:pPr>
  </w:style>
  <w:style w:type="paragraph" w:styleId="List4">
    <w:name w:val="List 4"/>
    <w:basedOn w:val="Normal"/>
    <w:rsid w:val="00653BFE"/>
    <w:pPr>
      <w:ind w:left="1440" w:hanging="360"/>
      <w:contextualSpacing/>
    </w:pPr>
  </w:style>
  <w:style w:type="paragraph" w:styleId="List5">
    <w:name w:val="List 5"/>
    <w:basedOn w:val="Normal"/>
    <w:rsid w:val="00653BFE"/>
    <w:pPr>
      <w:ind w:left="1800" w:hanging="360"/>
      <w:contextualSpacing/>
    </w:pPr>
  </w:style>
  <w:style w:type="paragraph" w:styleId="ListBullet">
    <w:name w:val="List Bullet"/>
    <w:basedOn w:val="Normal"/>
    <w:rsid w:val="00653BFE"/>
    <w:pPr>
      <w:numPr>
        <w:numId w:val="28"/>
      </w:numPr>
      <w:contextualSpacing/>
    </w:pPr>
  </w:style>
  <w:style w:type="paragraph" w:styleId="ListBullet2">
    <w:name w:val="List Bullet 2"/>
    <w:basedOn w:val="Normal"/>
    <w:rsid w:val="00653BFE"/>
    <w:pPr>
      <w:numPr>
        <w:numId w:val="29"/>
      </w:numPr>
      <w:contextualSpacing/>
    </w:pPr>
  </w:style>
  <w:style w:type="paragraph" w:styleId="ListBullet3">
    <w:name w:val="List Bullet 3"/>
    <w:basedOn w:val="Normal"/>
    <w:rsid w:val="00653BFE"/>
    <w:pPr>
      <w:numPr>
        <w:numId w:val="30"/>
      </w:numPr>
      <w:contextualSpacing/>
    </w:pPr>
  </w:style>
  <w:style w:type="paragraph" w:styleId="ListBullet4">
    <w:name w:val="List Bullet 4"/>
    <w:basedOn w:val="Normal"/>
    <w:rsid w:val="00653BFE"/>
    <w:pPr>
      <w:numPr>
        <w:numId w:val="31"/>
      </w:numPr>
      <w:contextualSpacing/>
    </w:pPr>
  </w:style>
  <w:style w:type="paragraph" w:styleId="ListBullet5">
    <w:name w:val="List Bullet 5"/>
    <w:basedOn w:val="Normal"/>
    <w:rsid w:val="00653BFE"/>
    <w:pPr>
      <w:numPr>
        <w:numId w:val="32"/>
      </w:numPr>
      <w:contextualSpacing/>
    </w:pPr>
  </w:style>
  <w:style w:type="paragraph" w:styleId="ListContinue">
    <w:name w:val="List Continue"/>
    <w:basedOn w:val="Normal"/>
    <w:rsid w:val="00653BFE"/>
    <w:pPr>
      <w:spacing w:after="120"/>
      <w:ind w:left="360"/>
      <w:contextualSpacing/>
    </w:pPr>
  </w:style>
  <w:style w:type="paragraph" w:styleId="ListContinue2">
    <w:name w:val="List Continue 2"/>
    <w:basedOn w:val="Normal"/>
    <w:rsid w:val="00653BFE"/>
    <w:pPr>
      <w:spacing w:after="120"/>
      <w:ind w:left="720"/>
      <w:contextualSpacing/>
    </w:pPr>
  </w:style>
  <w:style w:type="paragraph" w:styleId="ListContinue3">
    <w:name w:val="List Continue 3"/>
    <w:basedOn w:val="Normal"/>
    <w:rsid w:val="00653BFE"/>
    <w:pPr>
      <w:spacing w:after="120"/>
      <w:ind w:left="1080"/>
      <w:contextualSpacing/>
    </w:pPr>
  </w:style>
  <w:style w:type="paragraph" w:styleId="ListContinue4">
    <w:name w:val="List Continue 4"/>
    <w:basedOn w:val="Normal"/>
    <w:rsid w:val="00653BFE"/>
    <w:pPr>
      <w:spacing w:after="120"/>
      <w:ind w:left="1440"/>
      <w:contextualSpacing/>
    </w:pPr>
  </w:style>
  <w:style w:type="paragraph" w:styleId="ListContinue5">
    <w:name w:val="List Continue 5"/>
    <w:basedOn w:val="Normal"/>
    <w:rsid w:val="00653BFE"/>
    <w:pPr>
      <w:spacing w:after="120"/>
      <w:ind w:left="1800"/>
      <w:contextualSpacing/>
    </w:pPr>
  </w:style>
  <w:style w:type="paragraph" w:styleId="ListNumber">
    <w:name w:val="List Number"/>
    <w:basedOn w:val="Normal"/>
    <w:rsid w:val="00653BFE"/>
    <w:pPr>
      <w:numPr>
        <w:numId w:val="33"/>
      </w:numPr>
      <w:contextualSpacing/>
    </w:pPr>
  </w:style>
  <w:style w:type="paragraph" w:styleId="ListNumber2">
    <w:name w:val="List Number 2"/>
    <w:basedOn w:val="Normal"/>
    <w:rsid w:val="00653BFE"/>
    <w:pPr>
      <w:numPr>
        <w:numId w:val="34"/>
      </w:numPr>
      <w:contextualSpacing/>
    </w:pPr>
  </w:style>
  <w:style w:type="paragraph" w:styleId="ListNumber3">
    <w:name w:val="List Number 3"/>
    <w:basedOn w:val="Normal"/>
    <w:rsid w:val="00653BFE"/>
    <w:pPr>
      <w:numPr>
        <w:numId w:val="35"/>
      </w:numPr>
      <w:contextualSpacing/>
    </w:pPr>
  </w:style>
  <w:style w:type="paragraph" w:styleId="ListNumber4">
    <w:name w:val="List Number 4"/>
    <w:basedOn w:val="Normal"/>
    <w:rsid w:val="00653BFE"/>
    <w:pPr>
      <w:numPr>
        <w:numId w:val="36"/>
      </w:numPr>
      <w:contextualSpacing/>
    </w:pPr>
  </w:style>
  <w:style w:type="paragraph" w:styleId="ListNumber5">
    <w:name w:val="List Number 5"/>
    <w:basedOn w:val="Normal"/>
    <w:rsid w:val="00653BFE"/>
    <w:pPr>
      <w:numPr>
        <w:numId w:val="37"/>
      </w:numPr>
      <w:contextualSpacing/>
    </w:pPr>
  </w:style>
  <w:style w:type="paragraph" w:styleId="Macro">
    <w:name w:val="macro"/>
    <w:link w:val="MacroTextChar"/>
    <w:rsid w:val="00653BFE"/>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kern w:val="28"/>
    </w:rPr>
  </w:style>
  <w:style w:type="character" w:customStyle="1" w:styleId="MacroTextChar">
    <w:name w:val="Macro Text Char"/>
    <w:basedOn w:val="DefaultParagraphFont"/>
    <w:link w:val="Macro"/>
    <w:rsid w:val="00653BFE"/>
    <w:rPr>
      <w:rFonts w:ascii="Courier New" w:hAnsi="Courier New" w:cs="Courier New"/>
      <w:snapToGrid w:val="0"/>
      <w:kern w:val="28"/>
    </w:rPr>
  </w:style>
  <w:style w:type="paragraph" w:styleId="MessageHeader">
    <w:name w:val="Message Header"/>
    <w:basedOn w:val="Normal"/>
    <w:link w:val="MessageHeaderChar"/>
    <w:rsid w:val="00653BF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53BFE"/>
    <w:rPr>
      <w:rFonts w:asciiTheme="majorHAnsi" w:eastAsiaTheme="majorEastAsia" w:hAnsiTheme="majorHAnsi" w:cstheme="majorBidi"/>
      <w:snapToGrid w:val="0"/>
      <w:kern w:val="28"/>
      <w:sz w:val="24"/>
      <w:szCs w:val="24"/>
      <w:shd w:val="pct20" w:color="auto" w:fill="auto"/>
    </w:rPr>
  </w:style>
  <w:style w:type="paragraph" w:styleId="NoSpacing">
    <w:name w:val="No Spacing"/>
    <w:uiPriority w:val="1"/>
    <w:qFormat/>
    <w:rsid w:val="00653BFE"/>
    <w:pPr>
      <w:widowControl w:val="0"/>
    </w:pPr>
    <w:rPr>
      <w:snapToGrid w:val="0"/>
      <w:kern w:val="28"/>
      <w:sz w:val="22"/>
    </w:rPr>
  </w:style>
  <w:style w:type="paragraph" w:styleId="NormalWeb">
    <w:name w:val="Normal (Web)"/>
    <w:basedOn w:val="Normal"/>
    <w:rsid w:val="00653BFE"/>
    <w:rPr>
      <w:sz w:val="24"/>
      <w:szCs w:val="24"/>
    </w:rPr>
  </w:style>
  <w:style w:type="paragraph" w:styleId="NormalIndent">
    <w:name w:val="Normal Indent"/>
    <w:basedOn w:val="Normal"/>
    <w:rsid w:val="00653BFE"/>
    <w:pPr>
      <w:ind w:left="720"/>
    </w:pPr>
  </w:style>
  <w:style w:type="paragraph" w:styleId="NoteHeading">
    <w:name w:val="Note Heading"/>
    <w:basedOn w:val="Normal"/>
    <w:next w:val="Normal"/>
    <w:link w:val="NoteHeadingChar"/>
    <w:rsid w:val="00653BFE"/>
  </w:style>
  <w:style w:type="character" w:customStyle="1" w:styleId="NoteHeadingChar">
    <w:name w:val="Note Heading Char"/>
    <w:basedOn w:val="DefaultParagraphFont"/>
    <w:link w:val="NoteHeading"/>
    <w:rsid w:val="00653BFE"/>
    <w:rPr>
      <w:snapToGrid w:val="0"/>
      <w:kern w:val="28"/>
      <w:sz w:val="22"/>
    </w:rPr>
  </w:style>
  <w:style w:type="paragraph" w:styleId="PlainText">
    <w:name w:val="Plain Text"/>
    <w:basedOn w:val="Normal"/>
    <w:link w:val="PlainTextChar"/>
    <w:rsid w:val="00653BFE"/>
    <w:rPr>
      <w:rFonts w:ascii="Courier New" w:hAnsi="Courier New" w:cs="Courier New"/>
      <w:sz w:val="20"/>
    </w:rPr>
  </w:style>
  <w:style w:type="character" w:customStyle="1" w:styleId="PlainTextChar">
    <w:name w:val="Plain Text Char"/>
    <w:basedOn w:val="DefaultParagraphFont"/>
    <w:link w:val="PlainText"/>
    <w:rsid w:val="00653BFE"/>
    <w:rPr>
      <w:rFonts w:ascii="Courier New" w:hAnsi="Courier New" w:cs="Courier New"/>
      <w:snapToGrid w:val="0"/>
      <w:kern w:val="28"/>
    </w:rPr>
  </w:style>
  <w:style w:type="paragraph" w:styleId="Quote">
    <w:name w:val="Quote"/>
    <w:basedOn w:val="Normal"/>
    <w:next w:val="Normal"/>
    <w:link w:val="QuoteChar"/>
    <w:uiPriority w:val="29"/>
    <w:qFormat/>
    <w:rsid w:val="00653BF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53BFE"/>
    <w:rPr>
      <w:i/>
      <w:iCs/>
      <w:snapToGrid w:val="0"/>
      <w:color w:val="404040" w:themeColor="text1" w:themeTint="BF"/>
      <w:kern w:val="28"/>
      <w:sz w:val="22"/>
    </w:rPr>
  </w:style>
  <w:style w:type="paragraph" w:styleId="Salutation">
    <w:name w:val="Salutation"/>
    <w:basedOn w:val="Normal"/>
    <w:next w:val="Normal"/>
    <w:link w:val="SalutationChar"/>
    <w:rsid w:val="00653BFE"/>
  </w:style>
  <w:style w:type="character" w:customStyle="1" w:styleId="SalutationChar">
    <w:name w:val="Salutation Char"/>
    <w:basedOn w:val="DefaultParagraphFont"/>
    <w:link w:val="Salutation"/>
    <w:rsid w:val="00653BFE"/>
    <w:rPr>
      <w:snapToGrid w:val="0"/>
      <w:kern w:val="28"/>
      <w:sz w:val="22"/>
    </w:rPr>
  </w:style>
  <w:style w:type="paragraph" w:styleId="Signature">
    <w:name w:val="Signature"/>
    <w:basedOn w:val="Normal"/>
    <w:link w:val="SignatureChar"/>
    <w:rsid w:val="00653BFE"/>
    <w:pPr>
      <w:ind w:left="4320"/>
    </w:pPr>
  </w:style>
  <w:style w:type="character" w:customStyle="1" w:styleId="SignatureChar">
    <w:name w:val="Signature Char"/>
    <w:basedOn w:val="DefaultParagraphFont"/>
    <w:link w:val="Signature"/>
    <w:rsid w:val="00653BFE"/>
    <w:rPr>
      <w:snapToGrid w:val="0"/>
      <w:kern w:val="28"/>
      <w:sz w:val="22"/>
    </w:rPr>
  </w:style>
  <w:style w:type="paragraph" w:styleId="Subtitle">
    <w:name w:val="Subtitle"/>
    <w:basedOn w:val="Normal"/>
    <w:next w:val="Normal"/>
    <w:link w:val="SubtitleChar"/>
    <w:qFormat/>
    <w:rsid w:val="00653BFE"/>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653BFE"/>
    <w:rPr>
      <w:rFonts w:asciiTheme="majorHAnsi" w:eastAsiaTheme="majorEastAsia" w:hAnsiTheme="majorHAnsi" w:cstheme="majorBidi"/>
      <w:snapToGrid w:val="0"/>
      <w:kern w:val="28"/>
      <w:sz w:val="24"/>
      <w:szCs w:val="24"/>
    </w:rPr>
  </w:style>
  <w:style w:type="paragraph" w:styleId="TableofAuthorities">
    <w:name w:val="table of authorities"/>
    <w:basedOn w:val="Normal"/>
    <w:next w:val="Normal"/>
    <w:rsid w:val="00653BFE"/>
    <w:pPr>
      <w:ind w:left="220" w:hanging="220"/>
    </w:pPr>
  </w:style>
  <w:style w:type="paragraph" w:styleId="TableofFigures">
    <w:name w:val="table of figures"/>
    <w:basedOn w:val="Normal"/>
    <w:next w:val="Normal"/>
    <w:rsid w:val="00653BFE"/>
  </w:style>
  <w:style w:type="paragraph" w:styleId="Title">
    <w:name w:val="Title"/>
    <w:basedOn w:val="Normal"/>
    <w:next w:val="Normal"/>
    <w:link w:val="TitleChar"/>
    <w:qFormat/>
    <w:rsid w:val="00653BFE"/>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rsid w:val="00653BFE"/>
    <w:rPr>
      <w:rFonts w:asciiTheme="majorHAnsi" w:eastAsiaTheme="majorEastAsia" w:hAnsiTheme="majorHAnsi" w:cstheme="majorBidi"/>
      <w:b/>
      <w:bCs/>
      <w:snapToGrid w:val="0"/>
      <w:kern w:val="28"/>
      <w:sz w:val="32"/>
      <w:szCs w:val="32"/>
    </w:rPr>
  </w:style>
  <w:style w:type="paragraph" w:styleId="TOCHeading">
    <w:name w:val="TOC Heading"/>
    <w:basedOn w:val="Heading1"/>
    <w:next w:val="Normal"/>
    <w:uiPriority w:val="39"/>
    <w:semiHidden/>
    <w:unhideWhenUsed/>
    <w:qFormat/>
    <w:rsid w:val="00653BFE"/>
    <w:pPr>
      <w:numPr>
        <w:numId w:val="0"/>
      </w:numPr>
      <w:suppressAutoHyphens w:val="0"/>
      <w:spacing w:before="240" w:after="60"/>
      <w:outlineLvl w:val="9"/>
    </w:pPr>
    <w:rPr>
      <w:rFonts w:asciiTheme="majorHAnsi" w:eastAsiaTheme="majorEastAsia" w:hAnsiTheme="majorHAnsi" w:cstheme="majorBidi"/>
      <w:bCs/>
      <w:caps w:val="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1.next.westlaw.com/Link/Document/FullText?findType=L&amp;pubNum=1000547&amp;cite=47CFRS0.261&amp;originatingDoc=Ib64f5c852bde11dbbb4d83d7c3c3a165&amp;refType=LQ&amp;originationContext=document&amp;transitionType=DocumentItem&amp;contextData=(sc.Search)"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1.next.westlaw.com/Link/Document/FullText?findType=Y&amp;serNum=2037851022&amp;pubNum=0004493&amp;originatingDoc=Ic7457352a3a511eaaf56e82bee30e016&amp;refType=CA&amp;originationContext=document&amp;transitionType=DocumentItem&amp;ppcid=cf69c1c4e56342599b4df2826d9cbc87&amp;contextData=(sc.History*oc.Search)" TargetMode="External" /><Relationship Id="rId2" Type="http://schemas.openxmlformats.org/officeDocument/2006/relationships/hyperlink" Target="https://1.next.westlaw.com/Link/Document/FullText?findType=Y&amp;serNum=2037851022&amp;pubNum=0004493&amp;originatingDoc=Ic7457352a3a511eaaf56e82bee30e016&amp;refType=CA&amp;fi=co_pp_sp_4493_14735&amp;originationContext=document&amp;transitionType=DocumentItem&amp;ppcid=2bb7c6dd1b7f469ca331541ade675820&amp;contextData=(sc.History*oc.Search)"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