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C11997" w14:paraId="3C8FD656" w14:textId="77777777">
      <w:pPr>
        <w:jc w:val="center"/>
        <w:rPr>
          <w:b/>
          <w:szCs w:val="22"/>
        </w:rPr>
      </w:pPr>
      <w:r w:rsidRPr="00C11997">
        <w:rPr>
          <w:b/>
          <w:kern w:val="0"/>
          <w:szCs w:val="22"/>
        </w:rPr>
        <w:t>Before</w:t>
      </w:r>
      <w:r w:rsidRPr="00C11997">
        <w:rPr>
          <w:b/>
          <w:szCs w:val="22"/>
        </w:rPr>
        <w:t xml:space="preserve"> the</w:t>
      </w:r>
    </w:p>
    <w:p w:rsidR="00921803" w:rsidRPr="00C11997" w:rsidP="00921803" w14:paraId="3C8FD657" w14:textId="77777777">
      <w:pPr>
        <w:pStyle w:val="StyleBoldCentered"/>
        <w:rPr>
          <w:rFonts w:ascii="Times New Roman" w:hAnsi="Times New Roman"/>
        </w:rPr>
      </w:pPr>
      <w:r w:rsidRPr="00C11997">
        <w:rPr>
          <w:rFonts w:ascii="Times New Roman" w:hAnsi="Times New Roman"/>
        </w:rPr>
        <w:t>F</w:t>
      </w:r>
      <w:r w:rsidRPr="00C11997">
        <w:rPr>
          <w:rFonts w:ascii="Times New Roman" w:hAnsi="Times New Roman"/>
          <w:caps w:val="0"/>
        </w:rPr>
        <w:t>ederal Communications Commission</w:t>
      </w:r>
    </w:p>
    <w:p w:rsidR="004C2EE3" w:rsidRPr="00C11997" w:rsidP="00096D8C" w14:paraId="3C8FD658" w14:textId="77777777">
      <w:pPr>
        <w:pStyle w:val="StyleBoldCentered"/>
        <w:rPr>
          <w:rFonts w:ascii="Times New Roman" w:hAnsi="Times New Roman"/>
        </w:rPr>
      </w:pPr>
      <w:r w:rsidRPr="00C11997">
        <w:rPr>
          <w:rFonts w:ascii="Times New Roman" w:hAnsi="Times New Roman"/>
          <w:caps w:val="0"/>
        </w:rPr>
        <w:t>Washington, D.C. 20554</w:t>
      </w:r>
    </w:p>
    <w:p w:rsidR="004C2EE3" w:rsidRPr="00C11997" w:rsidP="0070224F" w14:paraId="3C8FD659" w14:textId="77777777">
      <w:pPr>
        <w:rPr>
          <w:szCs w:val="22"/>
        </w:rPr>
      </w:pPr>
    </w:p>
    <w:tbl>
      <w:tblPr>
        <w:tblW w:w="0" w:type="auto"/>
        <w:tblLayout w:type="fixed"/>
        <w:tblLook w:val="0000"/>
      </w:tblPr>
      <w:tblGrid>
        <w:gridCol w:w="4698"/>
        <w:gridCol w:w="630"/>
        <w:gridCol w:w="4248"/>
      </w:tblGrid>
      <w:tr w14:paraId="3C8FD66E" w14:textId="77777777">
        <w:tblPrEx>
          <w:tblW w:w="0" w:type="auto"/>
          <w:tblLayout w:type="fixed"/>
          <w:tblLook w:val="0000"/>
        </w:tblPrEx>
        <w:tc>
          <w:tcPr>
            <w:tcW w:w="4698" w:type="dxa"/>
          </w:tcPr>
          <w:p w:rsidR="00474268" w:rsidRPr="00C11997" w:rsidP="00474268" w14:paraId="3C8FD65A" w14:textId="09A08639">
            <w:pPr>
              <w:tabs>
                <w:tab w:val="center" w:pos="4680"/>
              </w:tabs>
              <w:suppressAutoHyphens/>
              <w:rPr>
                <w:spacing w:val="-2"/>
                <w:szCs w:val="22"/>
              </w:rPr>
            </w:pPr>
            <w:r w:rsidRPr="00C11997">
              <w:rPr>
                <w:spacing w:val="-2"/>
                <w:szCs w:val="22"/>
              </w:rPr>
              <w:t xml:space="preserve">In </w:t>
            </w:r>
            <w:r w:rsidRPr="00C11997" w:rsidR="00897F62">
              <w:rPr>
                <w:spacing w:val="-2"/>
                <w:szCs w:val="22"/>
              </w:rPr>
              <w:t>the</w:t>
            </w:r>
            <w:r w:rsidRPr="00C11997" w:rsidR="00E56A44">
              <w:rPr>
                <w:spacing w:val="-2"/>
                <w:szCs w:val="22"/>
              </w:rPr>
              <w:t xml:space="preserve"> Matter</w:t>
            </w:r>
            <w:r w:rsidRPr="00C11997">
              <w:rPr>
                <w:spacing w:val="-2"/>
                <w:szCs w:val="22"/>
              </w:rPr>
              <w:t xml:space="preserve"> of  </w:t>
            </w:r>
          </w:p>
          <w:p w:rsidR="00474268" w:rsidRPr="00C11997" w:rsidP="00474268" w14:paraId="3C8FD65B" w14:textId="77777777">
            <w:pPr>
              <w:tabs>
                <w:tab w:val="center" w:pos="4680"/>
              </w:tabs>
              <w:suppressAutoHyphens/>
              <w:rPr>
                <w:spacing w:val="-2"/>
                <w:szCs w:val="22"/>
              </w:rPr>
            </w:pPr>
          </w:p>
          <w:p w:rsidR="00474268" w:rsidP="00474268" w14:paraId="3C8FD65D" w14:textId="6548C332">
            <w:pPr>
              <w:tabs>
                <w:tab w:val="center" w:pos="4680"/>
              </w:tabs>
              <w:suppressAutoHyphens/>
              <w:rPr>
                <w:b/>
                <w:bCs/>
                <w:szCs w:val="22"/>
              </w:rPr>
            </w:pPr>
            <w:r w:rsidRPr="007173FF">
              <w:rPr>
                <w:b/>
                <w:bCs/>
                <w:szCs w:val="22"/>
              </w:rPr>
              <w:t xml:space="preserve">Radiant Light Broadcasting </w:t>
            </w:r>
          </w:p>
          <w:p w:rsidR="007173FF" w:rsidRPr="00C11997" w:rsidP="00474268" w14:paraId="33754C14" w14:textId="77777777">
            <w:pPr>
              <w:tabs>
                <w:tab w:val="center" w:pos="4680"/>
              </w:tabs>
              <w:suppressAutoHyphens/>
              <w:rPr>
                <w:spacing w:val="-2"/>
                <w:szCs w:val="22"/>
              </w:rPr>
            </w:pPr>
          </w:p>
          <w:p w:rsidR="001D5806" w:rsidRPr="001D5806" w:rsidP="001D5806" w14:paraId="79533D5A" w14:textId="7D8B1EE6">
            <w:pPr>
              <w:tabs>
                <w:tab w:val="center" w:pos="4680"/>
              </w:tabs>
              <w:suppressAutoHyphens/>
              <w:rPr>
                <w:spacing w:val="-2"/>
                <w:szCs w:val="22"/>
              </w:rPr>
            </w:pPr>
            <w:r w:rsidRPr="001D5806">
              <w:rPr>
                <w:spacing w:val="-2"/>
                <w:szCs w:val="22"/>
              </w:rPr>
              <w:t>For License</w:t>
            </w:r>
            <w:r w:rsidR="007173FF">
              <w:rPr>
                <w:spacing w:val="-2"/>
                <w:szCs w:val="22"/>
              </w:rPr>
              <w:t>s</w:t>
            </w:r>
            <w:r w:rsidRPr="001D5806">
              <w:rPr>
                <w:spacing w:val="-2"/>
                <w:szCs w:val="22"/>
              </w:rPr>
              <w:t xml:space="preserve"> to Cover</w:t>
            </w:r>
          </w:p>
          <w:p w:rsidR="001D5806" w:rsidRPr="001D5806" w:rsidP="001D5806" w14:paraId="09658B74" w14:textId="45A7B632">
            <w:pPr>
              <w:tabs>
                <w:tab w:val="center" w:pos="4680"/>
              </w:tabs>
              <w:suppressAutoHyphens/>
              <w:rPr>
                <w:spacing w:val="-2"/>
                <w:szCs w:val="22"/>
              </w:rPr>
            </w:pPr>
            <w:r w:rsidRPr="001D5806">
              <w:rPr>
                <w:spacing w:val="-2"/>
                <w:szCs w:val="22"/>
              </w:rPr>
              <w:t>Low Power Television Station</w:t>
            </w:r>
            <w:r w:rsidR="007173FF">
              <w:rPr>
                <w:spacing w:val="-2"/>
                <w:szCs w:val="22"/>
              </w:rPr>
              <w:t>s</w:t>
            </w:r>
          </w:p>
          <w:p w:rsidR="007173FF" w:rsidRPr="007173FF" w:rsidP="007173FF" w14:paraId="10EE4B6E" w14:textId="77777777">
            <w:pPr>
              <w:tabs>
                <w:tab w:val="center" w:pos="4680"/>
              </w:tabs>
              <w:suppressAutoHyphens/>
              <w:rPr>
                <w:spacing w:val="-2"/>
                <w:szCs w:val="22"/>
              </w:rPr>
            </w:pPr>
            <w:r w:rsidRPr="007173FF">
              <w:rPr>
                <w:spacing w:val="-2"/>
                <w:szCs w:val="22"/>
              </w:rPr>
              <w:t>KRLB-LD, Richland, etc., WA</w:t>
            </w:r>
          </w:p>
          <w:p w:rsidR="004C2EE3" w:rsidRPr="00C11997" w:rsidP="007173FF" w14:paraId="3C8FD660" w14:textId="20D07A94">
            <w:pPr>
              <w:tabs>
                <w:tab w:val="center" w:pos="4680"/>
              </w:tabs>
              <w:suppressAutoHyphens/>
              <w:rPr>
                <w:spacing w:val="-2"/>
                <w:szCs w:val="22"/>
              </w:rPr>
            </w:pPr>
            <w:r w:rsidRPr="007173FF">
              <w:rPr>
                <w:spacing w:val="-2"/>
                <w:szCs w:val="22"/>
              </w:rPr>
              <w:t>KWWO-LD, Walla Walla, WA</w:t>
            </w:r>
          </w:p>
        </w:tc>
        <w:tc>
          <w:tcPr>
            <w:tcW w:w="630" w:type="dxa"/>
          </w:tcPr>
          <w:p w:rsidR="004C2EE3" w:rsidRPr="00C11997" w14:paraId="3A8CF9D3" w14:textId="77777777">
            <w:pPr>
              <w:tabs>
                <w:tab w:val="center" w:pos="4680"/>
              </w:tabs>
              <w:suppressAutoHyphens/>
              <w:rPr>
                <w:b/>
                <w:spacing w:val="-2"/>
                <w:szCs w:val="22"/>
              </w:rPr>
            </w:pPr>
            <w:r w:rsidRPr="00C11997">
              <w:rPr>
                <w:b/>
                <w:spacing w:val="-2"/>
                <w:szCs w:val="22"/>
              </w:rPr>
              <w:t>)</w:t>
            </w:r>
          </w:p>
          <w:p w:rsidR="004C2EE3" w:rsidRPr="00C11997" w14:paraId="3C8FD661" w14:textId="77777777">
            <w:pPr>
              <w:tabs>
                <w:tab w:val="center" w:pos="4680"/>
              </w:tabs>
              <w:suppressAutoHyphens/>
              <w:rPr>
                <w:b/>
                <w:spacing w:val="-2"/>
                <w:szCs w:val="22"/>
              </w:rPr>
            </w:pPr>
            <w:r w:rsidRPr="00C11997">
              <w:rPr>
                <w:b/>
                <w:spacing w:val="-2"/>
                <w:szCs w:val="22"/>
              </w:rPr>
              <w:t>)</w:t>
            </w:r>
          </w:p>
          <w:p w:rsidR="004C2EE3" w:rsidRPr="00C11997" w14:paraId="3C8FD662" w14:textId="77777777">
            <w:pPr>
              <w:tabs>
                <w:tab w:val="center" w:pos="4680"/>
              </w:tabs>
              <w:suppressAutoHyphens/>
              <w:rPr>
                <w:b/>
                <w:spacing w:val="-2"/>
                <w:szCs w:val="22"/>
              </w:rPr>
            </w:pPr>
            <w:r w:rsidRPr="00C11997">
              <w:rPr>
                <w:b/>
                <w:spacing w:val="-2"/>
                <w:szCs w:val="22"/>
              </w:rPr>
              <w:t>)</w:t>
            </w:r>
          </w:p>
          <w:p w:rsidR="004C2EE3" w:rsidRPr="00C11997" w14:paraId="3C8FD663" w14:textId="77777777">
            <w:pPr>
              <w:tabs>
                <w:tab w:val="center" w:pos="4680"/>
              </w:tabs>
              <w:suppressAutoHyphens/>
              <w:rPr>
                <w:b/>
                <w:spacing w:val="-2"/>
                <w:szCs w:val="22"/>
              </w:rPr>
            </w:pPr>
            <w:r w:rsidRPr="00C11997">
              <w:rPr>
                <w:b/>
                <w:spacing w:val="-2"/>
                <w:szCs w:val="22"/>
              </w:rPr>
              <w:t>)</w:t>
            </w:r>
          </w:p>
          <w:p w:rsidR="004C2EE3" w:rsidRPr="00C11997" w14:paraId="3C8FD664" w14:textId="77777777">
            <w:pPr>
              <w:tabs>
                <w:tab w:val="center" w:pos="4680"/>
              </w:tabs>
              <w:suppressAutoHyphens/>
              <w:rPr>
                <w:b/>
                <w:spacing w:val="-2"/>
                <w:szCs w:val="22"/>
              </w:rPr>
            </w:pPr>
            <w:r w:rsidRPr="00C11997">
              <w:rPr>
                <w:b/>
                <w:spacing w:val="-2"/>
                <w:szCs w:val="22"/>
              </w:rPr>
              <w:t>)</w:t>
            </w:r>
          </w:p>
          <w:p w:rsidR="004C2EE3" w:rsidRPr="00C11997" w14:paraId="3C8FD665" w14:textId="77777777">
            <w:pPr>
              <w:tabs>
                <w:tab w:val="center" w:pos="4680"/>
              </w:tabs>
              <w:suppressAutoHyphens/>
              <w:rPr>
                <w:b/>
                <w:spacing w:val="-2"/>
                <w:szCs w:val="22"/>
              </w:rPr>
            </w:pPr>
            <w:r w:rsidRPr="00C11997">
              <w:rPr>
                <w:b/>
                <w:spacing w:val="-2"/>
                <w:szCs w:val="22"/>
              </w:rPr>
              <w:t>)</w:t>
            </w:r>
          </w:p>
          <w:p w:rsidR="004C2EE3" w14:paraId="43A9654C" w14:textId="77777777">
            <w:pPr>
              <w:tabs>
                <w:tab w:val="center" w:pos="4680"/>
              </w:tabs>
              <w:suppressAutoHyphens/>
              <w:rPr>
                <w:b/>
                <w:spacing w:val="-2"/>
                <w:szCs w:val="22"/>
              </w:rPr>
            </w:pPr>
            <w:r w:rsidRPr="00C11997">
              <w:rPr>
                <w:b/>
                <w:spacing w:val="-2"/>
                <w:szCs w:val="22"/>
              </w:rPr>
              <w:t>)</w:t>
            </w:r>
          </w:p>
          <w:p w:rsidR="001D5806" w14:paraId="5922F519" w14:textId="77777777">
            <w:pPr>
              <w:tabs>
                <w:tab w:val="center" w:pos="4680"/>
              </w:tabs>
              <w:suppressAutoHyphens/>
              <w:rPr>
                <w:b/>
                <w:spacing w:val="-2"/>
                <w:szCs w:val="22"/>
              </w:rPr>
            </w:pPr>
            <w:r>
              <w:rPr>
                <w:b/>
                <w:spacing w:val="-2"/>
                <w:szCs w:val="22"/>
              </w:rPr>
              <w:t>)</w:t>
            </w:r>
          </w:p>
          <w:p w:rsidR="00285AC6" w:rsidRPr="00C11997" w14:paraId="3C8FD667" w14:textId="40AC4EAE">
            <w:pPr>
              <w:tabs>
                <w:tab w:val="center" w:pos="4680"/>
              </w:tabs>
              <w:suppressAutoHyphens/>
              <w:rPr>
                <w:b/>
                <w:spacing w:val="-2"/>
                <w:szCs w:val="22"/>
              </w:rPr>
            </w:pPr>
            <w:r>
              <w:rPr>
                <w:b/>
                <w:spacing w:val="-2"/>
                <w:szCs w:val="22"/>
              </w:rPr>
              <w:t>)</w:t>
            </w:r>
          </w:p>
        </w:tc>
        <w:tc>
          <w:tcPr>
            <w:tcW w:w="4248" w:type="dxa"/>
          </w:tcPr>
          <w:p w:rsidR="004C2EE3" w:rsidRPr="00C11997" w14:paraId="3C8FD668" w14:textId="77777777">
            <w:pPr>
              <w:tabs>
                <w:tab w:val="center" w:pos="4680"/>
              </w:tabs>
              <w:suppressAutoHyphens/>
              <w:rPr>
                <w:spacing w:val="-2"/>
                <w:szCs w:val="22"/>
              </w:rPr>
            </w:pPr>
          </w:p>
          <w:p w:rsidR="00285AC6" w:rsidP="00474268" w14:paraId="0EDF324E" w14:textId="77777777">
            <w:pPr>
              <w:pStyle w:val="TOAHeading"/>
              <w:tabs>
                <w:tab w:val="clear" w:pos="9360"/>
              </w:tabs>
              <w:rPr>
                <w:spacing w:val="-2"/>
                <w:szCs w:val="22"/>
              </w:rPr>
            </w:pPr>
          </w:p>
          <w:p w:rsidR="00285AC6" w:rsidP="00474268" w14:paraId="25E20766" w14:textId="77777777">
            <w:pPr>
              <w:pStyle w:val="TOAHeading"/>
              <w:tabs>
                <w:tab w:val="clear" w:pos="9360"/>
              </w:tabs>
              <w:rPr>
                <w:spacing w:val="-2"/>
                <w:szCs w:val="22"/>
              </w:rPr>
            </w:pPr>
          </w:p>
          <w:p w:rsidR="00285AC6" w:rsidP="00474268" w14:paraId="6D8B9F8E" w14:textId="77777777">
            <w:pPr>
              <w:pStyle w:val="TOAHeading"/>
              <w:tabs>
                <w:tab w:val="clear" w:pos="9360"/>
              </w:tabs>
              <w:rPr>
                <w:spacing w:val="-2"/>
                <w:szCs w:val="22"/>
              </w:rPr>
            </w:pPr>
          </w:p>
          <w:p w:rsidR="007173FF" w:rsidP="00474268" w14:paraId="7E4BC913" w14:textId="3DAB3E8E">
            <w:pPr>
              <w:pStyle w:val="TOAHeading"/>
              <w:tabs>
                <w:tab w:val="clear" w:pos="9360"/>
              </w:tabs>
              <w:rPr>
                <w:szCs w:val="22"/>
              </w:rPr>
            </w:pPr>
            <w:r w:rsidRPr="00C11997">
              <w:rPr>
                <w:spacing w:val="-2"/>
                <w:szCs w:val="22"/>
              </w:rPr>
              <w:t>Facility ID No</w:t>
            </w:r>
            <w:r>
              <w:rPr>
                <w:spacing w:val="-2"/>
                <w:szCs w:val="22"/>
              </w:rPr>
              <w:t>s</w:t>
            </w:r>
            <w:r w:rsidRPr="00C11997">
              <w:rPr>
                <w:spacing w:val="-2"/>
                <w:szCs w:val="22"/>
              </w:rPr>
              <w:t xml:space="preserve">. </w:t>
            </w:r>
            <w:r w:rsidRPr="007173FF">
              <w:rPr>
                <w:szCs w:val="22"/>
              </w:rPr>
              <w:t>54455 and 54546</w:t>
            </w:r>
          </w:p>
          <w:p w:rsidR="007173FF" w:rsidP="00474268" w14:paraId="029B8222" w14:textId="77777777">
            <w:pPr>
              <w:pStyle w:val="TOAHeading"/>
              <w:tabs>
                <w:tab w:val="clear" w:pos="9360"/>
              </w:tabs>
              <w:rPr>
                <w:spacing w:val="-2"/>
                <w:szCs w:val="22"/>
              </w:rPr>
            </w:pPr>
            <w:r w:rsidRPr="00C11997">
              <w:rPr>
                <w:spacing w:val="-2"/>
                <w:szCs w:val="22"/>
              </w:rPr>
              <w:t>NAL/Acct. No. MB-</w:t>
            </w:r>
            <w:r w:rsidRPr="007173FF">
              <w:rPr>
                <w:spacing w:val="-2"/>
                <w:szCs w:val="22"/>
              </w:rPr>
              <w:t>. 202241420038</w:t>
            </w:r>
          </w:p>
          <w:p w:rsidR="00474268" w:rsidRPr="00C11997" w:rsidP="00474268" w14:paraId="3C8FD66C" w14:textId="05540048">
            <w:pPr>
              <w:pStyle w:val="TOAHeading"/>
              <w:tabs>
                <w:tab w:val="clear" w:pos="9360"/>
              </w:tabs>
              <w:rPr>
                <w:spacing w:val="-2"/>
                <w:szCs w:val="22"/>
              </w:rPr>
            </w:pPr>
            <w:r w:rsidRPr="00C11997">
              <w:rPr>
                <w:spacing w:val="-2"/>
                <w:szCs w:val="22"/>
              </w:rPr>
              <w:t xml:space="preserve">FRN:  </w:t>
            </w:r>
            <w:r w:rsidRPr="001D5806" w:rsidR="001D5806">
              <w:rPr>
                <w:szCs w:val="22"/>
              </w:rPr>
              <w:t>0008397077</w:t>
            </w:r>
          </w:p>
          <w:p w:rsidR="004C2EE3" w:rsidRPr="00C11997" w:rsidP="00474268" w14:paraId="3C8FD66D" w14:textId="7B07855E">
            <w:pPr>
              <w:tabs>
                <w:tab w:val="center" w:pos="4680"/>
              </w:tabs>
              <w:suppressAutoHyphens/>
              <w:rPr>
                <w:spacing w:val="-2"/>
                <w:szCs w:val="22"/>
              </w:rPr>
            </w:pPr>
            <w:r w:rsidRPr="00C11997">
              <w:rPr>
                <w:spacing w:val="-2"/>
                <w:szCs w:val="22"/>
              </w:rPr>
              <w:t>File No</w:t>
            </w:r>
            <w:r w:rsidR="001D5806">
              <w:rPr>
                <w:spacing w:val="-2"/>
                <w:szCs w:val="22"/>
              </w:rPr>
              <w:t xml:space="preserve">. </w:t>
            </w:r>
            <w:r w:rsidRPr="007173FF" w:rsidR="007173FF">
              <w:rPr>
                <w:spacing w:val="-2"/>
                <w:szCs w:val="22"/>
              </w:rPr>
              <w:t>0003755485</w:t>
            </w:r>
          </w:p>
        </w:tc>
      </w:tr>
    </w:tbl>
    <w:p w:rsidR="004C2EE3" w:rsidRPr="00C11997" w:rsidP="0070224F" w14:paraId="3C8FD66F" w14:textId="77777777">
      <w:pPr>
        <w:rPr>
          <w:szCs w:val="22"/>
        </w:rPr>
      </w:pPr>
    </w:p>
    <w:p w:rsidR="00841AB1" w:rsidRPr="00C11997" w:rsidP="00F021FA" w14:paraId="3C8FD670" w14:textId="07319F79">
      <w:pPr>
        <w:pStyle w:val="StyleBoldCentered"/>
        <w:rPr>
          <w:rFonts w:ascii="Times New Roman" w:hAnsi="Times New Roman"/>
        </w:rPr>
      </w:pPr>
      <w:r w:rsidRPr="00C11997">
        <w:rPr>
          <w:rFonts w:ascii="Times New Roman" w:hAnsi="Times New Roman"/>
        </w:rPr>
        <w:t xml:space="preserve">Forfeiture </w:t>
      </w:r>
      <w:r w:rsidRPr="00C11997" w:rsidR="00264785">
        <w:rPr>
          <w:rFonts w:ascii="Times New Roman" w:hAnsi="Times New Roman"/>
        </w:rPr>
        <w:t>ORDER</w:t>
      </w:r>
    </w:p>
    <w:p w:rsidR="004C2EE3" w:rsidRPr="00C11997" w14:paraId="3C8FD671" w14:textId="77777777">
      <w:pPr>
        <w:tabs>
          <w:tab w:val="left" w:pos="-720"/>
        </w:tabs>
        <w:suppressAutoHyphens/>
        <w:spacing w:line="227" w:lineRule="auto"/>
        <w:rPr>
          <w:spacing w:val="-2"/>
          <w:szCs w:val="22"/>
        </w:rPr>
      </w:pPr>
    </w:p>
    <w:p w:rsidR="004C2EE3" w:rsidRPr="00C11997" w:rsidP="00133F79" w14:paraId="3C8FD672" w14:textId="1D30F279">
      <w:pPr>
        <w:tabs>
          <w:tab w:val="left" w:pos="720"/>
          <w:tab w:val="right" w:pos="9360"/>
        </w:tabs>
        <w:suppressAutoHyphens/>
        <w:spacing w:line="227" w:lineRule="auto"/>
        <w:rPr>
          <w:spacing w:val="-2"/>
          <w:szCs w:val="22"/>
        </w:rPr>
      </w:pPr>
      <w:r w:rsidRPr="00241692">
        <w:rPr>
          <w:b/>
          <w:spacing w:val="-2"/>
          <w:szCs w:val="22"/>
        </w:rPr>
        <w:t xml:space="preserve">Adopted: </w:t>
      </w:r>
      <w:r w:rsidR="001D5806">
        <w:rPr>
          <w:b/>
          <w:spacing w:val="-2"/>
          <w:szCs w:val="22"/>
        </w:rPr>
        <w:t xml:space="preserve"> </w:t>
      </w:r>
      <w:r w:rsidR="00CF322B">
        <w:rPr>
          <w:b/>
          <w:spacing w:val="-2"/>
          <w:szCs w:val="22"/>
        </w:rPr>
        <w:t>November 2, 2022</w:t>
      </w:r>
      <w:r w:rsidRPr="00241692">
        <w:rPr>
          <w:b/>
          <w:spacing w:val="-2"/>
          <w:szCs w:val="22"/>
        </w:rPr>
        <w:tab/>
      </w:r>
      <w:r w:rsidRPr="00241692" w:rsidR="00822CE0">
        <w:rPr>
          <w:b/>
          <w:spacing w:val="-2"/>
          <w:szCs w:val="22"/>
        </w:rPr>
        <w:t>Released</w:t>
      </w:r>
      <w:r w:rsidRPr="00241692">
        <w:rPr>
          <w:b/>
          <w:spacing w:val="-2"/>
          <w:szCs w:val="22"/>
        </w:rPr>
        <w:t>:</w:t>
      </w:r>
      <w:r w:rsidRPr="00241692" w:rsidR="00822CE0">
        <w:rPr>
          <w:b/>
          <w:spacing w:val="-2"/>
          <w:szCs w:val="22"/>
        </w:rPr>
        <w:t xml:space="preserve"> </w:t>
      </w:r>
      <w:r w:rsidRPr="00241692">
        <w:rPr>
          <w:b/>
          <w:spacing w:val="-2"/>
          <w:szCs w:val="22"/>
        </w:rPr>
        <w:t xml:space="preserve"> </w:t>
      </w:r>
      <w:r w:rsidR="00CF322B">
        <w:rPr>
          <w:b/>
          <w:spacing w:val="-2"/>
          <w:szCs w:val="22"/>
        </w:rPr>
        <w:t>November 2, 2022</w:t>
      </w:r>
    </w:p>
    <w:p w:rsidR="00822CE0" w:rsidRPr="00C11997" w14:paraId="3C8FD673" w14:textId="77777777">
      <w:pPr>
        <w:rPr>
          <w:szCs w:val="22"/>
        </w:rPr>
      </w:pPr>
    </w:p>
    <w:p w:rsidR="004C2EE3" w:rsidRPr="00C11997" w14:paraId="3C8FD674" w14:textId="7B52B259">
      <w:pPr>
        <w:rPr>
          <w:spacing w:val="-2"/>
          <w:szCs w:val="22"/>
        </w:rPr>
      </w:pPr>
      <w:r w:rsidRPr="00C11997">
        <w:rPr>
          <w:szCs w:val="22"/>
        </w:rPr>
        <w:t xml:space="preserve">By </w:t>
      </w:r>
      <w:r w:rsidRPr="00C11997" w:rsidR="004E4A22">
        <w:rPr>
          <w:szCs w:val="22"/>
        </w:rPr>
        <w:t>the</w:t>
      </w:r>
      <w:r w:rsidRPr="00C11997" w:rsidR="002A2D2E">
        <w:rPr>
          <w:szCs w:val="22"/>
        </w:rPr>
        <w:t xml:space="preserve"> </w:t>
      </w:r>
      <w:r w:rsidRPr="00C11997" w:rsidR="00474268">
        <w:rPr>
          <w:spacing w:val="-2"/>
          <w:szCs w:val="22"/>
        </w:rPr>
        <w:t xml:space="preserve">Chief, </w:t>
      </w:r>
      <w:r w:rsidR="001D5806">
        <w:rPr>
          <w:spacing w:val="-2"/>
          <w:szCs w:val="22"/>
        </w:rPr>
        <w:t>Video</w:t>
      </w:r>
      <w:r w:rsidRPr="00C11997" w:rsidR="00474268">
        <w:rPr>
          <w:spacing w:val="-2"/>
          <w:szCs w:val="22"/>
        </w:rPr>
        <w:t xml:space="preserve"> Division, Media Bureau</w:t>
      </w:r>
      <w:r w:rsidRPr="00C11997">
        <w:rPr>
          <w:spacing w:val="-2"/>
          <w:szCs w:val="22"/>
        </w:rPr>
        <w:t>:</w:t>
      </w:r>
    </w:p>
    <w:p w:rsidR="00822CE0" w:rsidRPr="00C11997" w14:paraId="3C8FD675" w14:textId="77777777">
      <w:pPr>
        <w:rPr>
          <w:spacing w:val="-2"/>
          <w:szCs w:val="22"/>
        </w:rPr>
      </w:pPr>
    </w:p>
    <w:p w:rsidR="00474268" w:rsidRPr="00C11997" w:rsidP="00474268" w14:paraId="3C8FD676" w14:textId="77777777">
      <w:pPr>
        <w:pStyle w:val="Heading1"/>
        <w:rPr>
          <w:rFonts w:ascii="Times New Roman" w:hAnsi="Times New Roman"/>
          <w:szCs w:val="22"/>
        </w:rPr>
      </w:pPr>
      <w:r w:rsidRPr="00C11997">
        <w:rPr>
          <w:rFonts w:ascii="Times New Roman" w:hAnsi="Times New Roman"/>
          <w:szCs w:val="22"/>
        </w:rPr>
        <w:t>INTRODUCTION</w:t>
      </w:r>
    </w:p>
    <w:p w:rsidR="00E56A44" w:rsidRPr="007173FF" w:rsidP="007173FF" w14:paraId="0B23181F" w14:textId="0A57FB46">
      <w:pPr>
        <w:pStyle w:val="ParaNum"/>
        <w:numPr>
          <w:ilvl w:val="0"/>
          <w:numId w:val="9"/>
        </w:numPr>
        <w:tabs>
          <w:tab w:val="left" w:pos="1440"/>
        </w:tabs>
        <w:spacing w:after="220"/>
        <w:rPr>
          <w:szCs w:val="22"/>
        </w:rPr>
      </w:pPr>
      <w:r w:rsidRPr="00C11997">
        <w:rPr>
          <w:szCs w:val="22"/>
        </w:rPr>
        <w:t xml:space="preserve">In this </w:t>
      </w:r>
      <w:r w:rsidRPr="00C11997">
        <w:rPr>
          <w:i/>
          <w:szCs w:val="22"/>
        </w:rPr>
        <w:t>Forfeiture Order</w:t>
      </w:r>
      <w:r w:rsidRPr="00C11997">
        <w:rPr>
          <w:szCs w:val="22"/>
        </w:rPr>
        <w:t>,</w:t>
      </w:r>
      <w:r w:rsidRPr="00C11997">
        <w:rPr>
          <w:i/>
          <w:szCs w:val="22"/>
        </w:rPr>
        <w:t xml:space="preserve"> </w:t>
      </w:r>
      <w:r w:rsidRPr="00C11997">
        <w:rPr>
          <w:szCs w:val="22"/>
        </w:rPr>
        <w:t>we issue a monetary forfeiture in the amount of</w:t>
      </w:r>
      <w:r>
        <w:rPr>
          <w:szCs w:val="22"/>
        </w:rPr>
        <w:t xml:space="preserve"> </w:t>
      </w:r>
      <w:r w:rsidR="00635DDC">
        <w:rPr>
          <w:szCs w:val="22"/>
        </w:rPr>
        <w:t>three thousand four hundred</w:t>
      </w:r>
      <w:r>
        <w:rPr>
          <w:szCs w:val="22"/>
        </w:rPr>
        <w:t xml:space="preserve"> </w:t>
      </w:r>
      <w:r w:rsidRPr="00C11997">
        <w:rPr>
          <w:szCs w:val="22"/>
        </w:rPr>
        <w:t>dollars ($</w:t>
      </w:r>
      <w:r w:rsidR="00635DDC">
        <w:rPr>
          <w:szCs w:val="22"/>
        </w:rPr>
        <w:t>3,400</w:t>
      </w:r>
      <w:r w:rsidRPr="00C11997">
        <w:rPr>
          <w:szCs w:val="22"/>
        </w:rPr>
        <w:t xml:space="preserve">) to </w:t>
      </w:r>
      <w:r w:rsidR="007173FF">
        <w:rPr>
          <w:szCs w:val="22"/>
        </w:rPr>
        <w:t>Radiant Light Broadcasting</w:t>
      </w:r>
      <w:r w:rsidRPr="00C11997" w:rsidR="004D0B01">
        <w:rPr>
          <w:szCs w:val="22"/>
        </w:rPr>
        <w:t xml:space="preserve"> (Licensee)</w:t>
      </w:r>
      <w:r w:rsidRPr="00C11997">
        <w:rPr>
          <w:szCs w:val="22"/>
        </w:rPr>
        <w:t xml:space="preserve">, </w:t>
      </w:r>
      <w:r w:rsidRPr="00C11997" w:rsidR="004D0B01">
        <w:rPr>
          <w:szCs w:val="22"/>
        </w:rPr>
        <w:t xml:space="preserve">licensee of </w:t>
      </w:r>
      <w:r w:rsidR="00FC3DBA">
        <w:rPr>
          <w:szCs w:val="22"/>
        </w:rPr>
        <w:t>low power television (LPTV)</w:t>
      </w:r>
      <w:r w:rsidRPr="00C11997" w:rsidR="004D0B01">
        <w:rPr>
          <w:szCs w:val="22"/>
        </w:rPr>
        <w:t xml:space="preserve"> </w:t>
      </w:r>
      <w:r w:rsidRPr="00C11997" w:rsidR="00AC51C7">
        <w:rPr>
          <w:szCs w:val="22"/>
        </w:rPr>
        <w:t>s</w:t>
      </w:r>
      <w:r w:rsidRPr="00C11997" w:rsidR="004D0B01">
        <w:rPr>
          <w:szCs w:val="22"/>
        </w:rPr>
        <w:t>tation</w:t>
      </w:r>
      <w:r w:rsidR="007173FF">
        <w:rPr>
          <w:szCs w:val="22"/>
        </w:rPr>
        <w:t>s</w:t>
      </w:r>
      <w:r w:rsidRPr="00C11997" w:rsidR="004D0B01">
        <w:rPr>
          <w:szCs w:val="22"/>
        </w:rPr>
        <w:t xml:space="preserve">  </w:t>
      </w:r>
      <w:r w:rsidRPr="007173FF" w:rsidR="007173FF">
        <w:rPr>
          <w:szCs w:val="22"/>
        </w:rPr>
        <w:t>KRLB-LD, Richland, etc., W</w:t>
      </w:r>
      <w:r w:rsidR="007173FF">
        <w:rPr>
          <w:szCs w:val="22"/>
        </w:rPr>
        <w:t xml:space="preserve">ashington and </w:t>
      </w:r>
      <w:r w:rsidRPr="007173FF" w:rsidR="007173FF">
        <w:rPr>
          <w:szCs w:val="22"/>
        </w:rPr>
        <w:t>KWWO-LD, Walla Walla, W</w:t>
      </w:r>
      <w:r w:rsidR="007173FF">
        <w:rPr>
          <w:szCs w:val="22"/>
        </w:rPr>
        <w:t>ashington</w:t>
      </w:r>
      <w:r w:rsidRPr="007173FF" w:rsidR="007173FF">
        <w:rPr>
          <w:szCs w:val="22"/>
        </w:rPr>
        <w:t xml:space="preserve"> </w:t>
      </w:r>
      <w:r w:rsidRPr="007173FF" w:rsidR="004D0B01">
        <w:rPr>
          <w:szCs w:val="22"/>
        </w:rPr>
        <w:t>(</w:t>
      </w:r>
      <w:r w:rsidR="00285AC6">
        <w:rPr>
          <w:szCs w:val="22"/>
        </w:rPr>
        <w:t xml:space="preserve">collectively, </w:t>
      </w:r>
      <w:r w:rsidRPr="007173FF" w:rsidR="004D0B01">
        <w:rPr>
          <w:szCs w:val="22"/>
        </w:rPr>
        <w:t>Station</w:t>
      </w:r>
      <w:r w:rsidR="007173FF">
        <w:rPr>
          <w:szCs w:val="22"/>
        </w:rPr>
        <w:t>s</w:t>
      </w:r>
      <w:r w:rsidRPr="007173FF" w:rsidR="004D0B01">
        <w:rPr>
          <w:szCs w:val="22"/>
        </w:rPr>
        <w:t>)</w:t>
      </w:r>
      <w:r w:rsidRPr="007173FF" w:rsidR="007C21B5">
        <w:rPr>
          <w:szCs w:val="22"/>
        </w:rPr>
        <w:t>.</w:t>
      </w:r>
      <w:r w:rsidRPr="007173FF" w:rsidR="00FF7C91">
        <w:rPr>
          <w:szCs w:val="22"/>
        </w:rPr>
        <w:t xml:space="preserve">  </w:t>
      </w:r>
      <w:r w:rsidR="00FC3DBA">
        <w:t>We find that the Licensee willfully violated section 74.788</w:t>
      </w:r>
      <w:r>
        <w:rPr>
          <w:rStyle w:val="FootnoteReference"/>
          <w:color w:val="000000"/>
        </w:rPr>
        <w:footnoteReference w:id="3"/>
      </w:r>
      <w:r w:rsidR="00FC3DBA">
        <w:t xml:space="preserve"> of the </w:t>
      </w:r>
      <w:r>
        <w:t>Commission’s r</w:t>
      </w:r>
      <w:r w:rsidR="00FC3DBA">
        <w:t xml:space="preserve">ules </w:t>
      </w:r>
      <w:r w:rsidR="00935865">
        <w:t xml:space="preserve">(Rules) </w:t>
      </w:r>
      <w:r w:rsidR="00FC3DBA">
        <w:t>by failing to timely file license to cover application</w:t>
      </w:r>
      <w:r w:rsidR="007173FF">
        <w:t>s</w:t>
      </w:r>
      <w:r w:rsidR="00FC3DBA">
        <w:t xml:space="preserve">, and willfully and repeatedly violated section 301 of the </w:t>
      </w:r>
      <w:r w:rsidR="00935865">
        <w:t xml:space="preserve">Communications </w:t>
      </w:r>
      <w:r w:rsidR="00FC3DBA">
        <w:t>Act</w:t>
      </w:r>
      <w:r w:rsidR="00935865">
        <w:t xml:space="preserve"> of 1934, as amended (Act)</w:t>
      </w:r>
      <w:r w:rsidR="00FC3DBA">
        <w:t>,</w:t>
      </w:r>
      <w:r>
        <w:rPr>
          <w:rStyle w:val="FootnoteReference"/>
          <w:color w:val="000000"/>
        </w:rPr>
        <w:footnoteReference w:id="4"/>
      </w:r>
      <w:r w:rsidR="00FC3DBA">
        <w:t xml:space="preserve"> by engaging in unauthorized operation of the Station</w:t>
      </w:r>
      <w:r w:rsidR="007173FF">
        <w:t>s</w:t>
      </w:r>
      <w:r w:rsidR="00FC3DBA">
        <w:t xml:space="preserve"> after </w:t>
      </w:r>
      <w:r w:rsidR="007173FF">
        <w:t>their</w:t>
      </w:r>
      <w:r w:rsidR="00FC3DBA">
        <w:t xml:space="preserve"> construction permit</w:t>
      </w:r>
      <w:r w:rsidR="007173FF">
        <w:t>s</w:t>
      </w:r>
      <w:r w:rsidR="00FC3DBA">
        <w:t xml:space="preserve"> had expired.  </w:t>
      </w:r>
    </w:p>
    <w:p w:rsidR="0072020B" w:rsidRPr="0072020B" w:rsidP="0072020B" w14:paraId="7F744FBB" w14:textId="5FBAA970">
      <w:pPr>
        <w:pStyle w:val="Heading1"/>
        <w:rPr>
          <w:szCs w:val="22"/>
        </w:rPr>
      </w:pPr>
      <w:r>
        <w:t>BACKGROUND</w:t>
      </w:r>
    </w:p>
    <w:p w:rsidR="000B6193" w:rsidP="0072020B" w14:paraId="0AEE0004" w14:textId="54B23D9F">
      <w:pPr>
        <w:pStyle w:val="ParaNum"/>
        <w:numPr>
          <w:ilvl w:val="0"/>
          <w:numId w:val="9"/>
        </w:numPr>
        <w:tabs>
          <w:tab w:val="left" w:pos="1440"/>
        </w:tabs>
        <w:spacing w:after="220"/>
        <w:rPr>
          <w:szCs w:val="22"/>
        </w:rPr>
      </w:pPr>
      <w:r w:rsidRPr="0072020B">
        <w:rPr>
          <w:szCs w:val="22"/>
        </w:rPr>
        <w:t xml:space="preserve">On </w:t>
      </w:r>
      <w:r w:rsidR="007173FF">
        <w:rPr>
          <w:szCs w:val="22"/>
        </w:rPr>
        <w:t>October 4</w:t>
      </w:r>
      <w:r w:rsidRPr="0072020B">
        <w:rPr>
          <w:szCs w:val="22"/>
        </w:rPr>
        <w:t xml:space="preserve">, 2022, the Media Bureau (Bureau) issued a </w:t>
      </w:r>
      <w:r w:rsidRPr="0072020B">
        <w:rPr>
          <w:i/>
          <w:iCs/>
          <w:szCs w:val="22"/>
        </w:rPr>
        <w:t xml:space="preserve">Notice of Apparent Liability for Forfeiture </w:t>
      </w:r>
      <w:r w:rsidRPr="0072020B">
        <w:rPr>
          <w:szCs w:val="22"/>
        </w:rPr>
        <w:t>(</w:t>
      </w:r>
      <w:r w:rsidRPr="0072020B">
        <w:rPr>
          <w:i/>
          <w:iCs/>
          <w:szCs w:val="22"/>
        </w:rPr>
        <w:t>NAL</w:t>
      </w:r>
      <w:r w:rsidRPr="0072020B">
        <w:rPr>
          <w:szCs w:val="22"/>
        </w:rPr>
        <w:t xml:space="preserve">) in the amount </w:t>
      </w:r>
      <w:r w:rsidRPr="0072020B">
        <w:rPr>
          <w:spacing w:val="-2"/>
          <w:szCs w:val="22"/>
        </w:rPr>
        <w:t>of</w:t>
      </w:r>
      <w:r w:rsidR="007173FF">
        <w:rPr>
          <w:szCs w:val="22"/>
        </w:rPr>
        <w:t xml:space="preserve"> thirteen</w:t>
      </w:r>
      <w:r w:rsidRPr="0072020B">
        <w:rPr>
          <w:szCs w:val="22"/>
        </w:rPr>
        <w:t xml:space="preserve"> </w:t>
      </w:r>
      <w:r w:rsidRPr="0072020B" w:rsidR="00E829EB">
        <w:rPr>
          <w:szCs w:val="22"/>
        </w:rPr>
        <w:t xml:space="preserve">hundred </w:t>
      </w:r>
      <w:r w:rsidRPr="0072020B">
        <w:rPr>
          <w:szCs w:val="22"/>
        </w:rPr>
        <w:t>dollars ($</w:t>
      </w:r>
      <w:r w:rsidR="007173FF">
        <w:rPr>
          <w:szCs w:val="22"/>
        </w:rPr>
        <w:t>13,0</w:t>
      </w:r>
      <w:r w:rsidRPr="0072020B">
        <w:rPr>
          <w:szCs w:val="22"/>
        </w:rPr>
        <w:t>00) to Licensee for these violations.</w:t>
      </w:r>
      <w:r>
        <w:rPr>
          <w:rStyle w:val="FootnoteReference"/>
          <w:sz w:val="22"/>
          <w:szCs w:val="22"/>
        </w:rPr>
        <w:footnoteReference w:id="5"/>
      </w:r>
      <w:r w:rsidRPr="0072020B">
        <w:rPr>
          <w:szCs w:val="22"/>
        </w:rPr>
        <w:t xml:space="preserve">  </w:t>
      </w:r>
      <w:r w:rsidRPr="0072020B">
        <w:rPr>
          <w:spacing w:val="-2"/>
          <w:szCs w:val="22"/>
        </w:rPr>
        <w:t>The</w:t>
      </w:r>
      <w:r w:rsidRPr="0072020B">
        <w:rPr>
          <w:szCs w:val="22"/>
        </w:rPr>
        <w:t xml:space="preserve"> </w:t>
      </w:r>
      <w:r w:rsidRPr="0072020B">
        <w:rPr>
          <w:i/>
          <w:szCs w:val="22"/>
        </w:rPr>
        <w:t>NAL</w:t>
      </w:r>
      <w:r w:rsidRPr="0072020B">
        <w:rPr>
          <w:szCs w:val="22"/>
        </w:rPr>
        <w:t xml:space="preserve"> gave the Licensee thirty days to pay the full amount of the proposed forfeiture or file a written statement seeking reduction or cancellation of the proposed forfeiture.</w:t>
      </w:r>
      <w:r>
        <w:rPr>
          <w:rStyle w:val="FootnoteReference"/>
          <w:sz w:val="22"/>
          <w:szCs w:val="22"/>
        </w:rPr>
        <w:footnoteReference w:id="6"/>
      </w:r>
    </w:p>
    <w:p w:rsidR="00822A61" w:rsidRPr="007173FF" w:rsidP="00B06453" w14:paraId="6CF25558" w14:textId="2F2B810A">
      <w:pPr>
        <w:pStyle w:val="ParaNum"/>
        <w:widowControl/>
        <w:numPr>
          <w:ilvl w:val="0"/>
          <w:numId w:val="9"/>
        </w:numPr>
        <w:tabs>
          <w:tab w:val="left" w:pos="1440"/>
        </w:tabs>
        <w:spacing w:after="220"/>
        <w:rPr>
          <w:szCs w:val="22"/>
        </w:rPr>
      </w:pPr>
      <w:r>
        <w:t xml:space="preserve">In the </w:t>
      </w:r>
      <w:r w:rsidRPr="0072020B">
        <w:rPr>
          <w:i/>
          <w:iCs/>
        </w:rPr>
        <w:t>NAL</w:t>
      </w:r>
      <w:r>
        <w:t>, we found that t</w:t>
      </w:r>
      <w:r w:rsidRPr="000B6193">
        <w:t>he</w:t>
      </w:r>
      <w:r>
        <w:t xml:space="preserve"> Licensee had failed to timely file license</w:t>
      </w:r>
      <w:r w:rsidR="007173FF">
        <w:t>s</w:t>
      </w:r>
      <w:r>
        <w:t xml:space="preserve"> to cover as required by section 74.788 of the Rules,</w:t>
      </w:r>
      <w:r>
        <w:rPr>
          <w:rStyle w:val="FootnoteReference"/>
        </w:rPr>
        <w:footnoteReference w:id="7"/>
      </w:r>
      <w:r>
        <w:t xml:space="preserve"> and continued Station</w:t>
      </w:r>
      <w:r w:rsidR="007173FF">
        <w:t>s</w:t>
      </w:r>
      <w:r>
        <w:t xml:space="preserve"> operations with the permitted facilities after the Station</w:t>
      </w:r>
      <w:r w:rsidR="007173FF">
        <w:t>s’</w:t>
      </w:r>
      <w:r>
        <w:t xml:space="preserve"> construction permit</w:t>
      </w:r>
      <w:r w:rsidR="007173FF">
        <w:t>s</w:t>
      </w:r>
      <w:r>
        <w:t xml:space="preserve"> expired</w:t>
      </w:r>
      <w:r w:rsidR="007173FF">
        <w:t xml:space="preserve"> </w:t>
      </w:r>
      <w:r>
        <w:t>and did not seek special temporary authority to operate with those facilities after the expiration of the construction permit.  Further</w:t>
      </w:r>
      <w:r w:rsidRPr="00EF5DBB">
        <w:t xml:space="preserve">, </w:t>
      </w:r>
      <w:r>
        <w:t xml:space="preserve">as a result of its late filing, we </w:t>
      </w:r>
      <w:r>
        <w:t>found that Licensee also</w:t>
      </w:r>
      <w:r w:rsidRPr="00EF5DBB">
        <w:t xml:space="preserve"> </w:t>
      </w:r>
      <w:r w:rsidR="00A5143F">
        <w:t xml:space="preserve">apparently </w:t>
      </w:r>
      <w:r w:rsidRPr="00EF5DBB">
        <w:t xml:space="preserve">engaged in unauthorized operation </w:t>
      </w:r>
      <w:r>
        <w:t>in violation of section 301 of the Act.</w:t>
      </w:r>
      <w:r>
        <w:rPr>
          <w:rStyle w:val="FootnoteReference"/>
        </w:rPr>
        <w:footnoteReference w:id="8"/>
      </w:r>
      <w:r>
        <w:t xml:space="preserve">  </w:t>
      </w:r>
      <w:r w:rsidRPr="007173FF" w:rsidR="002E733C">
        <w:rPr>
          <w:szCs w:val="22"/>
          <w:shd w:val="clear" w:color="auto" w:fill="FFFFFF"/>
        </w:rPr>
        <w:t xml:space="preserve">Accordingly, we issued the </w:t>
      </w:r>
      <w:r w:rsidRPr="007173FF" w:rsidR="002E733C">
        <w:rPr>
          <w:i/>
          <w:iCs/>
          <w:szCs w:val="22"/>
          <w:shd w:val="clear" w:color="auto" w:fill="FFFFFF"/>
        </w:rPr>
        <w:t>NAL</w:t>
      </w:r>
      <w:r w:rsidRPr="007173FF" w:rsidR="002E733C">
        <w:rPr>
          <w:szCs w:val="22"/>
          <w:shd w:val="clear" w:color="auto" w:fill="FFFFFF"/>
        </w:rPr>
        <w:t>.</w:t>
      </w:r>
    </w:p>
    <w:p w:rsidR="00A35A37" w:rsidP="0072020B" w14:paraId="3C8FD67B" w14:textId="6353FB9B">
      <w:pPr>
        <w:pStyle w:val="ParaNum"/>
        <w:numPr>
          <w:ilvl w:val="0"/>
          <w:numId w:val="9"/>
        </w:numPr>
        <w:tabs>
          <w:tab w:val="left" w:pos="1440"/>
        </w:tabs>
        <w:spacing w:after="220"/>
        <w:rPr>
          <w:szCs w:val="22"/>
        </w:rPr>
      </w:pPr>
      <w:r w:rsidRPr="0072020B">
        <w:rPr>
          <w:szCs w:val="22"/>
        </w:rPr>
        <w:t xml:space="preserve">On </w:t>
      </w:r>
      <w:r w:rsidR="005E1C7E">
        <w:rPr>
          <w:szCs w:val="22"/>
        </w:rPr>
        <w:t>October 26</w:t>
      </w:r>
      <w:r w:rsidRPr="0072020B">
        <w:rPr>
          <w:szCs w:val="22"/>
        </w:rPr>
        <w:t xml:space="preserve">, </w:t>
      </w:r>
      <w:r w:rsidRPr="0072020B">
        <w:rPr>
          <w:spacing w:val="-2"/>
          <w:szCs w:val="22"/>
        </w:rPr>
        <w:t>202</w:t>
      </w:r>
      <w:r w:rsidRPr="0072020B" w:rsidR="00196E45">
        <w:rPr>
          <w:spacing w:val="-2"/>
          <w:szCs w:val="22"/>
        </w:rPr>
        <w:t>2</w:t>
      </w:r>
      <w:r w:rsidRPr="0072020B">
        <w:rPr>
          <w:szCs w:val="22"/>
        </w:rPr>
        <w:t xml:space="preserve">, the Licensee submitted a written response in which it did not dispute that it had violated </w:t>
      </w:r>
      <w:r w:rsidRPr="0072020B" w:rsidR="001D4BEC">
        <w:rPr>
          <w:szCs w:val="22"/>
        </w:rPr>
        <w:t>the rules</w:t>
      </w:r>
      <w:r w:rsidRPr="0072020B">
        <w:rPr>
          <w:szCs w:val="22"/>
        </w:rPr>
        <w:t xml:space="preserve"> but requested that we</w:t>
      </w:r>
      <w:r w:rsidRPr="0072020B" w:rsidR="001D4BEC">
        <w:rPr>
          <w:szCs w:val="22"/>
        </w:rPr>
        <w:t xml:space="preserve"> reduce or</w:t>
      </w:r>
      <w:r w:rsidRPr="0072020B">
        <w:rPr>
          <w:szCs w:val="22"/>
        </w:rPr>
        <w:t xml:space="preserve"> cancel the proposed forfeiture based on the Licensee’s </w:t>
      </w:r>
      <w:r w:rsidRPr="0072020B" w:rsidR="00D7256D">
        <w:rPr>
          <w:szCs w:val="22"/>
        </w:rPr>
        <w:t xml:space="preserve">claimed </w:t>
      </w:r>
      <w:r w:rsidRPr="0072020B">
        <w:rPr>
          <w:szCs w:val="22"/>
        </w:rPr>
        <w:t>inability to pay it.</w:t>
      </w:r>
      <w:r>
        <w:rPr>
          <w:szCs w:val="22"/>
          <w:vertAlign w:val="superscript"/>
        </w:rPr>
        <w:footnoteReference w:id="9"/>
      </w:r>
      <w:r w:rsidRPr="0072020B">
        <w:rPr>
          <w:szCs w:val="22"/>
        </w:rPr>
        <w:t xml:space="preserve">  </w:t>
      </w:r>
      <w:r w:rsidRPr="0072020B" w:rsidR="00474268">
        <w:rPr>
          <w:szCs w:val="22"/>
        </w:rPr>
        <w:t>The Response included copies of Licensee’s federal tax returns for 20</w:t>
      </w:r>
      <w:r w:rsidRPr="0072020B" w:rsidR="00E07574">
        <w:rPr>
          <w:szCs w:val="22"/>
        </w:rPr>
        <w:t>19, 2020 and 2021</w:t>
      </w:r>
      <w:r w:rsidRPr="0072020B" w:rsidR="00474268">
        <w:rPr>
          <w:szCs w:val="22"/>
        </w:rPr>
        <w:t xml:space="preserve"> in support of this request.</w:t>
      </w:r>
      <w:r>
        <w:rPr>
          <w:rStyle w:val="FootnoteReference"/>
          <w:szCs w:val="22"/>
        </w:rPr>
        <w:footnoteReference w:id="10"/>
      </w:r>
    </w:p>
    <w:p w:rsidR="0072020B" w:rsidRPr="0072020B" w:rsidP="0072020B" w14:paraId="0503D6FD" w14:textId="06FCB3C2">
      <w:pPr>
        <w:pStyle w:val="Heading1"/>
      </w:pPr>
      <w:r>
        <w:t>DISCUSSION</w:t>
      </w:r>
    </w:p>
    <w:p w:rsidR="0072020B" w:rsidP="0072020B" w14:paraId="6B7DABA8" w14:textId="18EA77AE">
      <w:pPr>
        <w:pStyle w:val="ParaNum"/>
        <w:numPr>
          <w:ilvl w:val="0"/>
          <w:numId w:val="9"/>
        </w:numPr>
        <w:tabs>
          <w:tab w:val="left" w:pos="1440"/>
        </w:tabs>
        <w:spacing w:after="220"/>
        <w:rPr>
          <w:szCs w:val="22"/>
        </w:rPr>
      </w:pPr>
      <w:r w:rsidRPr="0072020B">
        <w:rPr>
          <w:szCs w:val="22"/>
        </w:rPr>
        <w:t xml:space="preserve">The forfeiture amount proposed in this case was assessed in accordance with </w:t>
      </w:r>
      <w:r w:rsidRPr="0072020B" w:rsidR="0089279E">
        <w:rPr>
          <w:szCs w:val="22"/>
        </w:rPr>
        <w:t>s</w:t>
      </w:r>
      <w:r w:rsidRPr="0072020B">
        <w:rPr>
          <w:szCs w:val="22"/>
        </w:rPr>
        <w:t xml:space="preserve">ection 503(b) of the </w:t>
      </w:r>
      <w:r w:rsidRPr="0072020B" w:rsidR="007D14F1">
        <w:rPr>
          <w:szCs w:val="22"/>
        </w:rPr>
        <w:t>Act</w:t>
      </w:r>
      <w:r w:rsidRPr="0072020B">
        <w:rPr>
          <w:szCs w:val="22"/>
        </w:rPr>
        <w:t>,</w:t>
      </w:r>
      <w:r>
        <w:rPr>
          <w:rStyle w:val="FootnoteReference"/>
          <w:sz w:val="22"/>
          <w:szCs w:val="22"/>
        </w:rPr>
        <w:footnoteReference w:id="11"/>
      </w:r>
      <w:r w:rsidRPr="0072020B">
        <w:rPr>
          <w:szCs w:val="22"/>
        </w:rPr>
        <w:t xml:space="preserve"> </w:t>
      </w:r>
      <w:r w:rsidRPr="0072020B" w:rsidR="00BF1525">
        <w:rPr>
          <w:szCs w:val="22"/>
        </w:rPr>
        <w:t>s</w:t>
      </w:r>
      <w:r w:rsidRPr="0072020B">
        <w:rPr>
          <w:szCs w:val="22"/>
        </w:rPr>
        <w:t xml:space="preserve">ection 1.80 of the </w:t>
      </w:r>
      <w:r w:rsidRPr="0072020B" w:rsidR="0089279E">
        <w:rPr>
          <w:szCs w:val="22"/>
        </w:rPr>
        <w:t>r</w:t>
      </w:r>
      <w:r w:rsidRPr="0072020B">
        <w:rPr>
          <w:szCs w:val="22"/>
        </w:rPr>
        <w:t>ules,</w:t>
      </w:r>
      <w:r>
        <w:rPr>
          <w:rStyle w:val="FootnoteReference"/>
          <w:sz w:val="22"/>
          <w:szCs w:val="22"/>
        </w:rPr>
        <w:footnoteReference w:id="12"/>
      </w:r>
      <w:r w:rsidRPr="0072020B">
        <w:rPr>
          <w:szCs w:val="22"/>
        </w:rPr>
        <w:t xml:space="preserve"> and the Commission’s </w:t>
      </w:r>
      <w:r w:rsidRPr="0072020B">
        <w:rPr>
          <w:i/>
          <w:szCs w:val="22"/>
        </w:rPr>
        <w:t>Forfeiture Policy Statement</w:t>
      </w:r>
      <w:r w:rsidRPr="0072020B">
        <w:rPr>
          <w:szCs w:val="22"/>
        </w:rPr>
        <w:t>.</w:t>
      </w:r>
      <w:r>
        <w:rPr>
          <w:rStyle w:val="FootnoteReference"/>
          <w:sz w:val="22"/>
          <w:szCs w:val="22"/>
        </w:rPr>
        <w:footnoteReference w:id="13"/>
      </w:r>
      <w:r w:rsidRPr="0072020B">
        <w:rPr>
          <w:szCs w:val="22"/>
        </w:rPr>
        <w:t xml:space="preserve">  In assessing forfeitures, </w:t>
      </w:r>
      <w:r w:rsidRPr="0072020B" w:rsidR="00A87645">
        <w:rPr>
          <w:szCs w:val="22"/>
        </w:rPr>
        <w:t>s</w:t>
      </w:r>
      <w:r w:rsidRPr="0072020B">
        <w:rPr>
          <w:szCs w:val="22"/>
        </w:rPr>
        <w:t>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4"/>
      </w:r>
    </w:p>
    <w:p w:rsidR="0072020B" w:rsidP="0072020B" w14:paraId="43B85407" w14:textId="77777777">
      <w:pPr>
        <w:pStyle w:val="ParaNum"/>
        <w:numPr>
          <w:ilvl w:val="0"/>
          <w:numId w:val="9"/>
        </w:numPr>
        <w:tabs>
          <w:tab w:val="left" w:pos="1440"/>
        </w:tabs>
        <w:spacing w:after="220"/>
        <w:rPr>
          <w:szCs w:val="22"/>
        </w:rPr>
      </w:pPr>
      <w:r w:rsidRPr="0072020B">
        <w:rPr>
          <w:szCs w:val="22"/>
        </w:rPr>
        <w:t xml:space="preserve">As noted in the </w:t>
      </w:r>
      <w:r w:rsidRPr="0072020B">
        <w:rPr>
          <w:i/>
          <w:iCs/>
          <w:szCs w:val="22"/>
        </w:rPr>
        <w:t>NAL</w:t>
      </w:r>
      <w:r w:rsidRPr="0072020B">
        <w:rPr>
          <w:szCs w:val="22"/>
        </w:rPr>
        <w:t xml:space="preserve">, the Commission will not consider reducing or canceling a forfeiture in response to claimed inability to pay unless the respondent submits: </w:t>
      </w:r>
      <w:r w:rsidRPr="0072020B" w:rsidR="00872C28">
        <w:rPr>
          <w:szCs w:val="22"/>
        </w:rPr>
        <w:t xml:space="preserve"> </w:t>
      </w:r>
      <w:r w:rsidRPr="0072020B">
        <w:rPr>
          <w:szCs w:val="22"/>
        </w:rPr>
        <w:t>(1) federal tax returns for the most recent three-year period; (2) financial statements prepared according to generally accepted accounting practices; or (3) some other reliable and objective documentation that accurately reflects the respondent's current financial status.</w:t>
      </w:r>
      <w:r>
        <w:rPr>
          <w:szCs w:val="22"/>
          <w:vertAlign w:val="superscript"/>
        </w:rPr>
        <w:footnoteReference w:id="15"/>
      </w:r>
      <w:r w:rsidRPr="0072020B">
        <w:rPr>
          <w:szCs w:val="22"/>
        </w:rPr>
        <w:t xml:space="preserve">  </w:t>
      </w:r>
      <w:r w:rsidRPr="0072020B" w:rsidR="004303B8">
        <w:rPr>
          <w:szCs w:val="22"/>
        </w:rPr>
        <w:t>Any claim of inability to pay must specifically identify the basis for the claim by reference to the financial documentation submitted.</w:t>
      </w:r>
      <w:r>
        <w:rPr>
          <w:rStyle w:val="FootnoteReference"/>
          <w:sz w:val="22"/>
          <w:szCs w:val="22"/>
        </w:rPr>
        <w:footnoteReference w:id="16"/>
      </w:r>
      <w:r w:rsidRPr="0072020B" w:rsidR="004303B8">
        <w:rPr>
          <w:szCs w:val="22"/>
        </w:rPr>
        <w:t xml:space="preserve">  In general, a licensee’s gross revenues are the best indicator of its ability to pay a forfeiture.  We recognize that, in some cases, other financial indicators, such as net losses, may also be relevant.</w:t>
      </w:r>
      <w:r>
        <w:rPr>
          <w:rStyle w:val="FootnoteReference"/>
          <w:sz w:val="22"/>
          <w:szCs w:val="22"/>
        </w:rPr>
        <w:footnoteReference w:id="17"/>
      </w:r>
      <w:r w:rsidRPr="0072020B" w:rsidR="004303B8">
        <w:rPr>
          <w:szCs w:val="22"/>
        </w:rPr>
        <w:t xml:space="preserve">  If gross revenues are sufficiently great, however, the mere fact that a business is operating at a loss does not by itself mean that it cannot afford to pay.</w:t>
      </w:r>
      <w:r>
        <w:rPr>
          <w:rStyle w:val="FootnoteReference"/>
          <w:sz w:val="22"/>
          <w:szCs w:val="22"/>
        </w:rPr>
        <w:footnoteReference w:id="18"/>
      </w:r>
    </w:p>
    <w:p w:rsidR="0072020B" w:rsidP="00B06453" w14:paraId="64A42F41" w14:textId="4BA66813">
      <w:pPr>
        <w:pStyle w:val="ParaNum"/>
        <w:widowControl/>
        <w:numPr>
          <w:ilvl w:val="0"/>
          <w:numId w:val="9"/>
        </w:numPr>
        <w:tabs>
          <w:tab w:val="left" w:pos="1440"/>
        </w:tabs>
        <w:spacing w:after="220"/>
        <w:rPr>
          <w:szCs w:val="22"/>
        </w:rPr>
      </w:pPr>
      <w:r w:rsidRPr="0072020B">
        <w:rPr>
          <w:szCs w:val="22"/>
        </w:rPr>
        <w:t xml:space="preserve">Here, the Licensee has provided </w:t>
      </w:r>
      <w:r w:rsidRPr="0072020B" w:rsidR="00611C6A">
        <w:rPr>
          <w:szCs w:val="22"/>
        </w:rPr>
        <w:t xml:space="preserve">us with federal tax return schedules for </w:t>
      </w:r>
      <w:r w:rsidRPr="0072020B" w:rsidR="006F5704">
        <w:rPr>
          <w:szCs w:val="22"/>
        </w:rPr>
        <w:t>the years 201</w:t>
      </w:r>
      <w:r w:rsidRPr="0072020B" w:rsidR="00E07574">
        <w:rPr>
          <w:szCs w:val="22"/>
        </w:rPr>
        <w:t>9</w:t>
      </w:r>
      <w:r w:rsidRPr="0072020B" w:rsidR="006F5704">
        <w:rPr>
          <w:szCs w:val="22"/>
        </w:rPr>
        <w:t>, 20</w:t>
      </w:r>
      <w:r w:rsidRPr="0072020B" w:rsidR="00E07574">
        <w:rPr>
          <w:szCs w:val="22"/>
        </w:rPr>
        <w:t>20</w:t>
      </w:r>
      <w:r w:rsidRPr="0072020B" w:rsidR="006F5704">
        <w:rPr>
          <w:szCs w:val="22"/>
        </w:rPr>
        <w:t>, and 202</w:t>
      </w:r>
      <w:r w:rsidRPr="0072020B" w:rsidR="00E07574">
        <w:rPr>
          <w:szCs w:val="22"/>
        </w:rPr>
        <w:t>1</w:t>
      </w:r>
      <w:r w:rsidRPr="0072020B" w:rsidR="006F5704">
        <w:rPr>
          <w:szCs w:val="22"/>
        </w:rPr>
        <w:t>.</w:t>
      </w:r>
      <w:r>
        <w:rPr>
          <w:rStyle w:val="FootnoteReference"/>
          <w:sz w:val="22"/>
          <w:szCs w:val="22"/>
        </w:rPr>
        <w:footnoteReference w:id="19"/>
      </w:r>
      <w:r w:rsidRPr="0072020B" w:rsidR="00975D6A">
        <w:rPr>
          <w:szCs w:val="22"/>
        </w:rPr>
        <w:t xml:space="preserve">  </w:t>
      </w:r>
      <w:r w:rsidR="009724F1">
        <w:rPr>
          <w:szCs w:val="22"/>
        </w:rPr>
        <w:t>I</w:t>
      </w:r>
      <w:r w:rsidRPr="0072020B">
        <w:rPr>
          <w:szCs w:val="22"/>
        </w:rPr>
        <w:t>n considering claims of financial hardship,</w:t>
      </w:r>
      <w:r w:rsidRPr="0072020B" w:rsidR="00462660">
        <w:rPr>
          <w:szCs w:val="22"/>
        </w:rPr>
        <w:t xml:space="preserve"> the range of forfeitures that the Commission has deemed reasonable </w:t>
      </w:r>
      <w:r w:rsidRPr="0072020B" w:rsidR="00FD3076">
        <w:rPr>
          <w:szCs w:val="22"/>
        </w:rPr>
        <w:t>generally average about five percent of the violator’s gross annual income and have not exceeded eight percent thereof</w:t>
      </w:r>
      <w:r w:rsidRPr="0072020B" w:rsidR="00E442F4">
        <w:rPr>
          <w:szCs w:val="22"/>
        </w:rPr>
        <w:t>,</w:t>
      </w:r>
      <w:r>
        <w:rPr>
          <w:rStyle w:val="FootnoteReference"/>
          <w:sz w:val="22"/>
          <w:szCs w:val="22"/>
        </w:rPr>
        <w:footnoteReference w:id="20"/>
      </w:r>
      <w:r w:rsidRPr="0072020B">
        <w:rPr>
          <w:szCs w:val="22"/>
        </w:rPr>
        <w:t xml:space="preserve"> although a forfeiture equal to </w:t>
      </w:r>
      <w:r w:rsidRPr="0072020B" w:rsidR="00A41574">
        <w:rPr>
          <w:szCs w:val="22"/>
        </w:rPr>
        <w:t>five</w:t>
      </w:r>
      <w:r w:rsidRPr="0072020B">
        <w:rPr>
          <w:szCs w:val="22"/>
        </w:rPr>
        <w:t xml:space="preserve"> percent of gross revenues has been found to be excessive where a licensee operated at a significant loss.</w:t>
      </w:r>
      <w:r>
        <w:rPr>
          <w:rStyle w:val="FootnoteReference"/>
          <w:sz w:val="22"/>
          <w:szCs w:val="22"/>
        </w:rPr>
        <w:footnoteReference w:id="21"/>
      </w:r>
      <w:r w:rsidRPr="0072020B">
        <w:rPr>
          <w:szCs w:val="22"/>
        </w:rPr>
        <w:t xml:space="preserve">  </w:t>
      </w:r>
      <w:r w:rsidR="00DF7F44">
        <w:rPr>
          <w:szCs w:val="22"/>
        </w:rPr>
        <w:t xml:space="preserve">While in this case the proposed forfeiture amount in the </w:t>
      </w:r>
      <w:r w:rsidRPr="00DF7F44" w:rsidR="00DF7F44">
        <w:rPr>
          <w:i/>
          <w:iCs/>
          <w:szCs w:val="22"/>
        </w:rPr>
        <w:t>NAL</w:t>
      </w:r>
      <w:r w:rsidR="00DF7F44">
        <w:rPr>
          <w:szCs w:val="22"/>
        </w:rPr>
        <w:t xml:space="preserve"> exceeds eight percent of Licensee’s gross revenue, as averaged over the last three years, the Licensee has not </w:t>
      </w:r>
      <w:r w:rsidR="00A02420">
        <w:rPr>
          <w:szCs w:val="22"/>
        </w:rPr>
        <w:t xml:space="preserve">operated </w:t>
      </w:r>
      <w:r w:rsidR="00DF7F44">
        <w:rPr>
          <w:szCs w:val="22"/>
        </w:rPr>
        <w:t>at a significant loss.   As such, b</w:t>
      </w:r>
      <w:r w:rsidR="00794906">
        <w:rPr>
          <w:szCs w:val="22"/>
        </w:rPr>
        <w:t>ased on the facts before us</w:t>
      </w:r>
      <w:r w:rsidRPr="0072020B" w:rsidR="00E93516">
        <w:rPr>
          <w:szCs w:val="22"/>
        </w:rPr>
        <w:t xml:space="preserve">, </w:t>
      </w:r>
      <w:r w:rsidRPr="0072020B">
        <w:rPr>
          <w:szCs w:val="22"/>
        </w:rPr>
        <w:t>we are unwilling to cancel the forfeiture altogether</w:t>
      </w:r>
      <w:r w:rsidRPr="0072020B" w:rsidR="00E93516">
        <w:rPr>
          <w:szCs w:val="22"/>
        </w:rPr>
        <w:t>.  Instead</w:t>
      </w:r>
      <w:r w:rsidR="009724F1">
        <w:rPr>
          <w:szCs w:val="22"/>
        </w:rPr>
        <w:t>,</w:t>
      </w:r>
      <w:r w:rsidRPr="0072020B" w:rsidR="00E93516">
        <w:rPr>
          <w:szCs w:val="22"/>
        </w:rPr>
        <w:t xml:space="preserve"> we </w:t>
      </w:r>
      <w:r w:rsidR="009724F1">
        <w:rPr>
          <w:szCs w:val="22"/>
        </w:rPr>
        <w:t xml:space="preserve">conclude that </w:t>
      </w:r>
      <w:r w:rsidR="00DF7F44">
        <w:rPr>
          <w:szCs w:val="22"/>
        </w:rPr>
        <w:t>based on</w:t>
      </w:r>
      <w:r w:rsidRPr="0072020B" w:rsidR="00DF7F44">
        <w:rPr>
          <w:szCs w:val="22"/>
        </w:rPr>
        <w:t xml:space="preserve"> </w:t>
      </w:r>
      <w:r w:rsidR="00DF7F44">
        <w:rPr>
          <w:szCs w:val="22"/>
        </w:rPr>
        <w:t xml:space="preserve">the financial information provided to the Commission by the </w:t>
      </w:r>
      <w:r w:rsidRPr="0072020B" w:rsidR="00800212">
        <w:rPr>
          <w:szCs w:val="22"/>
        </w:rPr>
        <w:t>Licensee</w:t>
      </w:r>
      <w:r w:rsidR="00DF7F44">
        <w:rPr>
          <w:szCs w:val="22"/>
        </w:rPr>
        <w:t xml:space="preserve">, </w:t>
      </w:r>
      <w:r w:rsidRPr="0072020B">
        <w:rPr>
          <w:szCs w:val="22"/>
        </w:rPr>
        <w:t xml:space="preserve">a reduction in the total forfeiture amount to </w:t>
      </w:r>
      <w:r w:rsidRPr="005E6C01" w:rsidR="005E6C01">
        <w:rPr>
          <w:szCs w:val="22"/>
        </w:rPr>
        <w:t xml:space="preserve">three thousand four hundred dollars </w:t>
      </w:r>
      <w:r w:rsidR="005E6C01">
        <w:rPr>
          <w:szCs w:val="22"/>
        </w:rPr>
        <w:t>(</w:t>
      </w:r>
      <w:r w:rsidRPr="0072020B">
        <w:rPr>
          <w:szCs w:val="22"/>
        </w:rPr>
        <w:t>$</w:t>
      </w:r>
      <w:r w:rsidR="00635DDC">
        <w:rPr>
          <w:szCs w:val="22"/>
        </w:rPr>
        <w:t>3,400</w:t>
      </w:r>
      <w:r w:rsidR="005E6C01">
        <w:rPr>
          <w:szCs w:val="22"/>
        </w:rPr>
        <w:t>)</w:t>
      </w:r>
      <w:r w:rsidRPr="0072020B">
        <w:rPr>
          <w:szCs w:val="22"/>
        </w:rPr>
        <w:t xml:space="preserve"> is appropriate for the violations involved in this case</w:t>
      </w:r>
      <w:r w:rsidR="00DF7F44">
        <w:rPr>
          <w:szCs w:val="22"/>
        </w:rPr>
        <w:t xml:space="preserve"> and is reasonable based on the Licensee’s finances</w:t>
      </w:r>
      <w:r w:rsidRPr="0072020B">
        <w:rPr>
          <w:szCs w:val="22"/>
        </w:rPr>
        <w:t>.</w:t>
      </w:r>
      <w:r>
        <w:rPr>
          <w:rStyle w:val="FootnoteReference"/>
          <w:sz w:val="22"/>
          <w:szCs w:val="22"/>
        </w:rPr>
        <w:footnoteReference w:id="22"/>
      </w:r>
    </w:p>
    <w:p w:rsidR="0072020B" w:rsidP="0072020B" w14:paraId="3E73824B" w14:textId="1FDA989E">
      <w:pPr>
        <w:pStyle w:val="ParaNum"/>
        <w:numPr>
          <w:ilvl w:val="0"/>
          <w:numId w:val="9"/>
        </w:numPr>
        <w:tabs>
          <w:tab w:val="left" w:pos="1440"/>
        </w:tabs>
        <w:spacing w:after="220"/>
        <w:rPr>
          <w:szCs w:val="22"/>
        </w:rPr>
      </w:pPr>
      <w:r w:rsidRPr="0072020B">
        <w:rPr>
          <w:szCs w:val="22"/>
        </w:rPr>
        <w:t xml:space="preserve">We have considered Licensee’s Response and the record of this case in light of the above statutory factors, our rules, and the </w:t>
      </w:r>
      <w:r w:rsidRPr="0072020B">
        <w:rPr>
          <w:i/>
          <w:iCs/>
          <w:szCs w:val="22"/>
        </w:rPr>
        <w:t>Forfeiture Policy Statement</w:t>
      </w:r>
      <w:r w:rsidRPr="0072020B">
        <w:rPr>
          <w:szCs w:val="22"/>
        </w:rPr>
        <w:t>.  We conclude that Lic</w:t>
      </w:r>
      <w:r w:rsidRPr="0072020B" w:rsidR="005626C9">
        <w:rPr>
          <w:szCs w:val="22"/>
        </w:rPr>
        <w:t>e</w:t>
      </w:r>
      <w:r w:rsidRPr="0072020B">
        <w:rPr>
          <w:szCs w:val="22"/>
        </w:rPr>
        <w:t>nsee willfully</w:t>
      </w:r>
      <w:r>
        <w:rPr>
          <w:rStyle w:val="FootnoteReference"/>
          <w:sz w:val="22"/>
          <w:szCs w:val="22"/>
        </w:rPr>
        <w:footnoteReference w:id="23"/>
      </w:r>
      <w:r w:rsidRPr="0072020B">
        <w:rPr>
          <w:szCs w:val="22"/>
        </w:rPr>
        <w:t xml:space="preserve"> violated</w:t>
      </w:r>
      <w:r w:rsidRPr="0072020B" w:rsidR="005626C9">
        <w:rPr>
          <w:szCs w:val="22"/>
        </w:rPr>
        <w:t xml:space="preserve"> section 74.</w:t>
      </w:r>
      <w:r w:rsidRPr="0072020B" w:rsidR="00C76FA1">
        <w:rPr>
          <w:szCs w:val="22"/>
        </w:rPr>
        <w:t>788</w:t>
      </w:r>
      <w:r w:rsidRPr="0072020B" w:rsidR="005626C9">
        <w:rPr>
          <w:szCs w:val="22"/>
        </w:rPr>
        <w:t xml:space="preserve"> of the Commission’s rules</w:t>
      </w:r>
      <w:r w:rsidRPr="0072020B" w:rsidR="00C76FA1">
        <w:rPr>
          <w:szCs w:val="22"/>
        </w:rPr>
        <w:t xml:space="preserve"> and </w:t>
      </w:r>
      <w:r w:rsidR="00285AC6">
        <w:rPr>
          <w:szCs w:val="22"/>
        </w:rPr>
        <w:t>willfully and</w:t>
      </w:r>
      <w:r w:rsidRPr="00285AC6" w:rsidR="00285AC6">
        <w:rPr>
          <w:szCs w:val="22"/>
        </w:rPr>
        <w:t xml:space="preserve"> </w:t>
      </w:r>
      <w:r w:rsidRPr="0072020B" w:rsidR="00285AC6">
        <w:rPr>
          <w:szCs w:val="22"/>
        </w:rPr>
        <w:t>repeatedly</w:t>
      </w:r>
      <w:r>
        <w:rPr>
          <w:rStyle w:val="FootnoteReference"/>
          <w:sz w:val="22"/>
          <w:szCs w:val="22"/>
        </w:rPr>
        <w:footnoteReference w:id="24"/>
      </w:r>
      <w:r w:rsidRPr="0072020B" w:rsidR="00285AC6">
        <w:rPr>
          <w:szCs w:val="22"/>
        </w:rPr>
        <w:t xml:space="preserve"> </w:t>
      </w:r>
      <w:r w:rsidR="00285AC6">
        <w:rPr>
          <w:szCs w:val="22"/>
        </w:rPr>
        <w:t>violated</w:t>
      </w:r>
      <w:r w:rsidRPr="00285AC6" w:rsidR="00285AC6">
        <w:rPr>
          <w:szCs w:val="22"/>
        </w:rPr>
        <w:t xml:space="preserve"> </w:t>
      </w:r>
      <w:r w:rsidRPr="0072020B" w:rsidR="00C76FA1">
        <w:rPr>
          <w:szCs w:val="22"/>
        </w:rPr>
        <w:t>section 301 of the Communications Act</w:t>
      </w:r>
      <w:r w:rsidRPr="0072020B" w:rsidR="005626C9">
        <w:rPr>
          <w:szCs w:val="22"/>
        </w:rPr>
        <w:t>.</w:t>
      </w:r>
      <w:r>
        <w:rPr>
          <w:rStyle w:val="FootnoteReference"/>
          <w:sz w:val="22"/>
          <w:szCs w:val="22"/>
        </w:rPr>
        <w:footnoteReference w:id="25"/>
      </w:r>
      <w:r w:rsidRPr="0072020B" w:rsidR="00691A6F">
        <w:rPr>
          <w:szCs w:val="22"/>
        </w:rPr>
        <w:t xml:space="preserve">  However, for the reasons set forth above, we find that reducing the forfeiture to $</w:t>
      </w:r>
      <w:r w:rsidR="00635DDC">
        <w:rPr>
          <w:szCs w:val="22"/>
        </w:rPr>
        <w:t>3,4</w:t>
      </w:r>
      <w:r w:rsidRPr="0072020B" w:rsidR="00691A6F">
        <w:rPr>
          <w:szCs w:val="22"/>
        </w:rPr>
        <w:t>00 is warranted.</w:t>
      </w:r>
    </w:p>
    <w:p w:rsidR="0072020B" w:rsidP="0072020B" w14:paraId="416E1553" w14:textId="391A0482">
      <w:pPr>
        <w:pStyle w:val="Heading1"/>
      </w:pPr>
      <w:r>
        <w:t>ORDERING CLAUSES</w:t>
      </w:r>
    </w:p>
    <w:p w:rsidR="0072020B" w:rsidP="00B06453" w14:paraId="12536AA8" w14:textId="611387C0">
      <w:pPr>
        <w:pStyle w:val="ParaNum"/>
        <w:widowControl/>
        <w:numPr>
          <w:ilvl w:val="0"/>
          <w:numId w:val="9"/>
        </w:numPr>
        <w:tabs>
          <w:tab w:val="left" w:pos="1440"/>
        </w:tabs>
        <w:spacing w:after="220"/>
        <w:rPr>
          <w:szCs w:val="22"/>
        </w:rPr>
      </w:pPr>
      <w:r w:rsidRPr="0072020B">
        <w:rPr>
          <w:szCs w:val="22"/>
        </w:rPr>
        <w:t xml:space="preserve">Accordingly, </w:t>
      </w:r>
      <w:r w:rsidRPr="0072020B">
        <w:rPr>
          <w:b/>
          <w:bCs/>
          <w:szCs w:val="22"/>
        </w:rPr>
        <w:t>IT IS ORDERED</w:t>
      </w:r>
      <w:r w:rsidRPr="0072020B">
        <w:rPr>
          <w:szCs w:val="22"/>
        </w:rPr>
        <w:t>, pursuant to section 503(b) of the Communications Act of 1934, as amended, and sections 0.283 and 1.80 of the Commission’s rules,</w:t>
      </w:r>
      <w:r>
        <w:rPr>
          <w:rStyle w:val="FootnoteReference"/>
          <w:sz w:val="22"/>
          <w:szCs w:val="22"/>
        </w:rPr>
        <w:footnoteReference w:id="26"/>
      </w:r>
      <w:r w:rsidRPr="0072020B">
        <w:rPr>
          <w:szCs w:val="22"/>
        </w:rPr>
        <w:t xml:space="preserve"> that </w:t>
      </w:r>
      <w:r w:rsidR="00635DDC">
        <w:rPr>
          <w:szCs w:val="22"/>
        </w:rPr>
        <w:t>Radiant Life Broadcasting</w:t>
      </w:r>
      <w:r w:rsidRPr="0072020B">
        <w:rPr>
          <w:szCs w:val="22"/>
        </w:rPr>
        <w:t xml:space="preserve"> </w:t>
      </w:r>
      <w:r w:rsidRPr="0072020B">
        <w:rPr>
          <w:b/>
          <w:bCs/>
          <w:szCs w:val="22"/>
        </w:rPr>
        <w:t>SHALL FORFEIT</w:t>
      </w:r>
      <w:r w:rsidRPr="0072020B">
        <w:rPr>
          <w:szCs w:val="22"/>
        </w:rPr>
        <w:t xml:space="preserve"> to the United States the sum of </w:t>
      </w:r>
      <w:r w:rsidR="00635DDC">
        <w:rPr>
          <w:szCs w:val="22"/>
        </w:rPr>
        <w:t>three thousand four</w:t>
      </w:r>
      <w:r w:rsidRPr="0072020B" w:rsidR="00794906">
        <w:rPr>
          <w:szCs w:val="22"/>
        </w:rPr>
        <w:t xml:space="preserve"> </w:t>
      </w:r>
      <w:r w:rsidRPr="0072020B" w:rsidR="00C76FA1">
        <w:rPr>
          <w:szCs w:val="22"/>
        </w:rPr>
        <w:t xml:space="preserve">hundred </w:t>
      </w:r>
      <w:r w:rsidRPr="0072020B">
        <w:rPr>
          <w:szCs w:val="22"/>
        </w:rPr>
        <w:t xml:space="preserve">dollars </w:t>
      </w:r>
      <w:r w:rsidRPr="0072020B">
        <w:rPr>
          <w:szCs w:val="22"/>
        </w:rPr>
        <w:t>($</w:t>
      </w:r>
      <w:r w:rsidR="00635DDC">
        <w:rPr>
          <w:szCs w:val="22"/>
        </w:rPr>
        <w:t>3,4</w:t>
      </w:r>
      <w:r w:rsidRPr="0072020B">
        <w:rPr>
          <w:szCs w:val="22"/>
        </w:rPr>
        <w:t>00) for willfully and repeatedly violating section 74.</w:t>
      </w:r>
      <w:r w:rsidRPr="0072020B" w:rsidR="00C76FA1">
        <w:rPr>
          <w:szCs w:val="22"/>
        </w:rPr>
        <w:t>788</w:t>
      </w:r>
      <w:r w:rsidRPr="0072020B">
        <w:rPr>
          <w:szCs w:val="22"/>
        </w:rPr>
        <w:t xml:space="preserve"> of the Commission’s rules</w:t>
      </w:r>
      <w:r w:rsidRPr="0072020B" w:rsidR="00C76FA1">
        <w:rPr>
          <w:szCs w:val="22"/>
        </w:rPr>
        <w:t xml:space="preserve"> and section 301 of the Communications Act</w:t>
      </w:r>
      <w:r w:rsidRPr="0072020B">
        <w:rPr>
          <w:szCs w:val="22"/>
        </w:rPr>
        <w:t>.</w:t>
      </w:r>
      <w:r>
        <w:rPr>
          <w:rStyle w:val="FootnoteReference"/>
          <w:szCs w:val="22"/>
        </w:rPr>
        <w:footnoteReference w:id="27"/>
      </w:r>
    </w:p>
    <w:p w:rsidR="0072020B" w:rsidRPr="0072020B" w:rsidP="00E40B0F" w14:paraId="62AC38E6" w14:textId="33C2B478">
      <w:pPr>
        <w:pStyle w:val="ParaNum"/>
        <w:widowControl/>
        <w:numPr>
          <w:ilvl w:val="0"/>
          <w:numId w:val="9"/>
        </w:numPr>
        <w:tabs>
          <w:tab w:val="left" w:pos="1440"/>
        </w:tabs>
        <w:spacing w:after="220"/>
        <w:rPr>
          <w:szCs w:val="22"/>
        </w:rPr>
      </w:pPr>
      <w:r w:rsidRPr="0072020B">
        <w:rPr>
          <w:szCs w:val="22"/>
        </w:rPr>
        <w:t>Payment of the forfeiture must be made by credit card, ACH (Automated Clearing House) debit from a bank account using CORES (the Commission’s online payment system),</w:t>
      </w:r>
      <w:r>
        <w:rPr>
          <w:rStyle w:val="FootnoteReference"/>
          <w:sz w:val="22"/>
          <w:szCs w:val="22"/>
        </w:rPr>
        <w:footnoteReference w:id="28"/>
      </w:r>
      <w:r w:rsidRPr="0072020B">
        <w:rPr>
          <w:szCs w:val="22"/>
        </w:rPr>
        <w:t xml:space="preserve"> or by wire transfer.  Payments by check or money order to pay a forfeiture are no longer accepted.  Below are instructions that payors should follow based on the form of payment selected:</w:t>
      </w:r>
      <w:r>
        <w:rPr>
          <w:rStyle w:val="FootnoteReference"/>
          <w:sz w:val="22"/>
          <w:szCs w:val="22"/>
        </w:rPr>
        <w:footnoteReference w:id="29"/>
      </w:r>
      <w:r w:rsidRPr="0072020B">
        <w:rPr>
          <w:szCs w:val="22"/>
        </w:rPr>
        <w:t xml:space="preserve"> </w:t>
      </w:r>
    </w:p>
    <w:p w:rsidR="0072020B" w:rsidRPr="00C11997" w:rsidP="0072020B" w14:paraId="040FBFA7" w14:textId="77777777">
      <w:pPr>
        <w:widowControl/>
        <w:numPr>
          <w:ilvl w:val="0"/>
          <w:numId w:val="21"/>
        </w:numPr>
        <w:spacing w:after="120"/>
        <w:rPr>
          <w:b/>
          <w:szCs w:val="22"/>
        </w:rPr>
      </w:pPr>
      <w:r w:rsidRPr="00C11997">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C11997">
          <w:rPr>
            <w:rStyle w:val="Hyperlink"/>
            <w:szCs w:val="22"/>
          </w:rPr>
          <w:t>RROGWireFaxes@fcc.gov</w:t>
        </w:r>
      </w:hyperlink>
      <w:r w:rsidRPr="00C11997">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0"/>
      </w:r>
      <w:r w:rsidRPr="00C11997">
        <w:rPr>
          <w:szCs w:val="22"/>
        </w:rPr>
        <w:t xml:space="preserve">  For additional detail and wire transfer instructions, go to </w:t>
      </w:r>
      <w:hyperlink r:id="rId6" w:history="1">
        <w:r w:rsidRPr="00C11997">
          <w:rPr>
            <w:rStyle w:val="Hyperlink"/>
            <w:szCs w:val="22"/>
          </w:rPr>
          <w:t>https://www.fcc.gov/licensing-databases/fees/wire-transfer</w:t>
        </w:r>
      </w:hyperlink>
      <w:r w:rsidRPr="00C11997">
        <w:rPr>
          <w:szCs w:val="22"/>
        </w:rPr>
        <w:t>.</w:t>
      </w:r>
    </w:p>
    <w:p w:rsidR="0072020B" w:rsidRPr="00C11997" w:rsidP="0072020B" w14:paraId="6B3812F3" w14:textId="77777777">
      <w:pPr>
        <w:pStyle w:val="ParaNum"/>
        <w:widowControl/>
        <w:numPr>
          <w:ilvl w:val="0"/>
          <w:numId w:val="21"/>
        </w:numPr>
        <w:rPr>
          <w:szCs w:val="22"/>
        </w:rPr>
      </w:pPr>
      <w:r w:rsidRPr="00C11997">
        <w:rPr>
          <w:szCs w:val="22"/>
        </w:rPr>
        <w:t xml:space="preserve">Payment by credit card must be made by using the Commission’s Registration System (CORES) at </w:t>
      </w:r>
      <w:hyperlink r:id="rId7" w:history="1">
        <w:r w:rsidRPr="00C11997">
          <w:rPr>
            <w:rStyle w:val="Hyperlink"/>
            <w:szCs w:val="22"/>
          </w:rPr>
          <w:t>https://apps.fcc.gov/cores/userLogin.do</w:t>
        </w:r>
      </w:hyperlink>
      <w:r w:rsidRPr="00C11997">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72020B" w:rsidRPr="0072020B" w:rsidP="0072020B" w14:paraId="412714F3" w14:textId="685303F1">
      <w:pPr>
        <w:pStyle w:val="ParaNum"/>
        <w:widowControl/>
        <w:numPr>
          <w:ilvl w:val="0"/>
          <w:numId w:val="21"/>
        </w:numPr>
        <w:rPr>
          <w:szCs w:val="22"/>
        </w:rPr>
      </w:pPr>
      <w:r w:rsidRPr="00C11997">
        <w:rPr>
          <w:szCs w:val="22"/>
        </w:rPr>
        <w:t xml:space="preserve">Payment by ACH must be made by using the Commission’s Registration System (CORES) at </w:t>
      </w:r>
      <w:hyperlink r:id="rId8" w:history="1">
        <w:r w:rsidRPr="00C11997">
          <w:rPr>
            <w:rStyle w:val="Hyperlink"/>
            <w:szCs w:val="22"/>
          </w:rPr>
          <w:t>https://apps.fcc.gov/cores/paymentFrnLogin.do</w:t>
        </w:r>
      </w:hyperlink>
      <w:r w:rsidRPr="00C11997">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B06453" w:rsidP="00635DDC" w14:paraId="30424BB1" w14:textId="77777777">
      <w:pPr>
        <w:pStyle w:val="ParaNum"/>
        <w:numPr>
          <w:ilvl w:val="0"/>
          <w:numId w:val="9"/>
        </w:numPr>
        <w:tabs>
          <w:tab w:val="left" w:pos="1440"/>
        </w:tabs>
        <w:spacing w:after="220"/>
        <w:rPr>
          <w:szCs w:val="22"/>
        </w:rPr>
      </w:pPr>
      <w:r w:rsidRPr="00C11997">
        <w:rPr>
          <w:b/>
          <w:szCs w:val="22"/>
        </w:rPr>
        <w:t>IT IS FURTHER ORDERED</w:t>
      </w:r>
      <w:r w:rsidRPr="00C11997">
        <w:rPr>
          <w:szCs w:val="22"/>
        </w:rPr>
        <w:t xml:space="preserve"> that a copy of this </w:t>
      </w:r>
      <w:r w:rsidRPr="00C11997">
        <w:rPr>
          <w:i/>
          <w:szCs w:val="22"/>
        </w:rPr>
        <w:t>Order</w:t>
      </w:r>
      <w:r w:rsidRPr="00C11997">
        <w:rPr>
          <w:szCs w:val="22"/>
        </w:rPr>
        <w:t xml:space="preserve"> shall be sent by First Class and Certified Mail, Return </w:t>
      </w:r>
      <w:r w:rsidRPr="00C11997">
        <w:rPr>
          <w:spacing w:val="-2"/>
          <w:szCs w:val="22"/>
        </w:rPr>
        <w:t>Receipt</w:t>
      </w:r>
      <w:r w:rsidRPr="00C11997">
        <w:rPr>
          <w:szCs w:val="22"/>
        </w:rPr>
        <w:t xml:space="preserve"> Requested, to </w:t>
      </w:r>
      <w:r w:rsidRPr="00635DDC" w:rsidR="00635DDC">
        <w:rPr>
          <w:szCs w:val="22"/>
        </w:rPr>
        <w:t xml:space="preserve">Radiant Light Broadcasting, P.O. Box 301, Richland, </w:t>
      </w:r>
      <w:r>
        <w:rPr>
          <w:szCs w:val="22"/>
        </w:rPr>
        <w:br w:type="page"/>
      </w:r>
    </w:p>
    <w:p w:rsidR="00635DDC" w:rsidP="00B06453" w14:paraId="3E99F727" w14:textId="79F7BE09">
      <w:pPr>
        <w:pStyle w:val="ParaNum"/>
        <w:numPr>
          <w:ilvl w:val="0"/>
          <w:numId w:val="0"/>
        </w:numPr>
        <w:tabs>
          <w:tab w:val="left" w:pos="1440"/>
        </w:tabs>
        <w:spacing w:after="220"/>
        <w:rPr>
          <w:szCs w:val="22"/>
        </w:rPr>
      </w:pPr>
      <w:r w:rsidRPr="00635DDC">
        <w:rPr>
          <w:szCs w:val="22"/>
        </w:rPr>
        <w:t xml:space="preserve">Washington as well as e-mailed to eric@rlb.org, and to their counsel: Mark Denbo, Esq., Smithwick &amp; </w:t>
      </w:r>
      <w:r w:rsidRPr="00635DDC">
        <w:rPr>
          <w:szCs w:val="22"/>
        </w:rPr>
        <w:t>Belendiuk</w:t>
      </w:r>
      <w:r w:rsidRPr="00635DDC">
        <w:rPr>
          <w:szCs w:val="22"/>
        </w:rPr>
        <w:t>, P.C., 5028 Wisconsin Avenue, N.W., Suite 301, Washington, DC 20016.</w:t>
      </w:r>
    </w:p>
    <w:p w:rsidR="00335A80" w:rsidRPr="00635DDC" w:rsidP="00635DDC" w14:paraId="7B3CCE70" w14:textId="33AB6777">
      <w:pPr>
        <w:pStyle w:val="ParaNum"/>
        <w:numPr>
          <w:ilvl w:val="0"/>
          <w:numId w:val="0"/>
        </w:numPr>
        <w:tabs>
          <w:tab w:val="left" w:pos="1440"/>
        </w:tabs>
        <w:spacing w:after="220"/>
        <w:rPr>
          <w:szCs w:val="22"/>
        </w:rPr>
      </w:pPr>
      <w:r w:rsidRPr="00635DDC">
        <w:rPr>
          <w:szCs w:val="22"/>
        </w:rPr>
        <w:tab/>
      </w:r>
      <w:r w:rsidRPr="00635DDC">
        <w:rPr>
          <w:szCs w:val="22"/>
        </w:rPr>
        <w:tab/>
      </w:r>
      <w:r w:rsidRPr="00635DDC">
        <w:rPr>
          <w:szCs w:val="22"/>
        </w:rPr>
        <w:tab/>
      </w:r>
      <w:r w:rsidRPr="00635DDC">
        <w:rPr>
          <w:szCs w:val="22"/>
        </w:rPr>
        <w:tab/>
      </w:r>
      <w:r w:rsidRPr="00635DDC">
        <w:rPr>
          <w:szCs w:val="22"/>
        </w:rPr>
        <w:tab/>
        <w:t>FEDERAL COMMUNICATIONS COMMISSION</w:t>
      </w:r>
    </w:p>
    <w:p w:rsidR="00474268" w:rsidRPr="00C11997" w:rsidP="00474268" w14:paraId="3C8FD685" w14:textId="176E15C8">
      <w:pPr>
        <w:rPr>
          <w:szCs w:val="22"/>
        </w:rPr>
      </w:pPr>
      <w:r>
        <w:rPr>
          <w:szCs w:val="22"/>
        </w:rPr>
        <w:tab/>
      </w:r>
      <w:r>
        <w:rPr>
          <w:szCs w:val="22"/>
        </w:rPr>
        <w:tab/>
      </w:r>
      <w:r>
        <w:rPr>
          <w:szCs w:val="22"/>
        </w:rPr>
        <w:tab/>
      </w:r>
      <w:r>
        <w:rPr>
          <w:szCs w:val="22"/>
        </w:rPr>
        <w:tab/>
      </w:r>
      <w:r>
        <w:rPr>
          <w:szCs w:val="22"/>
        </w:rPr>
        <w:tab/>
      </w:r>
      <w:r>
        <w:rPr>
          <w:szCs w:val="22"/>
        </w:rPr>
        <w:tab/>
        <w:t>/s/</w:t>
      </w:r>
      <w:r>
        <w:rPr>
          <w:szCs w:val="22"/>
        </w:rPr>
        <w:tab/>
      </w:r>
    </w:p>
    <w:p w:rsidR="00474268" w:rsidRPr="00C11997" w:rsidP="00474268" w14:paraId="3C8FD686" w14:textId="77777777">
      <w:pPr>
        <w:rPr>
          <w:szCs w:val="22"/>
        </w:rPr>
      </w:pPr>
    </w:p>
    <w:p w:rsidR="00474268" w:rsidRPr="00C11997" w:rsidP="00474268" w14:paraId="3C8FD687" w14:textId="3E568C0D">
      <w:pPr>
        <w:rPr>
          <w:szCs w:val="22"/>
        </w:rPr>
      </w:pPr>
      <w:r w:rsidRPr="00C11997">
        <w:rPr>
          <w:szCs w:val="22"/>
        </w:rPr>
        <w:tab/>
      </w:r>
      <w:r w:rsidR="00335A80">
        <w:rPr>
          <w:szCs w:val="22"/>
        </w:rPr>
        <w:tab/>
      </w:r>
      <w:r w:rsidRPr="00C11997">
        <w:rPr>
          <w:szCs w:val="22"/>
        </w:rPr>
        <w:tab/>
      </w:r>
      <w:r w:rsidRPr="00C11997">
        <w:rPr>
          <w:szCs w:val="22"/>
        </w:rPr>
        <w:tab/>
      </w:r>
      <w:r w:rsidRPr="00C11997">
        <w:rPr>
          <w:szCs w:val="22"/>
        </w:rPr>
        <w:tab/>
      </w:r>
      <w:r w:rsidRPr="00C11997">
        <w:rPr>
          <w:szCs w:val="22"/>
        </w:rPr>
        <w:tab/>
      </w:r>
      <w:r w:rsidR="00C76FA1">
        <w:rPr>
          <w:szCs w:val="22"/>
        </w:rPr>
        <w:t>Barbara A. Kreisman</w:t>
      </w:r>
    </w:p>
    <w:p w:rsidR="00474268" w:rsidRPr="00C11997" w:rsidP="00474268" w14:paraId="3C8FD688" w14:textId="5AA62649">
      <w:pPr>
        <w:rPr>
          <w:szCs w:val="22"/>
        </w:rPr>
      </w:pPr>
      <w:r w:rsidRPr="00C11997">
        <w:rPr>
          <w:szCs w:val="22"/>
        </w:rPr>
        <w:tab/>
      </w:r>
      <w:r w:rsidRPr="00C11997">
        <w:rPr>
          <w:szCs w:val="22"/>
        </w:rPr>
        <w:tab/>
      </w:r>
      <w:r w:rsidRPr="00C11997">
        <w:rPr>
          <w:szCs w:val="22"/>
        </w:rPr>
        <w:tab/>
      </w:r>
      <w:r w:rsidRPr="00C11997">
        <w:rPr>
          <w:szCs w:val="22"/>
        </w:rPr>
        <w:tab/>
      </w:r>
      <w:r w:rsidRPr="00C11997">
        <w:rPr>
          <w:szCs w:val="22"/>
        </w:rPr>
        <w:tab/>
      </w:r>
      <w:r w:rsidRPr="00C11997">
        <w:rPr>
          <w:szCs w:val="22"/>
        </w:rPr>
        <w:tab/>
        <w:t xml:space="preserve">Chief, </w:t>
      </w:r>
      <w:r w:rsidR="00C76FA1">
        <w:rPr>
          <w:szCs w:val="22"/>
        </w:rPr>
        <w:t>Video</w:t>
      </w:r>
      <w:r w:rsidRPr="00C11997">
        <w:rPr>
          <w:szCs w:val="22"/>
        </w:rPr>
        <w:t xml:space="preserve"> Division</w:t>
      </w:r>
    </w:p>
    <w:p w:rsidR="00412FC5" w:rsidRPr="00335A80" w:rsidP="00474268" w14:paraId="3C8FD68A" w14:textId="5AF54F8D">
      <w:pPr>
        <w:rPr>
          <w:szCs w:val="22"/>
        </w:rPr>
      </w:pPr>
      <w:r w:rsidRPr="00C11997">
        <w:rPr>
          <w:szCs w:val="22"/>
        </w:rPr>
        <w:tab/>
      </w:r>
      <w:r w:rsidRPr="00C11997">
        <w:rPr>
          <w:szCs w:val="22"/>
        </w:rPr>
        <w:tab/>
      </w:r>
      <w:r w:rsidRPr="00C11997">
        <w:rPr>
          <w:szCs w:val="22"/>
        </w:rPr>
        <w:tab/>
      </w:r>
      <w:r w:rsidRPr="00C11997">
        <w:rPr>
          <w:szCs w:val="22"/>
        </w:rPr>
        <w:tab/>
      </w:r>
      <w:r w:rsidRPr="00C11997">
        <w:rPr>
          <w:szCs w:val="22"/>
        </w:rPr>
        <w:tab/>
      </w:r>
      <w:r w:rsidRPr="00C11997">
        <w:rPr>
          <w:szCs w:val="22"/>
        </w:rPr>
        <w:tab/>
        <w:t>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3C8FD691" w14:textId="77777777">
    <w:pPr>
      <w:pStyle w:val="Footer"/>
      <w:framePr w:wrap="around" w:vAnchor="text" w:hAnchor="margin" w:xAlign="center" w:y="1"/>
    </w:pPr>
    <w:r>
      <w:fldChar w:fldCharType="begin"/>
    </w:r>
    <w:r>
      <w:instrText xml:space="preserve">PAGE  </w:instrText>
    </w:r>
    <w:r w:rsidR="00B0004D">
      <w:fldChar w:fldCharType="separate"/>
    </w:r>
    <w:r>
      <w:fldChar w:fldCharType="end"/>
    </w:r>
  </w:p>
  <w:p w:rsidR="00A35A37" w14:paraId="3C8FD6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9724F1" w14:paraId="3C8FD694" w14:textId="6035215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3C8FD6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3D65" w14:paraId="090487F1" w14:textId="77777777">
      <w:r>
        <w:separator/>
      </w:r>
    </w:p>
  </w:footnote>
  <w:footnote w:type="continuationSeparator" w:id="1">
    <w:p w:rsidR="00053D65" w:rsidP="00C721AC" w14:paraId="6310E74C" w14:textId="77777777">
      <w:pPr>
        <w:spacing w:before="120"/>
        <w:rPr>
          <w:sz w:val="20"/>
        </w:rPr>
      </w:pPr>
      <w:r>
        <w:rPr>
          <w:sz w:val="20"/>
        </w:rPr>
        <w:t xml:space="preserve">(Continued from previous page)  </w:t>
      </w:r>
      <w:r>
        <w:rPr>
          <w:sz w:val="20"/>
        </w:rPr>
        <w:separator/>
      </w:r>
    </w:p>
  </w:footnote>
  <w:footnote w:type="continuationNotice" w:id="2">
    <w:p w:rsidR="00053D65" w:rsidP="00C721AC" w14:paraId="27B3967C" w14:textId="77777777">
      <w:pPr>
        <w:jc w:val="right"/>
        <w:rPr>
          <w:sz w:val="20"/>
        </w:rPr>
      </w:pPr>
      <w:r>
        <w:rPr>
          <w:sz w:val="20"/>
        </w:rPr>
        <w:t>(continued….)</w:t>
      </w:r>
    </w:p>
  </w:footnote>
  <w:footnote w:id="3">
    <w:p w:rsidR="00FC3DBA" w:rsidRPr="000A4DEF" w:rsidP="00FC3DBA" w14:paraId="383B8399"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iCs/>
          <w:sz w:val="20"/>
        </w:rPr>
        <w:t xml:space="preserve">See </w:t>
      </w:r>
      <w:r w:rsidRPr="000A4DEF">
        <w:rPr>
          <w:sz w:val="20"/>
        </w:rPr>
        <w:t>47 CFR § 74.788.</w:t>
      </w:r>
    </w:p>
  </w:footnote>
  <w:footnote w:id="4">
    <w:p w:rsidR="00FC3DBA" w:rsidRPr="000A4DEF" w:rsidP="00FC3DBA" w14:paraId="5E34641D"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sz w:val="20"/>
        </w:rPr>
        <w:t>See</w:t>
      </w:r>
      <w:r w:rsidRPr="000A4DEF">
        <w:rPr>
          <w:sz w:val="20"/>
        </w:rPr>
        <w:t xml:space="preserve"> 47 U.S.C. § 301.</w:t>
      </w:r>
    </w:p>
  </w:footnote>
  <w:footnote w:id="5">
    <w:p w:rsidR="00176F14" w:rsidP="00176F14" w14:paraId="77FC86CB" w14:textId="18A16C36">
      <w:pPr>
        <w:pStyle w:val="FootnoteText"/>
      </w:pPr>
      <w:r>
        <w:rPr>
          <w:rStyle w:val="FootnoteReference"/>
        </w:rPr>
        <w:footnoteRef/>
      </w:r>
      <w:r>
        <w:t xml:space="preserve"> </w:t>
      </w:r>
      <w:r w:rsidR="005E1C7E">
        <w:rPr>
          <w:i/>
          <w:iCs/>
        </w:rPr>
        <w:t>Radiant Light Broadcasting</w:t>
      </w:r>
      <w:r w:rsidRPr="00474268">
        <w:rPr>
          <w:i/>
          <w:iCs/>
        </w:rPr>
        <w:t xml:space="preserve">, </w:t>
      </w:r>
      <w:r w:rsidRPr="00474268">
        <w:t>Memorandum Opinion and Order and Notice of Apparent Liability for Forfeiture, DA 2</w:t>
      </w:r>
      <w:r>
        <w:t>2</w:t>
      </w:r>
      <w:r w:rsidRPr="00474268">
        <w:t>-</w:t>
      </w:r>
      <w:r w:rsidR="005E1C7E">
        <w:t>1058</w:t>
      </w:r>
      <w:r w:rsidRPr="00474268">
        <w:t xml:space="preserve"> (MB </w:t>
      </w:r>
      <w:r w:rsidR="005E1C7E">
        <w:t>Oct. 4</w:t>
      </w:r>
      <w:r w:rsidRPr="00474268">
        <w:t>, 202</w:t>
      </w:r>
      <w:r>
        <w:t>2)</w:t>
      </w:r>
      <w:r w:rsidR="007B0F67">
        <w:t xml:space="preserve"> (</w:t>
      </w:r>
      <w:r w:rsidR="007B0F67">
        <w:rPr>
          <w:i/>
          <w:iCs/>
        </w:rPr>
        <w:t>NAL</w:t>
      </w:r>
      <w:r w:rsidR="007B0F67">
        <w:t>)</w:t>
      </w:r>
      <w:r>
        <w:t>.</w:t>
      </w:r>
      <w:r w:rsidR="00B06453">
        <w:t xml:space="preserve">  Broken down, the proposed forfeiture came to </w:t>
      </w:r>
      <w:r w:rsidR="005E6C01">
        <w:t>s</w:t>
      </w:r>
      <w:r w:rsidR="00B06453">
        <w:t xml:space="preserve">ix </w:t>
      </w:r>
      <w:r w:rsidR="005E6C01">
        <w:t>t</w:t>
      </w:r>
      <w:r w:rsidR="00B06453">
        <w:t xml:space="preserve">housand, </w:t>
      </w:r>
      <w:r w:rsidR="005E6C01">
        <w:t>f</w:t>
      </w:r>
      <w:r w:rsidR="00B06453">
        <w:t xml:space="preserve">ive </w:t>
      </w:r>
      <w:r w:rsidR="005E6C01">
        <w:t>h</w:t>
      </w:r>
      <w:r w:rsidR="00B06453">
        <w:t xml:space="preserve">undred </w:t>
      </w:r>
      <w:r w:rsidR="005E6C01">
        <w:t>d</w:t>
      </w:r>
      <w:r w:rsidR="00B06453">
        <w:t xml:space="preserve">ollars ($6,500) per station </w:t>
      </w:r>
    </w:p>
  </w:footnote>
  <w:footnote w:id="6">
    <w:p w:rsidR="007B0F67" w:rsidP="007B0F67" w14:paraId="18483797" w14:textId="2CC34EFF">
      <w:pPr>
        <w:pStyle w:val="FootnoteText"/>
      </w:pPr>
      <w:r>
        <w:rPr>
          <w:rStyle w:val="FootnoteReference"/>
        </w:rPr>
        <w:footnoteRef/>
      </w:r>
      <w:r>
        <w:t xml:space="preserve"> </w:t>
      </w:r>
      <w:r>
        <w:rPr>
          <w:i/>
          <w:iCs/>
        </w:rPr>
        <w:t>Id.</w:t>
      </w:r>
      <w:r>
        <w:t xml:space="preserve"> at </w:t>
      </w:r>
      <w:r w:rsidR="000B6193">
        <w:t>5</w:t>
      </w:r>
      <w:r>
        <w:t>, para. 1</w:t>
      </w:r>
      <w:r w:rsidR="000B6193">
        <w:t>0</w:t>
      </w:r>
      <w:r>
        <w:t>.</w:t>
      </w:r>
    </w:p>
  </w:footnote>
  <w:footnote w:id="7">
    <w:p w:rsidR="000B6193" w:rsidRPr="000A4DEF" w:rsidP="000B6193" w14:paraId="085AFDAA" w14:textId="77777777">
      <w:pPr>
        <w:pStyle w:val="FootnoteText"/>
        <w:widowControl w:val="0"/>
      </w:pPr>
      <w:r w:rsidRPr="000A4DEF">
        <w:rPr>
          <w:rStyle w:val="FootnoteReference"/>
        </w:rPr>
        <w:footnoteRef/>
      </w:r>
      <w:r w:rsidRPr="000A4DEF">
        <w:t xml:space="preserve"> </w:t>
      </w:r>
      <w:r w:rsidRPr="000A4DEF">
        <w:rPr>
          <w:i/>
          <w:iCs/>
        </w:rPr>
        <w:t>See</w:t>
      </w:r>
      <w:r w:rsidRPr="000A4DEF">
        <w:t xml:space="preserve"> 47 CFR § 74.788.</w:t>
      </w:r>
    </w:p>
  </w:footnote>
  <w:footnote w:id="8">
    <w:p w:rsidR="000B6193" w:rsidP="000B6193" w14:paraId="215D5329" w14:textId="77777777">
      <w:pPr>
        <w:pStyle w:val="FootnoteText"/>
        <w:widowControl w:val="0"/>
      </w:pPr>
      <w:r>
        <w:rPr>
          <w:rStyle w:val="FootnoteReference"/>
        </w:rPr>
        <w:footnoteRef/>
      </w:r>
      <w:r>
        <w:t xml:space="preserve"> </w:t>
      </w:r>
      <w:r w:rsidRPr="000A4DEF">
        <w:rPr>
          <w:i/>
        </w:rPr>
        <w:t>See</w:t>
      </w:r>
      <w:r w:rsidRPr="000A4DEF">
        <w:t xml:space="preserve"> 47 U.S.C. § 301.</w:t>
      </w:r>
    </w:p>
  </w:footnote>
  <w:footnote w:id="9">
    <w:p w:rsidR="00CB34AF" w:rsidRPr="0072332E" w:rsidP="00CB34AF" w14:paraId="3C8FD69D" w14:textId="5CEE7A45">
      <w:pPr>
        <w:pStyle w:val="FootnoteText"/>
      </w:pPr>
      <w:r>
        <w:rPr>
          <w:rStyle w:val="FootnoteReference"/>
        </w:rPr>
        <w:footnoteRef/>
      </w:r>
      <w:r>
        <w:t xml:space="preserve"> </w:t>
      </w:r>
      <w:r w:rsidR="005E1C7E">
        <w:t>Request for Cancellation or Reduction of Forfeiture</w:t>
      </w:r>
      <w:r>
        <w:t xml:space="preserve"> of</w:t>
      </w:r>
      <w:r w:rsidR="001D4BEC">
        <w:t xml:space="preserve"> </w:t>
      </w:r>
      <w:r w:rsidR="005E1C7E">
        <w:t>Radiant Life Broadcasting</w:t>
      </w:r>
      <w:r>
        <w:t xml:space="preserve"> (dated </w:t>
      </w:r>
      <w:r w:rsidR="005E1C7E">
        <w:t>Oct. 26</w:t>
      </w:r>
      <w:r>
        <w:t>, 202</w:t>
      </w:r>
      <w:r w:rsidR="00A77AB0">
        <w:t>2</w:t>
      </w:r>
      <w:r>
        <w:t xml:space="preserve">) </w:t>
      </w:r>
      <w:r w:rsidR="00935865">
        <w:t xml:space="preserve">(on file at </w:t>
      </w:r>
      <w:r w:rsidR="008D2163">
        <w:t xml:space="preserve">LMS File Nos. </w:t>
      </w:r>
      <w:r w:rsidRPr="008D2163" w:rsidR="008D2163">
        <w:t>0000196526 and 0000196529</w:t>
      </w:r>
      <w:r w:rsidR="00935865">
        <w:t xml:space="preserve">) </w:t>
      </w:r>
      <w:r>
        <w:t>(</w:t>
      </w:r>
      <w:r w:rsidRPr="0072332E">
        <w:t>Response).</w:t>
      </w:r>
    </w:p>
  </w:footnote>
  <w:footnote w:id="10">
    <w:p w:rsidR="009724F1" w:rsidRPr="009724F1" w14:paraId="27E86491" w14:textId="659812F3">
      <w:pPr>
        <w:pStyle w:val="FootnoteText"/>
        <w:rPr>
          <w:i/>
          <w:iCs/>
        </w:rPr>
      </w:pPr>
      <w:r>
        <w:rPr>
          <w:rStyle w:val="FootnoteReference"/>
        </w:rPr>
        <w:footnoteRef/>
      </w:r>
      <w:r>
        <w:t xml:space="preserve"> Licensee </w:t>
      </w:r>
      <w:r w:rsidRPr="009724F1">
        <w:t>request</w:t>
      </w:r>
      <w:r>
        <w:t>ed</w:t>
      </w:r>
      <w:r w:rsidRPr="009724F1">
        <w:t xml:space="preserve"> that</w:t>
      </w:r>
      <w:r>
        <w:t>,</w:t>
      </w:r>
      <w:r w:rsidRPr="009724F1">
        <w:t xml:space="preserve"> pursuant to section 0.459 of the Rules</w:t>
      </w:r>
      <w:r>
        <w:t>,</w:t>
      </w:r>
      <w:r w:rsidRPr="009724F1">
        <w:t xml:space="preserve"> the financial information it has submitted be withheld from public discourse.</w:t>
      </w:r>
      <w:r>
        <w:t xml:space="preserve">  Response at 2.</w:t>
      </w:r>
      <w:r w:rsidRPr="009724F1">
        <w:t xml:space="preserve">  Licensee asserts this information is entitled to protection pursuant to section 0.459(b)(3)-(7) of the Rules, as it relates to the financial performance of its charitable operation and would cause the licensee harm if it were available to competitors.</w:t>
      </w:r>
      <w:r>
        <w:t xml:space="preserve">  </w:t>
      </w:r>
      <w:r>
        <w:rPr>
          <w:i/>
          <w:iCs/>
        </w:rPr>
        <w:t>Id.</w:t>
      </w:r>
    </w:p>
  </w:footnote>
  <w:footnote w:id="11">
    <w:p w:rsidR="00AB0C6F" w:rsidP="00AB0C6F" w14:paraId="1AD59C64" w14:textId="77777777">
      <w:pPr>
        <w:pStyle w:val="FootnoteText"/>
      </w:pPr>
      <w:r>
        <w:rPr>
          <w:rStyle w:val="FootnoteReference"/>
        </w:rPr>
        <w:footnoteRef/>
      </w:r>
      <w:r>
        <w:t xml:space="preserve"> 47 U.S.C. § 503(b).</w:t>
      </w:r>
    </w:p>
  </w:footnote>
  <w:footnote w:id="12">
    <w:p w:rsidR="00AB0C6F" w:rsidP="00AB0C6F" w14:paraId="0FDD585C" w14:textId="2876DBB0">
      <w:pPr>
        <w:pStyle w:val="FootnoteText"/>
      </w:pPr>
      <w:r>
        <w:rPr>
          <w:rStyle w:val="FootnoteReference"/>
        </w:rPr>
        <w:footnoteRef/>
      </w:r>
      <w:r>
        <w:t xml:space="preserve"> 47 CFR § 1.80. </w:t>
      </w:r>
    </w:p>
  </w:footnote>
  <w:footnote w:id="13">
    <w:p w:rsidR="00AB0C6F" w:rsidP="00AB0C6F" w14:paraId="39938575" w14:textId="7374F549">
      <w:pPr>
        <w:pStyle w:val="FootnoteText"/>
      </w:pPr>
      <w:r>
        <w:rPr>
          <w:rStyle w:val="FootnoteReference"/>
        </w:rPr>
        <w:footnoteRef/>
      </w:r>
      <w:r>
        <w:t xml:space="preserve"> </w:t>
      </w:r>
      <w:r w:rsidR="00BF1525">
        <w:rPr>
          <w:i/>
        </w:rPr>
        <w:t>See</w:t>
      </w:r>
      <w:r>
        <w:rPr>
          <w:i/>
        </w:rPr>
        <w:t xml:space="preserve"> </w:t>
      </w:r>
      <w:r w:rsidR="004146E1">
        <w:rPr>
          <w:i/>
        </w:rPr>
        <w:t>Forfeiture Policy Statement and Amendment of Section 1.80(b) of the Rules to Incorporate the Forfeiture Guidelines</w:t>
      </w:r>
      <w:r w:rsidR="004146E1">
        <w:t xml:space="preserve">, Report and Order, 12 FCC </w:t>
      </w:r>
      <w:r w:rsidR="004146E1">
        <w:t>Rcd</w:t>
      </w:r>
      <w:r w:rsidR="004146E1">
        <w:t xml:space="preserve"> 17087, 17113-15 (1997) </w:t>
      </w:r>
      <w:r w:rsidR="004146E1">
        <w:rPr>
          <w:i/>
        </w:rPr>
        <w:t>(Forfeiture Policy Statement),</w:t>
      </w:r>
      <w:r w:rsidR="004146E1">
        <w:t xml:space="preserve"> </w:t>
      </w:r>
      <w:r w:rsidR="004146E1">
        <w:rPr>
          <w:i/>
        </w:rPr>
        <w:t>recon. denied</w:t>
      </w:r>
      <w:r w:rsidR="004146E1">
        <w:t xml:space="preserve">, 15 FCC </w:t>
      </w:r>
      <w:r w:rsidR="004146E1">
        <w:t>Rcd</w:t>
      </w:r>
      <w:r w:rsidR="004146E1">
        <w:t xml:space="preserve"> 303 (1999)</w:t>
      </w:r>
      <w:r w:rsidR="00BF1525">
        <w:t>.</w:t>
      </w:r>
    </w:p>
  </w:footnote>
  <w:footnote w:id="14">
    <w:p w:rsidR="00AB0C6F" w:rsidP="00AB0C6F" w14:paraId="6B73B0A5" w14:textId="77777777">
      <w:pPr>
        <w:pStyle w:val="FootnoteText"/>
      </w:pPr>
      <w:r>
        <w:rPr>
          <w:rStyle w:val="FootnoteReference"/>
        </w:rPr>
        <w:footnoteRef/>
      </w:r>
      <w:r>
        <w:t xml:space="preserve"> 47 U.S.C. § 503(b)(2)(E).</w:t>
      </w:r>
    </w:p>
  </w:footnote>
  <w:footnote w:id="15">
    <w:p w:rsidR="00A35A37" w:rsidP="00474268" w14:paraId="3C8FD69E" w14:textId="215E84A8">
      <w:pPr>
        <w:pStyle w:val="FootnoteText"/>
      </w:pPr>
      <w:r>
        <w:rPr>
          <w:rStyle w:val="FootnoteReference"/>
        </w:rPr>
        <w:footnoteRef/>
      </w:r>
      <w:r>
        <w:t xml:space="preserve"> </w:t>
      </w:r>
      <w:r w:rsidRPr="00D17789">
        <w:rPr>
          <w:i/>
          <w:iCs/>
        </w:rPr>
        <w:t xml:space="preserve">See </w:t>
      </w:r>
      <w:r w:rsidR="00063EEE">
        <w:rPr>
          <w:i/>
          <w:iCs/>
        </w:rPr>
        <w:t xml:space="preserve">NAL </w:t>
      </w:r>
      <w:r w:rsidRPr="000D54FB">
        <w:t>at</w:t>
      </w:r>
      <w:r>
        <w:t xml:space="preserve"> </w:t>
      </w:r>
      <w:r w:rsidR="00E07574">
        <w:t>6</w:t>
      </w:r>
      <w:r>
        <w:t>, para.</w:t>
      </w:r>
      <w:r w:rsidR="00285AC6">
        <w:t xml:space="preserve"> </w:t>
      </w:r>
      <w:r w:rsidR="00E07574">
        <w:t>14</w:t>
      </w:r>
      <w:r>
        <w:t>.</w:t>
      </w:r>
    </w:p>
  </w:footnote>
  <w:footnote w:id="16">
    <w:p w:rsidR="004303B8" w:rsidP="004303B8" w14:paraId="02938DCD" w14:textId="77777777">
      <w:pPr>
        <w:pStyle w:val="FootnoteText"/>
      </w:pPr>
      <w:r>
        <w:rPr>
          <w:rStyle w:val="FootnoteReference"/>
        </w:rPr>
        <w:footnoteRef/>
      </w:r>
      <w:r>
        <w:t xml:space="preserve"> </w:t>
      </w:r>
      <w:r>
        <w:rPr>
          <w:i/>
          <w:iCs/>
        </w:rPr>
        <w:t>See Discussion Radio, Inc.,</w:t>
      </w:r>
      <w:r>
        <w:t xml:space="preserve"> Memorandum Opinion and Order and Notice of Apparent Liability, 19 FCC </w:t>
      </w:r>
      <w:r>
        <w:t>Rcd</w:t>
      </w:r>
      <w:r>
        <w:t xml:space="preserve"> 7433, 7441 (2004), </w:t>
      </w:r>
      <w:r>
        <w:rPr>
          <w:i/>
        </w:rPr>
        <w:t>modified,</w:t>
      </w:r>
      <w:r>
        <w:t xml:space="preserve"> Memorandum Opinion and Forfeiture Order, 24 FCC </w:t>
      </w:r>
      <w:r>
        <w:t>Rcd</w:t>
      </w:r>
      <w:r>
        <w:t xml:space="preserve"> 2206 (MB 2009) (reducing forfeiture amount after review of submitted federal tax returns demonstrated a financial hardship).</w:t>
      </w:r>
    </w:p>
  </w:footnote>
  <w:footnote w:id="17">
    <w:p w:rsidR="004303B8" w:rsidP="004303B8" w14:paraId="71B3B581" w14:textId="77777777">
      <w:pPr>
        <w:pStyle w:val="FootnoteText"/>
      </w:pPr>
      <w:r>
        <w:rPr>
          <w:rStyle w:val="FootnoteReference"/>
        </w:rPr>
        <w:footnoteRef/>
      </w:r>
      <w:r>
        <w:t xml:space="preserve"> </w:t>
      </w:r>
      <w:r>
        <w:rPr>
          <w:i/>
        </w:rPr>
        <w:t>PJB Communications of Virginia, Inc.</w:t>
      </w:r>
      <w:r>
        <w:t xml:space="preserve">, Memorandum Opinion and Order, 7 FCC </w:t>
      </w:r>
      <w:r>
        <w:t>Rcd</w:t>
      </w:r>
      <w:r>
        <w:t xml:space="preserve"> 2088, 2089 (1992). </w:t>
      </w:r>
    </w:p>
  </w:footnote>
  <w:footnote w:id="18">
    <w:p w:rsidR="004303B8" w:rsidP="004303B8" w14:paraId="16471360"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19">
    <w:p w:rsidR="006F5704" w14:paraId="3995F353" w14:textId="7A95C75D">
      <w:pPr>
        <w:pStyle w:val="FootnoteText"/>
      </w:pPr>
      <w:r>
        <w:rPr>
          <w:rStyle w:val="FootnoteReference"/>
        </w:rPr>
        <w:footnoteRef/>
      </w:r>
      <w:r>
        <w:t xml:space="preserve"> The Licensee has also provided us with</w:t>
      </w:r>
      <w:r w:rsidR="005E1C7E">
        <w:t xml:space="preserve"> a “12 month cash flow” statement</w:t>
      </w:r>
      <w:r w:rsidR="00BF125A">
        <w:t>.</w:t>
      </w:r>
      <w:r w:rsidR="003D16D8">
        <w:t xml:space="preserve">  However, we </w:t>
      </w:r>
      <w:r w:rsidR="00D37815">
        <w:t xml:space="preserve">consider </w:t>
      </w:r>
      <w:r w:rsidR="009556B5">
        <w:t>Licensee’s</w:t>
      </w:r>
      <w:r w:rsidR="00D37815">
        <w:t xml:space="preserve"> tax returns as the most reliable financial information.  </w:t>
      </w:r>
      <w:r w:rsidR="00D37815">
        <w:rPr>
          <w:i/>
          <w:iCs/>
        </w:rPr>
        <w:t>See Coleman Enterprises, Inc.</w:t>
      </w:r>
      <w:r w:rsidR="00D37815">
        <w:t xml:space="preserve">, </w:t>
      </w:r>
      <w:r w:rsidR="00A5143F">
        <w:t xml:space="preserve">Order of Forfeiture, </w:t>
      </w:r>
      <w:r w:rsidR="00C36FF4">
        <w:t xml:space="preserve">15 FCC </w:t>
      </w:r>
      <w:r w:rsidR="00C36FF4">
        <w:t>Rcd</w:t>
      </w:r>
      <w:r w:rsidR="00C36FF4">
        <w:t xml:space="preserve"> 24385, 24389 (2000) (</w:t>
      </w:r>
      <w:r w:rsidR="009E1D06">
        <w:t xml:space="preserve">considering tax returns to be the most reliable financial information provided by licensee, as compared to unaudited </w:t>
      </w:r>
      <w:r w:rsidR="009556B5">
        <w:t>cash flow statements and bank summaries).</w:t>
      </w:r>
    </w:p>
  </w:footnote>
  <w:footnote w:id="20">
    <w:p w:rsidR="00E442F4" w:rsidRPr="00AD5028" w14:paraId="7D7B2F55" w14:textId="00F5D321">
      <w:pPr>
        <w:pStyle w:val="FootnoteText"/>
      </w:pPr>
      <w:r>
        <w:rPr>
          <w:rStyle w:val="FootnoteReference"/>
        </w:rPr>
        <w:footnoteRef/>
      </w:r>
      <w:r>
        <w:t xml:space="preserve"> </w:t>
      </w:r>
      <w:r w:rsidR="00AD5028">
        <w:rPr>
          <w:i/>
          <w:iCs/>
        </w:rPr>
        <w:t>Zuma Beach FM Emergency and Community Broadcasters, Inc.</w:t>
      </w:r>
      <w:r w:rsidR="00AD5028">
        <w:t xml:space="preserve">, </w:t>
      </w:r>
      <w:r w:rsidR="00A5143F">
        <w:t xml:space="preserve">Memorandum Opinion and Order, </w:t>
      </w:r>
      <w:r w:rsidR="00CB2BFE">
        <w:t xml:space="preserve">34 FCC </w:t>
      </w:r>
      <w:r w:rsidR="00CB2BFE">
        <w:t>Rcd</w:t>
      </w:r>
      <w:r w:rsidR="00CB2BFE">
        <w:t xml:space="preserve"> 5302, 5304 (MB 2019).</w:t>
      </w:r>
    </w:p>
  </w:footnote>
  <w:footnote w:id="21">
    <w:p w:rsidR="00555C06" w:rsidP="00555C06" w14:paraId="4BFB662B" w14:textId="776EAFCE">
      <w:pPr>
        <w:pStyle w:val="FootnoteText"/>
      </w:pPr>
      <w:r>
        <w:rPr>
          <w:rStyle w:val="FootnoteReference"/>
        </w:rPr>
        <w:footnoteRef/>
      </w:r>
      <w:r>
        <w:t xml:space="preserve"> </w:t>
      </w:r>
      <w:r>
        <w:rPr>
          <w:i/>
        </w:rPr>
        <w:t>See Valley Air, LLC</w:t>
      </w:r>
      <w:r>
        <w:t xml:space="preserve">, Letter, 24 FCC </w:t>
      </w:r>
      <w:r>
        <w:t>Rcd</w:t>
      </w:r>
      <w:r>
        <w:t xml:space="preserve"> 5505 (MB 2009)</w:t>
      </w:r>
      <w:r w:rsidR="00635DDC">
        <w:t xml:space="preserve"> (</w:t>
      </w:r>
      <w:r w:rsidRPr="00635DDC" w:rsidR="00635DDC">
        <w:rPr>
          <w:i/>
          <w:iCs/>
        </w:rPr>
        <w:t>Valley Air</w:t>
      </w:r>
      <w:r w:rsidR="00635DDC">
        <w:t>)</w:t>
      </w:r>
      <w:r>
        <w:t xml:space="preserve"> (cancelling a $4,000 forfeiture after finding that the amount was reasonable given licensee’s gross revenues of $75,167, $90,106, and $69,330, but finding amount would pose a financial hardship where licensee lost $345,000 during the same period).</w:t>
      </w:r>
    </w:p>
  </w:footnote>
  <w:footnote w:id="22">
    <w:p w:rsidR="00555C06" w:rsidRPr="00BE2843" w:rsidP="00555C06" w14:paraId="068B4F20" w14:textId="7BAB7473">
      <w:pPr>
        <w:pStyle w:val="FootnoteText"/>
        <w:rPr>
          <w:iCs/>
        </w:rPr>
      </w:pPr>
      <w:r>
        <w:rPr>
          <w:rStyle w:val="FootnoteReference"/>
        </w:rPr>
        <w:footnoteRef/>
      </w:r>
      <w:r>
        <w:t xml:space="preserve"> </w:t>
      </w:r>
      <w:r>
        <w:rPr>
          <w:i/>
        </w:rPr>
        <w:t>See</w:t>
      </w:r>
      <w:r w:rsidR="0042225E">
        <w:rPr>
          <w:i/>
        </w:rPr>
        <w:t xml:space="preserve"> Hawkins Broadcasting Company</w:t>
      </w:r>
      <w:r w:rsidR="0042225E">
        <w:rPr>
          <w:iCs/>
        </w:rPr>
        <w:t>,</w:t>
      </w:r>
      <w:r w:rsidR="00A5143F">
        <w:rPr>
          <w:iCs/>
        </w:rPr>
        <w:t xml:space="preserve"> Forfeiture Order,</w:t>
      </w:r>
      <w:r w:rsidR="0042225E">
        <w:rPr>
          <w:iCs/>
        </w:rPr>
        <w:t xml:space="preserve"> </w:t>
      </w:r>
      <w:r w:rsidR="00CE5DE1">
        <w:rPr>
          <w:iCs/>
        </w:rPr>
        <w:t xml:space="preserve">25 FCC </w:t>
      </w:r>
      <w:r w:rsidR="00CE5DE1">
        <w:rPr>
          <w:iCs/>
        </w:rPr>
        <w:t>Rcd</w:t>
      </w:r>
      <w:r w:rsidR="00CE5DE1">
        <w:rPr>
          <w:iCs/>
        </w:rPr>
        <w:t xml:space="preserve"> 12519, 12521 (MB</w:t>
      </w:r>
      <w:r w:rsidR="00BE2843">
        <w:rPr>
          <w:iCs/>
        </w:rPr>
        <w:t xml:space="preserve"> 2010)</w:t>
      </w:r>
      <w:r w:rsidR="00E17F04">
        <w:rPr>
          <w:iCs/>
        </w:rPr>
        <w:t xml:space="preserve"> (</w:t>
      </w:r>
      <w:r w:rsidR="00D10256">
        <w:rPr>
          <w:iCs/>
        </w:rPr>
        <w:t>reducing a forfeiture</w:t>
      </w:r>
      <w:r w:rsidR="007F1E21">
        <w:rPr>
          <w:iCs/>
        </w:rPr>
        <w:t xml:space="preserve"> amount from $7,000 to $4,000 where the proposed forfeiture amount would have constituted approximately </w:t>
      </w:r>
      <w:r w:rsidR="00237984">
        <w:rPr>
          <w:iCs/>
        </w:rPr>
        <w:t xml:space="preserve">7 percent of the licensee’s average gross revenues and licensee operated </w:t>
      </w:r>
      <w:r w:rsidR="0053688B">
        <w:rPr>
          <w:iCs/>
        </w:rPr>
        <w:t xml:space="preserve">with </w:t>
      </w:r>
      <w:r w:rsidR="00F976F4">
        <w:rPr>
          <w:iCs/>
        </w:rPr>
        <w:t>significant loss</w:t>
      </w:r>
      <w:r w:rsidR="0053688B">
        <w:rPr>
          <w:iCs/>
        </w:rPr>
        <w:t>)</w:t>
      </w:r>
      <w:r w:rsidR="00BE2843">
        <w:rPr>
          <w:iCs/>
        </w:rPr>
        <w:t>, citing</w:t>
      </w:r>
      <w:r>
        <w:rPr>
          <w:i/>
        </w:rPr>
        <w:t xml:space="preserve"> CARE Broadcasting, Inc.</w:t>
      </w:r>
      <w:r>
        <w:t xml:space="preserve">, </w:t>
      </w:r>
      <w:r>
        <w:rPr>
          <w:bCs/>
        </w:rPr>
        <w:t xml:space="preserve">Forfeiture Order, 24 FCC </w:t>
      </w:r>
      <w:r>
        <w:rPr>
          <w:bCs/>
        </w:rPr>
        <w:t>Rcd</w:t>
      </w:r>
      <w:r>
        <w:rPr>
          <w:bCs/>
        </w:rPr>
        <w:t xml:space="preserve"> 1411 (MB 2010) (reducing forfeiture amount from $14,000 to $3,400 where the proposed forfeiture amount would have constituted approximately 11 percent of Licensee’s average gross revenues).</w:t>
      </w:r>
    </w:p>
  </w:footnote>
  <w:footnote w:id="23">
    <w:p w:rsidR="006E2BE3" w14:paraId="247E6B05" w14:textId="3EDBEB0D">
      <w:pPr>
        <w:pStyle w:val="FootnoteText"/>
      </w:pPr>
      <w:r>
        <w:rPr>
          <w:rStyle w:val="FootnoteReference"/>
        </w:rPr>
        <w:footnoteRef/>
      </w:r>
      <w:r>
        <w:t xml:space="preserve"> Section 312(f)(1) of the Act defines “willful” as “the conscious and deliberate commission or omission of [any] act, irrespective of any intent to violate” the law.  47 U.S.C. § 312(f)(1).  The legislative history of section 312(f)(1) of the Act clarifies that this definition of willful applies to Sections 312 and 503(b) of the Act, H.R. REP. No. 97-765, 51 (Conf. Rep.), and the Commission has so interpreted the terms in the Section 503(b) context.  </w:t>
      </w:r>
      <w:r>
        <w:rPr>
          <w:i/>
        </w:rPr>
        <w:t xml:space="preserve">See </w:t>
      </w:r>
      <w:r>
        <w:rPr>
          <w:i/>
          <w:iCs/>
        </w:rPr>
        <w:t>Southern California</w:t>
      </w:r>
      <w:r w:rsidR="00335A80">
        <w:rPr>
          <w:i/>
          <w:iCs/>
        </w:rPr>
        <w:t xml:space="preserve"> Broadcasting Company</w:t>
      </w:r>
      <w:r>
        <w:t xml:space="preserve">, </w:t>
      </w:r>
      <w:r w:rsidR="00335A80">
        <w:t xml:space="preserve">Memorandum Opinion and Order, </w:t>
      </w:r>
      <w:r>
        <w:t xml:space="preserve">6 FCC </w:t>
      </w:r>
      <w:r>
        <w:t>Rcd</w:t>
      </w:r>
      <w:r>
        <w:t xml:space="preserve"> 4387</w:t>
      </w:r>
      <w:r w:rsidR="00335A80">
        <w:t>, 4387</w:t>
      </w:r>
      <w:r>
        <w:t>-88</w:t>
      </w:r>
      <w:r w:rsidR="00335A80">
        <w:t xml:space="preserve"> (1991) (</w:t>
      </w:r>
      <w:r w:rsidR="00335A80">
        <w:rPr>
          <w:i/>
          <w:iCs/>
        </w:rPr>
        <w:t>Southern California</w:t>
      </w:r>
      <w:r w:rsidR="00335A80">
        <w:t>)</w:t>
      </w:r>
      <w:r>
        <w:t>.</w:t>
      </w:r>
    </w:p>
  </w:footnote>
  <w:footnote w:id="24">
    <w:p w:rsidR="005626C9" w:rsidP="005626C9" w14:paraId="6A52A3D2" w14:textId="34A06A2E">
      <w:pPr>
        <w:pStyle w:val="FootnoteText"/>
      </w:pPr>
      <w:r>
        <w:rPr>
          <w:rStyle w:val="FootnoteReference"/>
        </w:rPr>
        <w:footnoteRef/>
      </w:r>
      <w:r>
        <w:t xml:space="preserve"> Section 312(f)(2) of the Act defines “repeated” as “the commission or omission of [any] act more than once or, if such commission or omission is continuous, for more than one day.” 47 U.S.C. § 312(f)(2).  </w:t>
      </w:r>
      <w:r>
        <w:rPr>
          <w:i/>
        </w:rPr>
        <w:t>See also Southern California</w:t>
      </w:r>
      <w:r>
        <w:t xml:space="preserve">, 6 FCC </w:t>
      </w:r>
      <w:r>
        <w:t>Rcd</w:t>
      </w:r>
      <w:r>
        <w:t xml:space="preserve"> at 4388 (applying this definition of repeated to Sections 312 and 503(b) of the Act).</w:t>
      </w:r>
    </w:p>
  </w:footnote>
  <w:footnote w:id="25">
    <w:p w:rsidR="005626C9" w:rsidP="005626C9" w14:paraId="217EDCA8" w14:textId="77777777">
      <w:pPr>
        <w:pStyle w:val="FootnoteText"/>
      </w:pPr>
      <w:r>
        <w:rPr>
          <w:rStyle w:val="FootnoteReference"/>
        </w:rPr>
        <w:footnoteRef/>
      </w:r>
      <w:r>
        <w:t xml:space="preserve"> 47 CFR § 74.</w:t>
      </w:r>
      <w:r w:rsidR="00C76FA1">
        <w:t>788 and 47 U.S.C. § 301</w:t>
      </w:r>
      <w:r w:rsidR="009C4870">
        <w:t>.</w:t>
      </w:r>
    </w:p>
  </w:footnote>
  <w:footnote w:id="26">
    <w:p w:rsidR="00920489" w:rsidP="00920489" w14:paraId="167F8729" w14:textId="77777777">
      <w:pPr>
        <w:pStyle w:val="FootnoteText"/>
      </w:pPr>
      <w:r>
        <w:rPr>
          <w:rStyle w:val="FootnoteReference"/>
        </w:rPr>
        <w:footnoteRef/>
      </w:r>
      <w:r>
        <w:t xml:space="preserve"> 47 U.S.C. § 503(b); 47 C.F.R. §§ 0.283, 1.80.</w:t>
      </w:r>
    </w:p>
  </w:footnote>
  <w:footnote w:id="27">
    <w:p w:rsidR="00B06453" w14:paraId="454BCA82" w14:textId="4BB12A54">
      <w:pPr>
        <w:pStyle w:val="FootnoteText"/>
      </w:pPr>
      <w:r>
        <w:rPr>
          <w:rStyle w:val="FootnoteReference"/>
        </w:rPr>
        <w:footnoteRef/>
      </w:r>
      <w:r>
        <w:t xml:space="preserve"> Broken down this comes to </w:t>
      </w:r>
      <w:r w:rsidR="005E6C01">
        <w:t>o</w:t>
      </w:r>
      <w:r>
        <w:t xml:space="preserve">ne </w:t>
      </w:r>
      <w:r w:rsidR="005E6C01">
        <w:t>t</w:t>
      </w:r>
      <w:r>
        <w:t xml:space="preserve">housand, </w:t>
      </w:r>
      <w:r w:rsidR="005E6C01">
        <w:t>s</w:t>
      </w:r>
      <w:r>
        <w:t xml:space="preserve">even </w:t>
      </w:r>
      <w:r w:rsidR="005E6C01">
        <w:t>h</w:t>
      </w:r>
      <w:r>
        <w:t xml:space="preserve">undred </w:t>
      </w:r>
      <w:r w:rsidR="005E6C01">
        <w:t>d</w:t>
      </w:r>
      <w:r>
        <w:t xml:space="preserve">ollars ($1,700) per station. </w:t>
      </w:r>
    </w:p>
  </w:footnote>
  <w:footnote w:id="28">
    <w:p w:rsidR="00FC463C" w:rsidRPr="00514C8E" w:rsidP="00FC463C" w14:paraId="5DFAEB7D"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9">
    <w:p w:rsidR="00FC463C" w:rsidRPr="00514C8E" w:rsidP="00FC463C" w14:paraId="7E291211"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0">
    <w:p w:rsidR="0072020B" w:rsidRPr="00514C8E" w:rsidP="0072020B" w14:paraId="549A7EF1"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8E" w14:textId="3B1011E0">
    <w:pPr>
      <w:pStyle w:val="Header"/>
      <w:rPr>
        <w:b w:val="0"/>
      </w:rPr>
    </w:pPr>
    <w:r>
      <w:tab/>
      <w:t>Federal Communications Commission</w:t>
    </w:r>
    <w:r>
      <w:tab/>
    </w:r>
    <w:r w:rsidR="00420D78">
      <w:t xml:space="preserve">DA </w:t>
    </w:r>
    <w:r w:rsidR="002D062A">
      <w:t>22</w:t>
    </w:r>
    <w:r w:rsidR="00420D78">
      <w:t>-</w:t>
    </w:r>
    <w:r w:rsidR="00B0004D">
      <w:t>1143</w:t>
    </w:r>
  </w:p>
  <w:p w:rsidR="00A35A37" w14:paraId="3C8FD68F" w14:textId="6A233C3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35A37" w14:paraId="3C8FD6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95" w14:textId="30FA261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264785">
      <w:tab/>
      <w:t>Federal Communications Commission</w:t>
    </w:r>
    <w:r w:rsidR="00264785">
      <w:tab/>
    </w:r>
    <w:r w:rsidR="00E609ED">
      <w:rPr>
        <w:spacing w:val="-2"/>
      </w:rPr>
      <w:t xml:space="preserve">DA </w:t>
    </w:r>
    <w:r w:rsidR="00264785">
      <w:rPr>
        <w:spacing w:val="-2"/>
      </w:rPr>
      <w:t>22-</w:t>
    </w:r>
    <w:r w:rsidR="00B0004D">
      <w:rPr>
        <w:spacing w:val="-2"/>
      </w:rPr>
      <w:t>1143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881ECC"/>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5"/>
  </w:num>
  <w:num w:numId="4">
    <w:abstractNumId w:val="7"/>
  </w:num>
  <w:num w:numId="5">
    <w:abstractNumId w:val="2"/>
  </w:num>
  <w:num w:numId="6">
    <w:abstractNumId w:val="0"/>
  </w:num>
  <w:num w:numId="7">
    <w:abstractNumId w:val="8"/>
    <w:lvlOverride w:ilvl="0">
      <w:startOverride w:val="1"/>
    </w:lvlOverride>
  </w:num>
  <w:num w:numId="8">
    <w:abstractNumId w:val="8"/>
    <w:lvlOverride w:ilvl="0">
      <w:startOverride w:val="1"/>
    </w:lvlOverride>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4"/>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7CF"/>
    <w:rsid w:val="00035EC6"/>
    <w:rsid w:val="00036039"/>
    <w:rsid w:val="00036411"/>
    <w:rsid w:val="00037F90"/>
    <w:rsid w:val="00043678"/>
    <w:rsid w:val="00045E14"/>
    <w:rsid w:val="00053D65"/>
    <w:rsid w:val="00054D5A"/>
    <w:rsid w:val="00063EEE"/>
    <w:rsid w:val="000654EE"/>
    <w:rsid w:val="000725CB"/>
    <w:rsid w:val="000820BC"/>
    <w:rsid w:val="000875BF"/>
    <w:rsid w:val="000901F8"/>
    <w:rsid w:val="00096D8C"/>
    <w:rsid w:val="000A3596"/>
    <w:rsid w:val="000A4DEF"/>
    <w:rsid w:val="000B6193"/>
    <w:rsid w:val="000C0B65"/>
    <w:rsid w:val="000C50F6"/>
    <w:rsid w:val="000C7413"/>
    <w:rsid w:val="000D1113"/>
    <w:rsid w:val="000D54FB"/>
    <w:rsid w:val="000E05FE"/>
    <w:rsid w:val="000E1603"/>
    <w:rsid w:val="000E3D42"/>
    <w:rsid w:val="000F0BCB"/>
    <w:rsid w:val="001048C9"/>
    <w:rsid w:val="001058BC"/>
    <w:rsid w:val="001172AD"/>
    <w:rsid w:val="00122BD5"/>
    <w:rsid w:val="0012588F"/>
    <w:rsid w:val="00126C67"/>
    <w:rsid w:val="00133F79"/>
    <w:rsid w:val="0013711B"/>
    <w:rsid w:val="00176F14"/>
    <w:rsid w:val="00183402"/>
    <w:rsid w:val="00194A66"/>
    <w:rsid w:val="00196E45"/>
    <w:rsid w:val="001D4BEC"/>
    <w:rsid w:val="001D5806"/>
    <w:rsid w:val="001D6BCF"/>
    <w:rsid w:val="001E01CA"/>
    <w:rsid w:val="001E369A"/>
    <w:rsid w:val="002007ED"/>
    <w:rsid w:val="002061F7"/>
    <w:rsid w:val="00231F60"/>
    <w:rsid w:val="002340A4"/>
    <w:rsid w:val="00237984"/>
    <w:rsid w:val="00241692"/>
    <w:rsid w:val="00252C1A"/>
    <w:rsid w:val="002546D1"/>
    <w:rsid w:val="00264785"/>
    <w:rsid w:val="00272DD9"/>
    <w:rsid w:val="00275CF5"/>
    <w:rsid w:val="00276A0A"/>
    <w:rsid w:val="00282131"/>
    <w:rsid w:val="0028301F"/>
    <w:rsid w:val="00285017"/>
    <w:rsid w:val="00285AC6"/>
    <w:rsid w:val="002A2D2E"/>
    <w:rsid w:val="002C00E8"/>
    <w:rsid w:val="002D062A"/>
    <w:rsid w:val="002E733C"/>
    <w:rsid w:val="003066D8"/>
    <w:rsid w:val="003121A2"/>
    <w:rsid w:val="0032346C"/>
    <w:rsid w:val="00335A80"/>
    <w:rsid w:val="003374BB"/>
    <w:rsid w:val="00343749"/>
    <w:rsid w:val="003660ED"/>
    <w:rsid w:val="00382CE9"/>
    <w:rsid w:val="003B0550"/>
    <w:rsid w:val="003B25BD"/>
    <w:rsid w:val="003B694F"/>
    <w:rsid w:val="003D16D8"/>
    <w:rsid w:val="003F1059"/>
    <w:rsid w:val="003F171C"/>
    <w:rsid w:val="00410459"/>
    <w:rsid w:val="00412FC5"/>
    <w:rsid w:val="004146E1"/>
    <w:rsid w:val="00415116"/>
    <w:rsid w:val="00416163"/>
    <w:rsid w:val="00420D78"/>
    <w:rsid w:val="0042225E"/>
    <w:rsid w:val="00422276"/>
    <w:rsid w:val="004242F1"/>
    <w:rsid w:val="004303B8"/>
    <w:rsid w:val="00445A00"/>
    <w:rsid w:val="00451B0F"/>
    <w:rsid w:val="00462660"/>
    <w:rsid w:val="00474268"/>
    <w:rsid w:val="00483113"/>
    <w:rsid w:val="00487B18"/>
    <w:rsid w:val="004C2EE3"/>
    <w:rsid w:val="004D0B01"/>
    <w:rsid w:val="004E4A22"/>
    <w:rsid w:val="005034CF"/>
    <w:rsid w:val="00506331"/>
    <w:rsid w:val="00506A53"/>
    <w:rsid w:val="00511968"/>
    <w:rsid w:val="00514C8E"/>
    <w:rsid w:val="0052085F"/>
    <w:rsid w:val="00535AA0"/>
    <w:rsid w:val="0053688B"/>
    <w:rsid w:val="00555C06"/>
    <w:rsid w:val="00555D44"/>
    <w:rsid w:val="0055614C"/>
    <w:rsid w:val="005626C9"/>
    <w:rsid w:val="00566D06"/>
    <w:rsid w:val="00566F7E"/>
    <w:rsid w:val="005A3217"/>
    <w:rsid w:val="005E0432"/>
    <w:rsid w:val="005E14C2"/>
    <w:rsid w:val="005E1C7E"/>
    <w:rsid w:val="005E6C01"/>
    <w:rsid w:val="00607BA5"/>
    <w:rsid w:val="00607DF7"/>
    <w:rsid w:val="0061180A"/>
    <w:rsid w:val="00611C6A"/>
    <w:rsid w:val="00623E30"/>
    <w:rsid w:val="00626EB6"/>
    <w:rsid w:val="006347F7"/>
    <w:rsid w:val="00635DDC"/>
    <w:rsid w:val="00647EF0"/>
    <w:rsid w:val="00655D03"/>
    <w:rsid w:val="006617ED"/>
    <w:rsid w:val="00683388"/>
    <w:rsid w:val="00683563"/>
    <w:rsid w:val="00683F84"/>
    <w:rsid w:val="00691A6F"/>
    <w:rsid w:val="0069401C"/>
    <w:rsid w:val="006A431C"/>
    <w:rsid w:val="006A6A81"/>
    <w:rsid w:val="006B3281"/>
    <w:rsid w:val="006B6469"/>
    <w:rsid w:val="006E2BE3"/>
    <w:rsid w:val="006F5704"/>
    <w:rsid w:val="006F7393"/>
    <w:rsid w:val="00700C1E"/>
    <w:rsid w:val="0070224F"/>
    <w:rsid w:val="007115F7"/>
    <w:rsid w:val="00714E25"/>
    <w:rsid w:val="007173FF"/>
    <w:rsid w:val="0072020B"/>
    <w:rsid w:val="00721969"/>
    <w:rsid w:val="0072332E"/>
    <w:rsid w:val="007401B4"/>
    <w:rsid w:val="00740764"/>
    <w:rsid w:val="00751713"/>
    <w:rsid w:val="00753680"/>
    <w:rsid w:val="00762D04"/>
    <w:rsid w:val="00780BEF"/>
    <w:rsid w:val="00785689"/>
    <w:rsid w:val="007907DD"/>
    <w:rsid w:val="00794906"/>
    <w:rsid w:val="00796C43"/>
    <w:rsid w:val="0079754B"/>
    <w:rsid w:val="007A1E6D"/>
    <w:rsid w:val="007A3A02"/>
    <w:rsid w:val="007B0EB2"/>
    <w:rsid w:val="007B0F67"/>
    <w:rsid w:val="007B26A7"/>
    <w:rsid w:val="007B307A"/>
    <w:rsid w:val="007C21B5"/>
    <w:rsid w:val="007C615C"/>
    <w:rsid w:val="007C7079"/>
    <w:rsid w:val="007D14F1"/>
    <w:rsid w:val="007F1E21"/>
    <w:rsid w:val="007F3488"/>
    <w:rsid w:val="00800212"/>
    <w:rsid w:val="00810B6F"/>
    <w:rsid w:val="00822A61"/>
    <w:rsid w:val="00822CE0"/>
    <w:rsid w:val="00841AB1"/>
    <w:rsid w:val="00847642"/>
    <w:rsid w:val="008569C1"/>
    <w:rsid w:val="00872C28"/>
    <w:rsid w:val="0089279E"/>
    <w:rsid w:val="00896067"/>
    <w:rsid w:val="00897E68"/>
    <w:rsid w:val="00897F62"/>
    <w:rsid w:val="008A1320"/>
    <w:rsid w:val="008A4E03"/>
    <w:rsid w:val="008A7897"/>
    <w:rsid w:val="008A7B15"/>
    <w:rsid w:val="008B7BD6"/>
    <w:rsid w:val="008C2BCD"/>
    <w:rsid w:val="008C67E4"/>
    <w:rsid w:val="008C68F1"/>
    <w:rsid w:val="008D2163"/>
    <w:rsid w:val="008D7833"/>
    <w:rsid w:val="008E13B0"/>
    <w:rsid w:val="008E69DD"/>
    <w:rsid w:val="008F3ACB"/>
    <w:rsid w:val="008F7DBB"/>
    <w:rsid w:val="00904263"/>
    <w:rsid w:val="00907B92"/>
    <w:rsid w:val="009131B2"/>
    <w:rsid w:val="00920489"/>
    <w:rsid w:val="00921803"/>
    <w:rsid w:val="00926503"/>
    <w:rsid w:val="00935865"/>
    <w:rsid w:val="0094066C"/>
    <w:rsid w:val="009556B5"/>
    <w:rsid w:val="009563AA"/>
    <w:rsid w:val="009724F1"/>
    <w:rsid w:val="009726D8"/>
    <w:rsid w:val="00975D6A"/>
    <w:rsid w:val="00981685"/>
    <w:rsid w:val="0098544D"/>
    <w:rsid w:val="009A4A76"/>
    <w:rsid w:val="009B790E"/>
    <w:rsid w:val="009C4870"/>
    <w:rsid w:val="009D02C8"/>
    <w:rsid w:val="009D7308"/>
    <w:rsid w:val="009E1AAE"/>
    <w:rsid w:val="009E1D06"/>
    <w:rsid w:val="009F76DB"/>
    <w:rsid w:val="00A02420"/>
    <w:rsid w:val="00A30F82"/>
    <w:rsid w:val="00A32C3B"/>
    <w:rsid w:val="00A35A37"/>
    <w:rsid w:val="00A41574"/>
    <w:rsid w:val="00A4217E"/>
    <w:rsid w:val="00A45F4F"/>
    <w:rsid w:val="00A5143F"/>
    <w:rsid w:val="00A600A9"/>
    <w:rsid w:val="00A77AB0"/>
    <w:rsid w:val="00A8173D"/>
    <w:rsid w:val="00A82BD2"/>
    <w:rsid w:val="00A87645"/>
    <w:rsid w:val="00A94C43"/>
    <w:rsid w:val="00AA2FE8"/>
    <w:rsid w:val="00AA55B7"/>
    <w:rsid w:val="00AA5B9E"/>
    <w:rsid w:val="00AB0C6F"/>
    <w:rsid w:val="00AB2407"/>
    <w:rsid w:val="00AB53DF"/>
    <w:rsid w:val="00AC51C7"/>
    <w:rsid w:val="00AD5028"/>
    <w:rsid w:val="00B0004D"/>
    <w:rsid w:val="00B048A6"/>
    <w:rsid w:val="00B06453"/>
    <w:rsid w:val="00B07E5C"/>
    <w:rsid w:val="00B16540"/>
    <w:rsid w:val="00B24633"/>
    <w:rsid w:val="00B33D26"/>
    <w:rsid w:val="00B62ED1"/>
    <w:rsid w:val="00B749BC"/>
    <w:rsid w:val="00B811F7"/>
    <w:rsid w:val="00B815CB"/>
    <w:rsid w:val="00B9477C"/>
    <w:rsid w:val="00BA5DC6"/>
    <w:rsid w:val="00BA6196"/>
    <w:rsid w:val="00BC6D8C"/>
    <w:rsid w:val="00BE2843"/>
    <w:rsid w:val="00BE60E9"/>
    <w:rsid w:val="00BF125A"/>
    <w:rsid w:val="00BF1525"/>
    <w:rsid w:val="00C11997"/>
    <w:rsid w:val="00C34006"/>
    <w:rsid w:val="00C36B4C"/>
    <w:rsid w:val="00C36FF4"/>
    <w:rsid w:val="00C426B1"/>
    <w:rsid w:val="00C61D17"/>
    <w:rsid w:val="00C63228"/>
    <w:rsid w:val="00C66160"/>
    <w:rsid w:val="00C721AC"/>
    <w:rsid w:val="00C733D7"/>
    <w:rsid w:val="00C76547"/>
    <w:rsid w:val="00C76FA1"/>
    <w:rsid w:val="00C90D6A"/>
    <w:rsid w:val="00C9230A"/>
    <w:rsid w:val="00CA247E"/>
    <w:rsid w:val="00CA2DEB"/>
    <w:rsid w:val="00CA6D21"/>
    <w:rsid w:val="00CB2BFE"/>
    <w:rsid w:val="00CB2C01"/>
    <w:rsid w:val="00CB34AF"/>
    <w:rsid w:val="00CB6F67"/>
    <w:rsid w:val="00CC03DE"/>
    <w:rsid w:val="00CC72B6"/>
    <w:rsid w:val="00CE5DE1"/>
    <w:rsid w:val="00CF0BDA"/>
    <w:rsid w:val="00CF322B"/>
    <w:rsid w:val="00D0218D"/>
    <w:rsid w:val="00D10256"/>
    <w:rsid w:val="00D17789"/>
    <w:rsid w:val="00D25FB5"/>
    <w:rsid w:val="00D33C3D"/>
    <w:rsid w:val="00D37815"/>
    <w:rsid w:val="00D426DF"/>
    <w:rsid w:val="00D4296A"/>
    <w:rsid w:val="00D44223"/>
    <w:rsid w:val="00D60218"/>
    <w:rsid w:val="00D61EA0"/>
    <w:rsid w:val="00D677BC"/>
    <w:rsid w:val="00D7256D"/>
    <w:rsid w:val="00D7716E"/>
    <w:rsid w:val="00D82EEE"/>
    <w:rsid w:val="00DA2529"/>
    <w:rsid w:val="00DB130A"/>
    <w:rsid w:val="00DB2EBB"/>
    <w:rsid w:val="00DC10A1"/>
    <w:rsid w:val="00DC3C7D"/>
    <w:rsid w:val="00DC4C48"/>
    <w:rsid w:val="00DC655F"/>
    <w:rsid w:val="00DD0B59"/>
    <w:rsid w:val="00DD7EBD"/>
    <w:rsid w:val="00DE156A"/>
    <w:rsid w:val="00DF11EA"/>
    <w:rsid w:val="00DF62B6"/>
    <w:rsid w:val="00DF7F44"/>
    <w:rsid w:val="00E023CC"/>
    <w:rsid w:val="00E07225"/>
    <w:rsid w:val="00E07574"/>
    <w:rsid w:val="00E1189A"/>
    <w:rsid w:val="00E132B8"/>
    <w:rsid w:val="00E17F04"/>
    <w:rsid w:val="00E40B0F"/>
    <w:rsid w:val="00E442F4"/>
    <w:rsid w:val="00E5409F"/>
    <w:rsid w:val="00E56A44"/>
    <w:rsid w:val="00E609ED"/>
    <w:rsid w:val="00E60C96"/>
    <w:rsid w:val="00E829EB"/>
    <w:rsid w:val="00E84127"/>
    <w:rsid w:val="00E93516"/>
    <w:rsid w:val="00EC2D9D"/>
    <w:rsid w:val="00ED25F4"/>
    <w:rsid w:val="00EE1335"/>
    <w:rsid w:val="00EE46E6"/>
    <w:rsid w:val="00EE6488"/>
    <w:rsid w:val="00EF143D"/>
    <w:rsid w:val="00EF5DBB"/>
    <w:rsid w:val="00F021FA"/>
    <w:rsid w:val="00F15CAF"/>
    <w:rsid w:val="00F17133"/>
    <w:rsid w:val="00F41D41"/>
    <w:rsid w:val="00F46FBC"/>
    <w:rsid w:val="00F62E97"/>
    <w:rsid w:val="00F64209"/>
    <w:rsid w:val="00F72499"/>
    <w:rsid w:val="00F7571E"/>
    <w:rsid w:val="00F93BF5"/>
    <w:rsid w:val="00F9447E"/>
    <w:rsid w:val="00F976F4"/>
    <w:rsid w:val="00FB1D0D"/>
    <w:rsid w:val="00FC3DBA"/>
    <w:rsid w:val="00FC463C"/>
    <w:rsid w:val="00FC4AB3"/>
    <w:rsid w:val="00FD3076"/>
    <w:rsid w:val="00FF7C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8FD656"/>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2B"/>
    <w:pPr>
      <w:widowControl w:val="0"/>
    </w:pPr>
    <w:rPr>
      <w:snapToGrid w:val="0"/>
      <w:kern w:val="28"/>
      <w:sz w:val="22"/>
    </w:rPr>
  </w:style>
  <w:style w:type="paragraph" w:styleId="Heading1">
    <w:name w:val="heading 1"/>
    <w:basedOn w:val="Normal"/>
    <w:next w:val="ParaNum"/>
    <w:qFormat/>
    <w:rsid w:val="00CF322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F322B"/>
    <w:pPr>
      <w:keepNext/>
      <w:numPr>
        <w:ilvl w:val="1"/>
        <w:numId w:val="3"/>
      </w:numPr>
      <w:spacing w:after="120"/>
      <w:outlineLvl w:val="1"/>
    </w:pPr>
    <w:rPr>
      <w:b/>
    </w:rPr>
  </w:style>
  <w:style w:type="paragraph" w:styleId="Heading3">
    <w:name w:val="heading 3"/>
    <w:basedOn w:val="Normal"/>
    <w:next w:val="ParaNum"/>
    <w:qFormat/>
    <w:rsid w:val="00CF322B"/>
    <w:pPr>
      <w:keepNext/>
      <w:numPr>
        <w:ilvl w:val="2"/>
        <w:numId w:val="3"/>
      </w:numPr>
      <w:tabs>
        <w:tab w:val="left" w:pos="2160"/>
      </w:tabs>
      <w:spacing w:after="120"/>
      <w:outlineLvl w:val="2"/>
    </w:pPr>
    <w:rPr>
      <w:b/>
    </w:rPr>
  </w:style>
  <w:style w:type="paragraph" w:styleId="Heading4">
    <w:name w:val="heading 4"/>
    <w:basedOn w:val="Normal"/>
    <w:next w:val="ParaNum"/>
    <w:qFormat/>
    <w:rsid w:val="00CF322B"/>
    <w:pPr>
      <w:keepNext/>
      <w:numPr>
        <w:ilvl w:val="3"/>
        <w:numId w:val="3"/>
      </w:numPr>
      <w:tabs>
        <w:tab w:val="left" w:pos="2880"/>
      </w:tabs>
      <w:spacing w:after="120"/>
      <w:outlineLvl w:val="3"/>
    </w:pPr>
    <w:rPr>
      <w:b/>
    </w:rPr>
  </w:style>
  <w:style w:type="paragraph" w:styleId="Heading5">
    <w:name w:val="heading 5"/>
    <w:basedOn w:val="Normal"/>
    <w:next w:val="ParaNum"/>
    <w:qFormat/>
    <w:rsid w:val="00CF322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F322B"/>
    <w:pPr>
      <w:numPr>
        <w:ilvl w:val="5"/>
        <w:numId w:val="3"/>
      </w:numPr>
      <w:tabs>
        <w:tab w:val="left" w:pos="4320"/>
      </w:tabs>
      <w:spacing w:after="120"/>
      <w:outlineLvl w:val="5"/>
    </w:pPr>
    <w:rPr>
      <w:b/>
    </w:rPr>
  </w:style>
  <w:style w:type="paragraph" w:styleId="Heading7">
    <w:name w:val="heading 7"/>
    <w:basedOn w:val="Normal"/>
    <w:next w:val="ParaNum"/>
    <w:qFormat/>
    <w:rsid w:val="00CF322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F322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F322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32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322B"/>
  </w:style>
  <w:style w:type="paragraph" w:customStyle="1" w:styleId="ParaNum">
    <w:name w:val="ParaNum"/>
    <w:basedOn w:val="Normal"/>
    <w:link w:val="ParaNumChar"/>
    <w:rsid w:val="00CF322B"/>
    <w:pPr>
      <w:numPr>
        <w:numId w:val="2"/>
      </w:numPr>
      <w:tabs>
        <w:tab w:val="clear" w:pos="1080"/>
        <w:tab w:val="num" w:pos="1440"/>
      </w:tabs>
      <w:spacing w:after="120"/>
    </w:pPr>
  </w:style>
  <w:style w:type="paragraph" w:styleId="EndnoteText">
    <w:name w:val="endnote text"/>
    <w:basedOn w:val="Normal"/>
    <w:semiHidden/>
    <w:rsid w:val="00CF322B"/>
    <w:rPr>
      <w:sz w:val="20"/>
    </w:rPr>
  </w:style>
  <w:style w:type="character" w:styleId="EndnoteReference">
    <w:name w:val="endnote reference"/>
    <w:semiHidden/>
    <w:rsid w:val="00CF322B"/>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CF322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F322B"/>
    <w:rPr>
      <w:rFonts w:ascii="Times New Roman" w:hAnsi="Times New Roman"/>
      <w:dstrike w:val="0"/>
      <w:color w:val="auto"/>
      <w:sz w:val="20"/>
      <w:vertAlign w:val="superscript"/>
    </w:rPr>
  </w:style>
  <w:style w:type="paragraph" w:styleId="TOC1">
    <w:name w:val="toc 1"/>
    <w:basedOn w:val="Normal"/>
    <w:next w:val="Normal"/>
    <w:semiHidden/>
    <w:rsid w:val="00CF32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322B"/>
    <w:pPr>
      <w:tabs>
        <w:tab w:val="left" w:pos="720"/>
        <w:tab w:val="right" w:leader="dot" w:pos="9360"/>
      </w:tabs>
      <w:suppressAutoHyphens/>
      <w:ind w:left="720" w:right="720" w:hanging="360"/>
    </w:pPr>
    <w:rPr>
      <w:noProof/>
    </w:rPr>
  </w:style>
  <w:style w:type="paragraph" w:styleId="TOC3">
    <w:name w:val="toc 3"/>
    <w:basedOn w:val="Normal"/>
    <w:next w:val="Normal"/>
    <w:semiHidden/>
    <w:rsid w:val="00CF32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32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32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32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32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32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322B"/>
    <w:pPr>
      <w:tabs>
        <w:tab w:val="left" w:pos="3240"/>
        <w:tab w:val="right" w:leader="dot" w:pos="9360"/>
      </w:tabs>
      <w:suppressAutoHyphens/>
      <w:ind w:left="3240" w:hanging="360"/>
    </w:pPr>
    <w:rPr>
      <w:noProof/>
    </w:rPr>
  </w:style>
  <w:style w:type="paragraph" w:styleId="TOAHeading">
    <w:name w:val="toa heading"/>
    <w:basedOn w:val="Normal"/>
    <w:next w:val="Normal"/>
    <w:rsid w:val="00CF322B"/>
    <w:pPr>
      <w:tabs>
        <w:tab w:val="right" w:pos="9360"/>
      </w:tabs>
      <w:suppressAutoHyphens/>
    </w:pPr>
  </w:style>
  <w:style w:type="character" w:customStyle="1" w:styleId="EquationCaption">
    <w:name w:val="_Equation Caption"/>
    <w:rsid w:val="00CF322B"/>
  </w:style>
  <w:style w:type="paragraph" w:styleId="Header">
    <w:name w:val="header"/>
    <w:basedOn w:val="Normal"/>
    <w:autoRedefine/>
    <w:rsid w:val="00CF322B"/>
    <w:pPr>
      <w:tabs>
        <w:tab w:val="center" w:pos="4680"/>
        <w:tab w:val="right" w:pos="9360"/>
      </w:tabs>
    </w:pPr>
    <w:rPr>
      <w:b/>
    </w:rPr>
  </w:style>
  <w:style w:type="paragraph" w:styleId="Footer">
    <w:name w:val="footer"/>
    <w:basedOn w:val="Normal"/>
    <w:link w:val="FooterChar"/>
    <w:uiPriority w:val="99"/>
    <w:rsid w:val="00CF322B"/>
    <w:pPr>
      <w:tabs>
        <w:tab w:val="center" w:pos="4320"/>
        <w:tab w:val="right" w:pos="8640"/>
      </w:tabs>
    </w:pPr>
  </w:style>
  <w:style w:type="character" w:styleId="PageNumber">
    <w:name w:val="page number"/>
    <w:basedOn w:val="DefaultParagraphFont"/>
    <w:rsid w:val="00CF322B"/>
  </w:style>
  <w:style w:type="paragraph" w:styleId="BlockText">
    <w:name w:val="Block Text"/>
    <w:basedOn w:val="Normal"/>
    <w:rsid w:val="00CF322B"/>
    <w:pPr>
      <w:spacing w:after="240"/>
      <w:ind w:left="1440" w:right="1440"/>
    </w:pPr>
  </w:style>
  <w:style w:type="paragraph" w:customStyle="1" w:styleId="Paratitle">
    <w:name w:val="Para title"/>
    <w:basedOn w:val="Normal"/>
    <w:rsid w:val="00CF322B"/>
    <w:pPr>
      <w:tabs>
        <w:tab w:val="center" w:pos="9270"/>
      </w:tabs>
      <w:spacing w:after="240"/>
    </w:pPr>
    <w:rPr>
      <w:spacing w:val="-2"/>
    </w:rPr>
  </w:style>
  <w:style w:type="paragraph" w:customStyle="1" w:styleId="Bullet">
    <w:name w:val="Bullet"/>
    <w:basedOn w:val="Normal"/>
    <w:rsid w:val="00CF322B"/>
    <w:pPr>
      <w:tabs>
        <w:tab w:val="left" w:pos="2160"/>
      </w:tabs>
      <w:spacing w:after="220"/>
      <w:ind w:left="2160" w:hanging="720"/>
    </w:pPr>
  </w:style>
  <w:style w:type="paragraph" w:customStyle="1" w:styleId="TableFormat">
    <w:name w:val="TableFormat"/>
    <w:basedOn w:val="Bullet"/>
    <w:rsid w:val="00CF322B"/>
    <w:pPr>
      <w:tabs>
        <w:tab w:val="clear" w:pos="2160"/>
        <w:tab w:val="left" w:pos="5040"/>
      </w:tabs>
      <w:ind w:left="5040" w:hanging="3600"/>
    </w:pPr>
  </w:style>
  <w:style w:type="paragraph" w:customStyle="1" w:styleId="TOCTitle">
    <w:name w:val="TOC Title"/>
    <w:basedOn w:val="Normal"/>
    <w:rsid w:val="00CF32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322B"/>
    <w:pPr>
      <w:jc w:val="center"/>
    </w:pPr>
    <w:rPr>
      <w:rFonts w:ascii="Times New Roman Bold" w:hAnsi="Times New Roman Bold"/>
      <w:b/>
      <w:bCs/>
      <w:caps/>
      <w:szCs w:val="22"/>
    </w:rPr>
  </w:style>
  <w:style w:type="character" w:styleId="Hyperlink">
    <w:name w:val="Hyperlink"/>
    <w:rsid w:val="00CF322B"/>
    <w:rPr>
      <w:color w:val="0000FF"/>
      <w:u w:val="single"/>
    </w:rPr>
  </w:style>
  <w:style w:type="character" w:customStyle="1" w:styleId="FooterChar">
    <w:name w:val="Footer Char"/>
    <w:link w:val="Footer"/>
    <w:uiPriority w:val="99"/>
    <w:rsid w:val="00CF322B"/>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 w:type="character" w:customStyle="1" w:styleId="documentbody5">
    <w:name w:val="documentbody5"/>
    <w:rsid w:val="00920489"/>
    <w:rPr>
      <w:rFonts w:ascii="Verdana" w:hAnsi="Verdana" w:hint="default"/>
      <w:sz w:val="19"/>
      <w:szCs w:val="19"/>
    </w:rPr>
  </w:style>
  <w:style w:type="paragraph" w:styleId="Revision">
    <w:name w:val="Revision"/>
    <w:hidden/>
    <w:uiPriority w:val="99"/>
    <w:semiHidden/>
    <w:rsid w:val="00AC51C7"/>
    <w:rPr>
      <w:snapToGrid w:val="0"/>
      <w:kern w:val="28"/>
      <w:sz w:val="22"/>
    </w:rPr>
  </w:style>
  <w:style w:type="character" w:styleId="CommentReference">
    <w:name w:val="annotation reference"/>
    <w:rsid w:val="00C61D17"/>
    <w:rPr>
      <w:sz w:val="16"/>
      <w:szCs w:val="16"/>
    </w:rPr>
  </w:style>
  <w:style w:type="paragraph" w:styleId="CommentText">
    <w:name w:val="annotation text"/>
    <w:basedOn w:val="Normal"/>
    <w:link w:val="CommentTextChar"/>
    <w:rsid w:val="00C61D17"/>
    <w:rPr>
      <w:sz w:val="20"/>
    </w:rPr>
  </w:style>
  <w:style w:type="character" w:customStyle="1" w:styleId="CommentTextChar">
    <w:name w:val="Comment Text Char"/>
    <w:link w:val="CommentText"/>
    <w:rsid w:val="00C61D17"/>
    <w:rPr>
      <w:snapToGrid w:val="0"/>
      <w:kern w:val="28"/>
    </w:rPr>
  </w:style>
  <w:style w:type="paragraph" w:styleId="CommentSubject">
    <w:name w:val="annotation subject"/>
    <w:basedOn w:val="CommentText"/>
    <w:next w:val="CommentText"/>
    <w:link w:val="CommentSubjectChar"/>
    <w:rsid w:val="00C61D17"/>
    <w:rPr>
      <w:b/>
      <w:bCs/>
    </w:rPr>
  </w:style>
  <w:style w:type="character" w:customStyle="1" w:styleId="CommentSubjectChar">
    <w:name w:val="Comment Subject Char"/>
    <w:link w:val="CommentSubject"/>
    <w:rsid w:val="00C61D17"/>
    <w:rPr>
      <w:b/>
      <w:bCs/>
      <w:snapToGrid w:val="0"/>
      <w:kern w:val="28"/>
    </w:rPr>
  </w:style>
  <w:style w:type="paragraph" w:styleId="ListParagraph">
    <w:name w:val="List Paragraph"/>
    <w:basedOn w:val="Normal"/>
    <w:uiPriority w:val="34"/>
    <w:qFormat/>
    <w:rsid w:val="00635DDC"/>
    <w:pPr>
      <w:ind w:left="720"/>
      <w:contextualSpacing/>
    </w:pPr>
  </w:style>
  <w:style w:type="character" w:customStyle="1" w:styleId="markedcontent">
    <w:name w:val="markedcontent"/>
    <w:basedOn w:val="DefaultParagraphFont"/>
    <w:rsid w:val="00607DF7"/>
  </w:style>
  <w:style w:type="character" w:customStyle="1" w:styleId="highlight">
    <w:name w:val="highlight"/>
    <w:basedOn w:val="DefaultParagraphFont"/>
    <w:rsid w:val="0060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