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3F6D82" w:rsidP="00C82B6B" w14:paraId="5187D721" w14:textId="77777777">
      <w:pPr>
        <w:jc w:val="right"/>
        <w:rPr>
          <w:sz w:val="24"/>
          <w:szCs w:val="24"/>
        </w:rPr>
      </w:pPr>
    </w:p>
    <w:p w:rsidR="0025538D" w:rsidRPr="00422BE4" w:rsidP="00013A8B" w14:paraId="6354EA92" w14:textId="38708FBD">
      <w:pPr>
        <w:jc w:val="right"/>
        <w:rPr>
          <w:b/>
          <w:sz w:val="24"/>
          <w:szCs w:val="24"/>
        </w:rPr>
      </w:pPr>
      <w:r w:rsidRPr="00422BE4">
        <w:rPr>
          <w:b/>
          <w:sz w:val="24"/>
          <w:szCs w:val="24"/>
        </w:rPr>
        <w:t xml:space="preserve">DA </w:t>
      </w:r>
      <w:r w:rsidRPr="00422BE4" w:rsidR="00AD3005">
        <w:rPr>
          <w:b/>
          <w:sz w:val="24"/>
          <w:szCs w:val="24"/>
        </w:rPr>
        <w:t>22-</w:t>
      </w:r>
      <w:r w:rsidRPr="00422BE4" w:rsidR="00422BE4">
        <w:rPr>
          <w:b/>
          <w:sz w:val="24"/>
          <w:szCs w:val="24"/>
        </w:rPr>
        <w:t>1145</w:t>
      </w:r>
    </w:p>
    <w:p w:rsidR="0021416C" w:rsidRPr="00422BE4" w:rsidP="00013A8B" w14:paraId="4BB7DE39" w14:textId="564CD558">
      <w:pPr>
        <w:jc w:val="right"/>
        <w:rPr>
          <w:b/>
          <w:sz w:val="24"/>
          <w:szCs w:val="24"/>
        </w:rPr>
      </w:pPr>
      <w:r w:rsidRPr="00422BE4">
        <w:rPr>
          <w:b/>
          <w:sz w:val="24"/>
          <w:szCs w:val="24"/>
        </w:rPr>
        <w:t xml:space="preserve">Enforcement Advisory No. </w:t>
      </w:r>
      <w:r w:rsidRPr="00422BE4" w:rsidR="00AD3005">
        <w:rPr>
          <w:b/>
          <w:sz w:val="24"/>
          <w:szCs w:val="24"/>
        </w:rPr>
        <w:t>2022-</w:t>
      </w:r>
      <w:r w:rsidRPr="00422BE4" w:rsidR="0025538D">
        <w:rPr>
          <w:b/>
          <w:sz w:val="24"/>
          <w:szCs w:val="24"/>
        </w:rPr>
        <w:t>0</w:t>
      </w:r>
      <w:r w:rsidRPr="00422BE4" w:rsidR="00112AA6">
        <w:rPr>
          <w:b/>
          <w:sz w:val="24"/>
          <w:szCs w:val="24"/>
        </w:rPr>
        <w:t>4</w:t>
      </w:r>
    </w:p>
    <w:p w:rsidR="00013A8B" w:rsidRPr="003F6D82" w:rsidP="00013A8B" w14:paraId="67D4FBDC" w14:textId="6A89BFA3">
      <w:pPr>
        <w:spacing w:before="60"/>
        <w:jc w:val="right"/>
        <w:rPr>
          <w:b/>
          <w:sz w:val="24"/>
          <w:szCs w:val="24"/>
        </w:rPr>
      </w:pPr>
      <w:r w:rsidRPr="00422BE4">
        <w:rPr>
          <w:b/>
          <w:sz w:val="24"/>
          <w:szCs w:val="24"/>
        </w:rPr>
        <w:t xml:space="preserve">Released:  </w:t>
      </w:r>
      <w:r w:rsidRPr="00422BE4" w:rsidR="00422BE4">
        <w:rPr>
          <w:b/>
          <w:sz w:val="24"/>
          <w:szCs w:val="24"/>
        </w:rPr>
        <w:t>November 3</w:t>
      </w:r>
      <w:r w:rsidRPr="00422BE4" w:rsidR="00AA3608">
        <w:rPr>
          <w:b/>
          <w:sz w:val="24"/>
          <w:szCs w:val="24"/>
        </w:rPr>
        <w:t>, 202</w:t>
      </w:r>
      <w:r w:rsidRPr="00422BE4" w:rsidR="00AD3005">
        <w:rPr>
          <w:b/>
          <w:sz w:val="24"/>
          <w:szCs w:val="24"/>
        </w:rPr>
        <w:t>2</w:t>
      </w:r>
    </w:p>
    <w:p w:rsidR="00013A8B" w:rsidRPr="003F6D82" w:rsidP="00013A8B" w14:paraId="70CF07E0" w14:textId="77777777">
      <w:pPr>
        <w:jc w:val="right"/>
        <w:rPr>
          <w:sz w:val="24"/>
          <w:szCs w:val="24"/>
        </w:rPr>
      </w:pPr>
    </w:p>
    <w:p w:rsidR="00AB24FA" w:rsidRPr="003F6D82" w:rsidP="00F7275B" w14:paraId="516E1E3A" w14:textId="77777777">
      <w:pPr>
        <w:spacing w:after="240"/>
        <w:jc w:val="center"/>
        <w:rPr>
          <w:rFonts w:ascii="Times New Roman Bold" w:hAnsi="Times New Roman Bold"/>
          <w:b/>
          <w:caps/>
          <w:sz w:val="24"/>
          <w:szCs w:val="24"/>
        </w:rPr>
      </w:pPr>
      <w:r w:rsidRPr="003F6D82">
        <w:rPr>
          <w:noProof/>
          <w:sz w:val="24"/>
          <w:szCs w:val="24"/>
        </w:rPr>
        <mc:AlternateContent>
          <mc:Choice Requires="wps">
            <w:drawing>
              <wp:inline distT="0" distB="0" distL="0" distR="0">
                <wp:extent cx="5270500" cy="504825"/>
                <wp:effectExtent l="12700" t="12700" r="25400" b="41275"/>
                <wp:docPr id="1"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504825"/>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AC3370" w:rsidP="00AC3370"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textId="77777777">
                            <w:pPr>
                              <w:rPr>
                                <w:sz w:val="20"/>
                                <w:lang w:bidi="x-none"/>
                              </w:rPr>
                            </w:pPr>
                          </w:p>
                        </w:txbxContent>
                      </wps:txbx>
                      <wps:bodyPr rot="0" vert="horz" wrap="square" lIns="38100" tIns="38100" rIns="38100" bIns="38100" anchor="t" anchorCtr="0" upright="1"/>
                    </wps:wsp>
                  </a:graphicData>
                </a:graphic>
              </wp:inline>
            </w:drawing>
          </mc:Choice>
          <mc:Fallback>
            <w:pict>
              <v:rect id="Rectangle 2" o:spid="_x0000_i1025" style="width:415pt;height:39.75pt;mso-left-percent:-10001;mso-position-horizontal-relative:char;mso-position-vertical-relative:line;mso-top-percent:-10001;mso-wrap-style:square;visibility:visible;v-text-anchor:top" fillcolor="#17365d" strokecolor="red" strokeweight="3pt">
                <v:stroke joinstyle="round"/>
                <v:shadow on="t" color="#622423" opacity="0.5" offset="1pt"/>
                <v:textbox inset="3pt,3pt,3pt,3pt">
                  <w:txbxContent>
                    <w:p w:rsidR="00AC3370" w:rsidP="00AC3370" w14:paraId="0D630BF5"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AC3370" w:rsidP="00AC3370" w14:paraId="2BCE80B5" w14:textId="77777777">
                      <w:pPr>
                        <w:rPr>
                          <w:sz w:val="20"/>
                          <w:lang w:bidi="x-none"/>
                        </w:rPr>
                      </w:pPr>
                    </w:p>
                  </w:txbxContent>
                </v:textbox>
                <w10:wrap type="none"/>
                <w10:anchorlock/>
              </v:rect>
            </w:pict>
          </mc:Fallback>
        </mc:AlternateContent>
      </w:r>
    </w:p>
    <w:p w:rsidR="00567BF4" w:rsidRPr="003F6D82" w:rsidP="00567BF4" w14:paraId="031921D3" w14:textId="1D8FFD2B">
      <w:pPr>
        <w:jc w:val="center"/>
        <w:rPr>
          <w:b/>
          <w:bCs/>
          <w:sz w:val="24"/>
          <w:szCs w:val="24"/>
        </w:rPr>
      </w:pPr>
      <w:bookmarkStart w:id="0" w:name="TOChere"/>
      <w:r w:rsidRPr="003F6D82">
        <w:rPr>
          <w:b/>
          <w:bCs/>
          <w:color w:val="000000"/>
          <w:sz w:val="24"/>
          <w:szCs w:val="24"/>
          <w:shd w:val="clear" w:color="auto" w:fill="FFFFFF"/>
        </w:rPr>
        <w:t xml:space="preserve">PROVIDERS MUST AGGRESSIVELY POLICE </w:t>
      </w:r>
      <w:r w:rsidR="0027335E">
        <w:rPr>
          <w:b/>
          <w:bCs/>
          <w:color w:val="000000"/>
          <w:sz w:val="24"/>
          <w:szCs w:val="24"/>
          <w:shd w:val="clear" w:color="auto" w:fill="FFFFFF"/>
        </w:rPr>
        <w:t>UNLAWFUL ROBOCALLS REGARDING</w:t>
      </w:r>
      <w:r w:rsidRPr="003F6D82">
        <w:rPr>
          <w:b/>
          <w:bCs/>
          <w:color w:val="000000"/>
          <w:sz w:val="24"/>
          <w:szCs w:val="24"/>
          <w:shd w:val="clear" w:color="auto" w:fill="FFFFFF"/>
        </w:rPr>
        <w:t xml:space="preserve"> STUDENT LOAN</w:t>
      </w:r>
      <w:r w:rsidR="0027335E">
        <w:rPr>
          <w:b/>
          <w:bCs/>
          <w:color w:val="000000"/>
          <w:sz w:val="24"/>
          <w:szCs w:val="24"/>
          <w:shd w:val="clear" w:color="auto" w:fill="FFFFFF"/>
        </w:rPr>
        <w:t>S</w:t>
      </w:r>
      <w:r w:rsidRPr="003F6D82">
        <w:rPr>
          <w:b/>
          <w:bCs/>
          <w:color w:val="000000"/>
          <w:sz w:val="24"/>
          <w:szCs w:val="24"/>
          <w:shd w:val="clear" w:color="auto" w:fill="FFFFFF"/>
        </w:rPr>
        <w:t xml:space="preserve"> </w:t>
      </w:r>
    </w:p>
    <w:p w:rsidR="00567BF4" w:rsidRPr="003F6D82" w:rsidP="00F96F63" w14:paraId="2C0778CA" w14:textId="77777777">
      <w:pPr>
        <w:rPr>
          <w:sz w:val="24"/>
          <w:szCs w:val="24"/>
        </w:rPr>
      </w:pPr>
    </w:p>
    <w:p w:rsidR="005B467E" w:rsidRPr="003F6D82" w:rsidP="00954D81" w14:paraId="380A4069" w14:textId="66375807">
      <w:pPr>
        <w:widowControl/>
        <w:spacing w:after="220"/>
        <w:rPr>
          <w:sz w:val="24"/>
          <w:szCs w:val="24"/>
        </w:rPr>
      </w:pPr>
      <w:r w:rsidRPr="003F6D82">
        <w:rPr>
          <w:sz w:val="24"/>
          <w:szCs w:val="24"/>
        </w:rPr>
        <w:t xml:space="preserve">The Enforcement Bureau (Bureau) of the Federal Communications Commission </w:t>
      </w:r>
      <w:r w:rsidRPr="003F6D82" w:rsidR="009D4F4B">
        <w:rPr>
          <w:sz w:val="24"/>
          <w:szCs w:val="24"/>
        </w:rPr>
        <w:t>(</w:t>
      </w:r>
      <w:r w:rsidR="00912DBD">
        <w:rPr>
          <w:sz w:val="24"/>
          <w:szCs w:val="24"/>
        </w:rPr>
        <w:t xml:space="preserve">Commission or </w:t>
      </w:r>
      <w:r w:rsidRPr="003F6D82" w:rsidR="009D4F4B">
        <w:rPr>
          <w:sz w:val="24"/>
          <w:szCs w:val="24"/>
        </w:rPr>
        <w:t xml:space="preserve">FCC) </w:t>
      </w:r>
      <w:r w:rsidRPr="003F6D82">
        <w:rPr>
          <w:sz w:val="24"/>
          <w:szCs w:val="24"/>
        </w:rPr>
        <w:t xml:space="preserve">issues this Enforcement Advisory to remind </w:t>
      </w:r>
      <w:r w:rsidRPr="003F6D82" w:rsidR="00A329ED">
        <w:rPr>
          <w:sz w:val="24"/>
          <w:szCs w:val="24"/>
        </w:rPr>
        <w:t>voice service providers</w:t>
      </w:r>
      <w:r w:rsidRPr="003F6D82">
        <w:rPr>
          <w:sz w:val="24"/>
          <w:szCs w:val="24"/>
        </w:rPr>
        <w:t xml:space="preserve"> </w:t>
      </w:r>
      <w:r w:rsidRPr="003F6D82">
        <w:rPr>
          <w:sz w:val="24"/>
          <w:szCs w:val="24"/>
        </w:rPr>
        <w:t>to combat the scourge of illegal robocalls</w:t>
      </w:r>
      <w:r w:rsidR="0021522C">
        <w:rPr>
          <w:sz w:val="24"/>
          <w:szCs w:val="24"/>
        </w:rPr>
        <w:t xml:space="preserve"> aggressively</w:t>
      </w:r>
      <w:r w:rsidRPr="003F6D82">
        <w:rPr>
          <w:sz w:val="24"/>
          <w:szCs w:val="24"/>
        </w:rPr>
        <w:t>, especially student loan robocalls</w:t>
      </w:r>
      <w:r w:rsidR="0021522C">
        <w:rPr>
          <w:sz w:val="24"/>
          <w:szCs w:val="24"/>
        </w:rPr>
        <w:t>,</w:t>
      </w:r>
      <w:r w:rsidRPr="003F6D82">
        <w:rPr>
          <w:sz w:val="24"/>
          <w:szCs w:val="24"/>
        </w:rPr>
        <w:t xml:space="preserve"> </w:t>
      </w:r>
      <w:r w:rsidR="00B67AA8">
        <w:rPr>
          <w:sz w:val="24"/>
          <w:szCs w:val="24"/>
        </w:rPr>
        <w:t>following recent announcements regarding student loan forgiveness and deferment</w:t>
      </w:r>
      <w:r w:rsidRPr="003F6D82">
        <w:rPr>
          <w:sz w:val="24"/>
          <w:szCs w:val="24"/>
        </w:rPr>
        <w:t>.  This Advisory highlights the requirement that voice service providers should “know your customer” and remain vigilant in the fight against illegal robocalls.</w:t>
      </w:r>
      <w:r w:rsidRPr="003F6D82" w:rsidR="008D41A0">
        <w:rPr>
          <w:sz w:val="24"/>
          <w:szCs w:val="24"/>
        </w:rPr>
        <w:t xml:space="preserve">  </w:t>
      </w:r>
    </w:p>
    <w:p w:rsidR="00C64745" w:rsidP="00954D81" w14:paraId="2B5960BA" w14:textId="4578D0E6">
      <w:pPr>
        <w:widowControl/>
        <w:spacing w:after="220"/>
        <w:rPr>
          <w:sz w:val="24"/>
          <w:szCs w:val="24"/>
        </w:rPr>
      </w:pPr>
      <w:r w:rsidRPr="003F6D82">
        <w:rPr>
          <w:b/>
          <w:bCs/>
          <w:sz w:val="24"/>
          <w:szCs w:val="24"/>
        </w:rPr>
        <w:t xml:space="preserve">Student Loan </w:t>
      </w:r>
      <w:r w:rsidR="00B67AA8">
        <w:rPr>
          <w:b/>
          <w:bCs/>
          <w:sz w:val="24"/>
          <w:szCs w:val="24"/>
        </w:rPr>
        <w:t xml:space="preserve">Forgiveness and </w:t>
      </w:r>
      <w:r w:rsidRPr="003F6D82">
        <w:rPr>
          <w:b/>
          <w:bCs/>
          <w:sz w:val="24"/>
          <w:szCs w:val="24"/>
        </w:rPr>
        <w:t>Payment Deferment</w:t>
      </w:r>
      <w:r w:rsidR="00B67AA8">
        <w:rPr>
          <w:b/>
          <w:bCs/>
          <w:sz w:val="24"/>
          <w:szCs w:val="24"/>
        </w:rPr>
        <w:t xml:space="preserve"> Robocalls</w:t>
      </w:r>
      <w:r w:rsidRPr="003F6D82">
        <w:rPr>
          <w:b/>
          <w:bCs/>
          <w:sz w:val="24"/>
          <w:szCs w:val="24"/>
        </w:rPr>
        <w:t>.</w:t>
      </w:r>
      <w:r w:rsidRPr="003F6D82">
        <w:rPr>
          <w:sz w:val="24"/>
          <w:szCs w:val="24"/>
        </w:rPr>
        <w:t xml:space="preserve">  </w:t>
      </w:r>
      <w:r w:rsidR="00B67AA8">
        <w:rPr>
          <w:sz w:val="24"/>
          <w:szCs w:val="24"/>
        </w:rPr>
        <w:t xml:space="preserve">On </w:t>
      </w:r>
      <w:r w:rsidRPr="00D12CF4" w:rsidR="009D2488">
        <w:rPr>
          <w:sz w:val="24"/>
          <w:szCs w:val="24"/>
        </w:rPr>
        <w:t>August 24, 2022</w:t>
      </w:r>
      <w:r w:rsidRPr="00716BFA" w:rsidR="00B67AA8">
        <w:rPr>
          <w:sz w:val="24"/>
          <w:szCs w:val="24"/>
        </w:rPr>
        <w:t>,</w:t>
      </w:r>
      <w:r w:rsidR="00B67AA8">
        <w:rPr>
          <w:sz w:val="24"/>
          <w:szCs w:val="24"/>
        </w:rPr>
        <w:t xml:space="preserve"> President Biden announced student loan forgiveness for </w:t>
      </w:r>
      <w:r w:rsidRPr="00D12CF4" w:rsidR="00B67AA8">
        <w:rPr>
          <w:sz w:val="24"/>
          <w:szCs w:val="24"/>
        </w:rPr>
        <w:t>millions</w:t>
      </w:r>
      <w:r w:rsidR="00B67AA8">
        <w:rPr>
          <w:sz w:val="24"/>
          <w:szCs w:val="24"/>
        </w:rPr>
        <w:t xml:space="preserve"> of Americans and an extension of the loan forbearance period through December 31, 2022</w:t>
      </w:r>
      <w:r w:rsidRPr="003F6D82" w:rsidR="00B67AA8">
        <w:rPr>
          <w:sz w:val="24"/>
          <w:szCs w:val="24"/>
        </w:rPr>
        <w:t>.</w:t>
      </w:r>
      <w:r>
        <w:rPr>
          <w:rStyle w:val="FootnoteReference"/>
          <w:szCs w:val="24"/>
        </w:rPr>
        <w:footnoteReference w:id="3"/>
      </w:r>
      <w:r w:rsidRPr="003F6D82" w:rsidR="00B67AA8">
        <w:rPr>
          <w:sz w:val="24"/>
          <w:szCs w:val="24"/>
        </w:rPr>
        <w:t xml:space="preserve"> </w:t>
      </w:r>
      <w:r w:rsidR="009D2488">
        <w:rPr>
          <w:sz w:val="24"/>
          <w:szCs w:val="24"/>
        </w:rPr>
        <w:t xml:space="preserve"> </w:t>
      </w:r>
      <w:r w:rsidRPr="003F6D82" w:rsidR="00A329ED">
        <w:rPr>
          <w:sz w:val="24"/>
          <w:szCs w:val="24"/>
        </w:rPr>
        <w:t xml:space="preserve">The </w:t>
      </w:r>
      <w:r w:rsidR="00E97592">
        <w:rPr>
          <w:sz w:val="24"/>
          <w:szCs w:val="24"/>
        </w:rPr>
        <w:t xml:space="preserve">Department of Education has extended </w:t>
      </w:r>
      <w:r w:rsidRPr="003F6D82" w:rsidR="00A329ED">
        <w:rPr>
          <w:sz w:val="24"/>
          <w:szCs w:val="24"/>
        </w:rPr>
        <w:t xml:space="preserve">forbearance </w:t>
      </w:r>
      <w:r w:rsidR="00C27DBC">
        <w:rPr>
          <w:sz w:val="24"/>
          <w:szCs w:val="24"/>
        </w:rPr>
        <w:t>seven</w:t>
      </w:r>
      <w:r w:rsidRPr="003F6D82" w:rsidR="00A329ED">
        <w:rPr>
          <w:sz w:val="24"/>
          <w:szCs w:val="24"/>
        </w:rPr>
        <w:t xml:space="preserve"> time</w:t>
      </w:r>
      <w:r w:rsidRPr="003F6D82" w:rsidR="000039D6">
        <w:rPr>
          <w:sz w:val="24"/>
          <w:szCs w:val="24"/>
        </w:rPr>
        <w:t xml:space="preserve">s </w:t>
      </w:r>
      <w:r w:rsidR="00473E5B">
        <w:rPr>
          <w:sz w:val="24"/>
          <w:szCs w:val="24"/>
        </w:rPr>
        <w:t>since March 20, 2020</w:t>
      </w:r>
      <w:r w:rsidR="0021522C">
        <w:rPr>
          <w:sz w:val="24"/>
          <w:szCs w:val="24"/>
        </w:rPr>
        <w:t>,</w:t>
      </w:r>
      <w:r w:rsidR="00473E5B">
        <w:rPr>
          <w:sz w:val="24"/>
          <w:szCs w:val="24"/>
        </w:rPr>
        <w:t xml:space="preserve"> in response to the COVID-19 pandemic</w:t>
      </w:r>
      <w:r w:rsidRPr="003F6D82" w:rsidR="00A329ED">
        <w:rPr>
          <w:sz w:val="24"/>
          <w:szCs w:val="24"/>
        </w:rPr>
        <w:t>.</w:t>
      </w:r>
      <w:r>
        <w:rPr>
          <w:rStyle w:val="FootnoteReference"/>
          <w:szCs w:val="24"/>
        </w:rPr>
        <w:footnoteReference w:id="4"/>
      </w:r>
      <w:r>
        <w:rPr>
          <w:sz w:val="24"/>
          <w:szCs w:val="24"/>
        </w:rPr>
        <w:t xml:space="preserve">  </w:t>
      </w:r>
    </w:p>
    <w:p w:rsidR="002974DD" w:rsidP="00954D81" w14:paraId="08C3FB3B" w14:textId="6C4B0D8E">
      <w:pPr>
        <w:widowControl/>
        <w:spacing w:after="220"/>
        <w:rPr>
          <w:sz w:val="24"/>
          <w:szCs w:val="24"/>
        </w:rPr>
      </w:pPr>
      <w:r>
        <w:rPr>
          <w:sz w:val="24"/>
          <w:szCs w:val="24"/>
        </w:rPr>
        <w:t>Each time the Department of Education has extended the forbearance, f</w:t>
      </w:r>
      <w:r w:rsidR="00C64745">
        <w:rPr>
          <w:sz w:val="24"/>
          <w:szCs w:val="24"/>
        </w:rPr>
        <w:t>raudsters and unscrupulous marketers have taken advantage of these changes to flood American consumers with robocalls</w:t>
      </w:r>
      <w:r w:rsidR="00E946C8">
        <w:rPr>
          <w:sz w:val="24"/>
          <w:szCs w:val="24"/>
        </w:rPr>
        <w:t xml:space="preserve"> about student loans</w:t>
      </w:r>
      <w:r w:rsidR="00C64745">
        <w:rPr>
          <w:sz w:val="24"/>
          <w:szCs w:val="24"/>
        </w:rPr>
        <w:t>.</w:t>
      </w:r>
      <w:r w:rsidR="00912DBD">
        <w:rPr>
          <w:sz w:val="24"/>
          <w:szCs w:val="24"/>
        </w:rPr>
        <w:t xml:space="preserve">  </w:t>
      </w:r>
      <w:r w:rsidR="00CB0C49">
        <w:rPr>
          <w:sz w:val="24"/>
          <w:szCs w:val="24"/>
        </w:rPr>
        <w:t xml:space="preserve">These calls typically state that the caller is informing the recipient that the payment suspension will end or that a petition can be filed on their behalf to get </w:t>
      </w:r>
      <w:r w:rsidR="00CB0C49">
        <w:rPr>
          <w:sz w:val="24"/>
          <w:szCs w:val="24"/>
        </w:rPr>
        <w:t>a certain amount of their loan “dismissed.”</w:t>
      </w:r>
      <w:r>
        <w:rPr>
          <w:rStyle w:val="FootnoteReference"/>
          <w:szCs w:val="24"/>
        </w:rPr>
        <w:footnoteReference w:id="5"/>
      </w:r>
      <w:r w:rsidR="00CB0C49">
        <w:rPr>
          <w:sz w:val="24"/>
          <w:szCs w:val="24"/>
        </w:rPr>
        <w:t xml:space="preserve"> </w:t>
      </w:r>
      <w:r w:rsidRPr="003F6D82" w:rsidR="00CB0C49">
        <w:rPr>
          <w:sz w:val="24"/>
          <w:szCs w:val="24"/>
        </w:rPr>
        <w:t xml:space="preserve"> </w:t>
      </w:r>
      <w:r w:rsidR="00CB0C49">
        <w:rPr>
          <w:sz w:val="24"/>
          <w:szCs w:val="24"/>
        </w:rPr>
        <w:t xml:space="preserve">Some common campaigns purport to be from the “student loan </w:t>
      </w:r>
      <w:r w:rsidR="008E1B59">
        <w:rPr>
          <w:sz w:val="24"/>
          <w:szCs w:val="24"/>
        </w:rPr>
        <w:t xml:space="preserve">forgiveness </w:t>
      </w:r>
      <w:r w:rsidR="00CB0C49">
        <w:rPr>
          <w:sz w:val="24"/>
          <w:szCs w:val="24"/>
        </w:rPr>
        <w:t xml:space="preserve">center” or from a state </w:t>
      </w:r>
      <w:r w:rsidR="008E1B59">
        <w:rPr>
          <w:sz w:val="24"/>
          <w:szCs w:val="24"/>
        </w:rPr>
        <w:t xml:space="preserve">forgiveness </w:t>
      </w:r>
      <w:r w:rsidR="00CB0C49">
        <w:rPr>
          <w:sz w:val="24"/>
          <w:szCs w:val="24"/>
        </w:rPr>
        <w:t>center.</w:t>
      </w:r>
      <w:r>
        <w:rPr>
          <w:rStyle w:val="FootnoteReference"/>
          <w:szCs w:val="24"/>
        </w:rPr>
        <w:footnoteReference w:id="6"/>
      </w:r>
      <w:r w:rsidR="00363757">
        <w:rPr>
          <w:sz w:val="24"/>
          <w:szCs w:val="24"/>
        </w:rPr>
        <w:t xml:space="preserve">  </w:t>
      </w:r>
      <w:r w:rsidR="00C64745">
        <w:rPr>
          <w:sz w:val="24"/>
          <w:szCs w:val="24"/>
        </w:rPr>
        <w:t>Evidence suggests that</w:t>
      </w:r>
      <w:r w:rsidR="008612E5">
        <w:rPr>
          <w:sz w:val="24"/>
          <w:szCs w:val="24"/>
        </w:rPr>
        <w:t xml:space="preserve"> callers have flooded phones</w:t>
      </w:r>
      <w:r w:rsidR="0059539C">
        <w:rPr>
          <w:sz w:val="24"/>
          <w:szCs w:val="24"/>
        </w:rPr>
        <w:t xml:space="preserve"> in the United States</w:t>
      </w:r>
      <w:r w:rsidR="008612E5">
        <w:rPr>
          <w:sz w:val="24"/>
          <w:szCs w:val="24"/>
        </w:rPr>
        <w:t xml:space="preserve"> with student loan</w:t>
      </w:r>
      <w:r w:rsidR="0021522C">
        <w:rPr>
          <w:sz w:val="24"/>
          <w:szCs w:val="24"/>
        </w:rPr>
        <w:t>-</w:t>
      </w:r>
      <w:r w:rsidR="008612E5">
        <w:rPr>
          <w:sz w:val="24"/>
          <w:szCs w:val="24"/>
        </w:rPr>
        <w:t>related robocalls</w:t>
      </w:r>
      <w:r w:rsidR="00C64745">
        <w:rPr>
          <w:sz w:val="24"/>
          <w:szCs w:val="24"/>
        </w:rPr>
        <w:t xml:space="preserve"> </w:t>
      </w:r>
      <w:r w:rsidR="008612E5">
        <w:rPr>
          <w:sz w:val="24"/>
          <w:szCs w:val="24"/>
        </w:rPr>
        <w:t xml:space="preserve">in the months preceding the end of loan forbearance or changes </w:t>
      </w:r>
      <w:r w:rsidR="00204FB8">
        <w:rPr>
          <w:sz w:val="24"/>
          <w:szCs w:val="24"/>
        </w:rPr>
        <w:t>to</w:t>
      </w:r>
      <w:r w:rsidR="008612E5">
        <w:rPr>
          <w:sz w:val="24"/>
          <w:szCs w:val="24"/>
        </w:rPr>
        <w:t xml:space="preserve"> student loan programs</w:t>
      </w:r>
      <w:r w:rsidRPr="003F6D82" w:rsidR="000039D6">
        <w:rPr>
          <w:sz w:val="24"/>
          <w:szCs w:val="24"/>
        </w:rPr>
        <w:t>.</w:t>
      </w:r>
      <w:r>
        <w:rPr>
          <w:rStyle w:val="FootnoteReference"/>
          <w:szCs w:val="24"/>
        </w:rPr>
        <w:footnoteReference w:id="7"/>
      </w:r>
      <w:r w:rsidRPr="003F6D82" w:rsidR="000039D6">
        <w:rPr>
          <w:sz w:val="24"/>
          <w:szCs w:val="24"/>
        </w:rPr>
        <w:t xml:space="preserve"> </w:t>
      </w:r>
      <w:r w:rsidRPr="003F6D82" w:rsidR="005B467E">
        <w:rPr>
          <w:sz w:val="24"/>
          <w:szCs w:val="24"/>
        </w:rPr>
        <w:t xml:space="preserve"> </w:t>
      </w:r>
    </w:p>
    <w:p w:rsidR="0067112E" w:rsidRPr="003F6D82" w:rsidP="00954D81" w14:paraId="2E46187F" w14:textId="592A8DBE">
      <w:pPr>
        <w:widowControl/>
        <w:spacing w:after="220"/>
        <w:rPr>
          <w:sz w:val="24"/>
          <w:szCs w:val="24"/>
        </w:rPr>
      </w:pPr>
      <w:r>
        <w:rPr>
          <w:b/>
          <w:bCs/>
          <w:sz w:val="24"/>
          <w:szCs w:val="24"/>
        </w:rPr>
        <w:t>Federal Action to Protect Consumers.</w:t>
      </w:r>
      <w:r>
        <w:rPr>
          <w:sz w:val="24"/>
          <w:szCs w:val="24"/>
        </w:rPr>
        <w:t xml:space="preserve">  </w:t>
      </w:r>
      <w:r w:rsidR="00912DBD">
        <w:rPr>
          <w:sz w:val="24"/>
          <w:szCs w:val="24"/>
        </w:rPr>
        <w:t>The White House convened the heads of Cabinet agencies along with the FCC, Federal Trade Commission, and</w:t>
      </w:r>
      <w:r w:rsidRPr="003F6D82" w:rsidR="00912DBD">
        <w:rPr>
          <w:sz w:val="24"/>
          <w:szCs w:val="24"/>
        </w:rPr>
        <w:t xml:space="preserve"> </w:t>
      </w:r>
      <w:r w:rsidR="00912DBD">
        <w:rPr>
          <w:sz w:val="24"/>
          <w:szCs w:val="24"/>
        </w:rPr>
        <w:t>the Consumer Financial Protection Bureau</w:t>
      </w:r>
      <w:r w:rsidR="00204FB8">
        <w:rPr>
          <w:sz w:val="24"/>
          <w:szCs w:val="24"/>
        </w:rPr>
        <w:t>,</w:t>
      </w:r>
      <w:r w:rsidR="00912DBD">
        <w:rPr>
          <w:sz w:val="24"/>
          <w:szCs w:val="24"/>
        </w:rPr>
        <w:t xml:space="preserve"> on October 7, 2022</w:t>
      </w:r>
      <w:r>
        <w:rPr>
          <w:sz w:val="24"/>
          <w:szCs w:val="24"/>
        </w:rPr>
        <w:t>,</w:t>
      </w:r>
      <w:r w:rsidR="00912DBD">
        <w:rPr>
          <w:sz w:val="24"/>
          <w:szCs w:val="24"/>
        </w:rPr>
        <w:t xml:space="preserve"> to discuss how to protect borrowers from student debt relief scams.</w:t>
      </w:r>
      <w:r>
        <w:rPr>
          <w:rStyle w:val="FootnoteReference"/>
          <w:szCs w:val="24"/>
        </w:rPr>
        <w:footnoteReference w:id="8"/>
      </w:r>
      <w:r w:rsidR="00912DBD">
        <w:rPr>
          <w:sz w:val="24"/>
          <w:szCs w:val="24"/>
        </w:rPr>
        <w:t xml:space="preserve">  The FCC committed to </w:t>
      </w:r>
      <w:r>
        <w:rPr>
          <w:sz w:val="24"/>
          <w:szCs w:val="24"/>
        </w:rPr>
        <w:t xml:space="preserve">take </w:t>
      </w:r>
      <w:r w:rsidR="00912DBD">
        <w:rPr>
          <w:sz w:val="24"/>
          <w:szCs w:val="24"/>
        </w:rPr>
        <w:t xml:space="preserve">aggressive </w:t>
      </w:r>
      <w:r>
        <w:rPr>
          <w:sz w:val="24"/>
          <w:szCs w:val="24"/>
        </w:rPr>
        <w:t xml:space="preserve">action to </w:t>
      </w:r>
      <w:r w:rsidR="00912DBD">
        <w:rPr>
          <w:sz w:val="24"/>
          <w:szCs w:val="24"/>
        </w:rPr>
        <w:t>identify originators of scam student loan robocalls and order phone companies to block those calls.</w:t>
      </w:r>
      <w:r>
        <w:rPr>
          <w:rStyle w:val="FootnoteReference"/>
          <w:szCs w:val="24"/>
        </w:rPr>
        <w:footnoteReference w:id="9"/>
      </w:r>
    </w:p>
    <w:p w:rsidR="00C1539B" w:rsidP="00954D81" w14:paraId="256463BF" w14:textId="6A5A677F">
      <w:pPr>
        <w:widowControl/>
        <w:spacing w:after="220"/>
        <w:rPr>
          <w:sz w:val="24"/>
          <w:szCs w:val="24"/>
        </w:rPr>
      </w:pPr>
      <w:r>
        <w:rPr>
          <w:b/>
          <w:bCs/>
          <w:sz w:val="24"/>
          <w:szCs w:val="24"/>
        </w:rPr>
        <w:t>Obligations on Voice Service Providers</w:t>
      </w:r>
      <w:r w:rsidRPr="003F6D82">
        <w:rPr>
          <w:b/>
          <w:bCs/>
          <w:sz w:val="24"/>
          <w:szCs w:val="24"/>
        </w:rPr>
        <w:t xml:space="preserve">.  </w:t>
      </w:r>
      <w:r>
        <w:rPr>
          <w:sz w:val="24"/>
          <w:szCs w:val="24"/>
        </w:rPr>
        <w:t>The Commission has enacted several rules that place obligations on providers to police their networks for suspected illegal robocall traffic:</w:t>
      </w:r>
    </w:p>
    <w:p w:rsidR="00C1539B" w:rsidP="00954D81" w14:paraId="00B00FD2" w14:textId="5595B93D">
      <w:pPr>
        <w:pStyle w:val="ListParagraph"/>
        <w:numPr>
          <w:ilvl w:val="0"/>
          <w:numId w:val="8"/>
        </w:numPr>
        <w:spacing w:after="220"/>
        <w:contextualSpacing w:val="0"/>
      </w:pPr>
      <w:r>
        <w:rPr>
          <w:u w:val="single"/>
        </w:rPr>
        <w:t>Permissive Call Blocking (</w:t>
      </w:r>
      <w:r>
        <w:rPr>
          <w:u w:val="single"/>
        </w:rPr>
        <w:t>Section 64.1200(k)(4)</w:t>
      </w:r>
      <w:r>
        <w:rPr>
          <w:u w:val="single"/>
        </w:rPr>
        <w:t>)</w:t>
      </w:r>
      <w:r>
        <w:t xml:space="preserve">:  </w:t>
      </w:r>
      <w:r w:rsidR="002B1B86">
        <w:t>Voice service p</w:t>
      </w:r>
      <w:r w:rsidRPr="00C1539B">
        <w:t>rovider</w:t>
      </w:r>
      <w:r>
        <w:t>s</w:t>
      </w:r>
      <w:r w:rsidRPr="00C1539B">
        <w:t xml:space="preserve"> may block all traffic from a</w:t>
      </w:r>
      <w:r>
        <w:t>n originating or</w:t>
      </w:r>
      <w:r w:rsidRPr="00C1539B">
        <w:t xml:space="preserve"> gateway provider that, when notified by the Commission, fails to effectively mitigate illegal traffic within 48 hours or fails to implement effective measures to prevent new and renewing customers from using its network to originate illegal calls.</w:t>
      </w:r>
      <w:r>
        <w:rPr>
          <w:rStyle w:val="FootnoteReference"/>
        </w:rPr>
        <w:footnoteReference w:id="10"/>
      </w:r>
    </w:p>
    <w:p w:rsidR="00C55182" w:rsidP="00954D81" w14:paraId="7C3B188E" w14:textId="60ACEAA5">
      <w:pPr>
        <w:pStyle w:val="ListParagraph"/>
        <w:numPr>
          <w:ilvl w:val="0"/>
          <w:numId w:val="8"/>
        </w:numPr>
        <w:spacing w:after="220"/>
        <w:contextualSpacing w:val="0"/>
      </w:pPr>
      <w:r>
        <w:rPr>
          <w:u w:val="single"/>
        </w:rPr>
        <w:t>Mandatory Blocking (Section 64</w:t>
      </w:r>
      <w:r w:rsidRPr="00825DFC">
        <w:rPr>
          <w:u w:val="single"/>
        </w:rPr>
        <w:t>.</w:t>
      </w:r>
      <w:r w:rsidRPr="001F56C0">
        <w:rPr>
          <w:u w:val="single"/>
        </w:rPr>
        <w:t>1200(n)(5)</w:t>
      </w:r>
      <w:r>
        <w:rPr>
          <w:u w:val="single"/>
        </w:rPr>
        <w:t>)</w:t>
      </w:r>
      <w:r>
        <w:t>:  G</w:t>
      </w:r>
      <w:r w:rsidRPr="005C5CF3">
        <w:t xml:space="preserve">ateway providers </w:t>
      </w:r>
      <w:r>
        <w:t>must</w:t>
      </w:r>
      <w:r w:rsidRPr="005C5CF3">
        <w:t xml:space="preserve"> block all identified illegal traffic and any substantially similar traffic (unless its investigation determines that the traffic is not illegal) when it receives a notice of suspected illegal traffic from the Enforcement Bureau.</w:t>
      </w:r>
      <w:r>
        <w:rPr>
          <w:rStyle w:val="FootnoteReference"/>
        </w:rPr>
        <w:footnoteReference w:id="11"/>
      </w:r>
    </w:p>
    <w:p w:rsidR="005C5CF3" w:rsidP="00954D81" w14:paraId="5325B9A0" w14:textId="1653EA03">
      <w:pPr>
        <w:pStyle w:val="ListParagraph"/>
        <w:numPr>
          <w:ilvl w:val="0"/>
          <w:numId w:val="8"/>
        </w:numPr>
        <w:spacing w:after="220"/>
        <w:contextualSpacing w:val="0"/>
      </w:pPr>
      <w:r>
        <w:rPr>
          <w:u w:val="single"/>
        </w:rPr>
        <w:t>Robocall Mitigation (</w:t>
      </w:r>
      <w:r>
        <w:rPr>
          <w:u w:val="single"/>
        </w:rPr>
        <w:t>Section 64.1200(n)(2)</w:t>
      </w:r>
      <w:r>
        <w:rPr>
          <w:u w:val="single"/>
        </w:rPr>
        <w:t>-(3))</w:t>
      </w:r>
      <w:r>
        <w:t xml:space="preserve">:  </w:t>
      </w:r>
      <w:r w:rsidR="00825DFC">
        <w:t>V</w:t>
      </w:r>
      <w:r w:rsidR="002B1B86">
        <w:t xml:space="preserve">oice service </w:t>
      </w:r>
      <w:r w:rsidR="00363757">
        <w:t>p</w:t>
      </w:r>
      <w:r>
        <w:t>roviders must take steps to effectively mitigate illegal traffic upon actual written notice of such traffic from the Commission’s Enforcement Bureau.</w:t>
      </w:r>
      <w:r>
        <w:rPr>
          <w:rStyle w:val="FootnoteReference"/>
        </w:rPr>
        <w:footnoteReference w:id="12"/>
      </w:r>
      <w:r>
        <w:t xml:space="preserve">  This includes taking effective measures, such as know</w:t>
      </w:r>
      <w:r w:rsidR="00130EA5">
        <w:t>ing its</w:t>
      </w:r>
      <w:r>
        <w:t xml:space="preserve"> customer</w:t>
      </w:r>
      <w:r w:rsidR="00130EA5">
        <w:t>s</w:t>
      </w:r>
      <w:r>
        <w:t>, to prevent new and renewing customers from using the provider’s network to originate illegal calls.</w:t>
      </w:r>
      <w:r>
        <w:rPr>
          <w:rStyle w:val="FootnoteReference"/>
        </w:rPr>
        <w:footnoteReference w:id="13"/>
      </w:r>
    </w:p>
    <w:p w:rsidR="00912DBD" w:rsidRPr="00954D81" w:rsidP="00954D81" w14:paraId="7E1BE3B4" w14:textId="2E19CB88">
      <w:pPr>
        <w:pStyle w:val="ListParagraph"/>
        <w:numPr>
          <w:ilvl w:val="0"/>
          <w:numId w:val="8"/>
        </w:numPr>
        <w:spacing w:after="220"/>
        <w:contextualSpacing w:val="0"/>
        <w:rPr>
          <w:b/>
          <w:bCs/>
        </w:rPr>
      </w:pPr>
      <w:r>
        <w:rPr>
          <w:u w:val="single"/>
        </w:rPr>
        <w:t xml:space="preserve">Robocall Mitigation Database </w:t>
      </w:r>
      <w:r w:rsidR="00245E5F">
        <w:rPr>
          <w:u w:val="single"/>
        </w:rPr>
        <w:t>Removal</w:t>
      </w:r>
      <w:r>
        <w:rPr>
          <w:u w:val="single"/>
        </w:rPr>
        <w:t xml:space="preserve"> (</w:t>
      </w:r>
      <w:r w:rsidRPr="00D12CF4" w:rsidR="005C5CF3">
        <w:rPr>
          <w:u w:val="single"/>
        </w:rPr>
        <w:t>Section 64.6305(e)</w:t>
      </w:r>
      <w:r>
        <w:rPr>
          <w:u w:val="single"/>
        </w:rPr>
        <w:t>)</w:t>
      </w:r>
      <w:r w:rsidR="005C5CF3">
        <w:t xml:space="preserve">:  </w:t>
      </w:r>
      <w:r w:rsidR="00E90B19">
        <w:t>A</w:t>
      </w:r>
      <w:r w:rsidR="00130EA5">
        <w:t>n originating or gateway</w:t>
      </w:r>
      <w:r w:rsidR="00E90B19">
        <w:t xml:space="preserve"> voice service provider</w:t>
      </w:r>
      <w:r w:rsidR="003B5632">
        <w:t xml:space="preserve"> that is unable to fully implement </w:t>
      </w:r>
      <w:r w:rsidR="00D60A77">
        <w:rPr>
          <w:snapToGrid w:val="0"/>
        </w:rPr>
        <w:t xml:space="preserve">Secure Telephony Identity Revisited/Signature-based Handling of Asserted Information using </w:t>
      </w:r>
      <w:r w:rsidR="00D60A77">
        <w:rPr>
          <w:snapToGrid w:val="0"/>
        </w:rPr>
        <w:t>toKENs</w:t>
      </w:r>
      <w:r w:rsidR="00D60A77">
        <w:rPr>
          <w:snapToGrid w:val="0"/>
        </w:rPr>
        <w:t xml:space="preserve"> (STIR/SHAKEN) </w:t>
      </w:r>
      <w:r w:rsidR="00130EA5">
        <w:t>must submit a robocall mitigation plan</w:t>
      </w:r>
      <w:r w:rsidR="003B5632">
        <w:t xml:space="preserve"> to the Robocall Mitigation Database.</w:t>
      </w:r>
      <w:r>
        <w:rPr>
          <w:rStyle w:val="FootnoteReference"/>
        </w:rPr>
        <w:footnoteReference w:id="14"/>
      </w:r>
      <w:r w:rsidR="003B5632">
        <w:t xml:space="preserve">  </w:t>
      </w:r>
      <w:r w:rsidR="00130EA5">
        <w:t>An originating or gateway voice service provider</w:t>
      </w:r>
      <w:r w:rsidR="00E90B19">
        <w:t xml:space="preserve"> that </w:t>
      </w:r>
      <w:r w:rsidR="00E90B19">
        <w:rPr>
          <w:i/>
          <w:iCs/>
        </w:rPr>
        <w:t>knowingly or negligently</w:t>
      </w:r>
      <w:r w:rsidR="00E90B19">
        <w:t xml:space="preserve"> transmits illegal robocalls may have its certification removed from the Robocall Mitigation Database.</w:t>
      </w:r>
      <w:r>
        <w:rPr>
          <w:rStyle w:val="FootnoteReference"/>
        </w:rPr>
        <w:footnoteReference w:id="15"/>
      </w:r>
      <w:r w:rsidR="00E90B19">
        <w:t xml:space="preserve">  </w:t>
      </w:r>
      <w:r w:rsidR="00130EA5">
        <w:t>I</w:t>
      </w:r>
      <w:r w:rsidR="00E90B19">
        <w:t xml:space="preserve">ntermediate and terminating voice service providers </w:t>
      </w:r>
      <w:r w:rsidR="00130EA5">
        <w:t xml:space="preserve">may only accept traffic from </w:t>
      </w:r>
      <w:r w:rsidR="003B5632">
        <w:t xml:space="preserve">originating or gateway </w:t>
      </w:r>
      <w:r w:rsidR="00130EA5">
        <w:t>providers that are in the Robocall Mitigation Database and that have not been delisted</w:t>
      </w:r>
      <w:r w:rsidR="00E90B19">
        <w:t>.</w:t>
      </w:r>
      <w:r>
        <w:rPr>
          <w:rStyle w:val="FootnoteReference"/>
        </w:rPr>
        <w:footnoteReference w:id="16"/>
      </w:r>
    </w:p>
    <w:p w:rsidR="00D26E2C" w:rsidP="00954D81" w14:paraId="0AFDA0E7" w14:textId="3EE942DE">
      <w:pPr>
        <w:widowControl/>
        <w:spacing w:after="220"/>
        <w:rPr>
          <w:bCs/>
          <w:sz w:val="24"/>
          <w:szCs w:val="24"/>
        </w:rPr>
      </w:pPr>
      <w:r>
        <w:rPr>
          <w:b/>
          <w:bCs/>
          <w:sz w:val="24"/>
          <w:szCs w:val="24"/>
        </w:rPr>
        <w:t>Recent</w:t>
      </w:r>
      <w:r w:rsidRPr="003F6D82">
        <w:rPr>
          <w:b/>
          <w:bCs/>
          <w:sz w:val="24"/>
          <w:szCs w:val="24"/>
        </w:rPr>
        <w:t xml:space="preserve"> </w:t>
      </w:r>
      <w:r w:rsidRPr="003F6D82" w:rsidR="0067112E">
        <w:rPr>
          <w:b/>
          <w:bCs/>
          <w:sz w:val="24"/>
          <w:szCs w:val="24"/>
        </w:rPr>
        <w:t>Commission Actions</w:t>
      </w:r>
      <w:r>
        <w:rPr>
          <w:b/>
          <w:bCs/>
          <w:sz w:val="24"/>
          <w:szCs w:val="24"/>
        </w:rPr>
        <w:t xml:space="preserve"> Against Voice Service Providers</w:t>
      </w:r>
      <w:r w:rsidRPr="003F6D82" w:rsidR="0067112E">
        <w:rPr>
          <w:b/>
          <w:bCs/>
          <w:sz w:val="24"/>
          <w:szCs w:val="24"/>
        </w:rPr>
        <w:t>.</w:t>
      </w:r>
      <w:r w:rsidRPr="003F6D82" w:rsidR="0067112E">
        <w:rPr>
          <w:sz w:val="24"/>
          <w:szCs w:val="24"/>
        </w:rPr>
        <w:t xml:space="preserve">  In April </w:t>
      </w:r>
      <w:r w:rsidRPr="003F6D82" w:rsidR="009D4F4B">
        <w:rPr>
          <w:sz w:val="24"/>
          <w:szCs w:val="24"/>
        </w:rPr>
        <w:t xml:space="preserve">and May </w:t>
      </w:r>
      <w:r w:rsidRPr="003F6D82" w:rsidR="0067112E">
        <w:rPr>
          <w:sz w:val="24"/>
          <w:szCs w:val="24"/>
        </w:rPr>
        <w:t xml:space="preserve">2020, </w:t>
      </w:r>
      <w:r w:rsidR="0021522C">
        <w:rPr>
          <w:sz w:val="24"/>
          <w:szCs w:val="24"/>
        </w:rPr>
        <w:t xml:space="preserve">the </w:t>
      </w:r>
      <w:r w:rsidRPr="003F6D82" w:rsidR="0067112E">
        <w:rPr>
          <w:sz w:val="24"/>
          <w:szCs w:val="24"/>
        </w:rPr>
        <w:t xml:space="preserve">FCC and the Federal Trade Commission </w:t>
      </w:r>
      <w:r w:rsidRPr="003F6D82" w:rsidR="009D4F4B">
        <w:rPr>
          <w:sz w:val="24"/>
          <w:szCs w:val="24"/>
        </w:rPr>
        <w:t>demanded that providers cut off</w:t>
      </w:r>
      <w:r w:rsidRPr="003F6D82" w:rsidR="0067112E">
        <w:rPr>
          <w:sz w:val="24"/>
          <w:szCs w:val="24"/>
        </w:rPr>
        <w:t xml:space="preserve"> illegal coronavirus-related robocal</w:t>
      </w:r>
      <w:r w:rsidRPr="003F6D82" w:rsidR="001F0C5E">
        <w:rPr>
          <w:sz w:val="24"/>
          <w:szCs w:val="24"/>
        </w:rPr>
        <w:t xml:space="preserve">ls coming into the </w:t>
      </w:r>
      <w:r w:rsidR="002974DD">
        <w:rPr>
          <w:sz w:val="24"/>
          <w:szCs w:val="24"/>
        </w:rPr>
        <w:t>United States</w:t>
      </w:r>
      <w:r w:rsidRPr="003F6D82" w:rsidR="001F0C5E">
        <w:rPr>
          <w:sz w:val="24"/>
          <w:szCs w:val="24"/>
        </w:rPr>
        <w:t>.</w:t>
      </w:r>
      <w:r>
        <w:rPr>
          <w:rStyle w:val="FootnoteReference"/>
          <w:sz w:val="24"/>
          <w:szCs w:val="24"/>
        </w:rPr>
        <w:footnoteReference w:id="17"/>
      </w:r>
      <w:r w:rsidRPr="003F6D82" w:rsidR="001F0C5E">
        <w:rPr>
          <w:sz w:val="24"/>
          <w:szCs w:val="24"/>
        </w:rPr>
        <w:t xml:space="preserve"> </w:t>
      </w:r>
      <w:r w:rsidRPr="003F6D82" w:rsidR="004B4388">
        <w:rPr>
          <w:sz w:val="24"/>
          <w:szCs w:val="24"/>
        </w:rPr>
        <w:t xml:space="preserve"> </w:t>
      </w:r>
      <w:r w:rsidRPr="003F6D82" w:rsidR="006862D6">
        <w:rPr>
          <w:sz w:val="24"/>
          <w:szCs w:val="24"/>
        </w:rPr>
        <w:t xml:space="preserve">The Commission has issued </w:t>
      </w:r>
      <w:r w:rsidR="006A0C3A">
        <w:rPr>
          <w:sz w:val="24"/>
          <w:szCs w:val="24"/>
        </w:rPr>
        <w:t>26</w:t>
      </w:r>
      <w:r w:rsidRPr="003F6D82" w:rsidR="006A0C3A">
        <w:rPr>
          <w:sz w:val="24"/>
          <w:szCs w:val="24"/>
        </w:rPr>
        <w:t xml:space="preserve"> </w:t>
      </w:r>
      <w:r w:rsidRPr="003F6D82" w:rsidR="003F6D82">
        <w:rPr>
          <w:sz w:val="24"/>
          <w:szCs w:val="24"/>
        </w:rPr>
        <w:t>cease and desist letters since that time.</w:t>
      </w:r>
      <w:r>
        <w:rPr>
          <w:rStyle w:val="FootnoteReference"/>
          <w:szCs w:val="24"/>
        </w:rPr>
        <w:footnoteReference w:id="18"/>
      </w:r>
      <w:r w:rsidRPr="003F6D82" w:rsidR="003F6D82">
        <w:rPr>
          <w:sz w:val="24"/>
          <w:szCs w:val="24"/>
        </w:rPr>
        <w:t xml:space="preserve">  </w:t>
      </w:r>
      <w:r w:rsidRPr="003F6D82" w:rsidR="00384A6F">
        <w:rPr>
          <w:sz w:val="24"/>
          <w:szCs w:val="24"/>
        </w:rPr>
        <w:t>Most recently the Commission issued a</w:t>
      </w:r>
      <w:r w:rsidR="008B35B0">
        <w:rPr>
          <w:sz w:val="24"/>
          <w:szCs w:val="24"/>
        </w:rPr>
        <w:t xml:space="preserve"> </w:t>
      </w:r>
      <w:r w:rsidRPr="008B35B0" w:rsidR="008B35B0">
        <w:rPr>
          <w:i/>
          <w:iCs/>
          <w:sz w:val="24"/>
          <w:szCs w:val="24"/>
        </w:rPr>
        <w:t>Notice</w:t>
      </w:r>
      <w:r w:rsidR="008B35B0">
        <w:rPr>
          <w:sz w:val="24"/>
          <w:szCs w:val="24"/>
        </w:rPr>
        <w:t xml:space="preserve"> </w:t>
      </w:r>
      <w:r w:rsidRPr="003F6D82" w:rsidR="00130EA5">
        <w:rPr>
          <w:bCs/>
          <w:sz w:val="24"/>
          <w:szCs w:val="24"/>
        </w:rPr>
        <w:t>pursuant to section 64.1200</w:t>
      </w:r>
      <w:r w:rsidR="00130EA5">
        <w:rPr>
          <w:bCs/>
          <w:sz w:val="24"/>
          <w:szCs w:val="24"/>
        </w:rPr>
        <w:t xml:space="preserve">(k)(4) </w:t>
      </w:r>
      <w:r w:rsidR="008B35B0">
        <w:rPr>
          <w:sz w:val="24"/>
          <w:szCs w:val="24"/>
        </w:rPr>
        <w:t>and</w:t>
      </w:r>
      <w:r w:rsidR="00130EA5">
        <w:rPr>
          <w:sz w:val="24"/>
          <w:szCs w:val="24"/>
        </w:rPr>
        <w:t xml:space="preserve"> an</w:t>
      </w:r>
      <w:r w:rsidRPr="003F6D82" w:rsidR="00384A6F">
        <w:rPr>
          <w:sz w:val="24"/>
          <w:szCs w:val="24"/>
        </w:rPr>
        <w:t xml:space="preserve"> </w:t>
      </w:r>
      <w:r w:rsidRPr="003F6D82" w:rsidR="00384A6F">
        <w:rPr>
          <w:i/>
          <w:iCs/>
          <w:sz w:val="24"/>
          <w:szCs w:val="24"/>
        </w:rPr>
        <w:t>Order</w:t>
      </w:r>
      <w:r w:rsidRPr="003F6D82" w:rsidR="00384A6F">
        <w:rPr>
          <w:sz w:val="24"/>
          <w:szCs w:val="24"/>
        </w:rPr>
        <w:t xml:space="preserve"> </w:t>
      </w:r>
      <w:r w:rsidRPr="003F6D82" w:rsidR="00384A6F">
        <w:rPr>
          <w:bCs/>
          <w:sz w:val="24"/>
          <w:szCs w:val="24"/>
        </w:rPr>
        <w:t>pursuant to section</w:t>
      </w:r>
      <w:r w:rsidR="00342D42">
        <w:rPr>
          <w:bCs/>
          <w:sz w:val="24"/>
          <w:szCs w:val="24"/>
        </w:rPr>
        <w:t xml:space="preserve"> </w:t>
      </w:r>
      <w:r w:rsidRPr="003F6D82" w:rsidR="00384A6F">
        <w:rPr>
          <w:bCs/>
          <w:sz w:val="24"/>
          <w:szCs w:val="24"/>
        </w:rPr>
        <w:t xml:space="preserve">64.1200(n)(2) </w:t>
      </w:r>
      <w:r w:rsidR="003F6D82">
        <w:rPr>
          <w:bCs/>
          <w:sz w:val="24"/>
          <w:szCs w:val="24"/>
        </w:rPr>
        <w:t xml:space="preserve">providing </w:t>
      </w:r>
      <w:r w:rsidRPr="003F6D82" w:rsidR="00384A6F">
        <w:rPr>
          <w:bCs/>
          <w:sz w:val="24"/>
          <w:szCs w:val="24"/>
        </w:rPr>
        <w:t xml:space="preserve">written notice to all </w:t>
      </w:r>
      <w:r w:rsidRPr="003F6D82" w:rsidR="00384A6F">
        <w:rPr>
          <w:bCs/>
          <w:sz w:val="24"/>
          <w:szCs w:val="24"/>
        </w:rPr>
        <w:t>voice service providers about suspected illegal auto warranty robocalls</w:t>
      </w:r>
      <w:r w:rsidRPr="003F6D82" w:rsidR="00384A6F">
        <w:rPr>
          <w:sz w:val="24"/>
          <w:szCs w:val="24"/>
        </w:rPr>
        <w:t>.</w:t>
      </w:r>
      <w:r>
        <w:rPr>
          <w:rStyle w:val="FootnoteReference"/>
          <w:szCs w:val="24"/>
        </w:rPr>
        <w:footnoteReference w:id="19"/>
      </w:r>
      <w:r w:rsidRPr="003F6D82" w:rsidR="00384A6F">
        <w:rPr>
          <w:sz w:val="24"/>
          <w:szCs w:val="24"/>
        </w:rPr>
        <w:t xml:space="preserve">  The </w:t>
      </w:r>
      <w:r w:rsidRPr="003F6D82" w:rsidR="00384A6F">
        <w:rPr>
          <w:i/>
          <w:iCs/>
          <w:sz w:val="24"/>
          <w:szCs w:val="24"/>
        </w:rPr>
        <w:t>Order</w:t>
      </w:r>
      <w:r w:rsidRPr="003F6D82" w:rsidR="00384A6F">
        <w:rPr>
          <w:sz w:val="24"/>
          <w:szCs w:val="24"/>
        </w:rPr>
        <w:t xml:space="preserve"> notifie</w:t>
      </w:r>
      <w:r w:rsidR="008B35B0">
        <w:rPr>
          <w:sz w:val="24"/>
          <w:szCs w:val="24"/>
        </w:rPr>
        <w:t>d</w:t>
      </w:r>
      <w:r w:rsidRPr="003F6D82" w:rsidR="00384A6F">
        <w:rPr>
          <w:sz w:val="24"/>
          <w:szCs w:val="24"/>
        </w:rPr>
        <w:t xml:space="preserve"> and direct</w:t>
      </w:r>
      <w:r w:rsidR="008B35B0">
        <w:rPr>
          <w:sz w:val="24"/>
          <w:szCs w:val="24"/>
        </w:rPr>
        <w:t>ed</w:t>
      </w:r>
      <w:r w:rsidRPr="003F6D82" w:rsidR="00384A6F">
        <w:rPr>
          <w:sz w:val="24"/>
          <w:szCs w:val="24"/>
        </w:rPr>
        <w:t xml:space="preserve"> </w:t>
      </w:r>
      <w:r w:rsidRPr="003F6D82" w:rsidR="00384A6F">
        <w:rPr>
          <w:bCs/>
          <w:sz w:val="24"/>
          <w:szCs w:val="24"/>
        </w:rPr>
        <w:t xml:space="preserve">all U.S.-based voice service providers to take immediate steps to effectively mitigate suspected illegal robocall traffic made by or on behalf of several companies and individuals </w:t>
      </w:r>
      <w:r w:rsidR="008B35B0">
        <w:rPr>
          <w:bCs/>
          <w:sz w:val="24"/>
          <w:szCs w:val="24"/>
        </w:rPr>
        <w:t>connected with an auto warranty robocall scheme.</w:t>
      </w:r>
      <w:r>
        <w:rPr>
          <w:rStyle w:val="FootnoteReference"/>
          <w:bCs/>
          <w:szCs w:val="24"/>
        </w:rPr>
        <w:footnoteReference w:id="20"/>
      </w:r>
      <w:r>
        <w:rPr>
          <w:bCs/>
          <w:sz w:val="24"/>
          <w:szCs w:val="24"/>
        </w:rPr>
        <w:t xml:space="preserve">  These actions resulted in an</w:t>
      </w:r>
      <w:r w:rsidR="00130EA5">
        <w:rPr>
          <w:bCs/>
          <w:sz w:val="24"/>
          <w:szCs w:val="24"/>
        </w:rPr>
        <w:t xml:space="preserve"> estimated</w:t>
      </w:r>
      <w:r>
        <w:rPr>
          <w:bCs/>
          <w:sz w:val="24"/>
          <w:szCs w:val="24"/>
        </w:rPr>
        <w:t xml:space="preserve"> 80 percent decline in auto warranty robocalls.</w:t>
      </w:r>
      <w:r>
        <w:rPr>
          <w:rStyle w:val="FootnoteReference"/>
          <w:bCs/>
          <w:szCs w:val="24"/>
        </w:rPr>
        <w:footnoteReference w:id="21"/>
      </w:r>
      <w:r w:rsidR="00BE5F87">
        <w:rPr>
          <w:bCs/>
          <w:sz w:val="24"/>
          <w:szCs w:val="24"/>
        </w:rPr>
        <w:t xml:space="preserve"> </w:t>
      </w:r>
      <w:r w:rsidR="00057F18">
        <w:rPr>
          <w:bCs/>
          <w:sz w:val="24"/>
          <w:szCs w:val="24"/>
        </w:rPr>
        <w:t xml:space="preserve"> </w:t>
      </w:r>
      <w:r w:rsidR="00130EA5">
        <w:rPr>
          <w:bCs/>
          <w:sz w:val="24"/>
          <w:szCs w:val="24"/>
        </w:rPr>
        <w:t>This process is available to address other illegal robocalls, including illegal calls regarding</w:t>
      </w:r>
      <w:r w:rsidR="00566152">
        <w:rPr>
          <w:bCs/>
          <w:sz w:val="24"/>
          <w:szCs w:val="24"/>
        </w:rPr>
        <w:t xml:space="preserve"> student loan</w:t>
      </w:r>
      <w:r w:rsidR="00130EA5">
        <w:rPr>
          <w:bCs/>
          <w:sz w:val="24"/>
          <w:szCs w:val="24"/>
        </w:rPr>
        <w:t>s</w:t>
      </w:r>
      <w:r w:rsidR="00566152">
        <w:rPr>
          <w:bCs/>
          <w:sz w:val="24"/>
          <w:szCs w:val="24"/>
        </w:rPr>
        <w:t xml:space="preserve">.  </w:t>
      </w:r>
    </w:p>
    <w:p w:rsidR="003F6D82" w:rsidRPr="003F6D82" w:rsidP="00954D81" w14:paraId="3E488027" w14:textId="11277DBB">
      <w:pPr>
        <w:widowControl/>
        <w:spacing w:after="220"/>
        <w:rPr>
          <w:sz w:val="24"/>
          <w:szCs w:val="24"/>
        </w:rPr>
      </w:pPr>
      <w:r>
        <w:rPr>
          <w:b/>
          <w:sz w:val="24"/>
          <w:szCs w:val="24"/>
        </w:rPr>
        <w:t xml:space="preserve">The Enforcement Bureau </w:t>
      </w:r>
      <w:r w:rsidR="002974DD">
        <w:rPr>
          <w:b/>
          <w:sz w:val="24"/>
          <w:szCs w:val="24"/>
        </w:rPr>
        <w:t>will</w:t>
      </w:r>
      <w:r>
        <w:rPr>
          <w:b/>
          <w:sz w:val="24"/>
          <w:szCs w:val="24"/>
        </w:rPr>
        <w:t xml:space="preserve"> vigorously enforce the Commission’s rules and obligations placed on voice service providers responsible for originating or acting as the U.S. gateway for scam student loan robocalls.  Providers should be vigilant of such scam robocalls transiting their networks and take effective mitigating measures to prevent these calls from reaching consumers.</w:t>
      </w:r>
      <w:r w:rsidR="00CB0C49">
        <w:rPr>
          <w:b/>
          <w:sz w:val="24"/>
          <w:szCs w:val="24"/>
        </w:rPr>
        <w:t xml:space="preserve"> </w:t>
      </w:r>
      <w:r w:rsidR="00825DFC">
        <w:rPr>
          <w:b/>
          <w:sz w:val="24"/>
          <w:szCs w:val="24"/>
        </w:rPr>
        <w:t xml:space="preserve"> </w:t>
      </w:r>
      <w:r w:rsidR="00CB0C49">
        <w:rPr>
          <w:b/>
          <w:sz w:val="24"/>
          <w:szCs w:val="24"/>
        </w:rPr>
        <w:t>Failure to do so may result in enforcement actions as described above.</w:t>
      </w:r>
    </w:p>
    <w:p w:rsidR="0077180F" w:rsidRPr="003F6D82" w:rsidP="00954D81" w14:paraId="3BDED901" w14:textId="77777777">
      <w:pPr>
        <w:spacing w:after="220"/>
        <w:rPr>
          <w:sz w:val="24"/>
          <w:szCs w:val="24"/>
        </w:rPr>
      </w:pPr>
      <w:r w:rsidRPr="003F6D82">
        <w:rPr>
          <w:sz w:val="24"/>
          <w:szCs w:val="24"/>
        </w:rPr>
        <w:t xml:space="preserve">Media inquiries should be directed to </w:t>
      </w:r>
      <w:r w:rsidRPr="003F6D82" w:rsidR="00B50FF6">
        <w:rPr>
          <w:sz w:val="24"/>
          <w:szCs w:val="24"/>
        </w:rPr>
        <w:t xml:space="preserve">202-418-0500 or </w:t>
      </w:r>
      <w:r w:rsidRPr="003F6D82" w:rsidR="00B25111">
        <w:rPr>
          <w:sz w:val="24"/>
          <w:szCs w:val="24"/>
        </w:rPr>
        <w:t>MediaRelations@fcc.gov</w:t>
      </w:r>
      <w:r w:rsidRPr="003F6D82">
        <w:rPr>
          <w:sz w:val="24"/>
          <w:szCs w:val="24"/>
        </w:rPr>
        <w:t xml:space="preserve">.  </w:t>
      </w:r>
    </w:p>
    <w:p w:rsidR="00300CFB" w:rsidRPr="003F6D82" w:rsidP="00300CFB" w14:paraId="6F37CE02" w14:textId="77777777">
      <w:pPr>
        <w:rPr>
          <w:sz w:val="24"/>
          <w:szCs w:val="24"/>
        </w:rPr>
      </w:pPr>
    </w:p>
    <w:p w:rsidR="0077180F" w:rsidRPr="003F6D82" w:rsidP="0077180F" w14:paraId="0E18B1E5" w14:textId="77777777">
      <w:pPr>
        <w:tabs>
          <w:tab w:val="right" w:pos="9360"/>
        </w:tabs>
        <w:spacing w:after="120"/>
        <w:rPr>
          <w:sz w:val="24"/>
          <w:szCs w:val="24"/>
        </w:rPr>
      </w:pPr>
      <w:r w:rsidRPr="003F6D82">
        <w:rPr>
          <w:sz w:val="24"/>
          <w:szCs w:val="24"/>
        </w:rPr>
        <w:tab/>
      </w:r>
    </w:p>
    <w:p w:rsidR="0077180F" w:rsidRPr="003F6D82" w:rsidP="00662081" w14:paraId="646D5A82" w14:textId="0CDC2A3F">
      <w:pPr>
        <w:tabs>
          <w:tab w:val="right" w:pos="9360"/>
        </w:tabs>
        <w:spacing w:after="120"/>
        <w:jc w:val="right"/>
        <w:rPr>
          <w:sz w:val="24"/>
          <w:szCs w:val="24"/>
        </w:rPr>
      </w:pPr>
      <w:r w:rsidRPr="003F6D82">
        <w:rPr>
          <w:sz w:val="24"/>
          <w:szCs w:val="24"/>
        </w:rPr>
        <w:t xml:space="preserve">Issued by:  Chief, Enforcement Bureau </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8224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1AD6C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C58B2F9" w14:textId="77777777">
    <w:pPr>
      <w:pStyle w:val="Footer"/>
      <w:jc w:val="center"/>
    </w:pPr>
    <w:r>
      <w:fldChar w:fldCharType="begin"/>
    </w:r>
    <w:r>
      <w:instrText xml:space="preserve"> PAGE   \* MERGEFORMAT </w:instrText>
    </w:r>
    <w:r>
      <w:fldChar w:fldCharType="separate"/>
    </w:r>
    <w:r w:rsidR="0027335E">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C2DCF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7D3A" w14:paraId="7829F5A7" w14:textId="77777777">
      <w:r>
        <w:separator/>
      </w:r>
    </w:p>
  </w:footnote>
  <w:footnote w:type="continuationSeparator" w:id="1">
    <w:p w:rsidR="00377D3A" w14:paraId="3B727F39" w14:textId="77777777">
      <w:pPr>
        <w:rPr>
          <w:sz w:val="20"/>
        </w:rPr>
      </w:pPr>
      <w:r>
        <w:rPr>
          <w:sz w:val="20"/>
        </w:rPr>
        <w:t xml:space="preserve">(Continued from previous page)  </w:t>
      </w:r>
      <w:r>
        <w:rPr>
          <w:sz w:val="20"/>
        </w:rPr>
        <w:separator/>
      </w:r>
    </w:p>
  </w:footnote>
  <w:footnote w:type="continuationNotice" w:id="2">
    <w:p w:rsidR="00377D3A" w:rsidP="00910F12" w14:paraId="14E0921A" w14:textId="77777777">
      <w:pPr>
        <w:jc w:val="right"/>
        <w:rPr>
          <w:sz w:val="20"/>
        </w:rPr>
      </w:pPr>
      <w:r>
        <w:rPr>
          <w:sz w:val="20"/>
        </w:rPr>
        <w:t>(continued….)</w:t>
      </w:r>
    </w:p>
  </w:footnote>
  <w:footnote w:id="3">
    <w:p w:rsidR="00B67AA8" w:rsidRPr="00954D81" w:rsidP="00954D81" w14:paraId="3130B7FF" w14:textId="2C453E72">
      <w:pPr>
        <w:widowControl/>
        <w:spacing w:after="200"/>
      </w:pPr>
      <w:r w:rsidRPr="00954D81">
        <w:rPr>
          <w:rStyle w:val="FootnoteReference"/>
          <w:sz w:val="20"/>
        </w:rPr>
        <w:footnoteRef/>
      </w:r>
      <w:r w:rsidRPr="00954D81">
        <w:rPr>
          <w:sz w:val="20"/>
        </w:rPr>
        <w:t xml:space="preserve"> </w:t>
      </w:r>
      <w:r w:rsidR="00C24997">
        <w:rPr>
          <w:i/>
          <w:iCs/>
          <w:sz w:val="20"/>
        </w:rPr>
        <w:t xml:space="preserve">See </w:t>
      </w:r>
      <w:r w:rsidRPr="006D4E2D" w:rsidR="00C24997">
        <w:rPr>
          <w:sz w:val="20"/>
        </w:rPr>
        <w:t>Fact Sheet, The White House, President Biden Announces Student Loan Relief for Borrowers Who Need it Most (Aug. 24, 2022)</w:t>
      </w:r>
      <w:r w:rsidRPr="00954D81" w:rsidR="00E946C8">
        <w:rPr>
          <w:sz w:val="20"/>
        </w:rPr>
        <w:t xml:space="preserve">, </w:t>
      </w:r>
      <w:r w:rsidRPr="00114B31" w:rsidR="00716BFA">
        <w:rPr>
          <w:sz w:val="20"/>
        </w:rPr>
        <w:t xml:space="preserve">Press Release, Department of Education, Biden-Harris Administration Announces Final Student Loan Pause Extension Through December 31 and Targeted Debt Cancellation to Smooth Transition to Repayment (Aug. 24, 2022), </w:t>
      </w:r>
      <w:hyperlink r:id="rId1" w:history="1">
        <w:r w:rsidRPr="00114B31" w:rsidR="00716BFA">
          <w:rPr>
            <w:rStyle w:val="Hyperlink"/>
            <w:sz w:val="20"/>
          </w:rPr>
          <w:t>https://www.ed.gov/news/press-releases/biden-harris-administration-announces-final-student-loan-pause-extension-through-december-31-and-targeted-debt-cancellation-smooth-transition-repayment</w:t>
        </w:r>
      </w:hyperlink>
      <w:r w:rsidRPr="00114B31" w:rsidR="00716BFA">
        <w:rPr>
          <w:sz w:val="20"/>
        </w:rPr>
        <w:t xml:space="preserve"> (</w:t>
      </w:r>
      <w:r w:rsidRPr="00114B31" w:rsidR="006F1BA6">
        <w:rPr>
          <w:sz w:val="20"/>
        </w:rPr>
        <w:t>a</w:t>
      </w:r>
      <w:r w:rsidRPr="00114B31" w:rsidR="00716BFA">
        <w:rPr>
          <w:sz w:val="20"/>
        </w:rPr>
        <w:t xml:space="preserve">nnouncing an extension of the student loan pause and </w:t>
      </w:r>
      <w:r w:rsidRPr="00114B31" w:rsidR="006F1BA6">
        <w:rPr>
          <w:sz w:val="20"/>
        </w:rPr>
        <w:t>loan forgiveness for which</w:t>
      </w:r>
      <w:r w:rsidRPr="00114B31" w:rsidR="00716BFA">
        <w:rPr>
          <w:sz w:val="20"/>
        </w:rPr>
        <w:t xml:space="preserve"> n</w:t>
      </w:r>
      <w:r w:rsidRPr="00114B31" w:rsidR="00716BFA">
        <w:rPr>
          <w:color w:val="030A13"/>
          <w:sz w:val="20"/>
          <w:shd w:val="clear" w:color="auto" w:fill="FFFFFF"/>
        </w:rPr>
        <w:t>early 8 million borrowers whose relevant income data is already available to the Department</w:t>
      </w:r>
      <w:r w:rsidRPr="00114B31" w:rsidR="006F1BA6">
        <w:rPr>
          <w:color w:val="030A13"/>
          <w:sz w:val="20"/>
          <w:shd w:val="clear" w:color="auto" w:fill="FFFFFF"/>
        </w:rPr>
        <w:t xml:space="preserve"> may be eligible</w:t>
      </w:r>
      <w:r w:rsidRPr="00114B31" w:rsidR="00716BFA">
        <w:rPr>
          <w:color w:val="030A13"/>
          <w:sz w:val="20"/>
          <w:shd w:val="clear" w:color="auto" w:fill="FFFFFF"/>
        </w:rPr>
        <w:t>)</w:t>
      </w:r>
      <w:r w:rsidRPr="00114B31" w:rsidR="00716BFA">
        <w:rPr>
          <w:sz w:val="20"/>
        </w:rPr>
        <w:t>.</w:t>
      </w:r>
    </w:p>
  </w:footnote>
  <w:footnote w:id="4">
    <w:p w:rsidR="008338D3" w:rsidRPr="00EB156E" w:rsidP="00954D81" w14:paraId="3245F87B" w14:textId="4EA1A082">
      <w:pPr>
        <w:pStyle w:val="FootnoteText"/>
        <w:spacing w:after="200"/>
      </w:pPr>
      <w:r w:rsidRPr="00954D81">
        <w:rPr>
          <w:rStyle w:val="FootnoteReference"/>
          <w:sz w:val="20"/>
        </w:rPr>
        <w:footnoteRef/>
      </w:r>
      <w:r w:rsidRPr="00EB156E">
        <w:t xml:space="preserve"> </w:t>
      </w:r>
      <w:r w:rsidRPr="00EB156E">
        <w:rPr>
          <w:i/>
          <w:iCs/>
        </w:rPr>
        <w:t xml:space="preserve">See id. See also </w:t>
      </w:r>
      <w:r w:rsidRPr="00EB156E">
        <w:t>Fact Sheet, The White House, President Biden Announces Student Loan Relief for Borrowers Who Need it Most (Aug. 24, 2022),</w:t>
      </w:r>
      <w:r w:rsidRPr="00EB156E" w:rsidR="00C55182">
        <w:t xml:space="preserve"> </w:t>
      </w:r>
      <w:hyperlink r:id="rId2" w:history="1">
        <w:r w:rsidRPr="00EB156E" w:rsidR="00C55182">
          <w:rPr>
            <w:rStyle w:val="Hyperlink"/>
          </w:rPr>
          <w:t>https://www.whitehouse.gov/briefing-room/statements-releases/2022/08/24/fact-sheet-president-biden-announces-student-loan-relief-for-borrowers-who-need-it-most/</w:t>
        </w:r>
      </w:hyperlink>
      <w:r w:rsidRPr="00EB156E" w:rsidR="00C55182">
        <w:t xml:space="preserve"> </w:t>
      </w:r>
      <w:r w:rsidRPr="00EB156E">
        <w:t xml:space="preserve"> (“the Department of Education is extending the student loan pause a final time through December 31, 2022. No one with federally-held loans has had to pay a single dollar in loan payments since President Biden took office.”). </w:t>
      </w:r>
    </w:p>
  </w:footnote>
  <w:footnote w:id="5">
    <w:p w:rsidR="009E0653" w:rsidRPr="00713D0A" w:rsidP="00112AA6" w14:paraId="32C0D412" w14:textId="3A00D22F">
      <w:pPr>
        <w:pStyle w:val="FootnoteText"/>
      </w:pPr>
      <w:r>
        <w:rPr>
          <w:rStyle w:val="FootnoteReference"/>
        </w:rPr>
        <w:footnoteRef/>
      </w:r>
      <w:r>
        <w:t xml:space="preserve"> </w:t>
      </w:r>
      <w:r>
        <w:rPr>
          <w:i/>
          <w:iCs/>
        </w:rPr>
        <w:t>See</w:t>
      </w:r>
      <w:r w:rsidR="00713D0A">
        <w:rPr>
          <w:i/>
          <w:iCs/>
        </w:rPr>
        <w:t>, e.g.</w:t>
      </w:r>
      <w:r w:rsidR="00713D0A">
        <w:t>,</w:t>
      </w:r>
      <w:r>
        <w:rPr>
          <w:i/>
          <w:iCs/>
        </w:rPr>
        <w:t xml:space="preserve"> </w:t>
      </w:r>
      <w:r w:rsidR="00BD3D7A">
        <w:t xml:space="preserve">Audio recording: </w:t>
      </w:r>
      <w:r>
        <w:t>“Petition Will Be Filed</w:t>
      </w:r>
      <w:r w:rsidR="00BD3D7A">
        <w:t>-Example</w:t>
      </w:r>
      <w:r>
        <w:t>”</w:t>
      </w:r>
      <w:r w:rsidR="00BD3D7A">
        <w:t xml:space="preserve"> (Oct. 6, 2022)</w:t>
      </w:r>
      <w:r>
        <w:t xml:space="preserve"> </w:t>
      </w:r>
      <w:r w:rsidR="00BD3D7A">
        <w:t>(</w:t>
      </w:r>
      <w:r>
        <w:t>on file at EB-TCD-22-00034232</w:t>
      </w:r>
      <w:r w:rsidR="00BD3D7A">
        <w:t>)</w:t>
      </w:r>
      <w:r>
        <w:t xml:space="preserve"> (“</w:t>
      </w:r>
      <w:r w:rsidRPr="00004578">
        <w:t>Hello, this is to inform you that the Student Loan payment suspension</w:t>
      </w:r>
      <w:r>
        <w:t xml:space="preserve"> </w:t>
      </w:r>
      <w:r w:rsidRPr="00004578">
        <w:t>has been extended to December 31 of this year. Also, everyone is now going to get $10,000 dismissed upon income verification. If you do not verify your income, on January 1 your payments will start back up automatically. To receive a full dismissal and not just the $10,000 dismissal...a petition will be filed on your behalf so that your loan payments do not begin on January 1....</w:t>
      </w:r>
      <w:r>
        <w:t>”).</w:t>
      </w:r>
    </w:p>
  </w:footnote>
  <w:footnote w:id="6">
    <w:p w:rsidR="009E0653" w14:paraId="58453C0E" w14:textId="48708779">
      <w:pPr>
        <w:pStyle w:val="FootnoteText"/>
      </w:pPr>
      <w:r>
        <w:rPr>
          <w:rStyle w:val="FootnoteReference"/>
        </w:rPr>
        <w:footnoteRef/>
      </w:r>
      <w:r>
        <w:t xml:space="preserve"> </w:t>
      </w:r>
      <w:r>
        <w:rPr>
          <w:i/>
          <w:iCs/>
        </w:rPr>
        <w:t>See</w:t>
      </w:r>
      <w:r w:rsidR="009D75CF">
        <w:rPr>
          <w:i/>
          <w:iCs/>
        </w:rPr>
        <w:t>,</w:t>
      </w:r>
      <w:r w:rsidR="00BD3D7A">
        <w:rPr>
          <w:i/>
          <w:iCs/>
        </w:rPr>
        <w:t xml:space="preserve"> e.g.,</w:t>
      </w:r>
      <w:r>
        <w:rPr>
          <w:i/>
          <w:iCs/>
        </w:rPr>
        <w:t xml:space="preserve"> </w:t>
      </w:r>
      <w:r w:rsidR="00BD3D7A">
        <w:t>Audio r</w:t>
      </w:r>
      <w:r>
        <w:t>ecording</w:t>
      </w:r>
      <w:r w:rsidR="00BD3D7A">
        <w:t>: “Flagged for Forgiveness”</w:t>
      </w:r>
      <w:r>
        <w:t xml:space="preserve"> </w:t>
      </w:r>
      <w:r w:rsidR="00BD3D7A">
        <w:t>(Aug. 16, 2022) (</w:t>
      </w:r>
      <w:r>
        <w:t>on file at EB-TCD-22-00034232</w:t>
      </w:r>
      <w:r w:rsidR="00BD3D7A">
        <w:t>)</w:t>
      </w:r>
      <w:r>
        <w:t xml:space="preserve"> </w:t>
      </w:r>
      <w:r w:rsidR="00BD3D7A">
        <w:t xml:space="preserve">(“Jenny from the Student Loan Forgiveness Center in Texas”); </w:t>
      </w:r>
      <w:r w:rsidR="00D470FC">
        <w:t xml:space="preserve">Audio recording: “National Forgiveness Program” (Mar. 9, 2022) (on file at EB-TCD-22-00034232) (“West Texas office informing call recipient that he or she is eligible for the Texas forgiveness program”); </w:t>
      </w:r>
      <w:r w:rsidR="00BD3D7A">
        <w:t>FCC Complaint #</w:t>
      </w:r>
      <w:r w:rsidR="00B87F69">
        <w:t>5653385 (Aug. 5, 2022) (on file at EB-TCD-22-00034232) (Elaine from the processing center calling to finalize call recipient’s enrollment in a program to forgive loans.); Audio recording: “</w:t>
      </w:r>
      <w:r w:rsidRPr="00F626B8" w:rsidR="00B87F69">
        <w:t>Example-Government Offered Forbearance</w:t>
      </w:r>
      <w:r w:rsidR="00B87F69">
        <w:t>”</w:t>
      </w:r>
      <w:r w:rsidRPr="00F626B8" w:rsidR="00B87F69">
        <w:t xml:space="preserve"> (Oct. 2021) (Informing call recipients that they need to complete their program enrollment. If not, they will have to start paying off their student loan debt.)</w:t>
      </w:r>
      <w:r w:rsidR="00B87F69">
        <w:t>.</w:t>
      </w:r>
    </w:p>
  </w:footnote>
  <w:footnote w:id="7">
    <w:p w:rsidR="00CD63E5" w:rsidRPr="005E449C" w14:paraId="7411E776" w14:textId="77796E95">
      <w:pPr>
        <w:pStyle w:val="FootnoteText"/>
      </w:pPr>
      <w:r>
        <w:rPr>
          <w:rStyle w:val="FootnoteReference"/>
        </w:rPr>
        <w:footnoteRef/>
      </w:r>
      <w:r>
        <w:t xml:space="preserve"> </w:t>
      </w:r>
      <w:r>
        <w:rPr>
          <w:i/>
          <w:iCs/>
        </w:rPr>
        <w:t xml:space="preserve">See </w:t>
      </w:r>
      <w:r>
        <w:t>Consumer Alert, Federal Trade Commission,</w:t>
      </w:r>
      <w:r w:rsidR="0021522C">
        <w:t xml:space="preserve"> </w:t>
      </w:r>
      <w:r>
        <w:t>‘Tis the season for student loan scam calls (Dec. 15, 2021),</w:t>
      </w:r>
      <w:r w:rsidRPr="00CD63E5">
        <w:t xml:space="preserve"> https://consumer.ftc.gov/consumer-alerts/2021/12/tis-season-student-loan-scam-calls</w:t>
      </w:r>
      <w:r>
        <w:t xml:space="preserve"> (“</w:t>
      </w:r>
      <w:r w:rsidRPr="00216131">
        <w:t>Repayments will begin again after December 31, 2022. Scammers know it, too, and are looking for ways to take advantage</w:t>
      </w:r>
      <w:r>
        <w:t>. . .”)</w:t>
      </w:r>
      <w:r w:rsidR="00B3037E">
        <w:t xml:space="preserve">; </w:t>
      </w:r>
      <w:r w:rsidR="00B3037E">
        <w:rPr>
          <w:i/>
          <w:iCs/>
        </w:rPr>
        <w:t xml:space="preserve">see also </w:t>
      </w:r>
      <w:r w:rsidR="005E449C">
        <w:t xml:space="preserve">NPR, </w:t>
      </w:r>
      <w:r w:rsidRPr="00216131" w:rsidR="005E449C">
        <w:t>Waiting for loan forgiveness, borrowers are targets for scammers</w:t>
      </w:r>
      <w:r w:rsidR="005E449C">
        <w:t xml:space="preserve"> (Sept. 19, 2022), </w:t>
      </w:r>
      <w:hyperlink r:id="rId3" w:history="1">
        <w:r w:rsidRPr="005E449C" w:rsidR="005E449C">
          <w:rPr>
            <w:rStyle w:val="Hyperlink"/>
          </w:rPr>
          <w:t>https://www.npr.org/2022/09/19/1123488226/waiting-for-loan-forgiveness-borrowers-are-targets-for-scammers</w:t>
        </w:r>
      </w:hyperlink>
      <w:r w:rsidR="005E449C">
        <w:t>.</w:t>
      </w:r>
    </w:p>
  </w:footnote>
  <w:footnote w:id="8">
    <w:p w:rsidR="00912DBD" w:rsidRPr="00EB156E" w:rsidP="00954D81" w14:paraId="665406BD" w14:textId="279C04D9">
      <w:pPr>
        <w:pStyle w:val="FootnoteText"/>
        <w:spacing w:after="200"/>
      </w:pPr>
      <w:r w:rsidRPr="00954D81">
        <w:rPr>
          <w:rStyle w:val="FootnoteReference"/>
          <w:sz w:val="20"/>
        </w:rPr>
        <w:footnoteRef/>
      </w:r>
      <w:r w:rsidRPr="00EB156E">
        <w:t xml:space="preserve"> Press Release, The White House, Readout of White House Meeting on Student Debt Relief Scam Prevention (Oct. 7, 2022), </w:t>
      </w:r>
      <w:hyperlink r:id="rId4" w:history="1">
        <w:r w:rsidRPr="00EB156E">
          <w:rPr>
            <w:rStyle w:val="Hyperlink"/>
          </w:rPr>
          <w:t>https://www.whitehouse.gov/briefing-room/statements-releases/2022/10/07/readout-of-white-house-meeting-on-student-debt-relief-scam-prevention/</w:t>
        </w:r>
      </w:hyperlink>
      <w:r w:rsidRPr="00EB156E">
        <w:t xml:space="preserve">. </w:t>
      </w:r>
    </w:p>
  </w:footnote>
  <w:footnote w:id="9">
    <w:p w:rsidR="00912DBD" w:rsidRPr="00EB156E" w:rsidP="00954D81" w14:paraId="17B20E3B" w14:textId="5B739C38">
      <w:pPr>
        <w:pStyle w:val="FootnoteText"/>
        <w:spacing w:after="200"/>
        <w:rPr>
          <w:i/>
          <w:iCs/>
        </w:rPr>
      </w:pPr>
      <w:r w:rsidRPr="00954D81">
        <w:rPr>
          <w:rStyle w:val="FootnoteReference"/>
          <w:sz w:val="20"/>
        </w:rPr>
        <w:footnoteRef/>
      </w:r>
      <w:r w:rsidRPr="00EB156E">
        <w:t xml:space="preserve"> </w:t>
      </w:r>
      <w:r w:rsidRPr="00EB156E">
        <w:rPr>
          <w:i/>
          <w:iCs/>
        </w:rPr>
        <w:t>Id.</w:t>
      </w:r>
    </w:p>
  </w:footnote>
  <w:footnote w:id="10">
    <w:p w:rsidR="005C5CF3" w:rsidRPr="00EB156E" w:rsidP="00954D81" w14:paraId="64EECB0C" w14:textId="1291BB7B">
      <w:pPr>
        <w:pStyle w:val="FootnoteText"/>
        <w:spacing w:after="200"/>
      </w:pPr>
      <w:r w:rsidRPr="00954D81">
        <w:rPr>
          <w:rStyle w:val="FootnoteReference"/>
          <w:sz w:val="20"/>
        </w:rPr>
        <w:footnoteRef/>
      </w:r>
      <w:r w:rsidRPr="00EB156E">
        <w:t xml:space="preserve"> 47 CFR § 64.1200(k)(4).</w:t>
      </w:r>
    </w:p>
  </w:footnote>
  <w:footnote w:id="11">
    <w:p w:rsidR="00C55182" w:rsidRPr="00EB156E" w:rsidP="00954D81" w14:paraId="0229EC76" w14:textId="08943BCD">
      <w:pPr>
        <w:pStyle w:val="FootnoteText"/>
        <w:spacing w:after="200"/>
      </w:pPr>
      <w:r w:rsidRPr="00954D81">
        <w:rPr>
          <w:rStyle w:val="FootnoteReference"/>
          <w:sz w:val="20"/>
        </w:rPr>
        <w:footnoteRef/>
      </w:r>
      <w:r w:rsidRPr="00EB156E">
        <w:t xml:space="preserve"> </w:t>
      </w:r>
      <w:r w:rsidRPr="006D4E2D" w:rsidR="00DB5CF8">
        <w:rPr>
          <w:i/>
          <w:iCs/>
        </w:rPr>
        <w:t>Id.</w:t>
      </w:r>
      <w:r w:rsidRPr="00EB156E">
        <w:t xml:space="preserve"> § 64.1200(n)(5).</w:t>
      </w:r>
    </w:p>
  </w:footnote>
  <w:footnote w:id="12">
    <w:p w:rsidR="005C5CF3" w:rsidRPr="00EB156E" w:rsidP="00954D81" w14:paraId="7E382338" w14:textId="39C6C9B7">
      <w:pPr>
        <w:pStyle w:val="FootnoteText"/>
        <w:spacing w:after="200"/>
      </w:pPr>
      <w:r w:rsidRPr="00954D81">
        <w:rPr>
          <w:rStyle w:val="FootnoteReference"/>
          <w:sz w:val="20"/>
        </w:rPr>
        <w:footnoteRef/>
      </w:r>
      <w:r w:rsidRPr="00EB156E">
        <w:t xml:space="preserve"> </w:t>
      </w:r>
      <w:r w:rsidRPr="006D4E2D" w:rsidR="00DB5CF8">
        <w:rPr>
          <w:i/>
          <w:iCs/>
        </w:rPr>
        <w:t>Id.</w:t>
      </w:r>
      <w:r w:rsidRPr="00EB156E">
        <w:t xml:space="preserve"> § 64.1200(n)(2).</w:t>
      </w:r>
    </w:p>
  </w:footnote>
  <w:footnote w:id="13">
    <w:p w:rsidR="00C55182" w:rsidRPr="00EB156E" w:rsidP="00954D81" w14:paraId="06041528" w14:textId="1A354BB2">
      <w:pPr>
        <w:pStyle w:val="FootnoteText"/>
        <w:spacing w:after="200"/>
      </w:pPr>
      <w:r w:rsidRPr="00954D81">
        <w:rPr>
          <w:rStyle w:val="FootnoteReference"/>
          <w:sz w:val="20"/>
        </w:rPr>
        <w:footnoteRef/>
      </w:r>
      <w:r w:rsidRPr="00EB156E">
        <w:t xml:space="preserve"> </w:t>
      </w:r>
      <w:r w:rsidRPr="006D4E2D" w:rsidR="00DB5CF8">
        <w:rPr>
          <w:i/>
          <w:iCs/>
        </w:rPr>
        <w:t>Id.</w:t>
      </w:r>
      <w:r w:rsidR="00DB5CF8">
        <w:t xml:space="preserve"> </w:t>
      </w:r>
      <w:r w:rsidRPr="00EB156E" w:rsidR="00DB5CF8">
        <w:t>§</w:t>
      </w:r>
      <w:r w:rsidRPr="00EB156E">
        <w:t xml:space="preserve"> 64.1200(n)(3).</w:t>
      </w:r>
    </w:p>
  </w:footnote>
  <w:footnote w:id="14">
    <w:p w:rsidR="003B5632" w:rsidRPr="003B5632" w14:paraId="16BEDF34" w14:textId="5B88FF7D">
      <w:pPr>
        <w:pStyle w:val="FootnoteText"/>
      </w:pPr>
      <w:r>
        <w:rPr>
          <w:rStyle w:val="FootnoteReference"/>
        </w:rPr>
        <w:footnoteRef/>
      </w:r>
      <w:r>
        <w:t xml:space="preserve"> </w:t>
      </w:r>
      <w:r w:rsidRPr="003B5632">
        <w:rPr>
          <w:i/>
          <w:iCs/>
        </w:rPr>
        <w:t>See</w:t>
      </w:r>
      <w:r w:rsidR="00DB5CF8">
        <w:rPr>
          <w:i/>
          <w:iCs/>
        </w:rPr>
        <w:t xml:space="preserve"> id.</w:t>
      </w:r>
      <w:r w:rsidRPr="0020092B">
        <w:t xml:space="preserve"> § 64.6305(c) (prescribing Robocall Mitigation Database certification requirements for originating providers)</w:t>
      </w:r>
      <w:r>
        <w:t>;</w:t>
      </w:r>
      <w:r w:rsidR="00DB5CF8">
        <w:t xml:space="preserve"> </w:t>
      </w:r>
      <w:r w:rsidRPr="006D4E2D" w:rsidR="00DB5CF8">
        <w:rPr>
          <w:i/>
          <w:iCs/>
        </w:rPr>
        <w:t>see also id.</w:t>
      </w:r>
      <w:r w:rsidR="00DB5CF8">
        <w:t xml:space="preserve"> </w:t>
      </w:r>
      <w:r w:rsidRPr="003B5632">
        <w:t xml:space="preserve"> § 64.6305(d) (prescribing Robocall Mitigation Database certification requirements for gateway providers).</w:t>
      </w:r>
    </w:p>
  </w:footnote>
  <w:footnote w:id="15">
    <w:p w:rsidR="00E90B19" w:rsidRPr="00EB156E" w:rsidP="00954D81" w14:paraId="4AFDC225" w14:textId="4C8C1DC1">
      <w:pPr>
        <w:pStyle w:val="FootnoteText"/>
        <w:spacing w:after="200"/>
      </w:pPr>
      <w:r w:rsidRPr="00954D81">
        <w:rPr>
          <w:rStyle w:val="FootnoteReference"/>
          <w:sz w:val="20"/>
        </w:rPr>
        <w:footnoteRef/>
      </w:r>
      <w:r w:rsidRPr="00EB156E">
        <w:t xml:space="preserve"> </w:t>
      </w:r>
      <w:r w:rsidRPr="00EB156E">
        <w:rPr>
          <w:i/>
          <w:iCs/>
        </w:rPr>
        <w:t>Call Authentication Trust Anchor</w:t>
      </w:r>
      <w:r w:rsidRPr="00EB156E">
        <w:t xml:space="preserve">, WC Docket No. 17-97, Second Report and Order, 36 FCC </w:t>
      </w:r>
      <w:r w:rsidRPr="00EB156E">
        <w:t>Rcd</w:t>
      </w:r>
      <w:r w:rsidRPr="00EB156E">
        <w:t xml:space="preserve"> 1859, 1902-03, para. 83 (2020) (</w:t>
      </w:r>
      <w:r w:rsidRPr="00EB156E">
        <w:rPr>
          <w:i/>
          <w:iCs/>
        </w:rPr>
        <w:t>Second Caller ID Authentication Report and Order</w:t>
      </w:r>
      <w:r w:rsidRPr="00EB156E">
        <w:t xml:space="preserve">); </w:t>
      </w:r>
      <w:r w:rsidRPr="00EB156E">
        <w:rPr>
          <w:i/>
          <w:iCs/>
        </w:rPr>
        <w:t xml:space="preserve">Advanced Methods to Target and Eliminate Unlawful Robocalls, Call Authentication Trust Anchor, </w:t>
      </w:r>
      <w:r w:rsidRPr="00EB156E">
        <w:t>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FCC 22-37, para 40 (2022) (</w:t>
      </w:r>
      <w:r w:rsidRPr="00EB156E">
        <w:rPr>
          <w:i/>
          <w:iCs/>
        </w:rPr>
        <w:t>Gateway Provider Order</w:t>
      </w:r>
      <w:r w:rsidRPr="00EB156E">
        <w:t>).</w:t>
      </w:r>
    </w:p>
  </w:footnote>
  <w:footnote w:id="16">
    <w:p w:rsidR="00E90B19" w:rsidRPr="00EB156E" w:rsidP="00954D81" w14:paraId="39455FAF" w14:textId="365E564C">
      <w:pPr>
        <w:pStyle w:val="FootnoteText"/>
        <w:spacing w:after="200"/>
      </w:pPr>
      <w:r w:rsidRPr="00954D81">
        <w:rPr>
          <w:rStyle w:val="FootnoteReference"/>
          <w:sz w:val="20"/>
        </w:rPr>
        <w:footnoteRef/>
      </w:r>
      <w:r w:rsidRPr="00EB156E">
        <w:t xml:space="preserve"> 47 CFR § 64.6305(e).  </w:t>
      </w:r>
      <w:r w:rsidRPr="00EB156E">
        <w:rPr>
          <w:i/>
          <w:iCs/>
        </w:rPr>
        <w:t>See Second Caller ID Authentication Report and Order</w:t>
      </w:r>
      <w:r w:rsidRPr="00EB156E">
        <w:t xml:space="preserve">, 36 FCC </w:t>
      </w:r>
      <w:r w:rsidRPr="00EB156E">
        <w:t>Rcd</w:t>
      </w:r>
      <w:r w:rsidRPr="00EB156E">
        <w:t xml:space="preserve"> at 1904, para. 86; </w:t>
      </w:r>
      <w:r w:rsidRPr="00EB156E">
        <w:rPr>
          <w:i/>
          <w:iCs/>
        </w:rPr>
        <w:t>Gateway Provider Order</w:t>
      </w:r>
      <w:r w:rsidR="00112AA6">
        <w:t xml:space="preserve"> at</w:t>
      </w:r>
      <w:r w:rsidRPr="00EB156E">
        <w:t xml:space="preserve"> para. 44.</w:t>
      </w:r>
    </w:p>
  </w:footnote>
  <w:footnote w:id="17">
    <w:p w:rsidR="00F805EC" w:rsidRPr="00EB156E" w:rsidP="00954D81" w14:paraId="6F8EDC40" w14:textId="3502415D">
      <w:pPr>
        <w:pStyle w:val="FootnoteText"/>
        <w:spacing w:after="200"/>
      </w:pPr>
      <w:r w:rsidRPr="00954D81">
        <w:rPr>
          <w:rStyle w:val="FootnoteReference"/>
          <w:color w:val="000000" w:themeColor="text1"/>
          <w:sz w:val="20"/>
        </w:rPr>
        <w:footnoteRef/>
      </w:r>
      <w:r w:rsidRPr="00EB156E">
        <w:rPr>
          <w:color w:val="000000" w:themeColor="text1"/>
        </w:rPr>
        <w:t xml:space="preserve"> </w:t>
      </w:r>
      <w:r w:rsidRPr="00EB156E" w:rsidR="00811AB0">
        <w:rPr>
          <w:i/>
          <w:iCs/>
          <w:color w:val="000000" w:themeColor="text1"/>
        </w:rPr>
        <w:t xml:space="preserve">See </w:t>
      </w:r>
      <w:r w:rsidRPr="00EB156E" w:rsidR="00D70BFF">
        <w:rPr>
          <w:color w:val="000000" w:themeColor="text1"/>
        </w:rPr>
        <w:t xml:space="preserve">FTC </w:t>
      </w:r>
      <w:r w:rsidRPr="00EB156E" w:rsidR="00B47991">
        <w:rPr>
          <w:color w:val="000000" w:themeColor="text1"/>
        </w:rPr>
        <w:t xml:space="preserve">News Release, </w:t>
      </w:r>
      <w:r w:rsidRPr="00EB156E" w:rsidR="00811AB0">
        <w:rPr>
          <w:color w:val="000000" w:themeColor="text1"/>
        </w:rPr>
        <w:t xml:space="preserve">FCC, FTC Demand Gateway Providers Cut Off COVID-19 Robocall Scammers, (Apr. 3, 2020), https://www.fcc.gov/document/fcc-ftc-demand-gateway-providers-cut-covid-19-robocall-scammers. </w:t>
      </w:r>
      <w:r w:rsidRPr="00EB156E" w:rsidR="00811AB0">
        <w:rPr>
          <w:i/>
          <w:iCs/>
          <w:color w:val="000000" w:themeColor="text1"/>
        </w:rPr>
        <w:t>See also</w:t>
      </w:r>
      <w:r w:rsidRPr="00EB156E" w:rsidR="00811AB0">
        <w:rPr>
          <w:color w:val="000000" w:themeColor="text1"/>
        </w:rPr>
        <w:t xml:space="preserve"> </w:t>
      </w:r>
      <w:r w:rsidRPr="00EB156E" w:rsidR="00D70BFF">
        <w:rPr>
          <w:color w:val="000000" w:themeColor="text1"/>
        </w:rPr>
        <w:t>FCC News</w:t>
      </w:r>
      <w:r w:rsidRPr="00EB156E" w:rsidR="00B47991">
        <w:rPr>
          <w:color w:val="000000" w:themeColor="text1"/>
        </w:rPr>
        <w:t xml:space="preserve"> Release, </w:t>
      </w:r>
      <w:r w:rsidRPr="00EB156E">
        <w:rPr>
          <w:color w:val="000000" w:themeColor="text1"/>
        </w:rPr>
        <w:t xml:space="preserve">FCC, FTC Demand Robocall-Enabling Service Providers Cut Off Scammers, (May 20, 2020), </w:t>
      </w:r>
      <w:hyperlink r:id="rId5" w:history="1">
        <w:r w:rsidRPr="00EB156E" w:rsidR="00643801">
          <w:rPr>
            <w:rStyle w:val="Hyperlink"/>
          </w:rPr>
          <w:t>https://www.fcc.gov/document/fcc-ftc-demand-robocall-enabling-service-providers-cut-scammers</w:t>
        </w:r>
      </w:hyperlink>
      <w:r w:rsidRPr="00EB156E">
        <w:rPr>
          <w:color w:val="000000" w:themeColor="text1"/>
        </w:rPr>
        <w:t>.</w:t>
      </w:r>
      <w:r w:rsidRPr="00EB156E" w:rsidR="00643801">
        <w:rPr>
          <w:color w:val="000000" w:themeColor="text1"/>
        </w:rPr>
        <w:t xml:space="preserve">  </w:t>
      </w:r>
      <w:r w:rsidRPr="00EB156E" w:rsidR="00643801">
        <w:rPr>
          <w:i/>
          <w:iCs/>
          <w:color w:val="000000" w:themeColor="text1"/>
        </w:rPr>
        <w:t>See e.g.</w:t>
      </w:r>
      <w:r w:rsidRPr="00EB156E" w:rsidR="00643801">
        <w:rPr>
          <w:color w:val="000000" w:themeColor="text1"/>
        </w:rPr>
        <w:t xml:space="preserve">, </w:t>
      </w:r>
      <w:r w:rsidRPr="00EB156E" w:rsidR="00B47991">
        <w:rPr>
          <w:color w:val="000000" w:themeColor="text1"/>
        </w:rPr>
        <w:t xml:space="preserve">Letter from Rosemary C. Harold, Chief, Enforcement Bureau, FCC, and Lois Greisman, Associate Director, Division of Marketing Practices, FTC, to Vitaly Potapov, CEO, </w:t>
      </w:r>
      <w:r w:rsidRPr="00EB156E" w:rsidR="00B47991">
        <w:rPr>
          <w:color w:val="000000" w:themeColor="text1"/>
        </w:rPr>
        <w:t>RSCom</w:t>
      </w:r>
      <w:r w:rsidRPr="00EB156E" w:rsidR="00B47991">
        <w:rPr>
          <w:color w:val="000000" w:themeColor="text1"/>
        </w:rPr>
        <w:t xml:space="preserve"> LTD (May 20, 2020), https://docs.fcc.gov/public/attachments/DOC-364482A5.pdf</w:t>
      </w:r>
      <w:r w:rsidRPr="00EB156E" w:rsidR="00825DFC">
        <w:rPr>
          <w:color w:val="000000" w:themeColor="text1"/>
        </w:rPr>
        <w:t>.</w:t>
      </w:r>
    </w:p>
  </w:footnote>
  <w:footnote w:id="18">
    <w:p w:rsidR="008B35B0" w:rsidRPr="00EB156E" w:rsidP="00954D81" w14:paraId="2CB8AE08" w14:textId="6454E6A5">
      <w:pPr>
        <w:pStyle w:val="FootnoteText"/>
        <w:spacing w:after="200"/>
      </w:pPr>
      <w:r w:rsidRPr="00954D81">
        <w:rPr>
          <w:rStyle w:val="FootnoteReference"/>
          <w:sz w:val="20"/>
        </w:rPr>
        <w:footnoteRef/>
      </w:r>
      <w:r w:rsidRPr="00EB156E">
        <w:t xml:space="preserve"> </w:t>
      </w:r>
      <w:r w:rsidRPr="00EB156E">
        <w:rPr>
          <w:i/>
          <w:iCs/>
        </w:rPr>
        <w:t>Robocall Facilitators Must Cease and Desist</w:t>
      </w:r>
      <w:r w:rsidRPr="00EB156E">
        <w:t xml:space="preserve">, FCC, </w:t>
      </w:r>
      <w:hyperlink r:id="rId6" w:history="1">
        <w:r w:rsidRPr="00EB156E">
          <w:rPr>
            <w:rStyle w:val="Hyperlink"/>
          </w:rPr>
          <w:t>https://www.fcc.gov/robocall-facilitators-must-cease-and-desist</w:t>
        </w:r>
      </w:hyperlink>
      <w:r w:rsidRPr="00EB156E">
        <w:t xml:space="preserve"> (last visited Oct. 13, 2022).</w:t>
      </w:r>
    </w:p>
  </w:footnote>
  <w:footnote w:id="19">
    <w:p w:rsidR="008B35B0" w:rsidRPr="00EB156E" w:rsidP="00954D81" w14:paraId="3EB10737" w14:textId="693BC406">
      <w:pPr>
        <w:pStyle w:val="FootnoteText"/>
        <w:spacing w:after="200"/>
      </w:pPr>
      <w:r w:rsidRPr="00954D81">
        <w:rPr>
          <w:rStyle w:val="FootnoteReference"/>
          <w:sz w:val="20"/>
        </w:rPr>
        <w:footnoteRef/>
      </w:r>
      <w:r w:rsidRPr="00EB156E">
        <w:t xml:space="preserve"> </w:t>
      </w:r>
      <w:r w:rsidRPr="00EB156E" w:rsidR="00D70BFF">
        <w:rPr>
          <w:i/>
          <w:iCs/>
        </w:rPr>
        <w:t xml:space="preserve">See </w:t>
      </w:r>
      <w:r w:rsidRPr="00EB156E" w:rsidR="00833B49">
        <w:rPr>
          <w:i/>
          <w:iCs/>
        </w:rPr>
        <w:t xml:space="preserve">FCC </w:t>
      </w:r>
      <w:r w:rsidRPr="00EB156E" w:rsidR="00D66714">
        <w:rPr>
          <w:i/>
          <w:iCs/>
          <w:color w:val="000000" w:themeColor="text1"/>
        </w:rPr>
        <w:t xml:space="preserve">Enforcement Bureau </w:t>
      </w:r>
      <w:r w:rsidRPr="00EB156E" w:rsidR="00D66714">
        <w:rPr>
          <w:i/>
          <w:iCs/>
        </w:rPr>
        <w:t>Notifies All U.S.-Based Telecommunications Providers They May Block Auto Warranty Robocalls Originating From Certain Providers</w:t>
      </w:r>
      <w:r w:rsidRPr="00EB156E" w:rsidR="00D70BFF">
        <w:t xml:space="preserve">, </w:t>
      </w:r>
      <w:r w:rsidRPr="00EB156E" w:rsidR="00833B49">
        <w:rPr>
          <w:color w:val="000000" w:themeColor="text1"/>
        </w:rPr>
        <w:t xml:space="preserve">Public Notice, </w:t>
      </w:r>
      <w:r w:rsidRPr="00EB156E" w:rsidR="00833B49">
        <w:t xml:space="preserve">DA 22-727, </w:t>
      </w:r>
      <w:r w:rsidRPr="00EB156E" w:rsidR="00D70BFF">
        <w:t>(</w:t>
      </w:r>
      <w:r w:rsidRPr="00EB156E" w:rsidR="00833B49">
        <w:t xml:space="preserve">EB </w:t>
      </w:r>
      <w:r w:rsidRPr="00EB156E" w:rsidR="00D70BFF">
        <w:t>Jul</w:t>
      </w:r>
      <w:r w:rsidR="00DB5CF8">
        <w:t>y</w:t>
      </w:r>
      <w:r w:rsidRPr="00EB156E" w:rsidR="00D70BFF">
        <w:t xml:space="preserve"> 7, 2022). </w:t>
      </w:r>
      <w:r w:rsidRPr="00EB156E" w:rsidR="00825DFC">
        <w:t xml:space="preserve"> </w:t>
      </w:r>
      <w:r w:rsidRPr="00EB156E" w:rsidR="00D70BFF">
        <w:rPr>
          <w:i/>
          <w:iCs/>
        </w:rPr>
        <w:t xml:space="preserve">See also </w:t>
      </w:r>
      <w:r w:rsidRPr="00EB156E" w:rsidR="00D66714">
        <w:rPr>
          <w:i/>
          <w:iCs/>
        </w:rPr>
        <w:t xml:space="preserve">FCC Enforcement Bureau Warns All U.S.-Based Voice Service Providers To Avoid Or Cease Carriage Of Auto Warranty Robocall Traffic From Cox/Jones/Sumco Panama Operation, </w:t>
      </w:r>
      <w:r w:rsidRPr="00EB156E" w:rsidR="00D66714">
        <w:t xml:space="preserve">Order, </w:t>
      </w:r>
      <w:r w:rsidRPr="00EB156E" w:rsidR="00833B49">
        <w:t>DA 22-784,</w:t>
      </w:r>
      <w:r w:rsidRPr="00EB156E" w:rsidR="00331ED1">
        <w:t xml:space="preserve"> </w:t>
      </w:r>
      <w:r w:rsidRPr="00EB156E" w:rsidR="00331ED1">
        <w:rPr>
          <w:color w:val="000000"/>
          <w:shd w:val="clear" w:color="auto" w:fill="FFFFFF"/>
        </w:rPr>
        <w:t>2022 FCC LEXIS 2397</w:t>
      </w:r>
      <w:r w:rsidRPr="00EB156E" w:rsidR="00833B49">
        <w:t xml:space="preserve"> (EB Jul</w:t>
      </w:r>
      <w:r w:rsidR="00DB5CF8">
        <w:t>y</w:t>
      </w:r>
      <w:r w:rsidRPr="00EB156E" w:rsidR="00833B49">
        <w:t xml:space="preserve"> 21, 2022)</w:t>
      </w:r>
      <w:r w:rsidRPr="00EB156E" w:rsidR="00E946C8">
        <w:t>.</w:t>
      </w:r>
      <w:r w:rsidRPr="00EB156E" w:rsidR="00D66714">
        <w:t xml:space="preserve"> </w:t>
      </w:r>
      <w:r w:rsidRPr="00EB156E" w:rsidR="00D66714">
        <w:t xml:space="preserve"> </w:t>
      </w:r>
    </w:p>
  </w:footnote>
  <w:footnote w:id="20">
    <w:p w:rsidR="008B35B0" w:rsidRPr="00EB156E" w:rsidP="00954D81" w14:paraId="254C0221" w14:textId="34DC09C0">
      <w:pPr>
        <w:pStyle w:val="FootnoteText"/>
        <w:spacing w:after="200"/>
      </w:pPr>
      <w:r w:rsidRPr="00954D81">
        <w:rPr>
          <w:rStyle w:val="FootnoteReference"/>
          <w:sz w:val="20"/>
        </w:rPr>
        <w:footnoteRef/>
      </w:r>
      <w:r w:rsidRPr="00EB156E">
        <w:t xml:space="preserve"> </w:t>
      </w:r>
      <w:r w:rsidRPr="00EB156E" w:rsidR="00A27A1C">
        <w:rPr>
          <w:i/>
          <w:iCs/>
        </w:rPr>
        <w:t xml:space="preserve">See FCC Enforcement Bureau Warns All U.S.-Based Voice Service Providers To Avoid Or Cease Carriage Of Auto Warranty Robocall Traffic From Cox/Jones/Sumco Panama Operation, </w:t>
      </w:r>
      <w:r w:rsidRPr="00EB156E" w:rsidR="00A27A1C">
        <w:t xml:space="preserve">Order, DA 22-784, </w:t>
      </w:r>
      <w:r w:rsidRPr="00EB156E" w:rsidR="00A27A1C">
        <w:rPr>
          <w:color w:val="000000"/>
          <w:shd w:val="clear" w:color="auto" w:fill="FFFFFF"/>
        </w:rPr>
        <w:t>2022 FCC LEXIS 2397</w:t>
      </w:r>
      <w:r w:rsidRPr="00EB156E" w:rsidR="00825DFC">
        <w:rPr>
          <w:color w:val="000000"/>
          <w:shd w:val="clear" w:color="auto" w:fill="FFFFFF"/>
        </w:rPr>
        <w:t>,</w:t>
      </w:r>
      <w:r w:rsidRPr="00EB156E" w:rsidR="00A27A1C">
        <w:rPr>
          <w:color w:val="000000"/>
          <w:shd w:val="clear" w:color="auto" w:fill="FFFFFF"/>
        </w:rPr>
        <w:t>*1</w:t>
      </w:r>
      <w:r w:rsidRPr="00EB156E" w:rsidR="00A27A1C">
        <w:t xml:space="preserve"> (EB Jul</w:t>
      </w:r>
      <w:r w:rsidR="00DB5CF8">
        <w:t>y</w:t>
      </w:r>
      <w:r w:rsidRPr="00EB156E" w:rsidR="00A27A1C">
        <w:t xml:space="preserve"> 21, 2022)</w:t>
      </w:r>
      <w:r w:rsidRPr="00EB156E" w:rsidR="00825DFC">
        <w:t>.</w:t>
      </w:r>
    </w:p>
  </w:footnote>
  <w:footnote w:id="21">
    <w:p w:rsidR="00D26E2C" w:rsidRPr="00EB156E" w:rsidP="00954D81" w14:paraId="724FC13E" w14:textId="2492359C">
      <w:pPr>
        <w:pStyle w:val="FootnoteText"/>
        <w:spacing w:after="200"/>
      </w:pPr>
      <w:r w:rsidRPr="00954D81">
        <w:rPr>
          <w:rStyle w:val="FootnoteReference"/>
          <w:sz w:val="20"/>
        </w:rPr>
        <w:footnoteRef/>
      </w:r>
      <w:r w:rsidRPr="00EB156E">
        <w:t xml:space="preserve"> </w:t>
      </w:r>
      <w:r w:rsidRPr="00EB156E">
        <w:rPr>
          <w:i/>
          <w:iCs/>
        </w:rPr>
        <w:t>July Enforcement Achieve Success in Escalating the War on Robocalls</w:t>
      </w:r>
      <w:r w:rsidRPr="00EB156E">
        <w:t xml:space="preserve">, </w:t>
      </w:r>
      <w:r w:rsidRPr="00EB156E">
        <w:t>YouMail</w:t>
      </w:r>
      <w:r w:rsidRPr="00EB156E">
        <w:t xml:space="preserve">, </w:t>
      </w:r>
      <w:hyperlink r:id="rId7" w:history="1">
        <w:r w:rsidRPr="00EB156E">
          <w:rPr>
            <w:rStyle w:val="Hyperlink"/>
          </w:rPr>
          <w:t>https://blog.youmail.com/2022/07/july-enforcement-achieve-success-in-escalating-the-war-on-robocalls/</w:t>
        </w:r>
      </w:hyperlink>
      <w:r w:rsidRPr="00EB156E">
        <w:t xml:space="preserve"> (last visited Oct. 13,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1F6BF1B" w14:textId="0DB6DD15">
    <w:pPr>
      <w:tabs>
        <w:tab w:val="center" w:pos="4680"/>
        <w:tab w:val="right" w:pos="9360"/>
      </w:tabs>
    </w:pPr>
    <w:r w:rsidRPr="009838BC">
      <w:rPr>
        <w:b/>
      </w:rPr>
      <w:tab/>
      <w:t>Federal Communications Commission</w:t>
    </w:r>
    <w:r w:rsidRPr="009838BC">
      <w:rPr>
        <w:b/>
      </w:rPr>
      <w:tab/>
    </w:r>
    <w:r w:rsidRPr="00422BE4" w:rsidR="00422BE4">
      <w:rPr>
        <w:b/>
        <w:sz w:val="24"/>
        <w:szCs w:val="24"/>
      </w:rPr>
      <w:t>DA 22-1145</w:t>
    </w:r>
  </w:p>
  <w:p w:rsidR="009838BC" w:rsidRPr="005D301F" w:rsidP="005D301F" w14:paraId="320E4AD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9838BC" w:rsidP="00112AA6" w14:paraId="1E8D1FA9" w14:textId="60596751">
    <w:pPr>
      <w:pStyle w:val="Header"/>
    </w:pPr>
    <w:r>
      <w:rPr>
        <w:noProof/>
        <w:snapToGrid/>
      </w:rPr>
      <w:drawing>
        <wp:inline distT="0" distB="0" distL="0" distR="0">
          <wp:extent cx="5943600" cy="1427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FF0377C"/>
    <w:multiLevelType w:val="hybridMultilevel"/>
    <w:tmpl w:val="AD6699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A751D90"/>
    <w:multiLevelType w:val="hybridMultilevel"/>
    <w:tmpl w:val="9ED26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C1"/>
    <w:rsid w:val="000039D6"/>
    <w:rsid w:val="00004578"/>
    <w:rsid w:val="00006687"/>
    <w:rsid w:val="000072CE"/>
    <w:rsid w:val="00013A8B"/>
    <w:rsid w:val="00021445"/>
    <w:rsid w:val="00024ADF"/>
    <w:rsid w:val="00036039"/>
    <w:rsid w:val="00037F90"/>
    <w:rsid w:val="000525A6"/>
    <w:rsid w:val="00057F18"/>
    <w:rsid w:val="000650BF"/>
    <w:rsid w:val="000808BE"/>
    <w:rsid w:val="000875BF"/>
    <w:rsid w:val="00092071"/>
    <w:rsid w:val="00096D8C"/>
    <w:rsid w:val="0009755A"/>
    <w:rsid w:val="000A0F9E"/>
    <w:rsid w:val="000A1F9B"/>
    <w:rsid w:val="000C0B65"/>
    <w:rsid w:val="000D55B4"/>
    <w:rsid w:val="000D58EE"/>
    <w:rsid w:val="000D6E0F"/>
    <w:rsid w:val="000E2B97"/>
    <w:rsid w:val="000E3D42"/>
    <w:rsid w:val="000E5884"/>
    <w:rsid w:val="000F105F"/>
    <w:rsid w:val="001042DD"/>
    <w:rsid w:val="00111129"/>
    <w:rsid w:val="00112AA6"/>
    <w:rsid w:val="00114B31"/>
    <w:rsid w:val="00122BD5"/>
    <w:rsid w:val="00130EA5"/>
    <w:rsid w:val="00155208"/>
    <w:rsid w:val="0016122D"/>
    <w:rsid w:val="001979D9"/>
    <w:rsid w:val="001A2EFE"/>
    <w:rsid w:val="001B50B6"/>
    <w:rsid w:val="001B7E32"/>
    <w:rsid w:val="001D6BCF"/>
    <w:rsid w:val="001E01CA"/>
    <w:rsid w:val="001E5624"/>
    <w:rsid w:val="001F0C5E"/>
    <w:rsid w:val="001F56C0"/>
    <w:rsid w:val="0020092B"/>
    <w:rsid w:val="00204FB8"/>
    <w:rsid w:val="002060D9"/>
    <w:rsid w:val="0021416C"/>
    <w:rsid w:val="0021522C"/>
    <w:rsid w:val="002160A0"/>
    <w:rsid w:val="00216131"/>
    <w:rsid w:val="00216EA2"/>
    <w:rsid w:val="00226822"/>
    <w:rsid w:val="00234976"/>
    <w:rsid w:val="00245E5F"/>
    <w:rsid w:val="00246343"/>
    <w:rsid w:val="00246796"/>
    <w:rsid w:val="002512D1"/>
    <w:rsid w:val="0025358A"/>
    <w:rsid w:val="0025538D"/>
    <w:rsid w:val="00260594"/>
    <w:rsid w:val="0027335E"/>
    <w:rsid w:val="00285017"/>
    <w:rsid w:val="002974DD"/>
    <w:rsid w:val="002A2D2E"/>
    <w:rsid w:val="002B1B86"/>
    <w:rsid w:val="00300CFB"/>
    <w:rsid w:val="00315544"/>
    <w:rsid w:val="00317D75"/>
    <w:rsid w:val="00326910"/>
    <w:rsid w:val="00331ED1"/>
    <w:rsid w:val="003364B4"/>
    <w:rsid w:val="00342D42"/>
    <w:rsid w:val="00343749"/>
    <w:rsid w:val="003441F3"/>
    <w:rsid w:val="00357D50"/>
    <w:rsid w:val="003615E7"/>
    <w:rsid w:val="00363757"/>
    <w:rsid w:val="00377D3A"/>
    <w:rsid w:val="00384A6F"/>
    <w:rsid w:val="00384FB8"/>
    <w:rsid w:val="003925DC"/>
    <w:rsid w:val="003B0550"/>
    <w:rsid w:val="003B5632"/>
    <w:rsid w:val="003B694F"/>
    <w:rsid w:val="003C2202"/>
    <w:rsid w:val="003F152F"/>
    <w:rsid w:val="003F171C"/>
    <w:rsid w:val="003F6D82"/>
    <w:rsid w:val="00402399"/>
    <w:rsid w:val="004039E1"/>
    <w:rsid w:val="00412FC5"/>
    <w:rsid w:val="0041415B"/>
    <w:rsid w:val="004156AD"/>
    <w:rsid w:val="00422276"/>
    <w:rsid w:val="00422BE4"/>
    <w:rsid w:val="004242F1"/>
    <w:rsid w:val="00442500"/>
    <w:rsid w:val="00445A00"/>
    <w:rsid w:val="00446D98"/>
    <w:rsid w:val="00451B0F"/>
    <w:rsid w:val="00451B99"/>
    <w:rsid w:val="0045674B"/>
    <w:rsid w:val="0046125F"/>
    <w:rsid w:val="00473E5B"/>
    <w:rsid w:val="0048279A"/>
    <w:rsid w:val="00487524"/>
    <w:rsid w:val="00496106"/>
    <w:rsid w:val="004B2DA7"/>
    <w:rsid w:val="004B4388"/>
    <w:rsid w:val="004C12D0"/>
    <w:rsid w:val="004C2EE3"/>
    <w:rsid w:val="004C57C1"/>
    <w:rsid w:val="004E3038"/>
    <w:rsid w:val="004E4A22"/>
    <w:rsid w:val="00501CDE"/>
    <w:rsid w:val="00511968"/>
    <w:rsid w:val="005349ED"/>
    <w:rsid w:val="00555C15"/>
    <w:rsid w:val="0055614C"/>
    <w:rsid w:val="00566152"/>
    <w:rsid w:val="00567BF4"/>
    <w:rsid w:val="0059539C"/>
    <w:rsid w:val="005B467E"/>
    <w:rsid w:val="005C5CF3"/>
    <w:rsid w:val="005D301F"/>
    <w:rsid w:val="005E449C"/>
    <w:rsid w:val="005E76ED"/>
    <w:rsid w:val="005F36E0"/>
    <w:rsid w:val="00607BA5"/>
    <w:rsid w:val="00626EB6"/>
    <w:rsid w:val="00632810"/>
    <w:rsid w:val="006353A3"/>
    <w:rsid w:val="00643801"/>
    <w:rsid w:val="00655D03"/>
    <w:rsid w:val="00656762"/>
    <w:rsid w:val="00662081"/>
    <w:rsid w:val="0067112E"/>
    <w:rsid w:val="006835D0"/>
    <w:rsid w:val="00683F84"/>
    <w:rsid w:val="006862D6"/>
    <w:rsid w:val="00693BC8"/>
    <w:rsid w:val="006A0C3A"/>
    <w:rsid w:val="006A6A81"/>
    <w:rsid w:val="006D4E2D"/>
    <w:rsid w:val="006E26AF"/>
    <w:rsid w:val="006E6683"/>
    <w:rsid w:val="006F1BA6"/>
    <w:rsid w:val="006F71BB"/>
    <w:rsid w:val="006F7393"/>
    <w:rsid w:val="0070224F"/>
    <w:rsid w:val="007105E9"/>
    <w:rsid w:val="007115F7"/>
    <w:rsid w:val="00713D0A"/>
    <w:rsid w:val="00716BFA"/>
    <w:rsid w:val="007204E9"/>
    <w:rsid w:val="00721FB9"/>
    <w:rsid w:val="00722E99"/>
    <w:rsid w:val="00731FBB"/>
    <w:rsid w:val="0074397B"/>
    <w:rsid w:val="00761051"/>
    <w:rsid w:val="00763920"/>
    <w:rsid w:val="007673BC"/>
    <w:rsid w:val="0077180F"/>
    <w:rsid w:val="00785689"/>
    <w:rsid w:val="0079754B"/>
    <w:rsid w:val="007A0DBC"/>
    <w:rsid w:val="007A1E6D"/>
    <w:rsid w:val="007A2448"/>
    <w:rsid w:val="007C7754"/>
    <w:rsid w:val="007D2A7F"/>
    <w:rsid w:val="007E12C3"/>
    <w:rsid w:val="007E23E9"/>
    <w:rsid w:val="00811AB0"/>
    <w:rsid w:val="00815494"/>
    <w:rsid w:val="00822CE0"/>
    <w:rsid w:val="00825DFC"/>
    <w:rsid w:val="008338D3"/>
    <w:rsid w:val="00833B49"/>
    <w:rsid w:val="00834373"/>
    <w:rsid w:val="00837C62"/>
    <w:rsid w:val="00841AB1"/>
    <w:rsid w:val="008612E5"/>
    <w:rsid w:val="008725B3"/>
    <w:rsid w:val="008811DF"/>
    <w:rsid w:val="00895E4E"/>
    <w:rsid w:val="008B35B0"/>
    <w:rsid w:val="008B7A99"/>
    <w:rsid w:val="008C22FD"/>
    <w:rsid w:val="008D41A0"/>
    <w:rsid w:val="008D5D85"/>
    <w:rsid w:val="008E1B59"/>
    <w:rsid w:val="008E66FC"/>
    <w:rsid w:val="009049EB"/>
    <w:rsid w:val="00910F12"/>
    <w:rsid w:val="00912DBD"/>
    <w:rsid w:val="00926503"/>
    <w:rsid w:val="009302EB"/>
    <w:rsid w:val="00930ECF"/>
    <w:rsid w:val="00931062"/>
    <w:rsid w:val="009322B6"/>
    <w:rsid w:val="009356F9"/>
    <w:rsid w:val="00947FBE"/>
    <w:rsid w:val="00954D81"/>
    <w:rsid w:val="00965C56"/>
    <w:rsid w:val="009838BC"/>
    <w:rsid w:val="009932B9"/>
    <w:rsid w:val="009B0D81"/>
    <w:rsid w:val="009B2CB1"/>
    <w:rsid w:val="009B6ADB"/>
    <w:rsid w:val="009C7494"/>
    <w:rsid w:val="009D2488"/>
    <w:rsid w:val="009D4F4B"/>
    <w:rsid w:val="009D75CF"/>
    <w:rsid w:val="009E0653"/>
    <w:rsid w:val="00A27A1C"/>
    <w:rsid w:val="00A32155"/>
    <w:rsid w:val="00A329ED"/>
    <w:rsid w:val="00A33F54"/>
    <w:rsid w:val="00A35F17"/>
    <w:rsid w:val="00A43924"/>
    <w:rsid w:val="00A45F4F"/>
    <w:rsid w:val="00A51090"/>
    <w:rsid w:val="00A600A9"/>
    <w:rsid w:val="00A866AC"/>
    <w:rsid w:val="00A87997"/>
    <w:rsid w:val="00AA2D77"/>
    <w:rsid w:val="00AA3608"/>
    <w:rsid w:val="00AA55B7"/>
    <w:rsid w:val="00AA5B9E"/>
    <w:rsid w:val="00AB2407"/>
    <w:rsid w:val="00AB24FA"/>
    <w:rsid w:val="00AB423B"/>
    <w:rsid w:val="00AB53DF"/>
    <w:rsid w:val="00AC3370"/>
    <w:rsid w:val="00AD3005"/>
    <w:rsid w:val="00AD3529"/>
    <w:rsid w:val="00AE193C"/>
    <w:rsid w:val="00AF0E64"/>
    <w:rsid w:val="00B07D64"/>
    <w:rsid w:val="00B07E5C"/>
    <w:rsid w:val="00B1207E"/>
    <w:rsid w:val="00B20363"/>
    <w:rsid w:val="00B25111"/>
    <w:rsid w:val="00B25DAE"/>
    <w:rsid w:val="00B3037E"/>
    <w:rsid w:val="00B326E3"/>
    <w:rsid w:val="00B47991"/>
    <w:rsid w:val="00B50FF6"/>
    <w:rsid w:val="00B67AA8"/>
    <w:rsid w:val="00B71D5E"/>
    <w:rsid w:val="00B80216"/>
    <w:rsid w:val="00B811F7"/>
    <w:rsid w:val="00B87F69"/>
    <w:rsid w:val="00B97F3D"/>
    <w:rsid w:val="00BA5DC6"/>
    <w:rsid w:val="00BA6196"/>
    <w:rsid w:val="00BB0C0D"/>
    <w:rsid w:val="00BC681E"/>
    <w:rsid w:val="00BC6D6D"/>
    <w:rsid w:val="00BC6D8C"/>
    <w:rsid w:val="00BD3D7A"/>
    <w:rsid w:val="00BE5F87"/>
    <w:rsid w:val="00BF6D47"/>
    <w:rsid w:val="00C136E7"/>
    <w:rsid w:val="00C1539B"/>
    <w:rsid w:val="00C16AF2"/>
    <w:rsid w:val="00C24997"/>
    <w:rsid w:val="00C27DBC"/>
    <w:rsid w:val="00C316F4"/>
    <w:rsid w:val="00C34006"/>
    <w:rsid w:val="00C426B1"/>
    <w:rsid w:val="00C44151"/>
    <w:rsid w:val="00C55182"/>
    <w:rsid w:val="00C64745"/>
    <w:rsid w:val="00C82B6B"/>
    <w:rsid w:val="00C85312"/>
    <w:rsid w:val="00C90D6A"/>
    <w:rsid w:val="00CA041B"/>
    <w:rsid w:val="00CB0C49"/>
    <w:rsid w:val="00CB2EEE"/>
    <w:rsid w:val="00CC72B6"/>
    <w:rsid w:val="00CD63E5"/>
    <w:rsid w:val="00D0218D"/>
    <w:rsid w:val="00D1127F"/>
    <w:rsid w:val="00D12CF4"/>
    <w:rsid w:val="00D216CD"/>
    <w:rsid w:val="00D26E2C"/>
    <w:rsid w:val="00D470FC"/>
    <w:rsid w:val="00D57B32"/>
    <w:rsid w:val="00D60A77"/>
    <w:rsid w:val="00D66714"/>
    <w:rsid w:val="00D70BFF"/>
    <w:rsid w:val="00D9225E"/>
    <w:rsid w:val="00DA2529"/>
    <w:rsid w:val="00DA4E2D"/>
    <w:rsid w:val="00DB068C"/>
    <w:rsid w:val="00DB130A"/>
    <w:rsid w:val="00DB5CF8"/>
    <w:rsid w:val="00DC10A1"/>
    <w:rsid w:val="00DC655F"/>
    <w:rsid w:val="00DD3333"/>
    <w:rsid w:val="00DD7EBD"/>
    <w:rsid w:val="00DE0AB8"/>
    <w:rsid w:val="00DF3136"/>
    <w:rsid w:val="00DF62B6"/>
    <w:rsid w:val="00E07225"/>
    <w:rsid w:val="00E15370"/>
    <w:rsid w:val="00E155B7"/>
    <w:rsid w:val="00E2653A"/>
    <w:rsid w:val="00E3228C"/>
    <w:rsid w:val="00E5409F"/>
    <w:rsid w:val="00E60FB1"/>
    <w:rsid w:val="00E86480"/>
    <w:rsid w:val="00E90B19"/>
    <w:rsid w:val="00E946C8"/>
    <w:rsid w:val="00E97592"/>
    <w:rsid w:val="00EB156E"/>
    <w:rsid w:val="00EC0185"/>
    <w:rsid w:val="00EC33BD"/>
    <w:rsid w:val="00F021FA"/>
    <w:rsid w:val="00F034A7"/>
    <w:rsid w:val="00F04679"/>
    <w:rsid w:val="00F20CE2"/>
    <w:rsid w:val="00F410DD"/>
    <w:rsid w:val="00F45F18"/>
    <w:rsid w:val="00F57ACA"/>
    <w:rsid w:val="00F61F28"/>
    <w:rsid w:val="00F626B8"/>
    <w:rsid w:val="00F62E97"/>
    <w:rsid w:val="00F64209"/>
    <w:rsid w:val="00F65EDC"/>
    <w:rsid w:val="00F7275B"/>
    <w:rsid w:val="00F805EC"/>
    <w:rsid w:val="00F83653"/>
    <w:rsid w:val="00F86E0D"/>
    <w:rsid w:val="00F93BF5"/>
    <w:rsid w:val="00F96F6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2782C33"/>
  <w15:docId w15:val="{F8811CCC-7D48-4C42-A493-12B5AE3A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BE4"/>
    <w:pPr>
      <w:widowControl w:val="0"/>
    </w:pPr>
    <w:rPr>
      <w:snapToGrid w:val="0"/>
      <w:kern w:val="28"/>
      <w:sz w:val="22"/>
    </w:rPr>
  </w:style>
  <w:style w:type="paragraph" w:styleId="Heading1">
    <w:name w:val="heading 1"/>
    <w:basedOn w:val="Normal"/>
    <w:next w:val="ParaNum"/>
    <w:qFormat/>
    <w:rsid w:val="00422BE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2BE4"/>
    <w:pPr>
      <w:keepNext/>
      <w:numPr>
        <w:ilvl w:val="1"/>
        <w:numId w:val="3"/>
      </w:numPr>
      <w:spacing w:after="120"/>
      <w:outlineLvl w:val="1"/>
    </w:pPr>
    <w:rPr>
      <w:b/>
    </w:rPr>
  </w:style>
  <w:style w:type="paragraph" w:styleId="Heading3">
    <w:name w:val="heading 3"/>
    <w:basedOn w:val="Normal"/>
    <w:next w:val="ParaNum"/>
    <w:qFormat/>
    <w:rsid w:val="00422BE4"/>
    <w:pPr>
      <w:keepNext/>
      <w:numPr>
        <w:ilvl w:val="2"/>
        <w:numId w:val="3"/>
      </w:numPr>
      <w:tabs>
        <w:tab w:val="left" w:pos="2160"/>
      </w:tabs>
      <w:spacing w:after="120"/>
      <w:outlineLvl w:val="2"/>
    </w:pPr>
    <w:rPr>
      <w:b/>
    </w:rPr>
  </w:style>
  <w:style w:type="paragraph" w:styleId="Heading4">
    <w:name w:val="heading 4"/>
    <w:basedOn w:val="Normal"/>
    <w:next w:val="ParaNum"/>
    <w:qFormat/>
    <w:rsid w:val="00422BE4"/>
    <w:pPr>
      <w:keepNext/>
      <w:numPr>
        <w:ilvl w:val="3"/>
        <w:numId w:val="3"/>
      </w:numPr>
      <w:tabs>
        <w:tab w:val="left" w:pos="2880"/>
      </w:tabs>
      <w:spacing w:after="120"/>
      <w:outlineLvl w:val="3"/>
    </w:pPr>
    <w:rPr>
      <w:b/>
    </w:rPr>
  </w:style>
  <w:style w:type="paragraph" w:styleId="Heading5">
    <w:name w:val="heading 5"/>
    <w:basedOn w:val="Normal"/>
    <w:next w:val="ParaNum"/>
    <w:qFormat/>
    <w:rsid w:val="00422BE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2BE4"/>
    <w:pPr>
      <w:numPr>
        <w:ilvl w:val="5"/>
        <w:numId w:val="3"/>
      </w:numPr>
      <w:tabs>
        <w:tab w:val="left" w:pos="4320"/>
      </w:tabs>
      <w:spacing w:after="120"/>
      <w:outlineLvl w:val="5"/>
    </w:pPr>
    <w:rPr>
      <w:b/>
    </w:rPr>
  </w:style>
  <w:style w:type="paragraph" w:styleId="Heading7">
    <w:name w:val="heading 7"/>
    <w:basedOn w:val="Normal"/>
    <w:next w:val="ParaNum"/>
    <w:qFormat/>
    <w:rsid w:val="00422BE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2BE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2BE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22B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22BE4"/>
  </w:style>
  <w:style w:type="paragraph" w:customStyle="1" w:styleId="ParaNum">
    <w:name w:val="ParaNum"/>
    <w:basedOn w:val="Normal"/>
    <w:rsid w:val="00422BE4"/>
    <w:pPr>
      <w:numPr>
        <w:numId w:val="2"/>
      </w:numPr>
      <w:tabs>
        <w:tab w:val="clear" w:pos="1080"/>
        <w:tab w:val="num" w:pos="1440"/>
      </w:tabs>
      <w:spacing w:after="120"/>
    </w:pPr>
  </w:style>
  <w:style w:type="paragraph" w:styleId="EndnoteText">
    <w:name w:val="endnote text"/>
    <w:basedOn w:val="Normal"/>
    <w:semiHidden/>
    <w:rsid w:val="00422BE4"/>
    <w:rPr>
      <w:sz w:val="20"/>
    </w:rPr>
  </w:style>
  <w:style w:type="character" w:styleId="EndnoteReference">
    <w:name w:val="endnote reference"/>
    <w:semiHidden/>
    <w:rsid w:val="00422BE4"/>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422BE4"/>
    <w:pPr>
      <w:spacing w:after="120"/>
    </w:pPr>
  </w:style>
  <w:style w:type="character" w:styleId="FootnoteReference">
    <w:name w:val="footnote reference"/>
    <w:semiHidden/>
    <w:rsid w:val="00422BE4"/>
    <w:rPr>
      <w:rFonts w:ascii="Times New Roman" w:hAnsi="Times New Roman"/>
      <w:dstrike w:val="0"/>
      <w:color w:val="auto"/>
      <w:sz w:val="22"/>
      <w:vertAlign w:val="superscript"/>
    </w:rPr>
  </w:style>
  <w:style w:type="paragraph" w:styleId="TOC1">
    <w:name w:val="toc 1"/>
    <w:basedOn w:val="Normal"/>
    <w:next w:val="Normal"/>
    <w:uiPriority w:val="39"/>
    <w:rsid w:val="00422BE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2BE4"/>
    <w:pPr>
      <w:tabs>
        <w:tab w:val="left" w:pos="720"/>
        <w:tab w:val="right" w:leader="dot" w:pos="9360"/>
      </w:tabs>
      <w:suppressAutoHyphens/>
      <w:ind w:left="720" w:right="720" w:hanging="360"/>
    </w:pPr>
    <w:rPr>
      <w:noProof/>
    </w:rPr>
  </w:style>
  <w:style w:type="paragraph" w:styleId="TOC3">
    <w:name w:val="toc 3"/>
    <w:basedOn w:val="Normal"/>
    <w:next w:val="Normal"/>
    <w:semiHidden/>
    <w:rsid w:val="00422BE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2BE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2BE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2BE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2BE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2BE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2BE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2BE4"/>
    <w:pPr>
      <w:tabs>
        <w:tab w:val="right" w:pos="9360"/>
      </w:tabs>
      <w:suppressAutoHyphens/>
    </w:pPr>
  </w:style>
  <w:style w:type="character" w:customStyle="1" w:styleId="EquationCaption">
    <w:name w:val="_Equation Caption"/>
    <w:rsid w:val="00422BE4"/>
  </w:style>
  <w:style w:type="paragraph" w:styleId="Header">
    <w:name w:val="header"/>
    <w:basedOn w:val="Normal"/>
    <w:autoRedefine/>
    <w:rsid w:val="00422BE4"/>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422BE4"/>
    <w:pPr>
      <w:tabs>
        <w:tab w:val="center" w:pos="4320"/>
        <w:tab w:val="right" w:pos="8640"/>
      </w:tabs>
    </w:pPr>
  </w:style>
  <w:style w:type="character" w:styleId="PageNumber">
    <w:name w:val="page number"/>
    <w:basedOn w:val="DefaultParagraphFont"/>
    <w:rsid w:val="00422BE4"/>
  </w:style>
  <w:style w:type="paragraph" w:styleId="BlockText">
    <w:name w:val="Block Text"/>
    <w:basedOn w:val="Normal"/>
    <w:rsid w:val="00422BE4"/>
    <w:pPr>
      <w:spacing w:after="240"/>
      <w:ind w:left="1440" w:right="1440"/>
    </w:pPr>
  </w:style>
  <w:style w:type="paragraph" w:customStyle="1" w:styleId="Paratitle">
    <w:name w:val="Para title"/>
    <w:basedOn w:val="Normal"/>
    <w:rsid w:val="00422BE4"/>
    <w:pPr>
      <w:tabs>
        <w:tab w:val="center" w:pos="9270"/>
      </w:tabs>
      <w:spacing w:after="240"/>
    </w:pPr>
    <w:rPr>
      <w:spacing w:val="-2"/>
    </w:rPr>
  </w:style>
  <w:style w:type="paragraph" w:customStyle="1" w:styleId="Bullet">
    <w:name w:val="Bullet"/>
    <w:basedOn w:val="Normal"/>
    <w:rsid w:val="00422BE4"/>
    <w:pPr>
      <w:numPr>
        <w:numId w:val="1"/>
      </w:numPr>
      <w:tabs>
        <w:tab w:val="clear" w:pos="360"/>
        <w:tab w:val="left" w:pos="2160"/>
      </w:tabs>
      <w:spacing w:after="220"/>
      <w:ind w:left="2160" w:hanging="720"/>
    </w:pPr>
  </w:style>
  <w:style w:type="paragraph" w:customStyle="1" w:styleId="TableFormat">
    <w:name w:val="TableFormat"/>
    <w:basedOn w:val="Bullet"/>
    <w:rsid w:val="00422BE4"/>
    <w:pPr>
      <w:numPr>
        <w:numId w:val="0"/>
      </w:numPr>
      <w:tabs>
        <w:tab w:val="clear" w:pos="2160"/>
        <w:tab w:val="left" w:pos="5040"/>
      </w:tabs>
      <w:ind w:left="5040" w:hanging="3600"/>
    </w:pPr>
  </w:style>
  <w:style w:type="paragraph" w:customStyle="1" w:styleId="TOCTitle">
    <w:name w:val="TOC Title"/>
    <w:basedOn w:val="Normal"/>
    <w:rsid w:val="00422BE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2BE4"/>
    <w:pPr>
      <w:jc w:val="center"/>
    </w:pPr>
    <w:rPr>
      <w:rFonts w:ascii="Times New Roman Bold" w:hAnsi="Times New Roman Bold"/>
      <w:b/>
      <w:bCs/>
      <w:caps/>
      <w:szCs w:val="22"/>
    </w:rPr>
  </w:style>
  <w:style w:type="character" w:styleId="Hyperlink">
    <w:name w:val="Hyperlink"/>
    <w:rsid w:val="00422BE4"/>
    <w:rPr>
      <w:color w:val="0000FF"/>
      <w:u w:val="single"/>
    </w:rPr>
  </w:style>
  <w:style w:type="character" w:customStyle="1" w:styleId="FooterChar">
    <w:name w:val="Footer Char"/>
    <w:link w:val="Footer"/>
    <w:uiPriority w:val="99"/>
    <w:rsid w:val="00422BE4"/>
    <w:rPr>
      <w:snapToGrid w:val="0"/>
      <w:kern w:val="28"/>
      <w:sz w:val="22"/>
    </w:rPr>
  </w:style>
  <w:style w:type="paragraph" w:styleId="BalloonText">
    <w:name w:val="Balloon Text"/>
    <w:basedOn w:val="Normal"/>
    <w:link w:val="BalloonTextChar"/>
    <w:uiPriority w:val="99"/>
    <w:semiHidden/>
    <w:unhideWhenUsed/>
    <w:rsid w:val="007105E9"/>
    <w:rPr>
      <w:rFonts w:ascii="Segoe UI" w:hAnsi="Segoe UI" w:cs="Segoe UI"/>
      <w:sz w:val="18"/>
      <w:szCs w:val="18"/>
    </w:rPr>
  </w:style>
  <w:style w:type="character" w:customStyle="1" w:styleId="BalloonTextChar">
    <w:name w:val="Balloon Text Char"/>
    <w:link w:val="BalloonText"/>
    <w:uiPriority w:val="99"/>
    <w:semiHidden/>
    <w:rsid w:val="007105E9"/>
    <w:rPr>
      <w:rFonts w:ascii="Segoe UI" w:hAnsi="Segoe UI" w:cs="Segoe UI"/>
      <w:snapToGrid w:val="0"/>
      <w:kern w:val="28"/>
      <w:sz w:val="18"/>
      <w:szCs w:val="18"/>
    </w:rPr>
  </w:style>
  <w:style w:type="character" w:styleId="CommentReference">
    <w:name w:val="annotation reference"/>
    <w:uiPriority w:val="99"/>
    <w:semiHidden/>
    <w:unhideWhenUsed/>
    <w:rsid w:val="0077180F"/>
    <w:rPr>
      <w:sz w:val="16"/>
      <w:szCs w:val="16"/>
    </w:rPr>
  </w:style>
  <w:style w:type="paragraph" w:styleId="CommentText">
    <w:name w:val="annotation text"/>
    <w:basedOn w:val="Normal"/>
    <w:link w:val="CommentTextChar"/>
    <w:uiPriority w:val="99"/>
    <w:unhideWhenUsed/>
    <w:rsid w:val="0077180F"/>
    <w:rPr>
      <w:sz w:val="20"/>
    </w:rPr>
  </w:style>
  <w:style w:type="character" w:customStyle="1" w:styleId="CommentTextChar">
    <w:name w:val="Comment Text Char"/>
    <w:link w:val="CommentText"/>
    <w:uiPriority w:val="99"/>
    <w:rsid w:val="0077180F"/>
    <w:rPr>
      <w:snapToGrid w:val="0"/>
      <w:kern w:val="28"/>
    </w:rPr>
  </w:style>
  <w:style w:type="paragraph" w:styleId="CommentSubject">
    <w:name w:val="annotation subject"/>
    <w:basedOn w:val="CommentText"/>
    <w:next w:val="CommentText"/>
    <w:link w:val="CommentSubjectChar"/>
    <w:uiPriority w:val="99"/>
    <w:semiHidden/>
    <w:unhideWhenUsed/>
    <w:rsid w:val="0077180F"/>
    <w:rPr>
      <w:b/>
      <w:bCs/>
    </w:rPr>
  </w:style>
  <w:style w:type="character" w:customStyle="1" w:styleId="CommentSubjectChar">
    <w:name w:val="Comment Subject Char"/>
    <w:link w:val="CommentSubject"/>
    <w:uiPriority w:val="99"/>
    <w:semiHidden/>
    <w:rsid w:val="0077180F"/>
    <w:rPr>
      <w:b/>
      <w:bCs/>
      <w:snapToGrid w:val="0"/>
      <w:kern w:val="28"/>
    </w:rPr>
  </w:style>
  <w:style w:type="character" w:customStyle="1" w:styleId="UnresolvedMention1">
    <w:name w:val="Unresolved Mention1"/>
    <w:uiPriority w:val="99"/>
    <w:unhideWhenUsed/>
    <w:rsid w:val="003441F3"/>
    <w:rPr>
      <w:color w:val="605E5C"/>
      <w:shd w:val="clear" w:color="auto" w:fill="E1DFDD"/>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basedOn w:val="DefaultParagraphFont"/>
    <w:link w:val="FootnoteText"/>
    <w:rsid w:val="003F152F"/>
  </w:style>
  <w:style w:type="paragraph" w:styleId="ListParagraph">
    <w:name w:val="List Paragraph"/>
    <w:basedOn w:val="Normal"/>
    <w:uiPriority w:val="34"/>
    <w:qFormat/>
    <w:rsid w:val="003F6D82"/>
    <w:pPr>
      <w:widowControl/>
      <w:ind w:left="720"/>
      <w:contextualSpacing/>
    </w:pPr>
    <w:rPr>
      <w:snapToGrid/>
      <w:kern w:val="0"/>
      <w:sz w:val="24"/>
      <w:szCs w:val="24"/>
    </w:rPr>
  </w:style>
  <w:style w:type="character" w:customStyle="1" w:styleId="UnresolvedMention2">
    <w:name w:val="Unresolved Mention2"/>
    <w:uiPriority w:val="99"/>
    <w:unhideWhenUsed/>
    <w:rsid w:val="00954D81"/>
    <w:rPr>
      <w:color w:val="605E5C"/>
      <w:shd w:val="clear" w:color="auto" w:fill="E1DFDD"/>
    </w:rPr>
  </w:style>
  <w:style w:type="paragraph" w:styleId="Revision">
    <w:name w:val="Revision"/>
    <w:hidden/>
    <w:uiPriority w:val="99"/>
    <w:semiHidden/>
    <w:rsid w:val="00B67AA8"/>
    <w:rPr>
      <w:snapToGrid w:val="0"/>
      <w:kern w:val="28"/>
      <w:sz w:val="22"/>
    </w:rPr>
  </w:style>
  <w:style w:type="character" w:styleId="UnresolvedMention">
    <w:name w:val="Unresolved Mention"/>
    <w:uiPriority w:val="99"/>
    <w:semiHidden/>
    <w:unhideWhenUsed/>
    <w:rsid w:val="00422BE4"/>
    <w:rPr>
      <w:color w:val="605E5C"/>
      <w:shd w:val="clear" w:color="auto" w:fill="E1DFDD"/>
    </w:rPr>
  </w:style>
  <w:style w:type="paragraph" w:customStyle="1" w:styleId="Default">
    <w:name w:val="Default"/>
    <w:rsid w:val="009E0653"/>
    <w:pPr>
      <w:autoSpaceDE w:val="0"/>
      <w:autoSpaceDN w:val="0"/>
      <w:adjustRightInd w:val="0"/>
    </w:pPr>
    <w:rPr>
      <w:rFonts w:ascii="Arial" w:hAnsi="Arial"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ed.gov/news/press-releases/biden-harris-administration-announces-final-student-loan-pause-extension-through-december-31-and-targeted-debt-cancellation-smooth-transition-repayment" TargetMode="External" /><Relationship Id="rId2" Type="http://schemas.openxmlformats.org/officeDocument/2006/relationships/hyperlink" Target="https://www.whitehouse.gov/briefing-room/statements-releases/2022/08/24/fact-sheet-president-biden-announces-student-loan-relief-for-borrowers-who-need-it-most/" TargetMode="External" /><Relationship Id="rId3" Type="http://schemas.openxmlformats.org/officeDocument/2006/relationships/hyperlink" Target="https://www.npr.org/2022/09/19/1123488226/waiting-for-loan-forgiveness-borrowers-are-targets-for-scammers" TargetMode="External" /><Relationship Id="rId4" Type="http://schemas.openxmlformats.org/officeDocument/2006/relationships/hyperlink" Target="https://www.whitehouse.gov/briefing-room/statements-releases/2022/10/07/readout-of-white-house-meeting-on-student-debt-relief-scam-prevention/" TargetMode="External" /><Relationship Id="rId5" Type="http://schemas.openxmlformats.org/officeDocument/2006/relationships/hyperlink" Target="https://www.fcc.gov/document/fcc-ftc-demand-robocall-enabling-service-providers-cut-scammers" TargetMode="External" /><Relationship Id="rId6" Type="http://schemas.openxmlformats.org/officeDocument/2006/relationships/hyperlink" Target="https://www.fcc.gov/robocall-facilitators-must-cease-and-desist" TargetMode="External" /><Relationship Id="rId7" Type="http://schemas.openxmlformats.org/officeDocument/2006/relationships/hyperlink" Target="https://blog.youmail.com/2022/07/july-enforcement-achieve-success-in-escalating-the-war-on-robocal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