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D43E6" w14:paraId="44444E20" w14:textId="77777777">
      <w:pPr>
        <w:jc w:val="right"/>
        <w:rPr>
          <w:sz w:val="24"/>
        </w:rPr>
      </w:pPr>
    </w:p>
    <w:p w:rsidR="006D43E6" w14:paraId="497EC76B" w14:textId="53055551">
      <w:pPr>
        <w:jc w:val="right"/>
        <w:rPr>
          <w:b/>
          <w:sz w:val="24"/>
        </w:rPr>
      </w:pPr>
      <w:r>
        <w:rPr>
          <w:b/>
          <w:sz w:val="24"/>
        </w:rPr>
        <w:t>DA 22-1146</w:t>
      </w:r>
    </w:p>
    <w:p w:rsidR="006D43E6" w14:paraId="1FB52C10" w14:textId="3C6184D7">
      <w:pPr>
        <w:spacing w:before="60"/>
        <w:jc w:val="right"/>
        <w:rPr>
          <w:b/>
          <w:sz w:val="24"/>
        </w:rPr>
      </w:pPr>
      <w:r>
        <w:rPr>
          <w:b/>
          <w:sz w:val="24"/>
        </w:rPr>
        <w:t xml:space="preserve">Released:  </w:t>
      </w:r>
      <w:r w:rsidR="00091E08">
        <w:rPr>
          <w:b/>
          <w:sz w:val="24"/>
        </w:rPr>
        <w:t>November 2, 2022</w:t>
      </w:r>
    </w:p>
    <w:p w:rsidR="006D43E6" w14:paraId="046833A3" w14:textId="77777777">
      <w:pPr>
        <w:jc w:val="right"/>
        <w:rPr>
          <w:sz w:val="24"/>
        </w:rPr>
      </w:pPr>
    </w:p>
    <w:p w:rsidR="006D43E6" w14:paraId="2C91B52E" w14:textId="7BEA8593">
      <w:pPr>
        <w:spacing w:after="240"/>
        <w:jc w:val="center"/>
        <w:rPr>
          <w:rFonts w:ascii="Times New Roman Bold" w:hAnsi="Times New Roman Bold"/>
          <w:b/>
          <w:caps/>
          <w:sz w:val="24"/>
        </w:rPr>
      </w:pPr>
      <w:r>
        <w:rPr>
          <w:rFonts w:ascii="Times New Roman Bold" w:hAnsi="Times New Roman Bold"/>
          <w:b/>
          <w:caps/>
          <w:sz w:val="24"/>
        </w:rPr>
        <w:t xml:space="preserve">OET Announces </w:t>
      </w:r>
      <w:r w:rsidR="005F64D8">
        <w:rPr>
          <w:rFonts w:ascii="Times New Roman Bold" w:hAnsi="Times New Roman Bold"/>
          <w:b/>
          <w:caps/>
          <w:sz w:val="24"/>
        </w:rPr>
        <w:t xml:space="preserve">Conditional approval </w:t>
      </w:r>
      <w:r>
        <w:rPr>
          <w:rFonts w:ascii="Times New Roman Bold" w:hAnsi="Times New Roman Bold"/>
          <w:b/>
          <w:caps/>
          <w:sz w:val="24"/>
        </w:rPr>
        <w:t>for</w:t>
      </w:r>
      <w:r w:rsidR="005F64D8">
        <w:rPr>
          <w:rFonts w:ascii="Times New Roman Bold" w:hAnsi="Times New Roman Bold"/>
          <w:b/>
          <w:caps/>
          <w:sz w:val="24"/>
        </w:rPr>
        <w:t xml:space="preserve"> 6 GHz band </w:t>
      </w:r>
      <w:r w:rsidR="00062B17">
        <w:rPr>
          <w:rFonts w:ascii="Times New Roman Bold" w:hAnsi="Times New Roman Bold"/>
          <w:b/>
          <w:caps/>
          <w:sz w:val="24"/>
        </w:rPr>
        <w:t xml:space="preserve">automated </w:t>
      </w:r>
      <w:r w:rsidR="005F64D8">
        <w:rPr>
          <w:rFonts w:ascii="Times New Roman Bold" w:hAnsi="Times New Roman Bold"/>
          <w:b/>
          <w:caps/>
          <w:sz w:val="24"/>
        </w:rPr>
        <w:t>frequency coordination systems</w:t>
      </w:r>
    </w:p>
    <w:p w:rsidR="006D43E6" w14:paraId="6CE06BB1" w14:textId="21DF272E">
      <w:pPr>
        <w:spacing w:after="240"/>
        <w:jc w:val="center"/>
        <w:rPr>
          <w:b/>
          <w:sz w:val="24"/>
        </w:rPr>
      </w:pPr>
      <w:r>
        <w:rPr>
          <w:b/>
          <w:sz w:val="24"/>
        </w:rPr>
        <w:t>ET Docket No. 21-352</w:t>
      </w:r>
    </w:p>
    <w:p w:rsidR="006D43E6" w14:paraId="54932EA1" w14:textId="2CB32C47">
      <w:bookmarkStart w:id="0" w:name="TOChere"/>
      <w:r>
        <w:t xml:space="preserve">By </w:t>
      </w:r>
      <w:r w:rsidR="007B6312">
        <w:t xml:space="preserve">the </w:t>
      </w:r>
      <w:r>
        <w:t>Acting Chief, Office of Engineering and Technology</w:t>
      </w:r>
      <w:r w:rsidR="007B6312">
        <w:t>:</w:t>
      </w:r>
    </w:p>
    <w:p w:rsidR="00461CD7" w14:paraId="16946691" w14:textId="77777777"/>
    <w:p w:rsidR="006D43E6" w:rsidP="00BC3BF9" w14:paraId="2D70BB91" w14:textId="79D23E5F">
      <w:pPr>
        <w:pStyle w:val="Heading1"/>
      </w:pPr>
      <w:r>
        <w:t>introduction</w:t>
      </w:r>
    </w:p>
    <w:p w:rsidR="00BC3BF9" w:rsidRPr="00BC3BF9" w:rsidP="00BC3BF9" w14:paraId="11AFBAED" w14:textId="58CE0B0B">
      <w:pPr>
        <w:pStyle w:val="ParaNum"/>
      </w:pPr>
      <w:r>
        <w:t xml:space="preserve">The Office of Engineering and Technology </w:t>
      </w:r>
      <w:r w:rsidR="00031527">
        <w:t xml:space="preserve">(OET) </w:t>
      </w:r>
      <w:r>
        <w:t xml:space="preserve">conditionally approves </w:t>
      </w:r>
      <w:r w:rsidR="00376FB0">
        <w:t xml:space="preserve">thirteen </w:t>
      </w:r>
      <w:r>
        <w:t>entities to operate automated frequency coordination (AFC) systems to manage access to 6 GHz band spectrum by standard-power unlicensed devices</w:t>
      </w:r>
      <w:r w:rsidR="00031527">
        <w:t xml:space="preserve">: </w:t>
      </w:r>
      <w:r w:rsidR="002842A2">
        <w:t xml:space="preserve">Broadcom, </w:t>
      </w:r>
      <w:r w:rsidR="00A21DE9">
        <w:t xml:space="preserve">Google, </w:t>
      </w:r>
      <w:r w:rsidR="00A21DE9">
        <w:t>Comsearch</w:t>
      </w:r>
      <w:r w:rsidR="00A21DE9">
        <w:t xml:space="preserve">, </w:t>
      </w:r>
      <w:r w:rsidR="0012002F">
        <w:t xml:space="preserve">Sony Group, </w:t>
      </w:r>
      <w:r w:rsidR="0012002F">
        <w:t>Kyrio</w:t>
      </w:r>
      <w:r w:rsidR="0012002F">
        <w:t xml:space="preserve">, </w:t>
      </w:r>
      <w:r w:rsidR="00AA2916">
        <w:t xml:space="preserve">Key Bridge Wireless, </w:t>
      </w:r>
      <w:r w:rsidR="0067494F">
        <w:t xml:space="preserve">Nokia Innovations, Federated Wireless, </w:t>
      </w:r>
      <w:r w:rsidR="005F6103">
        <w:t xml:space="preserve">Wireless Broadband Alliance, </w:t>
      </w:r>
      <w:r w:rsidR="00515280">
        <w:t>Wi-Fi Alliance</w:t>
      </w:r>
      <w:r w:rsidR="00BF140A">
        <w:t xml:space="preserve"> (WFA)</w:t>
      </w:r>
      <w:r w:rsidR="00515280">
        <w:t xml:space="preserve">, Qualcomm, </w:t>
      </w:r>
      <w:r w:rsidR="000F23C7">
        <w:t xml:space="preserve">Plume Design, </w:t>
      </w:r>
      <w:r w:rsidR="00877695">
        <w:t xml:space="preserve">and </w:t>
      </w:r>
      <w:r w:rsidR="00B8477E">
        <w:t xml:space="preserve">RED </w:t>
      </w:r>
      <w:r w:rsidR="00A3496E">
        <w:t>Technologies</w:t>
      </w:r>
      <w:r>
        <w:t xml:space="preserve">.  </w:t>
      </w:r>
      <w:r w:rsidR="00FD64B8">
        <w:t xml:space="preserve">This conditional approval begins the next phase of the process </w:t>
      </w:r>
      <w:r w:rsidR="002172FA">
        <w:t xml:space="preserve">toward </w:t>
      </w:r>
      <w:r w:rsidR="00FD64B8">
        <w:t>full commercial operations.  As these thir</w:t>
      </w:r>
      <w:r w:rsidR="00931A35">
        <w:t>teen</w:t>
      </w:r>
      <w:r w:rsidR="00FD64B8">
        <w:t xml:space="preserve"> </w:t>
      </w:r>
      <w:r w:rsidR="00B75BFF">
        <w:t xml:space="preserve">entities continue to develop their </w:t>
      </w:r>
      <w:r w:rsidR="00341CDF">
        <w:t>AFC systems</w:t>
      </w:r>
      <w:r w:rsidR="00AC4997">
        <w:t>, the next step in the approval process will entail</w:t>
      </w:r>
      <w:r w:rsidR="00341CDF">
        <w:t xml:space="preserve"> testing to verify that they operate in accordance with the Commission’s rul</w:t>
      </w:r>
      <w:r>
        <w:t>e</w:t>
      </w:r>
      <w:r w:rsidR="00341CDF">
        <w:t xml:space="preserve">s.  </w:t>
      </w:r>
      <w:r w:rsidR="00D57A55">
        <w:t xml:space="preserve">Testing protocols are still under development and more information will be </w:t>
      </w:r>
      <w:r w:rsidR="00384290">
        <w:t xml:space="preserve">provided </w:t>
      </w:r>
      <w:r w:rsidR="00D57A55">
        <w:t xml:space="preserve">in future </w:t>
      </w:r>
      <w:r w:rsidR="00384290">
        <w:t>releases</w:t>
      </w:r>
      <w:r w:rsidR="00D57A55">
        <w:t>.</w:t>
      </w:r>
      <w:r w:rsidR="00384290">
        <w:t xml:space="preserve">  </w:t>
      </w:r>
      <w:r w:rsidR="00F549FD">
        <w:t xml:space="preserve">OET will approve </w:t>
      </w:r>
      <w:r w:rsidR="000B10EA">
        <w:t xml:space="preserve">for commercial operations those </w:t>
      </w:r>
      <w:r w:rsidR="00341CDF">
        <w:t xml:space="preserve">AFC systems that successfully </w:t>
      </w:r>
      <w:r w:rsidR="00F97D6E">
        <w:t>complete</w:t>
      </w:r>
      <w:r w:rsidR="00341CDF">
        <w:t xml:space="preserve"> testing.  </w:t>
      </w:r>
    </w:p>
    <w:p w:rsidR="006D43E6" w:rsidP="00BC3BF9" w14:paraId="58D884CA" w14:textId="248744CC">
      <w:pPr>
        <w:pStyle w:val="Heading1"/>
      </w:pPr>
      <w:r>
        <w:t>background</w:t>
      </w:r>
    </w:p>
    <w:p w:rsidR="00F90877" w:rsidP="00BC3BF9" w14:paraId="2EEA2B12" w14:textId="0C9DD88A">
      <w:pPr>
        <w:pStyle w:val="ParaNum"/>
      </w:pPr>
      <w:r>
        <w:t>On</w:t>
      </w:r>
      <w:r w:rsidR="00A026AA">
        <w:t xml:space="preserve"> April 23, 2020</w:t>
      </w:r>
      <w:r w:rsidR="00F11827">
        <w:t>,</w:t>
      </w:r>
      <w:r w:rsidR="00A026AA">
        <w:t xml:space="preserve"> the Commission adopted a Report and Order and Further Notice of Proposed Rulemaking (</w:t>
      </w:r>
      <w:r w:rsidRPr="001D07E7" w:rsidR="00A026AA">
        <w:rPr>
          <w:i/>
          <w:iCs/>
        </w:rPr>
        <w:t>6 GHz R</w:t>
      </w:r>
      <w:r w:rsidRPr="001D07E7" w:rsidR="001D07E7">
        <w:rPr>
          <w:i/>
          <w:iCs/>
        </w:rPr>
        <w:t>eport and Order</w:t>
      </w:r>
      <w:r w:rsidR="00A026AA">
        <w:t xml:space="preserve">) that </w:t>
      </w:r>
      <w:r w:rsidR="001D07E7">
        <w:t xml:space="preserve">made broad swaths of the 6 GHz band (5.925–7.125 GHz) available for </w:t>
      </w:r>
      <w:r w:rsidR="006542F7">
        <w:t xml:space="preserve">expanded </w:t>
      </w:r>
      <w:r w:rsidR="001D07E7">
        <w:t>unlicensed operations</w:t>
      </w:r>
      <w:r w:rsidR="00D76C5D">
        <w:t xml:space="preserve">, including broadband </w:t>
      </w:r>
      <w:r w:rsidR="001C3A36">
        <w:t>operations</w:t>
      </w:r>
      <w:r w:rsidR="001D07E7">
        <w:t>.</w:t>
      </w:r>
      <w:r>
        <w:rPr>
          <w:rStyle w:val="FootnoteReference"/>
        </w:rPr>
        <w:footnoteReference w:id="3"/>
      </w:r>
      <w:r w:rsidR="001D07E7">
        <w:t xml:space="preserve"> </w:t>
      </w:r>
      <w:r>
        <w:t xml:space="preserve"> </w:t>
      </w:r>
      <w:r w:rsidR="00614DA5">
        <w:t xml:space="preserve">The </w:t>
      </w:r>
      <w:r w:rsidRPr="00EA5FB4" w:rsidR="00614DA5">
        <w:rPr>
          <w:i/>
          <w:iCs/>
        </w:rPr>
        <w:t>6 GHz Report and Order</w:t>
      </w:r>
      <w:r w:rsidR="00614DA5">
        <w:t xml:space="preserve"> adopted rules for two different types of unlicensed operations—standard-power </w:t>
      </w:r>
      <w:r w:rsidR="00F11827">
        <w:t xml:space="preserve">operations </w:t>
      </w:r>
      <w:r w:rsidR="00614DA5">
        <w:t xml:space="preserve">and low-power </w:t>
      </w:r>
      <w:r w:rsidR="00CA5ABA">
        <w:t xml:space="preserve">indoor </w:t>
      </w:r>
      <w:r w:rsidR="00614DA5">
        <w:t>operations.</w:t>
      </w:r>
      <w:r>
        <w:rPr>
          <w:rStyle w:val="FootnoteReference"/>
        </w:rPr>
        <w:footnoteReference w:id="4"/>
      </w:r>
      <w:r w:rsidR="00614DA5">
        <w:t xml:space="preserve">  </w:t>
      </w:r>
      <w:r w:rsidR="0077040D">
        <w:t xml:space="preserve">For standard-power operations, standard-power access points and </w:t>
      </w:r>
      <w:r w:rsidR="00576C7F">
        <w:t xml:space="preserve">fixed client devices </w:t>
      </w:r>
      <w:r w:rsidR="00614DA5">
        <w:t>operate under the control of AFC system</w:t>
      </w:r>
      <w:r w:rsidR="000306A7">
        <w:t>s</w:t>
      </w:r>
      <w:r w:rsidR="00614DA5">
        <w:t xml:space="preserve"> in two portions of the 6 GHz band—the U-NII-5 band </w:t>
      </w:r>
      <w:r w:rsidR="00576C7F">
        <w:t xml:space="preserve">(5.925-6.425 GHz) </w:t>
      </w:r>
      <w:r w:rsidR="00614DA5">
        <w:t>and the U-NII-7 band</w:t>
      </w:r>
      <w:r w:rsidR="00576C7F">
        <w:t xml:space="preserve"> (6.525-6.875 GHz)</w:t>
      </w:r>
      <w:r w:rsidR="00614DA5">
        <w:t>.</w:t>
      </w:r>
      <w:r>
        <w:rPr>
          <w:rStyle w:val="FootnoteReference"/>
        </w:rPr>
        <w:footnoteReference w:id="5"/>
      </w:r>
      <w:r w:rsidR="00614DA5">
        <w:t xml:space="preserve"> </w:t>
      </w:r>
      <w:r w:rsidR="00341CDF">
        <w:t xml:space="preserve"> </w:t>
      </w:r>
      <w:r w:rsidR="00EA5FB4">
        <w:t xml:space="preserve">The </w:t>
      </w:r>
      <w:r w:rsidR="00600DD0">
        <w:t>U-NII-5</w:t>
      </w:r>
      <w:r w:rsidR="00576C7F">
        <w:t xml:space="preserve"> </w:t>
      </w:r>
      <w:r w:rsidR="00600DD0">
        <w:t>and U-NII-7 band</w:t>
      </w:r>
      <w:r w:rsidR="00576C7F">
        <w:t>s</w:t>
      </w:r>
      <w:r w:rsidR="00600DD0">
        <w:t xml:space="preserve"> are </w:t>
      </w:r>
      <w:r w:rsidR="00576C7F">
        <w:t xml:space="preserve">heavily </w:t>
      </w:r>
      <w:r w:rsidR="00600DD0">
        <w:t xml:space="preserve">used by </w:t>
      </w:r>
      <w:r w:rsidR="00576C7F">
        <w:t>licensed</w:t>
      </w:r>
      <w:r w:rsidR="00600DD0">
        <w:t xml:space="preserve"> point-to-point microwave systems</w:t>
      </w:r>
      <w:r w:rsidR="00576C7F">
        <w:t>.</w:t>
      </w:r>
      <w:r>
        <w:rPr>
          <w:rStyle w:val="FootnoteReference"/>
        </w:rPr>
        <w:footnoteReference w:id="6"/>
      </w:r>
      <w:r w:rsidR="00576C7F">
        <w:t xml:space="preserve">  In addition, the 6.65-6.</w:t>
      </w:r>
      <w:r w:rsidR="00937B94">
        <w:t>6</w:t>
      </w:r>
      <w:r w:rsidR="00576C7F">
        <w:t xml:space="preserve">752 GHz portion of the U-NII-7 band is used for radio astronomy observations at a limited number of </w:t>
      </w:r>
      <w:r w:rsidR="00576C7F">
        <w:t>observatories.</w:t>
      </w:r>
      <w:r>
        <w:rPr>
          <w:rStyle w:val="FootnoteReference"/>
        </w:rPr>
        <w:footnoteReference w:id="7"/>
      </w:r>
      <w:r w:rsidR="00600DD0">
        <w:t xml:space="preserve">  The AFC systems will manage </w:t>
      </w:r>
      <w:r w:rsidR="00FC7F66">
        <w:t>access to spectr</w:t>
      </w:r>
      <w:r w:rsidR="00271BD8">
        <w:t xml:space="preserve">um by </w:t>
      </w:r>
      <w:r w:rsidR="00600DD0">
        <w:t xml:space="preserve">the standard-power </w:t>
      </w:r>
      <w:r w:rsidR="00576C7F">
        <w:t>access points and fixed client devices</w:t>
      </w:r>
      <w:r w:rsidR="00600DD0">
        <w:t xml:space="preserve"> to prevent </w:t>
      </w:r>
      <w:r w:rsidR="00576C7F">
        <w:t xml:space="preserve">harmful </w:t>
      </w:r>
      <w:r w:rsidR="00600DD0">
        <w:t>interference from occurring to the</w:t>
      </w:r>
      <w:r w:rsidR="00576C7F">
        <w:t xml:space="preserve"> microwave systems and radio observatories.</w:t>
      </w:r>
      <w:r>
        <w:rPr>
          <w:rStyle w:val="FootnoteReference"/>
        </w:rPr>
        <w:footnoteReference w:id="8"/>
      </w:r>
      <w:r w:rsidR="00600DD0">
        <w:t xml:space="preserve"> </w:t>
      </w:r>
    </w:p>
    <w:p w:rsidR="00BC3BF9" w:rsidP="00F90877" w14:paraId="74670D37" w14:textId="1190E542">
      <w:pPr>
        <w:pStyle w:val="ParaNum"/>
        <w:numPr>
          <w:ilvl w:val="0"/>
          <w:numId w:val="0"/>
        </w:numPr>
        <w:ind w:firstLine="720"/>
      </w:pPr>
    </w:p>
    <w:p w:rsidR="00705305" w:rsidRPr="00705305" w:rsidP="00705305" w14:paraId="726314C8" w14:textId="77777777">
      <w:pPr>
        <w:pStyle w:val="ParaNum"/>
        <w:numPr>
          <w:ilvl w:val="0"/>
          <w:numId w:val="0"/>
        </w:numPr>
        <w:rPr>
          <w:b/>
          <w:bCs/>
        </w:rPr>
      </w:pPr>
      <w:r w:rsidRPr="00705305">
        <w:rPr>
          <w:b/>
          <w:bCs/>
        </w:rPr>
        <w:t>Expanded Unlicensed Use of the 6 Gigahertz Band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678"/>
        <w:gridCol w:w="1757"/>
        <w:gridCol w:w="3125"/>
      </w:tblGrid>
      <w:tr w14:paraId="5A670685" w14:textId="77777777" w:rsidTr="00713951">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0" w:type="dxa"/>
            <w:tcBorders>
              <w:top w:val="single" w:sz="12" w:space="0" w:color="auto"/>
              <w:left w:val="single" w:sz="12" w:space="0" w:color="auto"/>
              <w:bottom w:val="single" w:sz="18" w:space="0" w:color="auto"/>
              <w:right w:val="single" w:sz="4" w:space="0" w:color="auto"/>
            </w:tcBorders>
            <w:vAlign w:val="center"/>
            <w:hideMark/>
          </w:tcPr>
          <w:p w:rsidR="00705305" w:rsidRPr="000F6B31" w:rsidP="00713951" w14:paraId="5E2141A7" w14:textId="77777777">
            <w:pPr>
              <w:jc w:val="center"/>
              <w:rPr>
                <w:szCs w:val="22"/>
              </w:rPr>
            </w:pPr>
            <w:r w:rsidRPr="00CE2F6C">
              <w:rPr>
                <w:szCs w:val="22"/>
              </w:rPr>
              <w:t>Device Class</w:t>
            </w:r>
          </w:p>
        </w:tc>
        <w:tc>
          <w:tcPr>
            <w:tcW w:w="2678" w:type="dxa"/>
            <w:tcBorders>
              <w:top w:val="single" w:sz="12" w:space="0" w:color="auto"/>
              <w:left w:val="single" w:sz="4" w:space="0" w:color="auto"/>
              <w:bottom w:val="single" w:sz="18" w:space="0" w:color="auto"/>
              <w:right w:val="single" w:sz="4" w:space="0" w:color="auto"/>
            </w:tcBorders>
            <w:vAlign w:val="center"/>
            <w:hideMark/>
          </w:tcPr>
          <w:p w:rsidR="00705305" w:rsidRPr="000F6B31" w:rsidP="00713951" w14:paraId="3CE08D64" w14:textId="77777777">
            <w:pPr>
              <w:jc w:val="center"/>
              <w:rPr>
                <w:szCs w:val="22"/>
              </w:rPr>
            </w:pPr>
            <w:r w:rsidRPr="000F6B31">
              <w:rPr>
                <w:szCs w:val="22"/>
              </w:rPr>
              <w:t xml:space="preserve">Operating </w:t>
            </w:r>
          </w:p>
          <w:p w:rsidR="00705305" w:rsidRPr="000F6B31" w:rsidP="00713951" w14:paraId="0D9D1A7C" w14:textId="77777777">
            <w:pPr>
              <w:jc w:val="center"/>
              <w:rPr>
                <w:szCs w:val="22"/>
              </w:rPr>
            </w:pPr>
            <w:r w:rsidRPr="000F6B31">
              <w:rPr>
                <w:szCs w:val="22"/>
              </w:rPr>
              <w:t>Bands</w:t>
            </w:r>
          </w:p>
        </w:tc>
        <w:tc>
          <w:tcPr>
            <w:tcW w:w="1757" w:type="dxa"/>
            <w:tcBorders>
              <w:top w:val="single" w:sz="12" w:space="0" w:color="auto"/>
              <w:left w:val="single" w:sz="4" w:space="0" w:color="auto"/>
              <w:bottom w:val="single" w:sz="18" w:space="0" w:color="auto"/>
              <w:right w:val="single" w:sz="4" w:space="0" w:color="auto"/>
            </w:tcBorders>
            <w:vAlign w:val="center"/>
          </w:tcPr>
          <w:p w:rsidR="00705305" w:rsidRPr="000F6B31" w:rsidP="00713951" w14:paraId="5F0DC2C3" w14:textId="77777777">
            <w:pPr>
              <w:jc w:val="center"/>
              <w:rPr>
                <w:szCs w:val="22"/>
              </w:rPr>
            </w:pPr>
            <w:r w:rsidRPr="000F6B31">
              <w:rPr>
                <w:szCs w:val="22"/>
              </w:rPr>
              <w:t>Maximum EIRP</w:t>
            </w:r>
          </w:p>
          <w:p w:rsidR="00705305" w:rsidRPr="000F6B31" w:rsidP="00713951" w14:paraId="2DF5AA21" w14:textId="77777777">
            <w:pPr>
              <w:jc w:val="center"/>
              <w:rPr>
                <w:szCs w:val="22"/>
              </w:rPr>
            </w:pPr>
          </w:p>
        </w:tc>
        <w:tc>
          <w:tcPr>
            <w:tcW w:w="3125" w:type="dxa"/>
            <w:tcBorders>
              <w:top w:val="single" w:sz="12" w:space="0" w:color="auto"/>
              <w:left w:val="single" w:sz="4" w:space="0" w:color="auto"/>
              <w:bottom w:val="single" w:sz="18" w:space="0" w:color="auto"/>
              <w:right w:val="single" w:sz="4" w:space="0" w:color="auto"/>
            </w:tcBorders>
            <w:vAlign w:val="center"/>
          </w:tcPr>
          <w:p w:rsidR="00705305" w:rsidRPr="00C729A4" w:rsidP="00713951" w14:paraId="448C6E0F" w14:textId="77777777">
            <w:pPr>
              <w:jc w:val="center"/>
              <w:rPr>
                <w:b/>
                <w:bCs/>
                <w:szCs w:val="22"/>
              </w:rPr>
            </w:pPr>
            <w:r w:rsidRPr="000F6B31">
              <w:rPr>
                <w:szCs w:val="22"/>
              </w:rPr>
              <w:t xml:space="preserve">Maximum EIRP Power Spectral Density </w:t>
            </w:r>
          </w:p>
        </w:tc>
      </w:tr>
      <w:tr w14:paraId="6206CB9E" w14:textId="77777777" w:rsidTr="00713951">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705305" w:rsidRPr="000F6B31" w:rsidP="00713951" w14:paraId="3D720AB0" w14:textId="77777777">
            <w:pPr>
              <w:jc w:val="center"/>
              <w:rPr>
                <w:szCs w:val="22"/>
              </w:rPr>
            </w:pPr>
            <w:r w:rsidRPr="000F6B31">
              <w:rPr>
                <w:szCs w:val="22"/>
              </w:rPr>
              <w:t xml:space="preserve">Standard-Power </w:t>
            </w:r>
            <w:r>
              <w:rPr>
                <w:szCs w:val="22"/>
              </w:rPr>
              <w:t>Access Point</w:t>
            </w:r>
          </w:p>
          <w:p w:rsidR="00705305" w:rsidRPr="000F6B31" w:rsidP="00713951" w14:paraId="5B10CAC4" w14:textId="77777777">
            <w:pPr>
              <w:jc w:val="center"/>
              <w:rPr>
                <w:szCs w:val="22"/>
              </w:rPr>
            </w:pPr>
            <w:r w:rsidRPr="000F6B31">
              <w:rPr>
                <w:szCs w:val="22"/>
              </w:rPr>
              <w:t>(AFC Controlled)</w:t>
            </w:r>
          </w:p>
        </w:tc>
        <w:tc>
          <w:tcPr>
            <w:tcW w:w="2678" w:type="dxa"/>
            <w:vMerge w:val="restart"/>
            <w:tcBorders>
              <w:top w:val="single" w:sz="18" w:space="0" w:color="auto"/>
              <w:left w:val="single" w:sz="4" w:space="0" w:color="auto"/>
              <w:right w:val="single" w:sz="4" w:space="0" w:color="auto"/>
            </w:tcBorders>
            <w:vAlign w:val="center"/>
            <w:hideMark/>
          </w:tcPr>
          <w:p w:rsidR="00705305" w:rsidRPr="000F6B31" w:rsidP="00713951" w14:paraId="2E3FB053" w14:textId="77777777">
            <w:pPr>
              <w:jc w:val="center"/>
              <w:rPr>
                <w:szCs w:val="22"/>
              </w:rPr>
            </w:pPr>
            <w:r w:rsidRPr="000F6B31">
              <w:rPr>
                <w:szCs w:val="22"/>
              </w:rPr>
              <w:t>U-NII-5 (5.925-6.425 GHz)</w:t>
            </w:r>
          </w:p>
          <w:p w:rsidR="00705305" w:rsidRPr="000F6B31" w:rsidP="00713951" w14:paraId="5C5C21F0" w14:textId="77777777">
            <w:pPr>
              <w:jc w:val="center"/>
              <w:rPr>
                <w:szCs w:val="22"/>
              </w:rPr>
            </w:pPr>
            <w:r w:rsidRPr="000F6B31">
              <w:rPr>
                <w:szCs w:val="22"/>
              </w:rPr>
              <w:t>U-NII-7 (6.525-6.875 GHz)</w:t>
            </w:r>
          </w:p>
          <w:p w:rsidR="00705305" w:rsidRPr="000F6B31" w:rsidP="00713951" w14:paraId="558EE075" w14:textId="77777777">
            <w:pPr>
              <w:jc w:val="center"/>
              <w:rPr>
                <w:szCs w:val="22"/>
              </w:rPr>
            </w:pPr>
          </w:p>
        </w:tc>
        <w:tc>
          <w:tcPr>
            <w:tcW w:w="1757" w:type="dxa"/>
            <w:tcBorders>
              <w:top w:val="single" w:sz="18" w:space="0" w:color="auto"/>
              <w:left w:val="single" w:sz="4" w:space="0" w:color="auto"/>
              <w:bottom w:val="single" w:sz="4" w:space="0" w:color="auto"/>
              <w:right w:val="single" w:sz="4" w:space="0" w:color="auto"/>
            </w:tcBorders>
            <w:vAlign w:val="center"/>
          </w:tcPr>
          <w:p w:rsidR="00705305" w:rsidRPr="000F6B31" w:rsidP="00713951" w14:paraId="6545D466" w14:textId="77777777">
            <w:pPr>
              <w:jc w:val="center"/>
              <w:rPr>
                <w:szCs w:val="22"/>
              </w:rPr>
            </w:pPr>
            <w:r w:rsidRPr="000F6B31">
              <w:rPr>
                <w:szCs w:val="22"/>
              </w:rPr>
              <w:t>36 dBm</w:t>
            </w:r>
          </w:p>
        </w:tc>
        <w:tc>
          <w:tcPr>
            <w:tcW w:w="3125" w:type="dxa"/>
            <w:tcBorders>
              <w:top w:val="single" w:sz="18" w:space="0" w:color="auto"/>
              <w:left w:val="single" w:sz="4" w:space="0" w:color="auto"/>
              <w:bottom w:val="single" w:sz="4" w:space="0" w:color="auto"/>
              <w:right w:val="single" w:sz="4" w:space="0" w:color="auto"/>
            </w:tcBorders>
            <w:vAlign w:val="center"/>
          </w:tcPr>
          <w:p w:rsidR="00705305" w:rsidRPr="000F6B31" w:rsidP="00713951" w14:paraId="42F23C79" w14:textId="77777777">
            <w:pPr>
              <w:jc w:val="center"/>
              <w:rPr>
                <w:szCs w:val="22"/>
              </w:rPr>
            </w:pPr>
            <w:r w:rsidRPr="000F6B31">
              <w:rPr>
                <w:szCs w:val="22"/>
              </w:rPr>
              <w:t>23 dBm/MHz</w:t>
            </w:r>
          </w:p>
        </w:tc>
      </w:tr>
      <w:tr w14:paraId="22F652CA" w14:textId="77777777" w:rsidTr="00713951">
        <w:tblPrEx>
          <w:tblW w:w="9360" w:type="dxa"/>
          <w:tblLayout w:type="fixed"/>
          <w:tblLook w:val="04A0"/>
        </w:tblPrEx>
        <w:tc>
          <w:tcPr>
            <w:tcW w:w="1800" w:type="dxa"/>
            <w:tcBorders>
              <w:top w:val="single" w:sz="4" w:space="0" w:color="auto"/>
              <w:left w:val="single" w:sz="12" w:space="0" w:color="auto"/>
              <w:bottom w:val="single" w:sz="4" w:space="0" w:color="auto"/>
              <w:right w:val="single" w:sz="4" w:space="0" w:color="auto"/>
            </w:tcBorders>
            <w:vAlign w:val="center"/>
          </w:tcPr>
          <w:p w:rsidR="00705305" w:rsidP="00713951" w14:paraId="39BE4830" w14:textId="77777777">
            <w:pPr>
              <w:jc w:val="center"/>
              <w:rPr>
                <w:szCs w:val="22"/>
              </w:rPr>
            </w:pPr>
            <w:r>
              <w:rPr>
                <w:szCs w:val="22"/>
              </w:rPr>
              <w:t>Fixed Client</w:t>
            </w:r>
          </w:p>
          <w:p w:rsidR="00705305" w:rsidRPr="000F6B31" w:rsidP="00713951" w14:paraId="53E42078" w14:textId="77777777">
            <w:pPr>
              <w:jc w:val="center"/>
              <w:rPr>
                <w:szCs w:val="22"/>
              </w:rPr>
            </w:pPr>
            <w:r>
              <w:rPr>
                <w:szCs w:val="22"/>
              </w:rPr>
              <w:t>(AFC Controlled)</w:t>
            </w:r>
          </w:p>
        </w:tc>
        <w:tc>
          <w:tcPr>
            <w:tcW w:w="2678" w:type="dxa"/>
            <w:vMerge/>
            <w:tcBorders>
              <w:top w:val="single" w:sz="18" w:space="0" w:color="auto"/>
              <w:left w:val="single" w:sz="4" w:space="0" w:color="auto"/>
              <w:right w:val="single" w:sz="4" w:space="0" w:color="auto"/>
            </w:tcBorders>
            <w:vAlign w:val="center"/>
          </w:tcPr>
          <w:p w:rsidR="00705305" w:rsidRPr="000F6B31" w:rsidP="00713951" w14:paraId="71BE7CEC" w14:textId="77777777">
            <w:pPr>
              <w:jc w:val="center"/>
              <w:rPr>
                <w:szCs w:val="22"/>
              </w:rPr>
            </w:pPr>
          </w:p>
        </w:tc>
        <w:tc>
          <w:tcPr>
            <w:tcW w:w="1757" w:type="dxa"/>
            <w:tcBorders>
              <w:top w:val="single" w:sz="4" w:space="0" w:color="auto"/>
              <w:left w:val="single" w:sz="4" w:space="0" w:color="auto"/>
              <w:right w:val="single" w:sz="4" w:space="0" w:color="auto"/>
            </w:tcBorders>
            <w:vAlign w:val="center"/>
          </w:tcPr>
          <w:p w:rsidR="00705305" w:rsidRPr="000F6B31" w:rsidP="00713951" w14:paraId="33CB6811" w14:textId="77777777">
            <w:pPr>
              <w:jc w:val="center"/>
              <w:rPr>
                <w:szCs w:val="22"/>
              </w:rPr>
            </w:pPr>
            <w:r>
              <w:rPr>
                <w:szCs w:val="22"/>
              </w:rPr>
              <w:t>36 dBm</w:t>
            </w:r>
          </w:p>
        </w:tc>
        <w:tc>
          <w:tcPr>
            <w:tcW w:w="3125" w:type="dxa"/>
            <w:tcBorders>
              <w:top w:val="single" w:sz="4" w:space="0" w:color="auto"/>
              <w:left w:val="single" w:sz="4" w:space="0" w:color="auto"/>
              <w:right w:val="single" w:sz="4" w:space="0" w:color="auto"/>
            </w:tcBorders>
            <w:vAlign w:val="center"/>
          </w:tcPr>
          <w:p w:rsidR="00705305" w:rsidRPr="000F6B31" w:rsidP="00713951" w14:paraId="1D64113F" w14:textId="77777777">
            <w:pPr>
              <w:jc w:val="center"/>
              <w:rPr>
                <w:szCs w:val="22"/>
              </w:rPr>
            </w:pPr>
            <w:r>
              <w:rPr>
                <w:szCs w:val="22"/>
              </w:rPr>
              <w:t>23 dBm/MHz</w:t>
            </w:r>
          </w:p>
        </w:tc>
      </w:tr>
      <w:tr w14:paraId="68F28B53" w14:textId="77777777" w:rsidTr="00713951">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tcPr>
          <w:p w:rsidR="00705305" w:rsidRPr="000F6B31" w:rsidP="00713951" w14:paraId="5ED2CC00" w14:textId="77777777">
            <w:pPr>
              <w:jc w:val="center"/>
              <w:rPr>
                <w:szCs w:val="22"/>
              </w:rPr>
            </w:pPr>
            <w:r w:rsidRPr="000F6B31">
              <w:rPr>
                <w:szCs w:val="22"/>
              </w:rPr>
              <w:t>Client</w:t>
            </w:r>
            <w:r>
              <w:rPr>
                <w:szCs w:val="22"/>
              </w:rPr>
              <w:t xml:space="preserve"> Connected to Standard-Power Access Point</w:t>
            </w:r>
          </w:p>
        </w:tc>
        <w:tc>
          <w:tcPr>
            <w:tcW w:w="2678" w:type="dxa"/>
            <w:vMerge/>
            <w:tcBorders>
              <w:left w:val="single" w:sz="4" w:space="0" w:color="auto"/>
              <w:bottom w:val="single" w:sz="18" w:space="0" w:color="auto"/>
              <w:right w:val="single" w:sz="4" w:space="0" w:color="auto"/>
            </w:tcBorders>
            <w:vAlign w:val="center"/>
          </w:tcPr>
          <w:p w:rsidR="00705305" w:rsidRPr="000F6B31" w:rsidP="00713951" w14:paraId="57E8F3D1"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705305" w:rsidRPr="000F6B31" w:rsidP="00713951" w14:paraId="1EDE6E45" w14:textId="77777777">
            <w:pPr>
              <w:jc w:val="center"/>
              <w:rPr>
                <w:szCs w:val="22"/>
              </w:rPr>
            </w:pPr>
            <w:r w:rsidRPr="000F6B31">
              <w:rPr>
                <w:szCs w:val="22"/>
              </w:rPr>
              <w:t>30 dBm</w:t>
            </w:r>
          </w:p>
        </w:tc>
        <w:tc>
          <w:tcPr>
            <w:tcW w:w="3125" w:type="dxa"/>
            <w:tcBorders>
              <w:left w:val="single" w:sz="4" w:space="0" w:color="auto"/>
              <w:bottom w:val="single" w:sz="18" w:space="0" w:color="auto"/>
              <w:right w:val="single" w:sz="4" w:space="0" w:color="auto"/>
            </w:tcBorders>
            <w:vAlign w:val="center"/>
          </w:tcPr>
          <w:p w:rsidR="00705305" w:rsidRPr="000F6B31" w:rsidP="00713951" w14:paraId="563922A2" w14:textId="77777777">
            <w:pPr>
              <w:jc w:val="center"/>
              <w:rPr>
                <w:szCs w:val="22"/>
              </w:rPr>
            </w:pPr>
            <w:r w:rsidRPr="000F6B31">
              <w:rPr>
                <w:szCs w:val="22"/>
              </w:rPr>
              <w:t>17 dBm/MHz</w:t>
            </w:r>
          </w:p>
        </w:tc>
      </w:tr>
      <w:tr w14:paraId="31596663" w14:textId="77777777" w:rsidTr="00713951">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705305" w:rsidRPr="000F6B31" w:rsidP="00713951" w14:paraId="3BD7CD43" w14:textId="77777777">
            <w:pPr>
              <w:jc w:val="center"/>
              <w:rPr>
                <w:szCs w:val="22"/>
              </w:rPr>
            </w:pPr>
            <w:r w:rsidRPr="000F6B31">
              <w:rPr>
                <w:szCs w:val="22"/>
              </w:rPr>
              <w:t>Low-</w:t>
            </w:r>
            <w:r>
              <w:rPr>
                <w:szCs w:val="22"/>
              </w:rPr>
              <w:t>P</w:t>
            </w:r>
            <w:r w:rsidRPr="000F6B31">
              <w:rPr>
                <w:szCs w:val="22"/>
              </w:rPr>
              <w:t>ower</w:t>
            </w:r>
            <w:r>
              <w:rPr>
                <w:szCs w:val="22"/>
              </w:rPr>
              <w:t xml:space="preserve"> Access Point</w:t>
            </w:r>
            <w:r w:rsidRPr="000F6B31">
              <w:rPr>
                <w:szCs w:val="22"/>
              </w:rPr>
              <w:t xml:space="preserve"> (indoor only) </w:t>
            </w:r>
          </w:p>
        </w:tc>
        <w:tc>
          <w:tcPr>
            <w:tcW w:w="2678" w:type="dxa"/>
            <w:vMerge w:val="restart"/>
            <w:tcBorders>
              <w:top w:val="single" w:sz="18" w:space="0" w:color="auto"/>
              <w:left w:val="single" w:sz="4" w:space="0" w:color="auto"/>
              <w:right w:val="single" w:sz="4" w:space="0" w:color="auto"/>
            </w:tcBorders>
            <w:vAlign w:val="center"/>
            <w:hideMark/>
          </w:tcPr>
          <w:p w:rsidR="00705305" w:rsidRPr="000F6B31" w:rsidP="00713951" w14:paraId="60EA6292" w14:textId="77777777">
            <w:pPr>
              <w:jc w:val="center"/>
              <w:rPr>
                <w:szCs w:val="22"/>
              </w:rPr>
            </w:pPr>
            <w:r w:rsidRPr="000F6B31">
              <w:rPr>
                <w:szCs w:val="22"/>
              </w:rPr>
              <w:t>U-NII-5 (5.925-6.425 GHz)</w:t>
            </w:r>
          </w:p>
          <w:p w:rsidR="00705305" w:rsidRPr="000F6B31" w:rsidP="00713951" w14:paraId="1AD47613" w14:textId="77777777">
            <w:pPr>
              <w:jc w:val="center"/>
              <w:rPr>
                <w:szCs w:val="22"/>
              </w:rPr>
            </w:pPr>
            <w:r w:rsidRPr="000F6B31">
              <w:rPr>
                <w:szCs w:val="22"/>
              </w:rPr>
              <w:t>U-NII-6 (6.425-6.525 GHz)</w:t>
            </w:r>
          </w:p>
          <w:p w:rsidR="00705305" w:rsidRPr="000F6B31" w:rsidP="00713951" w14:paraId="63C2741E" w14:textId="77777777">
            <w:pPr>
              <w:jc w:val="center"/>
              <w:rPr>
                <w:szCs w:val="22"/>
              </w:rPr>
            </w:pPr>
            <w:r w:rsidRPr="000F6B31">
              <w:rPr>
                <w:szCs w:val="22"/>
              </w:rPr>
              <w:t>U-NII-7 (6.525-6.875 GHz)</w:t>
            </w:r>
          </w:p>
          <w:p w:rsidR="00705305" w:rsidRPr="000F6B31" w:rsidP="00713951" w14:paraId="35ED8C19" w14:textId="77777777">
            <w:pPr>
              <w:jc w:val="center"/>
              <w:rPr>
                <w:szCs w:val="22"/>
              </w:rPr>
            </w:pPr>
            <w:r w:rsidRPr="000F6B31">
              <w:rPr>
                <w:szCs w:val="22"/>
              </w:rPr>
              <w:t>U-NII-8 (6.875-7.125 GHz)</w:t>
            </w:r>
          </w:p>
          <w:p w:rsidR="00705305" w:rsidRPr="000F6B31" w:rsidP="00713951" w14:paraId="752475D1"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705305" w:rsidRPr="000F6B31" w:rsidP="00713951" w14:paraId="12C8D1DB" w14:textId="77777777">
            <w:pPr>
              <w:jc w:val="center"/>
              <w:rPr>
                <w:szCs w:val="22"/>
              </w:rPr>
            </w:pPr>
            <w:r>
              <w:rPr>
                <w:szCs w:val="22"/>
              </w:rPr>
              <w:t>30</w:t>
            </w:r>
            <w:r w:rsidRPr="000F6B31">
              <w:rPr>
                <w:szCs w:val="22"/>
              </w:rPr>
              <w:t xml:space="preserve"> dBm</w:t>
            </w:r>
          </w:p>
        </w:tc>
        <w:tc>
          <w:tcPr>
            <w:tcW w:w="3125" w:type="dxa"/>
            <w:tcBorders>
              <w:top w:val="single" w:sz="18" w:space="0" w:color="auto"/>
              <w:left w:val="single" w:sz="4" w:space="0" w:color="auto"/>
              <w:right w:val="single" w:sz="4" w:space="0" w:color="auto"/>
            </w:tcBorders>
            <w:vAlign w:val="center"/>
          </w:tcPr>
          <w:p w:rsidR="00705305" w:rsidRPr="000F6B31" w:rsidP="00713951" w14:paraId="3D278D02" w14:textId="77777777">
            <w:pPr>
              <w:jc w:val="center"/>
              <w:rPr>
                <w:szCs w:val="22"/>
              </w:rPr>
            </w:pPr>
            <w:r w:rsidRPr="000F6B31">
              <w:rPr>
                <w:szCs w:val="22"/>
              </w:rPr>
              <w:t>5 dBm/MHz</w:t>
            </w:r>
          </w:p>
        </w:tc>
      </w:tr>
      <w:tr w14:paraId="312FB2BB" w14:textId="77777777" w:rsidTr="00713951">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hideMark/>
          </w:tcPr>
          <w:p w:rsidR="00705305" w:rsidRPr="000F6B31" w:rsidP="00713951" w14:paraId="4DB9A394" w14:textId="77777777">
            <w:pPr>
              <w:jc w:val="center"/>
              <w:rPr>
                <w:szCs w:val="22"/>
              </w:rPr>
            </w:pPr>
            <w:r w:rsidRPr="000F6B31">
              <w:rPr>
                <w:szCs w:val="22"/>
              </w:rPr>
              <w:t>Client</w:t>
            </w:r>
            <w:r>
              <w:rPr>
                <w:szCs w:val="22"/>
              </w:rPr>
              <w:t xml:space="preserve"> Connected to Low-Power Access Point</w:t>
            </w:r>
          </w:p>
        </w:tc>
        <w:tc>
          <w:tcPr>
            <w:tcW w:w="2678" w:type="dxa"/>
            <w:vMerge/>
            <w:tcBorders>
              <w:left w:val="single" w:sz="4" w:space="0" w:color="auto"/>
              <w:bottom w:val="single" w:sz="18" w:space="0" w:color="auto"/>
              <w:right w:val="single" w:sz="4" w:space="0" w:color="auto"/>
            </w:tcBorders>
            <w:vAlign w:val="center"/>
          </w:tcPr>
          <w:p w:rsidR="00705305" w:rsidRPr="000F6B31" w:rsidP="00713951" w14:paraId="65C546C5"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705305" w:rsidRPr="000F6B31" w:rsidP="00713951" w14:paraId="5C38E3E2" w14:textId="77777777">
            <w:pPr>
              <w:jc w:val="center"/>
              <w:rPr>
                <w:szCs w:val="22"/>
              </w:rPr>
            </w:pPr>
            <w:r w:rsidRPr="000F6B31">
              <w:rPr>
                <w:szCs w:val="22"/>
              </w:rPr>
              <w:t>2</w:t>
            </w:r>
            <w:r>
              <w:rPr>
                <w:szCs w:val="22"/>
              </w:rPr>
              <w:t>4</w:t>
            </w:r>
            <w:r w:rsidRPr="000F6B31">
              <w:rPr>
                <w:szCs w:val="22"/>
              </w:rPr>
              <w:t xml:space="preserve"> dBm</w:t>
            </w:r>
          </w:p>
        </w:tc>
        <w:tc>
          <w:tcPr>
            <w:tcW w:w="3125" w:type="dxa"/>
            <w:tcBorders>
              <w:left w:val="single" w:sz="4" w:space="0" w:color="auto"/>
              <w:bottom w:val="single" w:sz="18" w:space="0" w:color="auto"/>
              <w:right w:val="single" w:sz="4" w:space="0" w:color="auto"/>
            </w:tcBorders>
            <w:vAlign w:val="center"/>
          </w:tcPr>
          <w:p w:rsidR="00705305" w:rsidRPr="000F6B31" w:rsidP="00713951" w14:paraId="0D8B39A9" w14:textId="77777777">
            <w:pPr>
              <w:jc w:val="center"/>
              <w:rPr>
                <w:szCs w:val="22"/>
              </w:rPr>
            </w:pPr>
            <w:r w:rsidRPr="000F6B31">
              <w:rPr>
                <w:szCs w:val="22"/>
              </w:rPr>
              <w:t>-1 dBm/MHz</w:t>
            </w:r>
          </w:p>
        </w:tc>
      </w:tr>
    </w:tbl>
    <w:p w:rsidR="00705305" w:rsidP="00705305" w14:paraId="729A6CA7" w14:textId="77777777">
      <w:pPr>
        <w:pStyle w:val="ParaNum"/>
        <w:numPr>
          <w:ilvl w:val="0"/>
          <w:numId w:val="0"/>
        </w:numPr>
      </w:pPr>
    </w:p>
    <w:p w:rsidR="00600DD0" w:rsidRPr="002A6DE1" w:rsidP="00BC3BF9" w14:paraId="6339E142" w14:textId="19CD5275">
      <w:pPr>
        <w:pStyle w:val="ParaNum"/>
      </w:pPr>
      <w:r>
        <w:t xml:space="preserve">The </w:t>
      </w:r>
      <w:bookmarkStart w:id="1" w:name="_Hlk99096333"/>
      <w:r w:rsidRPr="004A2D91">
        <w:rPr>
          <w:i/>
          <w:iCs/>
          <w:szCs w:val="22"/>
        </w:rPr>
        <w:t>6 GHz Report and Order</w:t>
      </w:r>
      <w:r>
        <w:rPr>
          <w:szCs w:val="22"/>
        </w:rPr>
        <w:t xml:space="preserve"> </w:t>
      </w:r>
      <w:bookmarkEnd w:id="1"/>
      <w:r w:rsidR="0061383F">
        <w:rPr>
          <w:szCs w:val="22"/>
        </w:rPr>
        <w:t xml:space="preserve">specified </w:t>
      </w:r>
      <w:r w:rsidR="00883604">
        <w:rPr>
          <w:szCs w:val="22"/>
        </w:rPr>
        <w:t>a multi-stage</w:t>
      </w:r>
      <w:r>
        <w:rPr>
          <w:szCs w:val="22"/>
        </w:rPr>
        <w:t xml:space="preserve"> process </w:t>
      </w:r>
      <w:r w:rsidR="00B74AB4">
        <w:rPr>
          <w:szCs w:val="22"/>
        </w:rPr>
        <w:t xml:space="preserve">laying out the steps </w:t>
      </w:r>
      <w:r>
        <w:rPr>
          <w:szCs w:val="22"/>
        </w:rPr>
        <w:t>that</w:t>
      </w:r>
      <w:r w:rsidRPr="004A2D91">
        <w:rPr>
          <w:szCs w:val="22"/>
        </w:rPr>
        <w:t xml:space="preserve"> OET </w:t>
      </w:r>
      <w:r>
        <w:rPr>
          <w:szCs w:val="22"/>
        </w:rPr>
        <w:t>must</w:t>
      </w:r>
      <w:r w:rsidRPr="004A2D91">
        <w:rPr>
          <w:szCs w:val="22"/>
        </w:rPr>
        <w:t xml:space="preserve"> follow to approve AFC systems</w:t>
      </w:r>
      <w:r>
        <w:rPr>
          <w:szCs w:val="22"/>
        </w:rPr>
        <w:t>.</w:t>
      </w:r>
      <w:r>
        <w:rPr>
          <w:rStyle w:val="FootnoteReference"/>
          <w:szCs w:val="22"/>
        </w:rPr>
        <w:footnoteReference w:id="9"/>
      </w:r>
      <w:r>
        <w:rPr>
          <w:szCs w:val="22"/>
        </w:rPr>
        <w:t xml:space="preserve">  </w:t>
      </w:r>
      <w:r w:rsidR="0069192A">
        <w:rPr>
          <w:szCs w:val="22"/>
        </w:rPr>
        <w:t xml:space="preserve">The first requirement </w:t>
      </w:r>
      <w:r w:rsidR="00381F82">
        <w:rPr>
          <w:szCs w:val="22"/>
        </w:rPr>
        <w:t>directed</w:t>
      </w:r>
      <w:r w:rsidR="00883604">
        <w:rPr>
          <w:szCs w:val="22"/>
        </w:rPr>
        <w:t xml:space="preserve"> OET </w:t>
      </w:r>
      <w:r w:rsidR="002A6DE1">
        <w:rPr>
          <w:szCs w:val="22"/>
        </w:rPr>
        <w:t>to</w:t>
      </w:r>
      <w:r w:rsidR="00883604">
        <w:rPr>
          <w:szCs w:val="22"/>
        </w:rPr>
        <w:t xml:space="preserve"> issue a public notice soliciting proposals from prospective AFC </w:t>
      </w:r>
      <w:r w:rsidR="00271BD8">
        <w:rPr>
          <w:szCs w:val="22"/>
        </w:rPr>
        <w:t xml:space="preserve">system </w:t>
      </w:r>
      <w:r w:rsidR="00883604">
        <w:rPr>
          <w:szCs w:val="22"/>
        </w:rPr>
        <w:t>operators w</w:t>
      </w:r>
      <w:r w:rsidR="002A6DE1">
        <w:rPr>
          <w:szCs w:val="22"/>
        </w:rPr>
        <w:t>hile providing an</w:t>
      </w:r>
      <w:r w:rsidR="00883604">
        <w:rPr>
          <w:szCs w:val="22"/>
        </w:rPr>
        <w:t xml:space="preserve"> opportunity </w:t>
      </w:r>
      <w:r w:rsidR="002A6DE1">
        <w:rPr>
          <w:szCs w:val="22"/>
        </w:rPr>
        <w:t xml:space="preserve">for the public </w:t>
      </w:r>
      <w:r w:rsidR="00883604">
        <w:rPr>
          <w:szCs w:val="22"/>
        </w:rPr>
        <w:t>to comment on the proposals.</w:t>
      </w:r>
      <w:r>
        <w:rPr>
          <w:rStyle w:val="FootnoteReference"/>
          <w:szCs w:val="22"/>
        </w:rPr>
        <w:footnoteReference w:id="10"/>
      </w:r>
      <w:r w:rsidR="00883604">
        <w:rPr>
          <w:szCs w:val="22"/>
        </w:rPr>
        <w:t xml:space="preserve">  OET </w:t>
      </w:r>
      <w:r w:rsidR="000C5376">
        <w:rPr>
          <w:szCs w:val="22"/>
        </w:rPr>
        <w:t>is</w:t>
      </w:r>
      <w:r w:rsidR="00883604">
        <w:rPr>
          <w:szCs w:val="22"/>
        </w:rPr>
        <w:t xml:space="preserve"> </w:t>
      </w:r>
      <w:r w:rsidR="003C07B3">
        <w:rPr>
          <w:szCs w:val="22"/>
        </w:rPr>
        <w:t xml:space="preserve">then </w:t>
      </w:r>
      <w:r w:rsidR="002A6DE1">
        <w:rPr>
          <w:szCs w:val="22"/>
        </w:rPr>
        <w:t xml:space="preserve">directed to </w:t>
      </w:r>
      <w:r w:rsidR="00883604">
        <w:rPr>
          <w:szCs w:val="22"/>
        </w:rPr>
        <w:t>conditionally approve applica</w:t>
      </w:r>
      <w:r w:rsidR="002A6DE1">
        <w:rPr>
          <w:szCs w:val="22"/>
        </w:rPr>
        <w:t>nts</w:t>
      </w:r>
      <w:r w:rsidR="00883604">
        <w:rPr>
          <w:szCs w:val="22"/>
        </w:rPr>
        <w:t xml:space="preserve"> </w:t>
      </w:r>
      <w:r w:rsidR="002A6DE1">
        <w:rPr>
          <w:szCs w:val="22"/>
        </w:rPr>
        <w:t>who</w:t>
      </w:r>
      <w:r w:rsidR="00883604">
        <w:rPr>
          <w:szCs w:val="22"/>
        </w:rPr>
        <w:t xml:space="preserve"> demonstrate their AFC systems will comply with all AFC requirements.</w:t>
      </w:r>
      <w:r>
        <w:rPr>
          <w:rStyle w:val="FootnoteReference"/>
          <w:szCs w:val="22"/>
        </w:rPr>
        <w:footnoteReference w:id="11"/>
      </w:r>
      <w:r w:rsidR="00883604">
        <w:rPr>
          <w:szCs w:val="22"/>
        </w:rPr>
        <w:t xml:space="preserve">  The conditionally approved AFC systems </w:t>
      </w:r>
      <w:r w:rsidR="000C5376">
        <w:rPr>
          <w:szCs w:val="22"/>
        </w:rPr>
        <w:t xml:space="preserve">are </w:t>
      </w:r>
      <w:r w:rsidR="00883604">
        <w:rPr>
          <w:szCs w:val="22"/>
        </w:rPr>
        <w:t xml:space="preserve">then </w:t>
      </w:r>
      <w:r w:rsidR="00B77CF2">
        <w:rPr>
          <w:szCs w:val="22"/>
        </w:rPr>
        <w:t>required to provide a test system that will be subject to a public trial period.</w:t>
      </w:r>
      <w:r>
        <w:rPr>
          <w:rStyle w:val="FootnoteReference"/>
          <w:szCs w:val="22"/>
        </w:rPr>
        <w:footnoteReference w:id="12"/>
      </w:r>
      <w:r w:rsidR="00B77CF2">
        <w:rPr>
          <w:szCs w:val="22"/>
        </w:rPr>
        <w:t xml:space="preserve">  The trial period will include</w:t>
      </w:r>
      <w:r w:rsidR="00883604">
        <w:rPr>
          <w:szCs w:val="22"/>
        </w:rPr>
        <w:t xml:space="preserve"> </w:t>
      </w:r>
      <w:r w:rsidR="00F11D6D">
        <w:rPr>
          <w:szCs w:val="22"/>
        </w:rPr>
        <w:t>testing</w:t>
      </w:r>
      <w:r w:rsidR="00AA3B62">
        <w:rPr>
          <w:szCs w:val="22"/>
        </w:rPr>
        <w:t>, both in a controlled environment (e.g.</w:t>
      </w:r>
      <w:r w:rsidR="00A23839">
        <w:rPr>
          <w:szCs w:val="22"/>
        </w:rPr>
        <w:t>,</w:t>
      </w:r>
      <w:r w:rsidR="00AA3B62">
        <w:rPr>
          <w:szCs w:val="22"/>
        </w:rPr>
        <w:t xml:space="preserve"> lab testing) </w:t>
      </w:r>
      <w:r w:rsidR="00B77CF2">
        <w:rPr>
          <w:szCs w:val="22"/>
        </w:rPr>
        <w:t xml:space="preserve">and through </w:t>
      </w:r>
      <w:r w:rsidR="00E751EB">
        <w:rPr>
          <w:szCs w:val="22"/>
        </w:rPr>
        <w:t>demonstration projects (e.g.</w:t>
      </w:r>
      <w:r w:rsidR="00B77CF2">
        <w:rPr>
          <w:szCs w:val="22"/>
        </w:rPr>
        <w:t>,</w:t>
      </w:r>
      <w:r w:rsidR="00E751EB">
        <w:rPr>
          <w:szCs w:val="22"/>
        </w:rPr>
        <w:t xml:space="preserve"> field testing)</w:t>
      </w:r>
      <w:r w:rsidR="00B77CF2">
        <w:rPr>
          <w:szCs w:val="22"/>
        </w:rPr>
        <w:t>,</w:t>
      </w:r>
      <w:r w:rsidR="00883604">
        <w:rPr>
          <w:szCs w:val="22"/>
        </w:rPr>
        <w:t xml:space="preserve"> to provide interested parties an opportunity to check that </w:t>
      </w:r>
      <w:r w:rsidR="002A6DE1">
        <w:rPr>
          <w:szCs w:val="22"/>
        </w:rPr>
        <w:t xml:space="preserve">the </w:t>
      </w:r>
      <w:r w:rsidR="00B87009">
        <w:rPr>
          <w:szCs w:val="22"/>
        </w:rPr>
        <w:t xml:space="preserve">AFC </w:t>
      </w:r>
      <w:r w:rsidR="002A6DE1">
        <w:rPr>
          <w:szCs w:val="22"/>
        </w:rPr>
        <w:t>systems</w:t>
      </w:r>
      <w:r w:rsidR="00883604">
        <w:rPr>
          <w:szCs w:val="22"/>
        </w:rPr>
        <w:t xml:space="preserve"> provide accurate results.</w:t>
      </w:r>
      <w:r>
        <w:rPr>
          <w:rStyle w:val="FootnoteReference"/>
          <w:szCs w:val="22"/>
        </w:rPr>
        <w:footnoteReference w:id="13"/>
      </w:r>
      <w:r w:rsidR="00A71E55">
        <w:rPr>
          <w:szCs w:val="22"/>
        </w:rPr>
        <w:t xml:space="preserve">  </w:t>
      </w:r>
    </w:p>
    <w:p w:rsidR="002A6DE1" w:rsidP="00BC3BF9" w14:paraId="366B74A8" w14:textId="74E10407">
      <w:pPr>
        <w:pStyle w:val="ParaNum"/>
      </w:pPr>
      <w:r>
        <w:rPr>
          <w:szCs w:val="22"/>
        </w:rPr>
        <w:t xml:space="preserve">On </w:t>
      </w:r>
      <w:r w:rsidR="00C9344E">
        <w:rPr>
          <w:szCs w:val="22"/>
        </w:rPr>
        <w:t>September 28, 2021</w:t>
      </w:r>
      <w:r w:rsidR="00FB6566">
        <w:rPr>
          <w:szCs w:val="22"/>
        </w:rPr>
        <w:t>,</w:t>
      </w:r>
      <w:r w:rsidR="00C9344E">
        <w:rPr>
          <w:szCs w:val="22"/>
        </w:rPr>
        <w:t xml:space="preserve"> the Commission issued a Public Notice requesting proposals </w:t>
      </w:r>
      <w:r w:rsidR="00E25CEF">
        <w:rPr>
          <w:szCs w:val="22"/>
        </w:rPr>
        <w:t>from prospective</w:t>
      </w:r>
      <w:r w:rsidR="00FB6566">
        <w:rPr>
          <w:szCs w:val="22"/>
        </w:rPr>
        <w:t xml:space="preserve"> AFC </w:t>
      </w:r>
      <w:r w:rsidR="00271BD8">
        <w:rPr>
          <w:szCs w:val="22"/>
        </w:rPr>
        <w:t xml:space="preserve">system </w:t>
      </w:r>
      <w:r w:rsidR="00FB6566">
        <w:rPr>
          <w:szCs w:val="22"/>
        </w:rPr>
        <w:t>operators</w:t>
      </w:r>
      <w:r w:rsidR="00C9344E">
        <w:rPr>
          <w:szCs w:val="22"/>
        </w:rPr>
        <w:t>.</w:t>
      </w:r>
      <w:r>
        <w:rPr>
          <w:rStyle w:val="FootnoteReference"/>
          <w:szCs w:val="22"/>
        </w:rPr>
        <w:footnoteReference w:id="14"/>
      </w:r>
      <w:r w:rsidR="00C9344E">
        <w:rPr>
          <w:szCs w:val="22"/>
        </w:rPr>
        <w:t xml:space="preserve">  The Public No</w:t>
      </w:r>
      <w:r w:rsidR="00FB6566">
        <w:rPr>
          <w:szCs w:val="22"/>
        </w:rPr>
        <w:t>tice requested that applicants submit their proposals by November 30, 2021</w:t>
      </w:r>
      <w:r w:rsidR="002A2916">
        <w:rPr>
          <w:szCs w:val="22"/>
        </w:rPr>
        <w:t>,</w:t>
      </w:r>
      <w:r w:rsidR="00FB6566">
        <w:rPr>
          <w:szCs w:val="22"/>
        </w:rPr>
        <w:t xml:space="preserve"> to become part of the initial evaluation process.  AFC </w:t>
      </w:r>
      <w:r w:rsidR="00BC3B7A">
        <w:rPr>
          <w:szCs w:val="22"/>
        </w:rPr>
        <w:t xml:space="preserve">system </w:t>
      </w:r>
      <w:r w:rsidR="00FB6566">
        <w:rPr>
          <w:szCs w:val="22"/>
        </w:rPr>
        <w:t xml:space="preserve">operator </w:t>
      </w:r>
      <w:r w:rsidR="00FB6566">
        <w:rPr>
          <w:szCs w:val="22"/>
        </w:rPr>
        <w:t xml:space="preserve">applications received after that date would still be considered, but they may not be considered </w:t>
      </w:r>
      <w:r w:rsidR="00B2144D">
        <w:rPr>
          <w:szCs w:val="22"/>
        </w:rPr>
        <w:t>con</w:t>
      </w:r>
      <w:r w:rsidR="00FB6566">
        <w:rPr>
          <w:szCs w:val="22"/>
        </w:rPr>
        <w:t xml:space="preserve">currently with those received by the deadline.  Members of the public were invited to comment on the proposals by December 21, 2021.  In response to the Public Notice, the Commission received </w:t>
      </w:r>
      <w:r w:rsidR="00257DA0">
        <w:rPr>
          <w:szCs w:val="22"/>
        </w:rPr>
        <w:t xml:space="preserve">fourteen </w:t>
      </w:r>
      <w:r w:rsidR="00FB6566">
        <w:rPr>
          <w:szCs w:val="22"/>
        </w:rPr>
        <w:t>applications to operate AFC systems.</w:t>
      </w:r>
      <w:r>
        <w:rPr>
          <w:rStyle w:val="FootnoteReference"/>
          <w:szCs w:val="22"/>
        </w:rPr>
        <w:footnoteReference w:id="15"/>
      </w:r>
      <w:r w:rsidR="00FB6566">
        <w:rPr>
          <w:szCs w:val="22"/>
        </w:rPr>
        <w:t xml:space="preserve">  </w:t>
      </w:r>
      <w:r w:rsidR="00EB6FB8">
        <w:rPr>
          <w:szCs w:val="22"/>
        </w:rPr>
        <w:t xml:space="preserve">The Commission also received </w:t>
      </w:r>
      <w:r w:rsidR="009D01D6">
        <w:rPr>
          <w:szCs w:val="22"/>
        </w:rPr>
        <w:t>8</w:t>
      </w:r>
      <w:r w:rsidR="00EB6FB8">
        <w:rPr>
          <w:szCs w:val="22"/>
        </w:rPr>
        <w:t xml:space="preserve"> comments regarding the applications.</w:t>
      </w:r>
      <w:r>
        <w:rPr>
          <w:rStyle w:val="FootnoteReference"/>
          <w:szCs w:val="22"/>
        </w:rPr>
        <w:footnoteReference w:id="16"/>
      </w:r>
      <w:r w:rsidR="00EB6FB8">
        <w:rPr>
          <w:szCs w:val="22"/>
        </w:rPr>
        <w:t xml:space="preserve">  </w:t>
      </w:r>
      <w:r w:rsidR="00FB6566">
        <w:rPr>
          <w:szCs w:val="22"/>
        </w:rPr>
        <w:t xml:space="preserve">Between </w:t>
      </w:r>
      <w:r w:rsidR="00AB6CFF">
        <w:rPr>
          <w:szCs w:val="22"/>
        </w:rPr>
        <w:t>January 27, 2021</w:t>
      </w:r>
      <w:r w:rsidR="002A2916">
        <w:rPr>
          <w:szCs w:val="22"/>
        </w:rPr>
        <w:t>,</w:t>
      </w:r>
      <w:r w:rsidR="00EB6FB8">
        <w:rPr>
          <w:szCs w:val="22"/>
        </w:rPr>
        <w:t xml:space="preserve"> and </w:t>
      </w:r>
      <w:r w:rsidR="00AB6CFF">
        <w:rPr>
          <w:szCs w:val="22"/>
        </w:rPr>
        <w:t>February 10, 2021</w:t>
      </w:r>
      <w:r w:rsidR="002A2916">
        <w:rPr>
          <w:szCs w:val="22"/>
        </w:rPr>
        <w:t>,</w:t>
      </w:r>
      <w:r w:rsidR="00EB6FB8">
        <w:rPr>
          <w:szCs w:val="22"/>
        </w:rPr>
        <w:t xml:space="preserve"> OET staff </w:t>
      </w:r>
      <w:r w:rsidR="0075575A">
        <w:rPr>
          <w:szCs w:val="22"/>
        </w:rPr>
        <w:t xml:space="preserve">held </w:t>
      </w:r>
      <w:r w:rsidR="00EB6FB8">
        <w:rPr>
          <w:szCs w:val="22"/>
        </w:rPr>
        <w:t>me</w:t>
      </w:r>
      <w:r w:rsidR="0075575A">
        <w:rPr>
          <w:szCs w:val="22"/>
        </w:rPr>
        <w:t>etings</w:t>
      </w:r>
      <w:r w:rsidR="00EB6FB8">
        <w:rPr>
          <w:szCs w:val="22"/>
        </w:rPr>
        <w:t xml:space="preserve"> with representatives of each of the </w:t>
      </w:r>
      <w:r w:rsidR="00257DA0">
        <w:rPr>
          <w:szCs w:val="22"/>
        </w:rPr>
        <w:t xml:space="preserve">fourteen </w:t>
      </w:r>
      <w:r w:rsidR="00EB6FB8">
        <w:rPr>
          <w:szCs w:val="22"/>
        </w:rPr>
        <w:t>applicants and requested that they provide additional information regarding their applications.</w:t>
      </w:r>
      <w:r>
        <w:rPr>
          <w:rStyle w:val="FootnoteReference"/>
          <w:szCs w:val="22"/>
        </w:rPr>
        <w:footnoteReference w:id="17"/>
      </w:r>
      <w:r w:rsidR="00EB6FB8">
        <w:rPr>
          <w:szCs w:val="22"/>
        </w:rPr>
        <w:t xml:space="preserve">  </w:t>
      </w:r>
      <w:r w:rsidR="00257DA0">
        <w:rPr>
          <w:szCs w:val="22"/>
        </w:rPr>
        <w:t xml:space="preserve">Thirteen </w:t>
      </w:r>
      <w:r w:rsidR="00EB6FB8">
        <w:rPr>
          <w:szCs w:val="22"/>
        </w:rPr>
        <w:t>of the applicants provided supplemental information</w:t>
      </w:r>
      <w:r w:rsidR="002A2916">
        <w:rPr>
          <w:szCs w:val="22"/>
        </w:rPr>
        <w:t>,</w:t>
      </w:r>
      <w:r w:rsidR="00EB6FB8">
        <w:rPr>
          <w:szCs w:val="22"/>
        </w:rPr>
        <w:t xml:space="preserve"> while one applicant</w:t>
      </w:r>
      <w:r w:rsidR="00AA2916">
        <w:rPr>
          <w:szCs w:val="22"/>
        </w:rPr>
        <w:t xml:space="preserve">, </w:t>
      </w:r>
      <w:r w:rsidR="00FE2780">
        <w:rPr>
          <w:szCs w:val="22"/>
        </w:rPr>
        <w:t>Amdocs,</w:t>
      </w:r>
      <w:r w:rsidR="00EB6FB8">
        <w:rPr>
          <w:szCs w:val="22"/>
        </w:rPr>
        <w:t xml:space="preserve"> withdrew </w:t>
      </w:r>
      <w:r w:rsidR="002A2916">
        <w:rPr>
          <w:szCs w:val="22"/>
        </w:rPr>
        <w:t xml:space="preserve">its </w:t>
      </w:r>
      <w:r w:rsidR="00EB6FB8">
        <w:rPr>
          <w:szCs w:val="22"/>
        </w:rPr>
        <w:t>application.</w:t>
      </w:r>
      <w:r>
        <w:rPr>
          <w:rStyle w:val="FootnoteReference"/>
          <w:szCs w:val="22"/>
        </w:rPr>
        <w:footnoteReference w:id="18"/>
      </w:r>
      <w:r w:rsidR="00EB6FB8">
        <w:rPr>
          <w:szCs w:val="22"/>
        </w:rPr>
        <w:t xml:space="preserve">  </w:t>
      </w:r>
    </w:p>
    <w:p w:rsidR="00BC3BF9" w:rsidP="00BC3BF9" w14:paraId="1297A65D" w14:textId="7F6AC0CB">
      <w:pPr>
        <w:pStyle w:val="Heading1"/>
      </w:pPr>
      <w:r>
        <w:t>conditional approval of afc systems</w:t>
      </w:r>
    </w:p>
    <w:p w:rsidR="00BC3BF9" w:rsidP="00BC3BF9" w14:paraId="3D732894" w14:textId="02590FA0">
      <w:pPr>
        <w:pStyle w:val="ParaNum"/>
      </w:pPr>
      <w:r>
        <w:t xml:space="preserve">Based on review of the AFC proposals and the supplemental information, OET conditionally approves </w:t>
      </w:r>
      <w:r w:rsidR="000C5376">
        <w:t xml:space="preserve">the </w:t>
      </w:r>
      <w:r w:rsidR="00013905">
        <w:t xml:space="preserve">thirteen </w:t>
      </w:r>
      <w:r w:rsidR="003908E7">
        <w:t xml:space="preserve">pending </w:t>
      </w:r>
      <w:r>
        <w:t>applicants</w:t>
      </w:r>
      <w:r w:rsidR="00DD6C34">
        <w:t xml:space="preserve"> </w:t>
      </w:r>
      <w:r>
        <w:t>to operate AFC systems</w:t>
      </w:r>
      <w:r w:rsidR="000C3226">
        <w:t>, subject to the conditions described below</w:t>
      </w:r>
      <w:r w:rsidR="00BC03B3">
        <w:t>.</w:t>
      </w:r>
      <w:r>
        <w:t xml:space="preserve">  These applicants have sufficiently demonstrated that they have the technical capability </w:t>
      </w:r>
      <w:r w:rsidR="0029444E">
        <w:t xml:space="preserve">and knowledge </w:t>
      </w:r>
      <w:r>
        <w:t>to operate AFC systems</w:t>
      </w:r>
      <w:r w:rsidR="000C3226">
        <w:t xml:space="preserve"> and</w:t>
      </w:r>
      <w:r w:rsidR="00F74350">
        <w:t xml:space="preserve"> </w:t>
      </w:r>
      <w:r w:rsidR="000C3226">
        <w:t xml:space="preserve">may </w:t>
      </w:r>
      <w:r w:rsidR="00095CDF">
        <w:t xml:space="preserve">take steps to </w:t>
      </w:r>
      <w:r w:rsidR="000C3226">
        <w:t>move to the testing phase of the AFC system approval process.  Our approval of these AFC system applications is subject to the following conditions:</w:t>
      </w:r>
    </w:p>
    <w:p w:rsidR="000C3226" w:rsidRPr="00570677" w:rsidP="000C3226" w14:paraId="44CE3C7C" w14:textId="1FBD1BC4">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Each conditionally approved </w:t>
      </w:r>
      <w:r>
        <w:rPr>
          <w:rFonts w:ascii="Times New Roman" w:hAnsi="Times New Roman" w:cs="Times New Roman"/>
        </w:rPr>
        <w:t>AFC operator</w:t>
      </w:r>
      <w:r w:rsidRPr="00570677">
        <w:rPr>
          <w:rFonts w:ascii="Times New Roman" w:hAnsi="Times New Roman" w:cs="Times New Roman"/>
        </w:rPr>
        <w:t xml:space="preserve"> must comply with all current and future Commission rules, instructions, and procedures.   </w:t>
      </w:r>
    </w:p>
    <w:p w:rsidR="000C3226" w:rsidRPr="00570677" w:rsidP="000C3226" w14:paraId="36F32DA0" w14:textId="35AB0D67">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Each conditionally approved </w:t>
      </w:r>
      <w:r>
        <w:rPr>
          <w:rFonts w:ascii="Times New Roman" w:hAnsi="Times New Roman" w:cs="Times New Roman"/>
        </w:rPr>
        <w:t>AFC operator</w:t>
      </w:r>
      <w:r w:rsidRPr="00570677">
        <w:rPr>
          <w:rFonts w:ascii="Times New Roman" w:hAnsi="Times New Roman" w:cs="Times New Roman"/>
        </w:rPr>
        <w:t xml:space="preserve"> must comply with all instructions issued by OET pursuant to section</w:t>
      </w:r>
      <w:r w:rsidR="00DE5BDB">
        <w:rPr>
          <w:rFonts w:ascii="Times New Roman" w:hAnsi="Times New Roman" w:cs="Times New Roman"/>
        </w:rPr>
        <w:t xml:space="preserve"> </w:t>
      </w:r>
      <w:r w:rsidRPr="00570677">
        <w:rPr>
          <w:rFonts w:ascii="Times New Roman" w:hAnsi="Times New Roman" w:cs="Times New Roman"/>
        </w:rPr>
        <w:t>0.241(</w:t>
      </w:r>
      <w:r w:rsidR="00971AEC">
        <w:rPr>
          <w:rFonts w:ascii="Times New Roman" w:hAnsi="Times New Roman" w:cs="Times New Roman"/>
        </w:rPr>
        <w:t>k</w:t>
      </w:r>
      <w:r w:rsidRPr="00570677">
        <w:rPr>
          <w:rFonts w:ascii="Times New Roman" w:hAnsi="Times New Roman" w:cs="Times New Roman"/>
        </w:rPr>
        <w:t>) of the Commission’s rules.</w:t>
      </w:r>
      <w:r>
        <w:rPr>
          <w:rStyle w:val="FootnoteReference"/>
          <w:rFonts w:cs="Times New Roman"/>
        </w:rPr>
        <w:footnoteReference w:id="19"/>
      </w:r>
      <w:r w:rsidRPr="00570677">
        <w:rPr>
          <w:rFonts w:ascii="Times New Roman" w:hAnsi="Times New Roman" w:cs="Times New Roman"/>
        </w:rPr>
        <w:t xml:space="preserve">  </w:t>
      </w:r>
    </w:p>
    <w:p w:rsidR="000C3226" w:rsidRPr="00570677" w:rsidP="000C3226" w14:paraId="2A2A1F07" w14:textId="1634178B">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All conditionally approved </w:t>
      </w:r>
      <w:r>
        <w:rPr>
          <w:rFonts w:ascii="Times New Roman" w:hAnsi="Times New Roman" w:cs="Times New Roman"/>
        </w:rPr>
        <w:t>AFC operator</w:t>
      </w:r>
      <w:r w:rsidR="00B55760">
        <w:rPr>
          <w:rFonts w:ascii="Times New Roman" w:hAnsi="Times New Roman" w:cs="Times New Roman"/>
        </w:rPr>
        <w:t>s</w:t>
      </w:r>
      <w:r w:rsidRPr="00570677">
        <w:rPr>
          <w:rFonts w:ascii="Times New Roman" w:hAnsi="Times New Roman" w:cs="Times New Roman"/>
        </w:rPr>
        <w:t xml:space="preserve"> must attend workshops and meetings convened </w:t>
      </w:r>
      <w:r>
        <w:rPr>
          <w:rFonts w:ascii="Times New Roman" w:hAnsi="Times New Roman" w:cs="Times New Roman"/>
        </w:rPr>
        <w:t>by the Commission or OET</w:t>
      </w:r>
      <w:r w:rsidRPr="00570677">
        <w:rPr>
          <w:rFonts w:ascii="Times New Roman" w:hAnsi="Times New Roman" w:cs="Times New Roman"/>
        </w:rPr>
        <w:t xml:space="preserve">.  Workshop or meeting topics may include: (1) </w:t>
      </w:r>
      <w:r>
        <w:rPr>
          <w:rFonts w:ascii="Times New Roman" w:hAnsi="Times New Roman" w:cs="Times New Roman"/>
        </w:rPr>
        <w:t>AFC system developm</w:t>
      </w:r>
      <w:r w:rsidRPr="00570677">
        <w:rPr>
          <w:rFonts w:ascii="Times New Roman" w:hAnsi="Times New Roman" w:cs="Times New Roman"/>
        </w:rPr>
        <w:t xml:space="preserve">ent and operations; (2) </w:t>
      </w:r>
      <w:r>
        <w:rPr>
          <w:rFonts w:ascii="Times New Roman" w:hAnsi="Times New Roman" w:cs="Times New Roman"/>
        </w:rPr>
        <w:t>AFC system</w:t>
      </w:r>
      <w:r w:rsidRPr="00570677">
        <w:rPr>
          <w:rFonts w:ascii="Times New Roman" w:hAnsi="Times New Roman" w:cs="Times New Roman"/>
        </w:rPr>
        <w:t xml:space="preserve"> testing and certification procedures; </w:t>
      </w:r>
      <w:r w:rsidR="00AF05A6">
        <w:rPr>
          <w:rFonts w:ascii="Times New Roman" w:hAnsi="Times New Roman" w:cs="Times New Roman"/>
        </w:rPr>
        <w:t>or</w:t>
      </w:r>
      <w:r w:rsidRPr="00570677" w:rsidR="00AF05A6">
        <w:rPr>
          <w:rFonts w:ascii="Times New Roman" w:hAnsi="Times New Roman" w:cs="Times New Roman"/>
        </w:rPr>
        <w:t xml:space="preserve"> </w:t>
      </w:r>
      <w:r w:rsidRPr="00570677">
        <w:rPr>
          <w:rFonts w:ascii="Times New Roman" w:hAnsi="Times New Roman" w:cs="Times New Roman"/>
        </w:rPr>
        <w:t>(3) other topics relevant to the ongoing development of t</w:t>
      </w:r>
      <w:r>
        <w:rPr>
          <w:rFonts w:ascii="Times New Roman" w:hAnsi="Times New Roman" w:cs="Times New Roman"/>
        </w:rPr>
        <w:t>he AFC systems</w:t>
      </w:r>
      <w:r w:rsidRPr="00570677">
        <w:rPr>
          <w:rFonts w:ascii="Times New Roman" w:hAnsi="Times New Roman" w:cs="Times New Roman"/>
        </w:rPr>
        <w:t xml:space="preserve">. </w:t>
      </w:r>
    </w:p>
    <w:p w:rsidR="000C3226" w:rsidRPr="00570677" w:rsidP="000C3226" w14:paraId="2CF52975" w14:textId="7B9B68D0">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If a conditionally approved </w:t>
      </w:r>
      <w:r w:rsidR="00657DCB">
        <w:rPr>
          <w:rFonts w:ascii="Times New Roman" w:hAnsi="Times New Roman" w:cs="Times New Roman"/>
        </w:rPr>
        <w:t>AFC system operator</w:t>
      </w:r>
      <w:r w:rsidRPr="00570677">
        <w:rPr>
          <w:rFonts w:ascii="Times New Roman" w:hAnsi="Times New Roman" w:cs="Times New Roman"/>
        </w:rPr>
        <w:t xml:space="preserve"> relies on third party or proprietary spec</w:t>
      </w:r>
      <w:r w:rsidR="00FD530A">
        <w:rPr>
          <w:rFonts w:ascii="Times New Roman" w:hAnsi="Times New Roman" w:cs="Times New Roman"/>
        </w:rPr>
        <w:t>ifica</w:t>
      </w:r>
      <w:r w:rsidR="007C51F6">
        <w:rPr>
          <w:rFonts w:ascii="Times New Roman" w:hAnsi="Times New Roman" w:cs="Times New Roman"/>
        </w:rPr>
        <w:t>tions</w:t>
      </w:r>
      <w:r w:rsidRPr="00570677">
        <w:rPr>
          <w:rFonts w:ascii="Times New Roman" w:hAnsi="Times New Roman" w:cs="Times New Roman"/>
        </w:rPr>
        <w:t xml:space="preserve"> or </w:t>
      </w:r>
      <w:r w:rsidR="007C51F6">
        <w:rPr>
          <w:rFonts w:ascii="Times New Roman" w:hAnsi="Times New Roman" w:cs="Times New Roman"/>
        </w:rPr>
        <w:t>protocols</w:t>
      </w:r>
      <w:r w:rsidRPr="00570677">
        <w:rPr>
          <w:rFonts w:ascii="Times New Roman" w:hAnsi="Times New Roman" w:cs="Times New Roman"/>
        </w:rPr>
        <w:t xml:space="preserve"> for its </w:t>
      </w:r>
      <w:r w:rsidR="008E5A6A">
        <w:rPr>
          <w:rFonts w:ascii="Times New Roman" w:hAnsi="Times New Roman" w:cs="Times New Roman"/>
        </w:rPr>
        <w:t>AFC system</w:t>
      </w:r>
      <w:r w:rsidRPr="00570677">
        <w:rPr>
          <w:rFonts w:ascii="Times New Roman" w:hAnsi="Times New Roman" w:cs="Times New Roman"/>
        </w:rPr>
        <w:t xml:space="preserve">, these specifications or </w:t>
      </w:r>
      <w:r w:rsidR="007C51F6">
        <w:rPr>
          <w:rFonts w:ascii="Times New Roman" w:hAnsi="Times New Roman" w:cs="Times New Roman"/>
        </w:rPr>
        <w:t>protocols</w:t>
      </w:r>
      <w:r w:rsidRPr="00570677">
        <w:rPr>
          <w:rFonts w:ascii="Times New Roman" w:hAnsi="Times New Roman" w:cs="Times New Roman"/>
        </w:rPr>
        <w:t xml:space="preserve"> must </w:t>
      </w:r>
      <w:r>
        <w:rPr>
          <w:rFonts w:ascii="Times New Roman" w:hAnsi="Times New Roman" w:cs="Times New Roman"/>
        </w:rPr>
        <w:t>be consistent</w:t>
      </w:r>
      <w:r w:rsidRPr="00570677">
        <w:rPr>
          <w:rFonts w:ascii="Times New Roman" w:hAnsi="Times New Roman" w:cs="Times New Roman"/>
        </w:rPr>
        <w:t xml:space="preserve"> with the relevant Commission rules.</w:t>
      </w:r>
      <w:r>
        <w:rPr>
          <w:rStyle w:val="FootnoteReference"/>
          <w:rFonts w:cs="Times New Roman"/>
        </w:rPr>
        <w:footnoteReference w:id="20"/>
      </w:r>
      <w:r w:rsidRPr="00570677">
        <w:rPr>
          <w:rFonts w:ascii="Times New Roman" w:hAnsi="Times New Roman" w:cs="Times New Roman"/>
        </w:rPr>
        <w:t xml:space="preserve">  All such specifications and </w:t>
      </w:r>
      <w:r w:rsidR="007C51F6">
        <w:rPr>
          <w:rFonts w:ascii="Times New Roman" w:hAnsi="Times New Roman" w:cs="Times New Roman"/>
        </w:rPr>
        <w:t>protocols</w:t>
      </w:r>
      <w:r w:rsidRPr="00570677">
        <w:rPr>
          <w:rFonts w:ascii="Times New Roman" w:hAnsi="Times New Roman" w:cs="Times New Roman"/>
        </w:rPr>
        <w:t xml:space="preserve"> </w:t>
      </w:r>
      <w:r w:rsidR="007264E8">
        <w:rPr>
          <w:rFonts w:ascii="Times New Roman" w:hAnsi="Times New Roman" w:cs="Times New Roman"/>
        </w:rPr>
        <w:t xml:space="preserve">must be provided to, and </w:t>
      </w:r>
      <w:r w:rsidRPr="00570677">
        <w:rPr>
          <w:rFonts w:ascii="Times New Roman" w:hAnsi="Times New Roman" w:cs="Times New Roman"/>
        </w:rPr>
        <w:t>will be reviewed by</w:t>
      </w:r>
      <w:r w:rsidR="00937B94">
        <w:rPr>
          <w:rFonts w:ascii="Times New Roman" w:hAnsi="Times New Roman" w:cs="Times New Roman"/>
        </w:rPr>
        <w:t>,</w:t>
      </w:r>
      <w:r w:rsidR="008E5A6A">
        <w:rPr>
          <w:rFonts w:ascii="Times New Roman" w:hAnsi="Times New Roman" w:cs="Times New Roman"/>
        </w:rPr>
        <w:t xml:space="preserve"> </w:t>
      </w:r>
      <w:r w:rsidRPr="00570677">
        <w:rPr>
          <w:rFonts w:ascii="Times New Roman" w:hAnsi="Times New Roman" w:cs="Times New Roman"/>
        </w:rPr>
        <w:t xml:space="preserve">OET to ensure </w:t>
      </w:r>
      <w:r>
        <w:rPr>
          <w:rFonts w:ascii="Times New Roman" w:hAnsi="Times New Roman" w:cs="Times New Roman"/>
        </w:rPr>
        <w:t>consistency</w:t>
      </w:r>
      <w:r w:rsidRPr="00570677">
        <w:rPr>
          <w:rFonts w:ascii="Times New Roman" w:hAnsi="Times New Roman" w:cs="Times New Roman"/>
        </w:rPr>
        <w:t xml:space="preserve"> with the Commission’s rules. </w:t>
      </w:r>
    </w:p>
    <w:p w:rsidR="0086429D" w:rsidP="000C3226" w14:paraId="465B8DB5" w14:textId="2DFF2DE5">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Each conditionally approved </w:t>
      </w:r>
      <w:r>
        <w:rPr>
          <w:rFonts w:ascii="Times New Roman" w:hAnsi="Times New Roman" w:cs="Times New Roman"/>
        </w:rPr>
        <w:t xml:space="preserve">AFC system operator must undertake </w:t>
      </w:r>
      <w:r w:rsidR="00265A22">
        <w:rPr>
          <w:rFonts w:ascii="Times New Roman" w:hAnsi="Times New Roman" w:cs="Times New Roman"/>
        </w:rPr>
        <w:t xml:space="preserve">steps </w:t>
      </w:r>
      <w:r>
        <w:rPr>
          <w:rFonts w:ascii="Times New Roman" w:hAnsi="Times New Roman" w:cs="Times New Roman"/>
        </w:rPr>
        <w:t xml:space="preserve">to have </w:t>
      </w:r>
      <w:r w:rsidR="00623A53">
        <w:rPr>
          <w:rFonts w:ascii="Times New Roman" w:hAnsi="Times New Roman" w:cs="Times New Roman"/>
        </w:rPr>
        <w:t xml:space="preserve">its </w:t>
      </w:r>
      <w:r>
        <w:rPr>
          <w:rFonts w:ascii="Times New Roman" w:hAnsi="Times New Roman" w:cs="Times New Roman"/>
        </w:rPr>
        <w:t>AFC system undergo lab testing</w:t>
      </w:r>
      <w:r w:rsidR="00FC3EB3">
        <w:rPr>
          <w:rFonts w:ascii="Times New Roman" w:hAnsi="Times New Roman" w:cs="Times New Roman"/>
        </w:rPr>
        <w:t>.  OET</w:t>
      </w:r>
      <w:r>
        <w:rPr>
          <w:rFonts w:ascii="Times New Roman" w:hAnsi="Times New Roman" w:cs="Times New Roman"/>
        </w:rPr>
        <w:t xml:space="preserve"> </w:t>
      </w:r>
      <w:r w:rsidRPr="00AF4537" w:rsidR="00CC723E">
        <w:rPr>
          <w:rFonts w:ascii="Times New Roman" w:hAnsi="Times New Roman" w:cs="Times New Roman"/>
        </w:rPr>
        <w:t xml:space="preserve">will </w:t>
      </w:r>
      <w:r w:rsidR="00FC3EB3">
        <w:rPr>
          <w:rFonts w:ascii="Times New Roman" w:hAnsi="Times New Roman" w:cs="Times New Roman"/>
        </w:rPr>
        <w:t>issue guidance on the lab testing</w:t>
      </w:r>
      <w:r w:rsidRPr="00AF4537" w:rsidR="00CC723E">
        <w:rPr>
          <w:rFonts w:ascii="Times New Roman" w:hAnsi="Times New Roman" w:cs="Times New Roman"/>
        </w:rPr>
        <w:t xml:space="preserve"> in a forthcoming</w:t>
      </w:r>
      <w:r w:rsidRPr="00AF4537" w:rsidR="00877EE4">
        <w:rPr>
          <w:rFonts w:ascii="Times New Roman" w:hAnsi="Times New Roman" w:cs="Times New Roman"/>
        </w:rPr>
        <w:t xml:space="preserve"> Public Notice</w:t>
      </w:r>
      <w:r w:rsidRPr="00AF4537">
        <w:rPr>
          <w:rFonts w:ascii="Times New Roman" w:hAnsi="Times New Roman" w:cs="Times New Roman"/>
        </w:rPr>
        <w:t>;</w:t>
      </w:r>
    </w:p>
    <w:p w:rsidR="0086429D" w:rsidP="000C3226" w14:paraId="23D8F8B3" w14:textId="2DB91B5B">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Each conditionally approved AFC system operator must </w:t>
      </w:r>
      <w:r w:rsidR="008200C9">
        <w:rPr>
          <w:rFonts w:ascii="Times New Roman" w:hAnsi="Times New Roman" w:cs="Times New Roman"/>
        </w:rPr>
        <w:t xml:space="preserve">undertake </w:t>
      </w:r>
      <w:r w:rsidR="00BB4BFB">
        <w:rPr>
          <w:rFonts w:ascii="Times New Roman" w:hAnsi="Times New Roman" w:cs="Times New Roman"/>
        </w:rPr>
        <w:t xml:space="preserve">steps </w:t>
      </w:r>
      <w:r w:rsidR="008200C9">
        <w:rPr>
          <w:rFonts w:ascii="Times New Roman" w:hAnsi="Times New Roman" w:cs="Times New Roman"/>
        </w:rPr>
        <w:t xml:space="preserve">to have </w:t>
      </w:r>
      <w:r w:rsidR="009C5A62">
        <w:rPr>
          <w:rFonts w:ascii="Times New Roman" w:hAnsi="Times New Roman" w:cs="Times New Roman"/>
        </w:rPr>
        <w:t xml:space="preserve">its </w:t>
      </w:r>
      <w:r w:rsidR="008200C9">
        <w:rPr>
          <w:rFonts w:ascii="Times New Roman" w:hAnsi="Times New Roman" w:cs="Times New Roman"/>
        </w:rPr>
        <w:t>AFC system undergo demonstration projects</w:t>
      </w:r>
      <w:r w:rsidR="00FC3EB3">
        <w:rPr>
          <w:rFonts w:ascii="Times New Roman" w:hAnsi="Times New Roman" w:cs="Times New Roman"/>
        </w:rPr>
        <w:t>.  OET will issue guidance</w:t>
      </w:r>
      <w:r w:rsidR="00EF7E7D">
        <w:rPr>
          <w:rFonts w:ascii="Times New Roman" w:hAnsi="Times New Roman" w:cs="Times New Roman"/>
        </w:rPr>
        <w:t xml:space="preserve"> on the demonstration project(s)</w:t>
      </w:r>
      <w:r w:rsidR="008200C9">
        <w:rPr>
          <w:rFonts w:ascii="Times New Roman" w:hAnsi="Times New Roman" w:cs="Times New Roman"/>
        </w:rPr>
        <w:t xml:space="preserve"> in a forthcoming Public Notice</w:t>
      </w:r>
      <w:r>
        <w:rPr>
          <w:rFonts w:ascii="Times New Roman" w:hAnsi="Times New Roman" w:cs="Times New Roman"/>
        </w:rPr>
        <w:t>;</w:t>
      </w:r>
    </w:p>
    <w:p w:rsidR="00323309" w:rsidP="000C3226" w14:paraId="0FEB7642" w14:textId="658AA1CE">
      <w:pPr>
        <w:pStyle w:val="ListParagraph"/>
        <w:numPr>
          <w:ilvl w:val="0"/>
          <w:numId w:val="7"/>
        </w:numPr>
        <w:spacing w:line="240" w:lineRule="auto"/>
        <w:rPr>
          <w:rFonts w:ascii="Times New Roman" w:hAnsi="Times New Roman" w:cs="Times New Roman"/>
        </w:rPr>
      </w:pPr>
      <w:r w:rsidRPr="00570677">
        <w:rPr>
          <w:rFonts w:ascii="Times New Roman" w:hAnsi="Times New Roman" w:cs="Times New Roman"/>
        </w:rPr>
        <w:t xml:space="preserve">Each conditionally approved </w:t>
      </w:r>
      <w:r>
        <w:rPr>
          <w:rFonts w:ascii="Times New Roman" w:hAnsi="Times New Roman" w:cs="Times New Roman"/>
        </w:rPr>
        <w:t xml:space="preserve">AFC system operator must respond to all inquiries from OET staff during OET’s examination of </w:t>
      </w:r>
      <w:r>
        <w:rPr>
          <w:rFonts w:ascii="Times New Roman" w:hAnsi="Times New Roman" w:cs="Times New Roman"/>
        </w:rPr>
        <w:t>the testing data</w:t>
      </w:r>
      <w:r w:rsidR="00E10593">
        <w:rPr>
          <w:rFonts w:ascii="Times New Roman" w:hAnsi="Times New Roman" w:cs="Times New Roman"/>
        </w:rPr>
        <w:t xml:space="preserve"> and make any modifications to </w:t>
      </w:r>
      <w:r w:rsidR="00030C5E">
        <w:rPr>
          <w:rFonts w:ascii="Times New Roman" w:hAnsi="Times New Roman" w:cs="Times New Roman"/>
        </w:rPr>
        <w:t xml:space="preserve">its </w:t>
      </w:r>
      <w:r w:rsidR="00E10593">
        <w:rPr>
          <w:rFonts w:ascii="Times New Roman" w:hAnsi="Times New Roman" w:cs="Times New Roman"/>
        </w:rPr>
        <w:t>AFC system requested by OET staff</w:t>
      </w:r>
      <w:r w:rsidR="00DE5BDB">
        <w:rPr>
          <w:rFonts w:ascii="Times New Roman" w:hAnsi="Times New Roman" w:cs="Times New Roman"/>
        </w:rPr>
        <w:t xml:space="preserve"> as part of the testing process</w:t>
      </w:r>
      <w:r>
        <w:rPr>
          <w:rFonts w:ascii="Times New Roman" w:hAnsi="Times New Roman" w:cs="Times New Roman"/>
        </w:rPr>
        <w:t>;</w:t>
      </w:r>
    </w:p>
    <w:p w:rsidR="000C3226" w:rsidP="000C3226" w14:paraId="689360DA" w14:textId="230C4495">
      <w:pPr>
        <w:pStyle w:val="ListParagraph"/>
        <w:numPr>
          <w:ilvl w:val="0"/>
          <w:numId w:val="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Each</w:t>
      </w:r>
      <w:r w:rsidRPr="00570677">
        <w:rPr>
          <w:rFonts w:ascii="Times New Roman" w:hAnsi="Times New Roman" w:cs="Times New Roman"/>
          <w:color w:val="000000" w:themeColor="text1"/>
        </w:rPr>
        <w:t xml:space="preserve"> conditionally approved </w:t>
      </w:r>
      <w:r>
        <w:rPr>
          <w:rFonts w:ascii="Times New Roman" w:hAnsi="Times New Roman" w:cs="Times New Roman"/>
          <w:color w:val="000000" w:themeColor="text1"/>
        </w:rPr>
        <w:t>AFC operator</w:t>
      </w:r>
      <w:r w:rsidRPr="00570677">
        <w:rPr>
          <w:rFonts w:ascii="Times New Roman" w:hAnsi="Times New Roman" w:cs="Times New Roman"/>
          <w:color w:val="000000" w:themeColor="text1"/>
        </w:rPr>
        <w:t xml:space="preserve"> m</w:t>
      </w:r>
      <w:r w:rsidR="00D0084C">
        <w:rPr>
          <w:rFonts w:ascii="Times New Roman" w:hAnsi="Times New Roman" w:cs="Times New Roman"/>
          <w:color w:val="000000" w:themeColor="text1"/>
        </w:rPr>
        <w:t xml:space="preserve">ay not make their AFC system available for </w:t>
      </w:r>
      <w:r w:rsidR="00962BCA">
        <w:rPr>
          <w:rFonts w:ascii="Times New Roman" w:hAnsi="Times New Roman" w:cs="Times New Roman"/>
          <w:color w:val="000000" w:themeColor="text1"/>
        </w:rPr>
        <w:t xml:space="preserve">commercial operations until </w:t>
      </w:r>
      <w:r w:rsidR="00DD0FFF">
        <w:rPr>
          <w:rFonts w:ascii="Times New Roman" w:hAnsi="Times New Roman" w:cs="Times New Roman"/>
          <w:color w:val="000000" w:themeColor="text1"/>
        </w:rPr>
        <w:t xml:space="preserve">it </w:t>
      </w:r>
      <w:r w:rsidR="00962BCA">
        <w:rPr>
          <w:rFonts w:ascii="Times New Roman" w:hAnsi="Times New Roman" w:cs="Times New Roman"/>
          <w:color w:val="000000" w:themeColor="text1"/>
        </w:rPr>
        <w:t>receive</w:t>
      </w:r>
      <w:r w:rsidR="00DD0FFF">
        <w:rPr>
          <w:rFonts w:ascii="Times New Roman" w:hAnsi="Times New Roman" w:cs="Times New Roman"/>
          <w:color w:val="000000" w:themeColor="text1"/>
        </w:rPr>
        <w:t>s</w:t>
      </w:r>
      <w:r w:rsidR="00962BCA">
        <w:rPr>
          <w:rFonts w:ascii="Times New Roman" w:hAnsi="Times New Roman" w:cs="Times New Roman"/>
          <w:color w:val="000000" w:themeColor="text1"/>
        </w:rPr>
        <w:t xml:space="preserve"> final approval from OET.</w:t>
      </w:r>
    </w:p>
    <w:p w:rsidR="004C5C6E" w:rsidRPr="00C570AF" w:rsidP="00AD7BC2" w14:paraId="28AFC353" w14:textId="56149FF2">
      <w:pPr>
        <w:pStyle w:val="ListParagraph"/>
        <w:numPr>
          <w:ilvl w:val="0"/>
          <w:numId w:val="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Each conditionally approved AFC operator must promptly respond to any requests for information or direction from the Commission, including the Enforcement Bureau.</w:t>
      </w:r>
      <w:r>
        <w:rPr>
          <w:rStyle w:val="FootnoteReference"/>
          <w:rFonts w:cs="Times New Roman"/>
        </w:rPr>
        <w:footnoteReference w:id="21"/>
      </w:r>
      <w:r w:rsidRPr="00C570AF" w:rsidR="00C22B57">
        <w:rPr>
          <w:rFonts w:ascii="Times New Roman" w:hAnsi="Times New Roman" w:cs="Times New Roman"/>
          <w:color w:val="000000" w:themeColor="text1"/>
        </w:rPr>
        <w:t xml:space="preserve"> </w:t>
      </w:r>
    </w:p>
    <w:p w:rsidR="00DD10A4" w:rsidP="00A64BFB" w14:paraId="6C55302C" w14:textId="024EDF06">
      <w:pPr>
        <w:pStyle w:val="Heading1"/>
      </w:pPr>
      <w:r>
        <w:t>Issues Raised by Commenters</w:t>
      </w:r>
    </w:p>
    <w:p w:rsidR="00F03559" w:rsidP="00BC3BF9" w14:paraId="098C2E49" w14:textId="14D53B72">
      <w:pPr>
        <w:pStyle w:val="ParaNum"/>
      </w:pPr>
      <w:r>
        <w:t xml:space="preserve">Commenters raise a number of issues concerning the sufficiency of the AFC </w:t>
      </w:r>
      <w:r w:rsidR="008369F3">
        <w:t xml:space="preserve">system </w:t>
      </w:r>
      <w:r>
        <w:t>applications</w:t>
      </w:r>
      <w:r w:rsidR="00DD10A4">
        <w:t xml:space="preserve"> in general</w:t>
      </w:r>
      <w:r w:rsidR="003B72D5">
        <w:t>,</w:t>
      </w:r>
      <w:r w:rsidR="00DD10A4">
        <w:t xml:space="preserve"> a</w:t>
      </w:r>
      <w:r w:rsidR="00B075D3">
        <w:t>s well as</w:t>
      </w:r>
      <w:r w:rsidR="00DD10A4">
        <w:t xml:space="preserve"> </w:t>
      </w:r>
      <w:r w:rsidR="00E140C7">
        <w:t xml:space="preserve">allege </w:t>
      </w:r>
      <w:r w:rsidR="00DD10A4">
        <w:t xml:space="preserve">specific deficiencies in the applications.  </w:t>
      </w:r>
      <w:r w:rsidR="00206C37">
        <w:t>We have examined each of these claims and</w:t>
      </w:r>
      <w:r w:rsidR="00DE0D58">
        <w:t>,</w:t>
      </w:r>
      <w:r w:rsidR="00206C37">
        <w:t xml:space="preserve"> as </w:t>
      </w:r>
      <w:r w:rsidR="00DD10A4">
        <w:t xml:space="preserve">discussed in more detail below, find that </w:t>
      </w:r>
      <w:r w:rsidR="008458E9">
        <w:t xml:space="preserve">commenters </w:t>
      </w:r>
      <w:r w:rsidR="00DD10A4">
        <w:t xml:space="preserve">do not provide a convincing basis to deny </w:t>
      </w:r>
      <w:r w:rsidR="00C41BE0">
        <w:t xml:space="preserve">conditional approval </w:t>
      </w:r>
      <w:r w:rsidR="00DC748F">
        <w:t xml:space="preserve">to any </w:t>
      </w:r>
      <w:r w:rsidR="00C41BE0">
        <w:t xml:space="preserve">of </w:t>
      </w:r>
      <w:r w:rsidR="00DD10A4">
        <w:t xml:space="preserve">the </w:t>
      </w:r>
      <w:r w:rsidR="00CB710A">
        <w:t xml:space="preserve">thirteen pending </w:t>
      </w:r>
      <w:r w:rsidR="00B075D3">
        <w:t xml:space="preserve">AFC </w:t>
      </w:r>
      <w:r w:rsidR="008369F3">
        <w:t>system</w:t>
      </w:r>
      <w:r w:rsidR="00B075D3">
        <w:t xml:space="preserve"> </w:t>
      </w:r>
      <w:r w:rsidR="00DD10A4">
        <w:t>application</w:t>
      </w:r>
      <w:r w:rsidR="00C41BE0">
        <w:t>s</w:t>
      </w:r>
      <w:r>
        <w:t xml:space="preserve">.  </w:t>
      </w:r>
    </w:p>
    <w:p w:rsidR="004D6DB7" w:rsidP="004D6DB7" w14:paraId="39759858" w14:textId="42B3BB26">
      <w:pPr>
        <w:pStyle w:val="Heading3"/>
      </w:pPr>
      <w:r>
        <w:t>Sufficiency of Applications</w:t>
      </w:r>
    </w:p>
    <w:p w:rsidR="00B86FBF" w:rsidP="004D6DB7" w14:paraId="486689BD" w14:textId="17B3FFBE">
      <w:pPr>
        <w:pStyle w:val="ParaNum"/>
      </w:pPr>
      <w:r>
        <w:t>Several commenters claim that the AFC system application</w:t>
      </w:r>
      <w:r w:rsidR="00611ACA">
        <w:t>s</w:t>
      </w:r>
      <w:r>
        <w:t xml:space="preserve"> </w:t>
      </w:r>
      <w:r w:rsidR="00640EC2">
        <w:t xml:space="preserve">do not </w:t>
      </w:r>
      <w:r>
        <w:t>provide sufficient details</w:t>
      </w:r>
      <w:r w:rsidR="00EA0280">
        <w:t xml:space="preserve"> to enable a full and thorough evaluation</w:t>
      </w:r>
      <w:r>
        <w:t xml:space="preserve">.  For example, </w:t>
      </w:r>
      <w:r w:rsidR="00245A31">
        <w:t xml:space="preserve">AT&amp;T faults the applications for failing to describe how the </w:t>
      </w:r>
      <w:r w:rsidR="00997D98">
        <w:t xml:space="preserve">proposed </w:t>
      </w:r>
      <w:r w:rsidR="00245A31">
        <w:t xml:space="preserve">AFC systems will comply with </w:t>
      </w:r>
      <w:r w:rsidR="00E3722A">
        <w:t xml:space="preserve">the </w:t>
      </w:r>
      <w:r w:rsidR="00245A31">
        <w:t xml:space="preserve">requirements </w:t>
      </w:r>
      <w:r w:rsidR="00CE5C09">
        <w:t xml:space="preserve">of </w:t>
      </w:r>
      <w:r w:rsidR="00F30739">
        <w:t>s</w:t>
      </w:r>
      <w:r w:rsidR="00645A9C">
        <w:t xml:space="preserve">ection 15.407(k) of </w:t>
      </w:r>
      <w:r w:rsidR="00245A31">
        <w:t>our rules</w:t>
      </w:r>
      <w:r w:rsidR="00CE5C09">
        <w:t>.</w:t>
      </w:r>
      <w:r>
        <w:rPr>
          <w:rStyle w:val="FootnoteReference"/>
        </w:rPr>
        <w:footnoteReference w:id="22"/>
      </w:r>
      <w:r w:rsidR="007048C9">
        <w:t xml:space="preserve">  AT&amp;T</w:t>
      </w:r>
      <w:r w:rsidR="00245A31">
        <w:t xml:space="preserve"> </w:t>
      </w:r>
      <w:r w:rsidR="007048C9">
        <w:t xml:space="preserve">complains </w:t>
      </w:r>
      <w:r w:rsidR="00245A31">
        <w:t xml:space="preserve">that </w:t>
      </w:r>
      <w:r w:rsidR="002B22FD">
        <w:t xml:space="preserve">applicants </w:t>
      </w:r>
      <w:r w:rsidR="00245A31">
        <w:t xml:space="preserve">“merely certify </w:t>
      </w:r>
      <w:r w:rsidR="00C462B5">
        <w:t xml:space="preserve">that </w:t>
      </w:r>
      <w:r w:rsidR="00245A31">
        <w:t>they will comply” or “intend to comply”</w:t>
      </w:r>
      <w:r w:rsidR="00496CE6">
        <w:t xml:space="preserve"> </w:t>
      </w:r>
      <w:r w:rsidR="00D85C83">
        <w:t>w</w:t>
      </w:r>
      <w:r w:rsidR="00496CE6">
        <w:t xml:space="preserve">ith </w:t>
      </w:r>
      <w:r w:rsidR="00C462B5">
        <w:t>the</w:t>
      </w:r>
      <w:r w:rsidR="005733BF">
        <w:t>se</w:t>
      </w:r>
      <w:r w:rsidR="00C462B5">
        <w:t xml:space="preserve"> </w:t>
      </w:r>
      <w:r w:rsidR="00852F48">
        <w:t>requirements.</w:t>
      </w:r>
      <w:r>
        <w:rPr>
          <w:rStyle w:val="FootnoteReference"/>
        </w:rPr>
        <w:footnoteReference w:id="23"/>
      </w:r>
      <w:r w:rsidR="00245A31">
        <w:t xml:space="preserve">  </w:t>
      </w:r>
      <w:r w:rsidR="00D335BD">
        <w:t>Even after AFC applicants filed supplemental information as requested by OET</w:t>
      </w:r>
      <w:r w:rsidR="007D6126">
        <w:t xml:space="preserve">, AT&amp;T </w:t>
      </w:r>
      <w:r w:rsidR="008E7E0A">
        <w:t xml:space="preserve">continues to </w:t>
      </w:r>
      <w:r w:rsidR="007D6126">
        <w:t xml:space="preserve">claim </w:t>
      </w:r>
      <w:r w:rsidR="008E7E0A">
        <w:t xml:space="preserve">that </w:t>
      </w:r>
      <w:r w:rsidR="007D6126">
        <w:t>the applicant’s statements</w:t>
      </w:r>
      <w:r w:rsidR="00251B1A">
        <w:t xml:space="preserve"> “fall far short of providing an adequate basis” for stakeholders to evaluate the proposals and for OET to conclude </w:t>
      </w:r>
      <w:r w:rsidR="00B41A62">
        <w:t xml:space="preserve">those proposals </w:t>
      </w:r>
      <w:r w:rsidR="002B23A6">
        <w:t>comply with the Commission’s rules.</w:t>
      </w:r>
      <w:r>
        <w:rPr>
          <w:rStyle w:val="FootnoteReference"/>
        </w:rPr>
        <w:footnoteReference w:id="24"/>
      </w:r>
      <w:r w:rsidR="002B23A6">
        <w:t xml:space="preserve">  </w:t>
      </w:r>
      <w:r>
        <w:t xml:space="preserve">The Utilities Technology Council and the Edison Electric Institute (UTC/EEI) claim that the AFC proposals </w:t>
      </w:r>
      <w:r w:rsidR="003C6CA1">
        <w:t xml:space="preserve">are insufficient because they </w:t>
      </w:r>
      <w:r>
        <w:t>just respond to the ten issues listed in the Public Notice</w:t>
      </w:r>
      <w:r w:rsidR="00AE3371">
        <w:t xml:space="preserve"> </w:t>
      </w:r>
      <w:r>
        <w:t>and do not demonstrate compliance with all of the requirements in the Commission’s rules.</w:t>
      </w:r>
      <w:r>
        <w:rPr>
          <w:rStyle w:val="FootnoteReference"/>
        </w:rPr>
        <w:footnoteReference w:id="25"/>
      </w:r>
      <w:r>
        <w:t xml:space="preserve">  </w:t>
      </w:r>
      <w:r w:rsidR="00F812E1">
        <w:t>UTC/EEI</w:t>
      </w:r>
      <w:r w:rsidR="003F10AB">
        <w:t>,</w:t>
      </w:r>
      <w:r w:rsidR="00F812E1">
        <w:t xml:space="preserve"> </w:t>
      </w:r>
      <w:r w:rsidR="004C2E6E">
        <w:t xml:space="preserve">assert that </w:t>
      </w:r>
      <w:r w:rsidR="00F812E1">
        <w:t xml:space="preserve">the AFC system proposals are a “plan to create a plan” </w:t>
      </w:r>
      <w:r w:rsidR="00F859B4">
        <w:t xml:space="preserve">and do not </w:t>
      </w:r>
      <w:r w:rsidR="00E63017">
        <w:t xml:space="preserve">specifically demonstrate </w:t>
      </w:r>
      <w:r w:rsidR="00F812E1">
        <w:t xml:space="preserve">how </w:t>
      </w:r>
      <w:r w:rsidR="00906900">
        <w:t xml:space="preserve">each </w:t>
      </w:r>
      <w:r w:rsidR="001511E1">
        <w:t>A</w:t>
      </w:r>
      <w:r w:rsidR="00F812E1">
        <w:t xml:space="preserve">FC </w:t>
      </w:r>
      <w:r w:rsidR="001511E1">
        <w:t xml:space="preserve">system </w:t>
      </w:r>
      <w:r w:rsidR="00F812E1">
        <w:t xml:space="preserve">will comply with the requirements in </w:t>
      </w:r>
      <w:r w:rsidR="00C462B5">
        <w:t xml:space="preserve">section </w:t>
      </w:r>
      <w:r w:rsidR="00F812E1">
        <w:t xml:space="preserve">15.407(k) </w:t>
      </w:r>
      <w:r w:rsidR="00A27723">
        <w:t xml:space="preserve">of the Commission’s rules </w:t>
      </w:r>
      <w:r w:rsidR="00F812E1">
        <w:t>with substantial verifiable technical information.</w:t>
      </w:r>
      <w:r>
        <w:rPr>
          <w:rStyle w:val="FootnoteReference"/>
        </w:rPr>
        <w:footnoteReference w:id="26"/>
      </w:r>
      <w:r w:rsidR="00F812E1">
        <w:t xml:space="preserve">  </w:t>
      </w:r>
      <w:r w:rsidR="001511E1">
        <w:t>Verizon criticizes the explanation</w:t>
      </w:r>
      <w:r w:rsidR="009647DD">
        <w:t>s</w:t>
      </w:r>
      <w:r w:rsidR="001511E1">
        <w:t xml:space="preserve"> many of the proposals provide </w:t>
      </w:r>
      <w:r w:rsidR="00EA5FF2">
        <w:t>for</w:t>
      </w:r>
      <w:r w:rsidR="001511E1">
        <w:t xml:space="preserve"> the </w:t>
      </w:r>
      <w:r w:rsidR="00140D56">
        <w:t xml:space="preserve">requested </w:t>
      </w:r>
      <w:r w:rsidR="001511E1">
        <w:t xml:space="preserve">technical diagram </w:t>
      </w:r>
      <w:r w:rsidR="00585A5C">
        <w:t>showing the architecture of the AFC</w:t>
      </w:r>
      <w:r w:rsidR="00C462B5">
        <w:t>,</w:t>
      </w:r>
      <w:r w:rsidR="00585A5C">
        <w:t xml:space="preserve"> </w:t>
      </w:r>
      <w:r w:rsidR="001511E1">
        <w:t xml:space="preserve">claiming </w:t>
      </w:r>
      <w:r w:rsidR="00C462B5">
        <w:t xml:space="preserve">that </w:t>
      </w:r>
      <w:r w:rsidR="001511E1">
        <w:t xml:space="preserve">they are not detailed enough to show </w:t>
      </w:r>
      <w:r w:rsidR="00604532">
        <w:t xml:space="preserve">that </w:t>
      </w:r>
      <w:r w:rsidR="001511E1">
        <w:t xml:space="preserve">the </w:t>
      </w:r>
      <w:r w:rsidR="00D80B2E">
        <w:t>A</w:t>
      </w:r>
      <w:r w:rsidR="001511E1">
        <w:t>FC proposals are technically feasible.</w:t>
      </w:r>
      <w:r>
        <w:rPr>
          <w:rStyle w:val="FootnoteReference"/>
        </w:rPr>
        <w:footnoteReference w:id="27"/>
      </w:r>
      <w:r w:rsidR="001511E1">
        <w:t xml:space="preserve">  </w:t>
      </w:r>
    </w:p>
    <w:p w:rsidR="001511E1" w:rsidP="004D6DB7" w14:paraId="3304DAD1" w14:textId="025F436F">
      <w:pPr>
        <w:pStyle w:val="ParaNum"/>
      </w:pPr>
      <w:r>
        <w:t xml:space="preserve">We find that the information </w:t>
      </w:r>
      <w:r w:rsidR="00BC6461">
        <w:t xml:space="preserve">provided by </w:t>
      </w:r>
      <w:r>
        <w:t xml:space="preserve">the AFC applicants in their proposals and </w:t>
      </w:r>
      <w:r w:rsidR="00997D98">
        <w:t xml:space="preserve">in their </w:t>
      </w:r>
      <w:r>
        <w:t xml:space="preserve">supplemental filings </w:t>
      </w:r>
      <w:r w:rsidR="00997D98">
        <w:t xml:space="preserve">is </w:t>
      </w:r>
      <w:r>
        <w:t xml:space="preserve">sufficient to conclude that their </w:t>
      </w:r>
      <w:r w:rsidR="00997D98">
        <w:t xml:space="preserve">proposed </w:t>
      </w:r>
      <w:r>
        <w:t xml:space="preserve">AFC systems will likely comply with the Commission’s rules.  We note that many of </w:t>
      </w:r>
      <w:r w:rsidR="008976F2">
        <w:t xml:space="preserve">the </w:t>
      </w:r>
      <w:r>
        <w:t>requirements specified in our rules are straightforward to meet</w:t>
      </w:r>
      <w:r w:rsidR="008976F2">
        <w:t>,</w:t>
      </w:r>
      <w:r>
        <w:t xml:space="preserve"> such as the information the AFC systems are required to receive from standard-power devices</w:t>
      </w:r>
      <w:r w:rsidR="00CD4AC4">
        <w:t>, the length of time information will be retained,</w:t>
      </w:r>
      <w:r>
        <w:t xml:space="preserve"> </w:t>
      </w:r>
      <w:r w:rsidR="008976F2">
        <w:t xml:space="preserve">and </w:t>
      </w:r>
      <w:r w:rsidR="00021E73">
        <w:t xml:space="preserve">the requirement to obtain technical information from the Commission’s licensing database on a daily basis.  </w:t>
      </w:r>
      <w:r w:rsidR="00957C4E">
        <w:t xml:space="preserve">For </w:t>
      </w:r>
      <w:r w:rsidR="004B437C">
        <w:t>these requirements</w:t>
      </w:r>
      <w:r w:rsidR="00A24DE6">
        <w:t>,</w:t>
      </w:r>
      <w:r w:rsidR="004B437C">
        <w:t xml:space="preserve"> </w:t>
      </w:r>
      <w:r w:rsidR="005B290C">
        <w:t>no useful purpose would be served by</w:t>
      </w:r>
      <w:r w:rsidR="008A7146">
        <w:t xml:space="preserve"> </w:t>
      </w:r>
      <w:r w:rsidR="00372796">
        <w:t>requiring</w:t>
      </w:r>
      <w:r w:rsidR="004B437C">
        <w:t xml:space="preserve"> the AFC applicants to provide</w:t>
      </w:r>
      <w:r w:rsidR="0094751E">
        <w:t xml:space="preserve"> further</w:t>
      </w:r>
      <w:r w:rsidR="005E03DE">
        <w:t xml:space="preserve"> explanation.  </w:t>
      </w:r>
      <w:r w:rsidR="00EB6162">
        <w:t xml:space="preserve">For example, </w:t>
      </w:r>
      <w:r w:rsidR="00B80CC0">
        <w:t xml:space="preserve">for the requirement that the AFC systems receive certain information from the </w:t>
      </w:r>
      <w:r w:rsidR="00B238B9">
        <w:t>standard-power devices, receiving information that is transmitted over the internet is well known</w:t>
      </w:r>
      <w:r w:rsidR="0076214C">
        <w:t xml:space="preserve"> and </w:t>
      </w:r>
      <w:r w:rsidR="00E900A1">
        <w:t xml:space="preserve">additional explanation is not needed.  </w:t>
      </w:r>
      <w:r w:rsidR="00B953F6">
        <w:t>Compliance with</w:t>
      </w:r>
      <w:r w:rsidR="00E900A1">
        <w:t xml:space="preserve"> the requirement that information be retrained by the AFC systems for a particular period of time</w:t>
      </w:r>
      <w:r w:rsidR="00B953F6">
        <w:t xml:space="preserve"> is trivial</w:t>
      </w:r>
      <w:r w:rsidR="00041490">
        <w:t xml:space="preserve">—i.e. </w:t>
      </w:r>
      <w:r w:rsidR="00CD710E">
        <w:t xml:space="preserve">the AFC system just needs to avoid deleting the information from its database until the time period has expired.  </w:t>
      </w:r>
      <w:r w:rsidR="004E4FC6">
        <w:t xml:space="preserve">Accessing the Commission’s licensing database daily is also straightforward as </w:t>
      </w:r>
      <w:r w:rsidR="00F32282">
        <w:t xml:space="preserve">access to </w:t>
      </w:r>
      <w:r w:rsidR="004E4FC6">
        <w:t xml:space="preserve">this </w:t>
      </w:r>
      <w:r w:rsidR="00F32282">
        <w:t>database</w:t>
      </w:r>
      <w:r w:rsidR="004E4FC6">
        <w:t xml:space="preserve"> is readily available</w:t>
      </w:r>
      <w:r w:rsidR="00F32282">
        <w:t xml:space="preserve"> from the Commission’s website.</w:t>
      </w:r>
      <w:r>
        <w:rPr>
          <w:rStyle w:val="FootnoteReference"/>
        </w:rPr>
        <w:footnoteReference w:id="28"/>
      </w:r>
      <w:r w:rsidR="00F32282">
        <w:t xml:space="preserve">  </w:t>
      </w:r>
      <w:r w:rsidR="0075538B">
        <w:t>Because</w:t>
      </w:r>
      <w:r w:rsidR="00B70718">
        <w:t xml:space="preserve"> complying with these requirements is straightforward</w:t>
      </w:r>
      <w:r w:rsidR="00234E32">
        <w:t>,</w:t>
      </w:r>
      <w:r w:rsidR="00B70718">
        <w:t xml:space="preserve"> it is sufficient for the AFC applicants to</w:t>
      </w:r>
      <w:r w:rsidR="00A45C69">
        <w:t xml:space="preserve"> </w:t>
      </w:r>
      <w:r w:rsidR="00B70718">
        <w:t>j</w:t>
      </w:r>
      <w:r w:rsidR="00021E73">
        <w:t>ust stat</w:t>
      </w:r>
      <w:r w:rsidR="00B70718">
        <w:t>e</w:t>
      </w:r>
      <w:r w:rsidR="00021E73">
        <w:t xml:space="preserve"> that the</w:t>
      </w:r>
      <w:r w:rsidR="00B70718">
        <w:t>y</w:t>
      </w:r>
      <w:r w:rsidR="00021E73">
        <w:t xml:space="preserve"> will comply with these requirements</w:t>
      </w:r>
      <w:r w:rsidR="00652DA3">
        <w:t>.</w:t>
      </w:r>
      <w:r w:rsidR="00021E73">
        <w:t xml:space="preserve">  </w:t>
      </w:r>
      <w:r w:rsidR="00CA7823">
        <w:t xml:space="preserve">We also note that </w:t>
      </w:r>
      <w:r w:rsidR="00C422BB">
        <w:t xml:space="preserve">applicants for Commission authorizations (such as an application to operate an AFC system) are subject to enforcement action if they fail to make truthful and accurate statements in any written statement of </w:t>
      </w:r>
      <w:r w:rsidR="00121B91">
        <w:t>fact.</w:t>
      </w:r>
      <w:r>
        <w:rPr>
          <w:rStyle w:val="FootnoteReference"/>
        </w:rPr>
        <w:footnoteReference w:id="29"/>
      </w:r>
      <w:r w:rsidR="00121B91">
        <w:t xml:space="preserve">  </w:t>
      </w:r>
      <w:r w:rsidR="00021E73">
        <w:t>Meeting other requirements that are more complex</w:t>
      </w:r>
      <w:r w:rsidR="008976F2">
        <w:t>,</w:t>
      </w:r>
      <w:r w:rsidR="00021E73">
        <w:t xml:space="preserve"> such as implementing the specified propagation models</w:t>
      </w:r>
      <w:r w:rsidR="00997D98">
        <w:t>,</w:t>
      </w:r>
      <w:r w:rsidR="00021E73">
        <w:t xml:space="preserve"> will be verified through the testing process.  </w:t>
      </w:r>
      <w:r w:rsidR="00757C5C">
        <w:t xml:space="preserve">It is important to note that at this time we are </w:t>
      </w:r>
      <w:r w:rsidR="00C44866">
        <w:t xml:space="preserve">merely </w:t>
      </w:r>
      <w:r w:rsidR="00757C5C">
        <w:t>granting conditional approval</w:t>
      </w:r>
      <w:r w:rsidR="00EA1BE3">
        <w:t xml:space="preserve">; </w:t>
      </w:r>
      <w:r w:rsidR="00757C5C">
        <w:t xml:space="preserve">final approval that will permit </w:t>
      </w:r>
      <w:r w:rsidR="00BD011E">
        <w:t xml:space="preserve">commercial </w:t>
      </w:r>
      <w:r w:rsidR="00B12AE4">
        <w:t xml:space="preserve">operation </w:t>
      </w:r>
      <w:r w:rsidR="00855376">
        <w:t xml:space="preserve">is contingent on each AFC </w:t>
      </w:r>
      <w:r w:rsidR="00934AA3">
        <w:t xml:space="preserve">applicant </w:t>
      </w:r>
      <w:r w:rsidR="00025D4D">
        <w:t xml:space="preserve">successfully demonstrating </w:t>
      </w:r>
      <w:r w:rsidR="00EE391C">
        <w:t>proper operation and compliance with all rules and requirements through a rigorous testing process</w:t>
      </w:r>
      <w:r w:rsidR="00757C5C">
        <w:t xml:space="preserve">.  As the scope of this </w:t>
      </w:r>
      <w:r w:rsidR="001E281F">
        <w:t xml:space="preserve">instant conditional </w:t>
      </w:r>
      <w:r w:rsidR="00757C5C">
        <w:t>approval is limited</w:t>
      </w:r>
      <w:r w:rsidR="001E281F">
        <w:t>,</w:t>
      </w:r>
      <w:r w:rsidR="00757C5C">
        <w:t xml:space="preserve"> </w:t>
      </w:r>
      <w:r w:rsidR="007371D7">
        <w:t xml:space="preserve">and some of the </w:t>
      </w:r>
      <w:r w:rsidR="0070263E">
        <w:t xml:space="preserve">operational </w:t>
      </w:r>
      <w:r w:rsidR="007371D7">
        <w:t>requirements can only be verified</w:t>
      </w:r>
      <w:r w:rsidR="0070263E">
        <w:t xml:space="preserve"> through testing, </w:t>
      </w:r>
      <w:r w:rsidR="002E1692">
        <w:t xml:space="preserve">we find that </w:t>
      </w:r>
      <w:r w:rsidR="00757C5C">
        <w:t xml:space="preserve">there is no need </w:t>
      </w:r>
      <w:r w:rsidR="003F04BE">
        <w:t xml:space="preserve">that </w:t>
      </w:r>
      <w:r w:rsidR="004A7348">
        <w:t>the proposals before us</w:t>
      </w:r>
      <w:r w:rsidR="008B65FD">
        <w:t xml:space="preserve"> </w:t>
      </w:r>
      <w:r w:rsidR="001B6F5E">
        <w:t xml:space="preserve">provide </w:t>
      </w:r>
      <w:r w:rsidR="001F07E9">
        <w:t xml:space="preserve">details </w:t>
      </w:r>
      <w:r w:rsidR="00722516">
        <w:t>on how each requirement will be fulfilled</w:t>
      </w:r>
      <w:r w:rsidR="00B2072B">
        <w:t xml:space="preserve">.  </w:t>
      </w:r>
      <w:r w:rsidR="003922C8">
        <w:t xml:space="preserve">It is sufficient that the necessary requirements are acknowledged and </w:t>
      </w:r>
      <w:r w:rsidR="00B22E35">
        <w:t>that each applicant has a plan to</w:t>
      </w:r>
      <w:r w:rsidR="0058671F">
        <w:t xml:space="preserve"> meet these requirements.  Final verification that all requirements</w:t>
      </w:r>
      <w:r w:rsidR="00DF100B">
        <w:t xml:space="preserve"> are sufficiently met will be d</w:t>
      </w:r>
      <w:r w:rsidR="003443DE">
        <w:t>one</w:t>
      </w:r>
      <w:r w:rsidR="00DF100B">
        <w:t xml:space="preserve"> at the testing stages of the approval process</w:t>
      </w:r>
      <w:r w:rsidR="00F26598">
        <w:t>.</w:t>
      </w:r>
      <w:r w:rsidR="00B643BC">
        <w:rPr>
          <w:rStyle w:val="FootnoteReference"/>
        </w:rPr>
        <w:t xml:space="preserve"> </w:t>
      </w:r>
    </w:p>
    <w:p w:rsidR="00F812E1" w:rsidP="004D6DB7" w14:paraId="3C4120F9" w14:textId="0685CBC2">
      <w:pPr>
        <w:pStyle w:val="ParaNum"/>
      </w:pPr>
      <w:r>
        <w:t xml:space="preserve">Many commenters also </w:t>
      </w:r>
      <w:r w:rsidR="004A3AA3">
        <w:t xml:space="preserve">express concern </w:t>
      </w:r>
      <w:r>
        <w:t xml:space="preserve">that many </w:t>
      </w:r>
      <w:r w:rsidR="00757C5C">
        <w:t xml:space="preserve">of the </w:t>
      </w:r>
      <w:r>
        <w:t xml:space="preserve">AFC proposals rely on external documents from the </w:t>
      </w:r>
      <w:r w:rsidR="00D1564D">
        <w:t xml:space="preserve">WFA </w:t>
      </w:r>
      <w:r>
        <w:t>or th</w:t>
      </w:r>
      <w:r>
        <w:t xml:space="preserve">e </w:t>
      </w:r>
      <w:r>
        <w:t>Win</w:t>
      </w:r>
      <w:r w:rsidR="00D1564D">
        <w:t>n</w:t>
      </w:r>
      <w:r>
        <w:t>Forum</w:t>
      </w:r>
      <w:r>
        <w:t xml:space="preserve"> that can be changed by these organizations at any time and </w:t>
      </w:r>
      <w:r w:rsidR="00E67AA2">
        <w:t xml:space="preserve">do not </w:t>
      </w:r>
      <w:r>
        <w:t xml:space="preserve">establish particular requirements </w:t>
      </w:r>
      <w:r w:rsidR="001F7215">
        <w:t xml:space="preserve">for </w:t>
      </w:r>
      <w:r>
        <w:t>AFC system operators.</w:t>
      </w:r>
      <w:r>
        <w:rPr>
          <w:rStyle w:val="FootnoteReference"/>
        </w:rPr>
        <w:footnoteReference w:id="30"/>
      </w:r>
      <w:r>
        <w:t xml:space="preserve">  </w:t>
      </w:r>
      <w:r w:rsidR="00CD4AC4">
        <w:t xml:space="preserve">We do not </w:t>
      </w:r>
      <w:r w:rsidR="00840261">
        <w:t xml:space="preserve">share this </w:t>
      </w:r>
      <w:r w:rsidR="00392267">
        <w:t>concern</w:t>
      </w:r>
      <w:r w:rsidR="00531708">
        <w:t xml:space="preserve">.  </w:t>
      </w:r>
      <w:r w:rsidR="00763E93">
        <w:t xml:space="preserve">First, we note that </w:t>
      </w:r>
      <w:r w:rsidR="00F847C7">
        <w:t xml:space="preserve">any </w:t>
      </w:r>
      <w:r w:rsidR="00531708">
        <w:t>s</w:t>
      </w:r>
      <w:r w:rsidR="008E19D9">
        <w:t>pecifications</w:t>
      </w:r>
      <w:r w:rsidR="00531708">
        <w:t xml:space="preserve"> </w:t>
      </w:r>
      <w:r w:rsidR="00F847C7">
        <w:t xml:space="preserve">or </w:t>
      </w:r>
      <w:r w:rsidR="00531708">
        <w:t xml:space="preserve">protocols </w:t>
      </w:r>
      <w:r w:rsidR="00F847C7">
        <w:t xml:space="preserve">developed by </w:t>
      </w:r>
      <w:r w:rsidR="002A3F2D">
        <w:t xml:space="preserve">WFA or </w:t>
      </w:r>
      <w:r w:rsidR="002A3F2D">
        <w:t>Win</w:t>
      </w:r>
      <w:r w:rsidR="00A42266">
        <w:t>nForum</w:t>
      </w:r>
      <w:r w:rsidR="007173F6">
        <w:t xml:space="preserve"> </w:t>
      </w:r>
      <w:r w:rsidR="004F57F4">
        <w:t>and relied upon by an AFC operator</w:t>
      </w:r>
      <w:r w:rsidR="00E51431">
        <w:t xml:space="preserve"> must </w:t>
      </w:r>
      <w:r w:rsidR="00531708">
        <w:t>be in conformance with the Commission’s rules</w:t>
      </w:r>
      <w:r w:rsidR="009B44A3">
        <w:t>,</w:t>
      </w:r>
      <w:r w:rsidR="00531708">
        <w:t xml:space="preserve"> </w:t>
      </w:r>
      <w:r w:rsidR="009B44A3">
        <w:t>and we</w:t>
      </w:r>
      <w:r w:rsidR="00403AAB">
        <w:t xml:space="preserve"> are requiring a</w:t>
      </w:r>
      <w:r w:rsidR="005D66D4">
        <w:t xml:space="preserve">s a condition </w:t>
      </w:r>
      <w:r w:rsidR="00A1444B">
        <w:t xml:space="preserve">for </w:t>
      </w:r>
      <w:r w:rsidR="005D66D4">
        <w:t>approving</w:t>
      </w:r>
      <w:r w:rsidR="00403AAB">
        <w:t xml:space="preserve"> the AFC proposals that </w:t>
      </w:r>
      <w:r w:rsidR="00A1444B">
        <w:t xml:space="preserve">any such specification or protocol </w:t>
      </w:r>
      <w:r w:rsidRPr="00570677" w:rsidR="00A1444B">
        <w:t xml:space="preserve">must </w:t>
      </w:r>
      <w:r w:rsidR="00A1444B">
        <w:t>be consistent</w:t>
      </w:r>
      <w:r w:rsidRPr="00570677" w:rsidR="00A1444B">
        <w:t xml:space="preserve"> with the relevant Commission rules</w:t>
      </w:r>
      <w:r w:rsidR="00A1444B">
        <w:t xml:space="preserve">.  </w:t>
      </w:r>
      <w:r w:rsidR="00531708">
        <w:t xml:space="preserve">OET staff will review </w:t>
      </w:r>
      <w:r w:rsidR="00A1444B">
        <w:t>these</w:t>
      </w:r>
      <w:r w:rsidR="00531708">
        <w:t xml:space="preserve"> s</w:t>
      </w:r>
      <w:r w:rsidR="005574A1">
        <w:t>pecifica</w:t>
      </w:r>
      <w:r w:rsidR="00906381">
        <w:t>ti</w:t>
      </w:r>
      <w:r w:rsidR="005574A1">
        <w:t>ons</w:t>
      </w:r>
      <w:r w:rsidR="00531708">
        <w:t xml:space="preserve"> and protocols and will make </w:t>
      </w:r>
      <w:r w:rsidR="00F26598">
        <w:t>the organizations and AFC applicants</w:t>
      </w:r>
      <w:r w:rsidR="00531708">
        <w:t xml:space="preserve"> aware in the unlikely event that </w:t>
      </w:r>
      <w:r w:rsidR="00F62047">
        <w:t xml:space="preserve">any </w:t>
      </w:r>
      <w:r w:rsidR="00531708">
        <w:t>depart</w:t>
      </w:r>
      <w:r w:rsidR="00F62047">
        <w:t>s</w:t>
      </w:r>
      <w:r w:rsidR="00531708">
        <w:t xml:space="preserve"> from the Commission’s rules.  </w:t>
      </w:r>
      <w:r w:rsidR="00AF219E">
        <w:t xml:space="preserve">Second, </w:t>
      </w:r>
      <w:r w:rsidR="006B0511">
        <w:t xml:space="preserve">if an AFC operator </w:t>
      </w:r>
      <w:r w:rsidR="00BE20EE">
        <w:t xml:space="preserve">does develop its system to conform to any of </w:t>
      </w:r>
      <w:r w:rsidR="00531708">
        <w:t>these s</w:t>
      </w:r>
      <w:r w:rsidR="00F348C4">
        <w:t>pecifications</w:t>
      </w:r>
      <w:r w:rsidR="00531708">
        <w:t xml:space="preserve"> and protocols</w:t>
      </w:r>
      <w:r w:rsidR="00E12C4C">
        <w:t xml:space="preserve">, it is under no obligation to </w:t>
      </w:r>
      <w:r w:rsidR="002506D8">
        <w:t>change its system if any</w:t>
      </w:r>
      <w:r w:rsidR="00531708">
        <w:t xml:space="preserve"> are changed in the future</w:t>
      </w:r>
      <w:r w:rsidR="005D39E0">
        <w:t xml:space="preserve">.  </w:t>
      </w:r>
      <w:r w:rsidR="005D69E5">
        <w:t xml:space="preserve">The </w:t>
      </w:r>
      <w:r w:rsidR="00531708">
        <w:t xml:space="preserve">obligation </w:t>
      </w:r>
      <w:r w:rsidR="00687466">
        <w:t xml:space="preserve">on each </w:t>
      </w:r>
      <w:r w:rsidR="00531708">
        <w:t xml:space="preserve">AFC system </w:t>
      </w:r>
      <w:r w:rsidR="00A474B2">
        <w:t xml:space="preserve">is </w:t>
      </w:r>
      <w:r w:rsidR="00531708">
        <w:t xml:space="preserve">to continue to comply with the Commission’s rules.  </w:t>
      </w:r>
    </w:p>
    <w:p w:rsidR="00CC7CD8" w:rsidP="004D6DB7" w14:paraId="734F12AF" w14:textId="77777777">
      <w:pPr>
        <w:pStyle w:val="Heading3"/>
      </w:pPr>
      <w:r>
        <w:t>Responsibility for Standard-power Device Operations</w:t>
      </w:r>
    </w:p>
    <w:p w:rsidR="00CC7CD8" w:rsidP="00CC7CD8" w14:paraId="21C3E087" w14:textId="0A41D6E4">
      <w:pPr>
        <w:pStyle w:val="ParaNum"/>
        <w:tabs>
          <w:tab w:val="clear" w:pos="1080"/>
          <w:tab w:val="num" w:pos="1440"/>
        </w:tabs>
      </w:pPr>
      <w:r>
        <w:t>Several commenters raise concerns re</w:t>
      </w:r>
      <w:r w:rsidR="00C7457F">
        <w:t>lating to</w:t>
      </w:r>
      <w:r>
        <w:t xml:space="preserve"> standard-power device</w:t>
      </w:r>
      <w:r w:rsidR="00EB70F7">
        <w:t xml:space="preserve"> functions</w:t>
      </w:r>
      <w:r>
        <w:t xml:space="preserve">.  </w:t>
      </w:r>
      <w:r w:rsidR="00BF08C0">
        <w:t xml:space="preserve">In particular, </w:t>
      </w:r>
      <w:r w:rsidR="00C7457F">
        <w:t xml:space="preserve">AT&amp;T finds fault with numerous sections of the </w:t>
      </w:r>
      <w:r w:rsidR="009E6AF0">
        <w:t xml:space="preserve">WFA’s </w:t>
      </w:r>
      <w:r w:rsidR="00C7457F">
        <w:t xml:space="preserve">AFC </w:t>
      </w:r>
      <w:r w:rsidR="0076609F">
        <w:t>Device under Test (DUT)</w:t>
      </w:r>
      <w:r w:rsidR="00C7457F">
        <w:t xml:space="preserve"> Plan </w:t>
      </w:r>
      <w:r w:rsidR="009E6AF0">
        <w:t xml:space="preserve">developed </w:t>
      </w:r>
      <w:r w:rsidR="00E55319">
        <w:t>for testing standard-power devices</w:t>
      </w:r>
      <w:r w:rsidR="00B05FF0">
        <w:t>.</w:t>
      </w:r>
      <w:r>
        <w:rPr>
          <w:rStyle w:val="FootnoteReference"/>
        </w:rPr>
        <w:footnoteReference w:id="31"/>
      </w:r>
      <w:r w:rsidR="00740191">
        <w:t xml:space="preserve"> </w:t>
      </w:r>
      <w:r w:rsidR="0043674A">
        <w:t xml:space="preserve"> Specifically, </w:t>
      </w:r>
      <w:r w:rsidR="00611462">
        <w:t xml:space="preserve">AT&amp;T </w:t>
      </w:r>
      <w:r w:rsidR="000971D0">
        <w:t xml:space="preserve">asserts that the test plan omits procedures for testing </w:t>
      </w:r>
      <w:r w:rsidR="0076609F">
        <w:t xml:space="preserve">the security of the connection </w:t>
      </w:r>
      <w:r w:rsidR="00BD24B3">
        <w:t xml:space="preserve">between a standard-power device and </w:t>
      </w:r>
      <w:r w:rsidR="0076609F">
        <w:t xml:space="preserve">an external </w:t>
      </w:r>
      <w:r w:rsidR="0076609F">
        <w:t xml:space="preserve">geo-location source; the true, complete, and good faith provision of registration information </w:t>
      </w:r>
      <w:r w:rsidR="00096174">
        <w:t xml:space="preserve">to the AFC system </w:t>
      </w:r>
      <w:r w:rsidR="0076609F">
        <w:t>by the standard-power devices; automatic determination of geo-location information by the standard-power devices; and the requirement that standard-power devices check frequency availability daily.</w:t>
      </w:r>
      <w:r>
        <w:rPr>
          <w:rStyle w:val="FootnoteReference"/>
        </w:rPr>
        <w:footnoteReference w:id="32"/>
      </w:r>
      <w:r w:rsidR="0076609F">
        <w:t xml:space="preserve">  </w:t>
      </w:r>
      <w:r w:rsidR="00E17602">
        <w:t xml:space="preserve">Verizon </w:t>
      </w:r>
      <w:r w:rsidR="00AA32C2">
        <w:t xml:space="preserve">claims that </w:t>
      </w:r>
      <w:r w:rsidR="005B15F9">
        <w:t>many</w:t>
      </w:r>
      <w:r w:rsidR="00AA32C2">
        <w:t xml:space="preserve"> of the AFC proposals </w:t>
      </w:r>
      <w:r w:rsidR="00F5708C">
        <w:t xml:space="preserve">do not </w:t>
      </w:r>
      <w:r w:rsidR="00AA32C2">
        <w:t xml:space="preserve">provide </w:t>
      </w:r>
      <w:r w:rsidR="00F5708C">
        <w:t xml:space="preserve">sufficient </w:t>
      </w:r>
      <w:r w:rsidR="00AA32C2">
        <w:t>information to validate the data and data transfer parameters between the AFC system and standard-power devices</w:t>
      </w:r>
      <w:r w:rsidR="00F5708C">
        <w:t>.</w:t>
      </w:r>
      <w:r>
        <w:rPr>
          <w:rStyle w:val="FootnoteReference"/>
        </w:rPr>
        <w:footnoteReference w:id="33"/>
      </w:r>
      <w:r w:rsidR="00F5708C">
        <w:t xml:space="preserve">  Verizon</w:t>
      </w:r>
      <w:r w:rsidR="00224AEF">
        <w:t xml:space="preserve"> states that </w:t>
      </w:r>
      <w:r w:rsidR="000426DE">
        <w:t xml:space="preserve">no proposal </w:t>
      </w:r>
      <w:r w:rsidR="00224AEF">
        <w:t>adequately address</w:t>
      </w:r>
      <w:r w:rsidR="000426DE">
        <w:t>es</w:t>
      </w:r>
      <w:r w:rsidR="00224AEF">
        <w:t xml:space="preserve"> </w:t>
      </w:r>
      <w:r w:rsidR="00AA32C2">
        <w:t>location accuracy</w:t>
      </w:r>
      <w:r w:rsidR="0068285C">
        <w:t>;</w:t>
      </w:r>
      <w:r w:rsidR="008C29EB">
        <w:t xml:space="preserve"> </w:t>
      </w:r>
      <w:r w:rsidR="00AA32C2">
        <w:t>how t</w:t>
      </w:r>
      <w:r w:rsidR="00B21397">
        <w:t xml:space="preserve">o deal with </w:t>
      </w:r>
      <w:r w:rsidR="00AA32C2">
        <w:t>uncertainty w</w:t>
      </w:r>
      <w:r w:rsidR="008C29EB">
        <w:t xml:space="preserve">hen </w:t>
      </w:r>
      <w:r w:rsidR="00057590">
        <w:t>calculating the likelihood of interference</w:t>
      </w:r>
      <w:r w:rsidR="0068285C">
        <w:t>;</w:t>
      </w:r>
      <w:r w:rsidR="00057590">
        <w:t xml:space="preserve"> and </w:t>
      </w:r>
      <w:r w:rsidR="006F3B55">
        <w:t>details for other parameters</w:t>
      </w:r>
      <w:r w:rsidR="001452DD">
        <w:t>,</w:t>
      </w:r>
      <w:r w:rsidR="00AD4978">
        <w:t xml:space="preserve"> such </w:t>
      </w:r>
      <w:r w:rsidR="00AA32C2">
        <w:t xml:space="preserve">as </w:t>
      </w:r>
      <w:r w:rsidR="00954BB3">
        <w:t xml:space="preserve">maximum permissible power, </w:t>
      </w:r>
      <w:r w:rsidR="00AA32C2">
        <w:t xml:space="preserve">FCC ID, serial number, </w:t>
      </w:r>
      <w:r w:rsidR="0068285C">
        <w:t xml:space="preserve">and </w:t>
      </w:r>
      <w:r w:rsidR="00AA32C2">
        <w:t>antenna gain, beamwidth, orientation, and elevation.</w:t>
      </w:r>
      <w:r>
        <w:rPr>
          <w:rStyle w:val="FootnoteReference"/>
        </w:rPr>
        <w:footnoteReference w:id="34"/>
      </w:r>
      <w:r w:rsidR="00AA32C2">
        <w:t xml:space="preserve">  </w:t>
      </w:r>
      <w:r w:rsidR="0033767D">
        <w:t>FWCC request</w:t>
      </w:r>
      <w:r w:rsidR="0016342B">
        <w:t>s</w:t>
      </w:r>
      <w:r w:rsidR="0033767D">
        <w:t xml:space="preserve"> that AFC operators </w:t>
      </w:r>
      <w:r w:rsidR="0016342B">
        <w:t xml:space="preserve">adopt </w:t>
      </w:r>
      <w:r w:rsidR="0033767D">
        <w:t xml:space="preserve">protocols to verify </w:t>
      </w:r>
      <w:r w:rsidR="0016342B">
        <w:t xml:space="preserve">that </w:t>
      </w:r>
      <w:r w:rsidR="00573534">
        <w:t xml:space="preserve">the </w:t>
      </w:r>
      <w:r w:rsidR="0033767D">
        <w:t>location data reported by standard-power devices is correct</w:t>
      </w:r>
      <w:r w:rsidR="006526FE">
        <w:t>,</w:t>
      </w:r>
      <w:r w:rsidR="0033767D">
        <w:t xml:space="preserve"> such as checking that the location is in the United States, or </w:t>
      </w:r>
      <w:r w:rsidR="00C7160F">
        <w:t xml:space="preserve">to </w:t>
      </w:r>
      <w:r w:rsidR="0033767D">
        <w:t xml:space="preserve">identify devices that change location repeatedly and rapidly, </w:t>
      </w:r>
      <w:r w:rsidR="008B00CD">
        <w:t xml:space="preserve">are excessively concentrated, or </w:t>
      </w:r>
      <w:r w:rsidR="001452DD">
        <w:t xml:space="preserve">are </w:t>
      </w:r>
      <w:r w:rsidR="008B00CD">
        <w:t>located in a way inconsistent with terrain.</w:t>
      </w:r>
      <w:r>
        <w:rPr>
          <w:rStyle w:val="FootnoteReference"/>
        </w:rPr>
        <w:footnoteReference w:id="35"/>
      </w:r>
      <w:r w:rsidR="008B00CD">
        <w:t xml:space="preserve">  </w:t>
      </w:r>
      <w:r w:rsidR="00425EFA">
        <w:t xml:space="preserve">APCO </w:t>
      </w:r>
      <w:r w:rsidR="009B2397">
        <w:t xml:space="preserve">states </w:t>
      </w:r>
      <w:r w:rsidR="00425EFA">
        <w:t>that the applications do not address how compliance with the geolocation requirements for standard-power devices will be</w:t>
      </w:r>
      <w:r w:rsidR="00E17602">
        <w:t xml:space="preserve"> </w:t>
      </w:r>
      <w:r w:rsidR="00425EFA">
        <w:t>evaluated and how AFC operators will account for inaccurate uncertainty estimates.</w:t>
      </w:r>
      <w:r>
        <w:rPr>
          <w:rStyle w:val="FootnoteReference"/>
        </w:rPr>
        <w:footnoteReference w:id="36"/>
      </w:r>
      <w:r w:rsidR="00425EFA">
        <w:t xml:space="preserve">  </w:t>
      </w:r>
    </w:p>
    <w:p w:rsidR="004B13DF" w:rsidP="00CC7CD8" w14:paraId="5988AA6D" w14:textId="6D53D6B6">
      <w:pPr>
        <w:pStyle w:val="ParaNum"/>
        <w:tabs>
          <w:tab w:val="clear" w:pos="1080"/>
          <w:tab w:val="num" w:pos="1440"/>
        </w:tabs>
      </w:pPr>
      <w:r>
        <w:t xml:space="preserve">We decline to delay the conditional approval of </w:t>
      </w:r>
      <w:r w:rsidR="006E2911">
        <w:t xml:space="preserve">the </w:t>
      </w:r>
      <w:r>
        <w:t xml:space="preserve">proposed AFC systems because of perceived insufficiencies in industry-developed test plans for standard-power devices.  </w:t>
      </w:r>
      <w:r w:rsidR="00380829">
        <w:t xml:space="preserve">Because the </w:t>
      </w:r>
      <w:r w:rsidR="00E74A2B">
        <w:t>AFC system applicants are not manufacturers of standard-power devices</w:t>
      </w:r>
      <w:r w:rsidR="00B25981">
        <w:t>,</w:t>
      </w:r>
      <w:r w:rsidR="00E74A2B">
        <w:t xml:space="preserve"> it </w:t>
      </w:r>
      <w:r w:rsidR="0008363D">
        <w:t xml:space="preserve">is </w:t>
      </w:r>
      <w:r w:rsidR="00413334">
        <w:t xml:space="preserve">not </w:t>
      </w:r>
      <w:r w:rsidR="008938DD">
        <w:t xml:space="preserve">within their purview </w:t>
      </w:r>
      <w:r w:rsidR="00413334">
        <w:t xml:space="preserve">to </w:t>
      </w:r>
      <w:r w:rsidR="00E74A2B">
        <w:t>demonstrate how standard-power devices will comply with the Commission’s rules or describe how these devices will be tested</w:t>
      </w:r>
      <w:r w:rsidR="00BF0CC8">
        <w:t>; that function falls to the Commission’s equipment approval process.</w:t>
      </w:r>
      <w:r w:rsidR="00380829">
        <w:t xml:space="preserve">  </w:t>
      </w:r>
      <w:r w:rsidR="00413334">
        <w:t>Under the Commission’s rules</w:t>
      </w:r>
      <w:r w:rsidR="001452DD">
        <w:t>,</w:t>
      </w:r>
      <w:r w:rsidR="00413334">
        <w:t xml:space="preserve"> s</w:t>
      </w:r>
      <w:r w:rsidR="00E74A2B">
        <w:t xml:space="preserve">tandard-power devices </w:t>
      </w:r>
      <w:r w:rsidR="00CC445F">
        <w:t xml:space="preserve">are </w:t>
      </w:r>
      <w:r w:rsidR="00E74A2B">
        <w:t xml:space="preserve">required to </w:t>
      </w:r>
      <w:r w:rsidR="004E569B">
        <w:t>be tested by an FCC-recognized accredited lab</w:t>
      </w:r>
      <w:r w:rsidR="00194D93">
        <w:t xml:space="preserve"> and approved by a Telecommunication Certification Body</w:t>
      </w:r>
      <w:r w:rsidR="00417F9E">
        <w:t>.</w:t>
      </w:r>
      <w:r>
        <w:rPr>
          <w:rStyle w:val="FootnoteReference"/>
        </w:rPr>
        <w:footnoteReference w:id="37"/>
      </w:r>
      <w:r w:rsidR="00417F9E">
        <w:t xml:space="preserve"> </w:t>
      </w:r>
      <w:r w:rsidR="002D7826">
        <w:t xml:space="preserve"> The equipment approval process will ensure that standard power devices </w:t>
      </w:r>
      <w:r w:rsidR="009E6423">
        <w:t>comply with the requirements cited by commenters.</w:t>
      </w:r>
      <w:r w:rsidR="00413334">
        <w:t xml:space="preserve">  The </w:t>
      </w:r>
      <w:r w:rsidR="00EC478D">
        <w:t>details</w:t>
      </w:r>
      <w:r w:rsidR="00413334">
        <w:t xml:space="preserve"> of </w:t>
      </w:r>
      <w:r w:rsidR="00075C07">
        <w:t xml:space="preserve">such </w:t>
      </w:r>
      <w:r w:rsidR="00413334">
        <w:t xml:space="preserve">testing will be specified by OET and will not necessarily </w:t>
      </w:r>
      <w:r>
        <w:t>follow the approach set forth</w:t>
      </w:r>
      <w:r w:rsidR="00413334">
        <w:t xml:space="preserve"> in the Wi-Fi Alliance AFC DUT Test Plan.  </w:t>
      </w:r>
    </w:p>
    <w:p w:rsidR="00632515" w:rsidP="00CC7CD8" w14:paraId="6B6CB7EE" w14:textId="03D263AD">
      <w:pPr>
        <w:pStyle w:val="ParaNum"/>
        <w:tabs>
          <w:tab w:val="clear" w:pos="1080"/>
          <w:tab w:val="num" w:pos="1440"/>
        </w:tabs>
      </w:pPr>
      <w:r>
        <w:t xml:space="preserve">Commenters </w:t>
      </w:r>
      <w:r w:rsidR="00F03C9D">
        <w:t xml:space="preserve">suggest that the AFC systems </w:t>
      </w:r>
      <w:r w:rsidR="00E7600D">
        <w:t xml:space="preserve">should </w:t>
      </w:r>
      <w:r w:rsidR="00F03C9D">
        <w:t>validate the data provided by the standard-power devices</w:t>
      </w:r>
      <w:r w:rsidR="00E7600D">
        <w:t>.  However</w:t>
      </w:r>
      <w:r w:rsidR="00F03C9D">
        <w:t xml:space="preserve">, </w:t>
      </w:r>
      <w:r w:rsidR="00FD32E2">
        <w:t xml:space="preserve">such </w:t>
      </w:r>
      <w:r w:rsidR="006D22F1">
        <w:t xml:space="preserve">validation by an AFC system is not always necessary </w:t>
      </w:r>
      <w:r w:rsidR="006767C9">
        <w:t xml:space="preserve">and </w:t>
      </w:r>
      <w:r w:rsidR="00F03C9D">
        <w:t xml:space="preserve">there are practical limitations </w:t>
      </w:r>
      <w:r w:rsidR="008E3B8D">
        <w:t xml:space="preserve">regarding the amount of validation </w:t>
      </w:r>
      <w:r w:rsidR="00B14F96">
        <w:t>an</w:t>
      </w:r>
      <w:r w:rsidR="00F03C9D">
        <w:t xml:space="preserve"> AFC system can actually accomplish.  </w:t>
      </w:r>
      <w:r w:rsidR="006767C9">
        <w:t xml:space="preserve">For example, </w:t>
      </w:r>
      <w:r w:rsidR="00B23AEC">
        <w:t xml:space="preserve">as a practical matter, </w:t>
      </w:r>
      <w:r w:rsidR="006767C9">
        <w:t xml:space="preserve">an </w:t>
      </w:r>
      <w:r w:rsidR="00F03C9D">
        <w:t xml:space="preserve">AFC system will </w:t>
      </w:r>
      <w:r w:rsidR="00AB6811">
        <w:t xml:space="preserve">not </w:t>
      </w:r>
      <w:r w:rsidR="00F03C9D">
        <w:t>general</w:t>
      </w:r>
      <w:r w:rsidR="00AB6811">
        <w:t>ly be able</w:t>
      </w:r>
      <w:r w:rsidR="00F03C9D">
        <w:t xml:space="preserve"> to determine </w:t>
      </w:r>
      <w:r w:rsidR="00185FD2">
        <w:t xml:space="preserve">if the </w:t>
      </w:r>
      <w:r w:rsidR="0020483D">
        <w:t>location estimate, height estimate, or FCC ID</w:t>
      </w:r>
      <w:r w:rsidR="00E510F0">
        <w:t xml:space="preserve"> provided by the </w:t>
      </w:r>
      <w:r w:rsidR="00B23AEC">
        <w:t>standard-</w:t>
      </w:r>
      <w:r w:rsidR="00440101">
        <w:t>power device is accurate</w:t>
      </w:r>
      <w:r w:rsidR="00F03C9D">
        <w:t xml:space="preserve">.  While the AFC systems </w:t>
      </w:r>
      <w:r w:rsidR="00D96DE3">
        <w:t xml:space="preserve">can </w:t>
      </w:r>
      <w:r w:rsidR="00F03C9D">
        <w:t xml:space="preserve">conduct </w:t>
      </w:r>
      <w:r w:rsidR="00B14F96">
        <w:t>e</w:t>
      </w:r>
      <w:r w:rsidR="00F03C9D">
        <w:t xml:space="preserve">rror </w:t>
      </w:r>
      <w:r w:rsidR="00B23AEC">
        <w:t xml:space="preserve">checks </w:t>
      </w:r>
      <w:r w:rsidR="00F03C9D">
        <w:t xml:space="preserve">for </w:t>
      </w:r>
      <w:r w:rsidR="0083735A">
        <w:t>some parameters</w:t>
      </w:r>
      <w:r w:rsidR="00F03C9D">
        <w:t>, such as checking whether the reported location is within the United States,</w:t>
      </w:r>
      <w:r>
        <w:rPr>
          <w:rStyle w:val="FootnoteReference"/>
        </w:rPr>
        <w:footnoteReference w:id="38"/>
      </w:r>
      <w:r w:rsidR="00F03C9D">
        <w:t xml:space="preserve"> </w:t>
      </w:r>
      <w:r w:rsidR="00207AAD">
        <w:t xml:space="preserve">others are not </w:t>
      </w:r>
      <w:r w:rsidR="00557FA1">
        <w:t xml:space="preserve">able to be checked and the AFC system </w:t>
      </w:r>
      <w:r w:rsidR="00365DB1">
        <w:t>is dependent on the reliability of the data provided by each standard power device</w:t>
      </w:r>
      <w:r w:rsidR="00F03C9D">
        <w:t>.  Other suggestions</w:t>
      </w:r>
      <w:r w:rsidR="00B23AEC">
        <w:t>,</w:t>
      </w:r>
      <w:r w:rsidR="0020483D">
        <w:t xml:space="preserve"> such as checking whether </w:t>
      </w:r>
      <w:r w:rsidR="00B14F96">
        <w:t xml:space="preserve">standard-power </w:t>
      </w:r>
      <w:r w:rsidR="0020483D">
        <w:t>devices change location rapidly or are excessively concentrated</w:t>
      </w:r>
      <w:r w:rsidR="00B23AEC">
        <w:t>,</w:t>
      </w:r>
      <w:r w:rsidR="0020483D">
        <w:t xml:space="preserve"> </w:t>
      </w:r>
      <w:r w:rsidR="007F4CBB">
        <w:t xml:space="preserve">may be of limited utility </w:t>
      </w:r>
      <w:r w:rsidR="0020483D">
        <w:t>because the</w:t>
      </w:r>
      <w:r w:rsidR="003D460F">
        <w:t xml:space="preserve"> rules do </w:t>
      </w:r>
      <w:r w:rsidR="0020483D">
        <w:t>no</w:t>
      </w:r>
      <w:r w:rsidR="003D460F">
        <w:t>t</w:t>
      </w:r>
      <w:r w:rsidR="0020483D">
        <w:t xml:space="preserve"> </w:t>
      </w:r>
      <w:r w:rsidR="003D460F">
        <w:t xml:space="preserve">specify </w:t>
      </w:r>
      <w:r w:rsidR="0020483D">
        <w:t xml:space="preserve">limits on how frequently devices may be moved or on how many </w:t>
      </w:r>
      <w:r w:rsidR="00B23AEC">
        <w:t xml:space="preserve">may </w:t>
      </w:r>
      <w:r w:rsidR="0020483D">
        <w:t xml:space="preserve">be located in a particular area.  </w:t>
      </w:r>
      <w:r w:rsidR="003D460F">
        <w:t xml:space="preserve">Moreover, </w:t>
      </w:r>
      <w:r w:rsidR="001E0274">
        <w:t>when devices are moved, they are required</w:t>
      </w:r>
      <w:r w:rsidR="00F52D58">
        <w:t>, prior to operating,</w:t>
      </w:r>
      <w:r w:rsidR="001E0274">
        <w:t xml:space="preserve"> to obtain a new set of available frequencies </w:t>
      </w:r>
      <w:r w:rsidR="00F52D58">
        <w:t xml:space="preserve">for their location.  </w:t>
      </w:r>
      <w:r w:rsidR="007E2B39">
        <w:t xml:space="preserve">As noted, </w:t>
      </w:r>
      <w:r w:rsidR="00B23AEC">
        <w:t>standard-</w:t>
      </w:r>
      <w:r w:rsidR="00460486">
        <w:t xml:space="preserve">power devices </w:t>
      </w:r>
      <w:r w:rsidR="00B86742">
        <w:t xml:space="preserve">will </w:t>
      </w:r>
      <w:r w:rsidR="00460486">
        <w:t xml:space="preserve">be thoroughly tested </w:t>
      </w:r>
      <w:r w:rsidR="00357A08">
        <w:t xml:space="preserve">during the </w:t>
      </w:r>
      <w:r w:rsidR="00B86742">
        <w:t xml:space="preserve">certification </w:t>
      </w:r>
      <w:r w:rsidR="00357A08">
        <w:t xml:space="preserve">process; this testing will </w:t>
      </w:r>
      <w:r w:rsidR="006C5B34">
        <w:t xml:space="preserve">ensure </w:t>
      </w:r>
      <w:r w:rsidR="003C687D">
        <w:t>that</w:t>
      </w:r>
      <w:r w:rsidR="00B86742">
        <w:t xml:space="preserve"> th</w:t>
      </w:r>
      <w:r w:rsidR="00960712">
        <w:t xml:space="preserve">e </w:t>
      </w:r>
      <w:r w:rsidR="00960712">
        <w:t>standard-power devices provide reliable</w:t>
      </w:r>
      <w:r w:rsidR="00B86742">
        <w:t xml:space="preserve"> </w:t>
      </w:r>
      <w:r w:rsidR="006C5B34">
        <w:t>information</w:t>
      </w:r>
      <w:r w:rsidR="00FB6676">
        <w:t xml:space="preserve"> to the AFC systems</w:t>
      </w:r>
      <w:r w:rsidR="00B86742">
        <w:t xml:space="preserve">.  </w:t>
      </w:r>
    </w:p>
    <w:p w:rsidR="00A63DF1" w:rsidP="00CC7CD8" w14:paraId="4865CA9C" w14:textId="7F7EE390">
      <w:pPr>
        <w:pStyle w:val="ParaNum"/>
        <w:tabs>
          <w:tab w:val="clear" w:pos="1080"/>
          <w:tab w:val="num" w:pos="1440"/>
        </w:tabs>
      </w:pPr>
      <w:r>
        <w:t xml:space="preserve">Regarding </w:t>
      </w:r>
      <w:r w:rsidR="00425EFA">
        <w:t xml:space="preserve">APCO and </w:t>
      </w:r>
      <w:r>
        <w:t xml:space="preserve">Verizon’s concern </w:t>
      </w:r>
      <w:r w:rsidR="00A1196F">
        <w:t xml:space="preserve">for </w:t>
      </w:r>
      <w:r w:rsidR="00425EFA">
        <w:t xml:space="preserve">how the AFC operators will account for the uncertainty of </w:t>
      </w:r>
      <w:r w:rsidR="00244679">
        <w:t xml:space="preserve">the </w:t>
      </w:r>
      <w:r w:rsidR="00425EFA">
        <w:t xml:space="preserve">location estimates, </w:t>
      </w:r>
      <w:r w:rsidR="0037392C">
        <w:t xml:space="preserve">we note that </w:t>
      </w:r>
      <w:r w:rsidR="00425EFA">
        <w:t xml:space="preserve">the AFC applicants have addressed this issue in their supplemental filings.  </w:t>
      </w:r>
      <w:r w:rsidR="00244679">
        <w:t>The Commission</w:t>
      </w:r>
      <w:r w:rsidR="00A044FE">
        <w:t>’s</w:t>
      </w:r>
      <w:r w:rsidR="00244679">
        <w:t xml:space="preserve"> rules require that standard-power devices report </w:t>
      </w:r>
      <w:r w:rsidR="003C4722">
        <w:t xml:space="preserve">their geographic location </w:t>
      </w:r>
      <w:r w:rsidR="00FC634D">
        <w:t>and location uncertainty, with a confidence level of 95%, to the AFC system.</w:t>
      </w:r>
      <w:r>
        <w:rPr>
          <w:rStyle w:val="FootnoteReference"/>
        </w:rPr>
        <w:footnoteReference w:id="39"/>
      </w:r>
      <w:r w:rsidR="00FC634D">
        <w:t xml:space="preserve">  </w:t>
      </w:r>
      <w:r w:rsidR="00A16FB7">
        <w:t>Qualcomm</w:t>
      </w:r>
      <w:r w:rsidR="00233A8E">
        <w:t>,</w:t>
      </w:r>
      <w:r w:rsidR="00A16FB7">
        <w:t xml:space="preserve"> </w:t>
      </w:r>
      <w:r w:rsidR="00156152">
        <w:t>Wi-Fi Alliance</w:t>
      </w:r>
      <w:r w:rsidR="00233A8E">
        <w:t xml:space="preserve">, </w:t>
      </w:r>
      <w:r w:rsidR="003C6265">
        <w:t>Comsearch</w:t>
      </w:r>
      <w:r w:rsidR="003C6265">
        <w:t xml:space="preserve">, </w:t>
      </w:r>
      <w:r w:rsidR="00244679">
        <w:t>R</w:t>
      </w:r>
      <w:r w:rsidR="00E473E6">
        <w:t>ED</w:t>
      </w:r>
      <w:r w:rsidR="00244679">
        <w:t xml:space="preserve"> Technologies, </w:t>
      </w:r>
      <w:r w:rsidR="00233A8E">
        <w:t>and Federated</w:t>
      </w:r>
      <w:r w:rsidR="00156152">
        <w:t xml:space="preserve"> </w:t>
      </w:r>
      <w:r w:rsidR="00E473E6">
        <w:t xml:space="preserve">Wireless </w:t>
      </w:r>
      <w:r w:rsidR="00A16FB7">
        <w:t xml:space="preserve">indicate </w:t>
      </w:r>
      <w:r w:rsidR="00D542F4">
        <w:t xml:space="preserve">that </w:t>
      </w:r>
      <w:r w:rsidR="00A16FB7">
        <w:t>the</w:t>
      </w:r>
      <w:r w:rsidR="00E473E6">
        <w:t>ir</w:t>
      </w:r>
      <w:r w:rsidR="005C0217">
        <w:t xml:space="preserve"> AFC system</w:t>
      </w:r>
      <w:r w:rsidR="00E473E6">
        <w:t>s</w:t>
      </w:r>
      <w:r w:rsidR="00A16FB7">
        <w:t xml:space="preserve"> will </w:t>
      </w:r>
      <w:r w:rsidR="00B0782F">
        <w:t>perform interference calculations at a grid of points</w:t>
      </w:r>
      <w:r w:rsidR="003E392C">
        <w:t xml:space="preserve"> that are </w:t>
      </w:r>
      <w:r w:rsidR="00AE0228">
        <w:t xml:space="preserve">no greater than </w:t>
      </w:r>
      <w:r w:rsidR="00156152">
        <w:t>1</w:t>
      </w:r>
      <w:r w:rsidR="001069E6">
        <w:t xml:space="preserve"> arc-second </w:t>
      </w:r>
      <w:r w:rsidR="00156152">
        <w:t>(les</w:t>
      </w:r>
      <w:r w:rsidR="001069E6">
        <w:t xml:space="preserve">s than </w:t>
      </w:r>
      <w:r w:rsidR="003E392C">
        <w:t>30 meters</w:t>
      </w:r>
      <w:r w:rsidR="001069E6">
        <w:t>)</w:t>
      </w:r>
      <w:r w:rsidR="003E392C">
        <w:t xml:space="preserve"> apart in the horizontal plane and </w:t>
      </w:r>
      <w:r w:rsidR="005D592F">
        <w:t>5-meter</w:t>
      </w:r>
      <w:r w:rsidR="005C056F">
        <w:t>s</w:t>
      </w:r>
      <w:r w:rsidR="005D592F">
        <w:t xml:space="preserve"> </w:t>
      </w:r>
      <w:r w:rsidR="005C056F">
        <w:t>i</w:t>
      </w:r>
      <w:r w:rsidR="005D592F">
        <w:t xml:space="preserve">n elevation within the </w:t>
      </w:r>
      <w:r w:rsidR="007E6F9F">
        <w:t xml:space="preserve">reported uncertainty region and will </w:t>
      </w:r>
      <w:r w:rsidR="00B14DFF">
        <w:t>determine frequency availability using the most restrictive point.</w:t>
      </w:r>
      <w:r>
        <w:rPr>
          <w:rStyle w:val="FootnoteReference"/>
        </w:rPr>
        <w:footnoteReference w:id="40"/>
      </w:r>
      <w:r w:rsidR="00B14DFF">
        <w:t xml:space="preserve">  </w:t>
      </w:r>
      <w:r w:rsidR="00D16B15">
        <w:t xml:space="preserve">Other AFC system applicants describe similar techniques </w:t>
      </w:r>
      <w:r w:rsidR="00034573">
        <w:t>without describing the grid spacing in both the horizontal and vertical planes.</w:t>
      </w:r>
      <w:r>
        <w:rPr>
          <w:rStyle w:val="FootnoteReference"/>
        </w:rPr>
        <w:footnoteReference w:id="41"/>
      </w:r>
      <w:r w:rsidR="00034573">
        <w:t xml:space="preserve">  </w:t>
      </w:r>
      <w:r w:rsidR="005C056F">
        <w:t>The remaining</w:t>
      </w:r>
      <w:r w:rsidR="00034573">
        <w:t xml:space="preserve"> AFC system applicants state </w:t>
      </w:r>
      <w:r w:rsidR="00D542F4">
        <w:t xml:space="preserve">that </w:t>
      </w:r>
      <w:r w:rsidR="00034573">
        <w:t xml:space="preserve">they will use the method being developed by the </w:t>
      </w:r>
      <w:r w:rsidR="00034573">
        <w:t>WinnForum</w:t>
      </w:r>
      <w:r w:rsidR="002512CA">
        <w:t xml:space="preserve">, which appears to be identical to </w:t>
      </w:r>
      <w:r w:rsidR="00E05DD5">
        <w:t xml:space="preserve">the </w:t>
      </w:r>
      <w:r>
        <w:t xml:space="preserve">method </w:t>
      </w:r>
      <w:r w:rsidR="00E05DD5">
        <w:t>described by Qualcom</w:t>
      </w:r>
      <w:r w:rsidR="005D25EF">
        <w:t>m</w:t>
      </w:r>
      <w:r w:rsidR="00E05DD5">
        <w:t>, the Wi-Fi Alliance</w:t>
      </w:r>
      <w:r w:rsidR="00E473E6">
        <w:t>, RED Technologies, and Federated Wireless</w:t>
      </w:r>
      <w:r w:rsidR="00D542F4">
        <w:t>,</w:t>
      </w:r>
      <w:r w:rsidR="00E473E6">
        <w:t xml:space="preserve"> </w:t>
      </w:r>
      <w:r>
        <w:t>according to the descriptions given</w:t>
      </w:r>
      <w:r w:rsidR="00A420B1">
        <w:t xml:space="preserve"> by the applicants</w:t>
      </w:r>
      <w:r>
        <w:t>.</w:t>
      </w:r>
      <w:r>
        <w:rPr>
          <w:rStyle w:val="FootnoteReference"/>
        </w:rPr>
        <w:footnoteReference w:id="42"/>
      </w:r>
    </w:p>
    <w:p w:rsidR="00B86742" w:rsidP="00CC7CD8" w14:paraId="1CF19928" w14:textId="394690BB">
      <w:pPr>
        <w:pStyle w:val="ParaNum"/>
        <w:tabs>
          <w:tab w:val="clear" w:pos="1080"/>
          <w:tab w:val="num" w:pos="1440"/>
        </w:tabs>
      </w:pPr>
      <w:r>
        <w:t>We find that</w:t>
      </w:r>
      <w:r w:rsidR="005310FB">
        <w:t xml:space="preserve"> the </w:t>
      </w:r>
      <w:r w:rsidR="00CE6488">
        <w:t xml:space="preserve">described </w:t>
      </w:r>
      <w:r w:rsidR="005310FB">
        <w:t>method</w:t>
      </w:r>
      <w:r w:rsidR="00C64336">
        <w:t xml:space="preserve"> to</w:t>
      </w:r>
      <w:r w:rsidR="00E9696E">
        <w:t xml:space="preserve"> </w:t>
      </w:r>
      <w:r w:rsidR="005310FB">
        <w:t xml:space="preserve">account </w:t>
      </w:r>
      <w:r w:rsidR="00C64336">
        <w:t xml:space="preserve">for </w:t>
      </w:r>
      <w:r w:rsidR="005310FB">
        <w:t>location uncertainty</w:t>
      </w:r>
      <w:r w:rsidR="00D72EAF">
        <w:t>, which involves making interference calculations at a grid of points in the region of uncertainty,</w:t>
      </w:r>
      <w:r w:rsidR="005310FB">
        <w:t xml:space="preserve"> is an appropriate approach.  </w:t>
      </w:r>
      <w:r w:rsidR="00E13E2D">
        <w:t xml:space="preserve">OET </w:t>
      </w:r>
      <w:r w:rsidR="005847DD">
        <w:t>will</w:t>
      </w:r>
      <w:r w:rsidR="00E13E2D">
        <w:t xml:space="preserve"> review th</w:t>
      </w:r>
      <w:r w:rsidR="00930718">
        <w:t xml:space="preserve">e specification </w:t>
      </w:r>
      <w:r w:rsidR="00F40BEB">
        <w:t xml:space="preserve">that </w:t>
      </w:r>
      <w:r w:rsidR="00F40BEB">
        <w:t>WinnForum</w:t>
      </w:r>
      <w:r w:rsidR="00F40BEB">
        <w:t xml:space="preserve"> is developing on this subject</w:t>
      </w:r>
      <w:r w:rsidR="00EA0380">
        <w:t xml:space="preserve"> to ensure it is appropriate</w:t>
      </w:r>
      <w:r w:rsidR="0086189E">
        <w:t xml:space="preserve"> once it is finalized</w:t>
      </w:r>
      <w:r w:rsidR="00EA0380">
        <w:t xml:space="preserve">. </w:t>
      </w:r>
      <w:r w:rsidR="00E13E2D">
        <w:t xml:space="preserve"> </w:t>
      </w:r>
      <w:r w:rsidR="00E71EAB">
        <w:t xml:space="preserve">Also, as with other </w:t>
      </w:r>
      <w:r w:rsidR="00953F00">
        <w:t>requirements, adherence to our rules will be verified during the testing process.</w:t>
      </w:r>
    </w:p>
    <w:p w:rsidR="004D6DB7" w:rsidP="004D6DB7" w14:paraId="532EE058" w14:textId="0AA25884">
      <w:pPr>
        <w:pStyle w:val="Heading3"/>
      </w:pPr>
      <w:r>
        <w:t>Testing</w:t>
      </w:r>
    </w:p>
    <w:p w:rsidR="004B66C1" w:rsidP="004D6DB7" w14:paraId="7B6C1D9E" w14:textId="156E3ECC">
      <w:pPr>
        <w:pStyle w:val="ParaNum"/>
      </w:pPr>
      <w:r>
        <w:t xml:space="preserve">AT&amp;T, </w:t>
      </w:r>
      <w:r w:rsidR="00836CD7">
        <w:t>Verizon, UTC/EEI, and FWCC</w:t>
      </w:r>
      <w:r w:rsidR="000479A6">
        <w:t xml:space="preserve"> criticize the AFC applications for not providing details of how the AFC systems will be tested.</w:t>
      </w:r>
      <w:r>
        <w:rPr>
          <w:rStyle w:val="FootnoteReference"/>
        </w:rPr>
        <w:footnoteReference w:id="43"/>
      </w:r>
      <w:r w:rsidR="000479A6">
        <w:t xml:space="preserve">  </w:t>
      </w:r>
      <w:r w:rsidR="006F0A55">
        <w:t>For lab testing</w:t>
      </w:r>
      <w:r w:rsidR="00355ED0">
        <w:t>,</w:t>
      </w:r>
      <w:r w:rsidR="006F0A55">
        <w:t xml:space="preserve"> </w:t>
      </w:r>
      <w:r w:rsidR="00835FBC">
        <w:t xml:space="preserve">AT&amp;T </w:t>
      </w:r>
      <w:r w:rsidR="003C63A0">
        <w:t xml:space="preserve">suggests that AFC system applicants provide details on the application </w:t>
      </w:r>
      <w:r w:rsidR="00D06DB8">
        <w:t>programming interface (API) to be used for the test, any registration requirements to use the API</w:t>
      </w:r>
      <w:r w:rsidR="00374E35">
        <w:t xml:space="preserve">, the test scripts, </w:t>
      </w:r>
      <w:r w:rsidR="007254DA">
        <w:t xml:space="preserve">and </w:t>
      </w:r>
      <w:r w:rsidR="00B875F3">
        <w:t>a log of modifications to the AFC systems made during the test</w:t>
      </w:r>
      <w:r w:rsidR="007254DA">
        <w:t>.</w:t>
      </w:r>
      <w:r>
        <w:rPr>
          <w:rStyle w:val="FootnoteReference"/>
        </w:rPr>
        <w:footnoteReference w:id="44"/>
      </w:r>
      <w:r w:rsidR="007254DA">
        <w:t xml:space="preserve">  For fi</w:t>
      </w:r>
      <w:r w:rsidR="00643E93">
        <w:t>eld testing</w:t>
      </w:r>
      <w:r w:rsidR="00EE0E9C">
        <w:t>,</w:t>
      </w:r>
      <w:r w:rsidR="00643E93">
        <w:t xml:space="preserve"> AT&amp;T ask</w:t>
      </w:r>
      <w:r w:rsidR="00EE0E9C">
        <w:t>s</w:t>
      </w:r>
      <w:r w:rsidR="00643E93">
        <w:t xml:space="preserve"> that the AFC system applications contain </w:t>
      </w:r>
      <w:r w:rsidR="00335368">
        <w:t>a description of the test locations, standard-power devices to be used</w:t>
      </w:r>
      <w:r w:rsidR="00236F20">
        <w:t>, coordination requirements for each location,</w:t>
      </w:r>
      <w:r w:rsidR="005D43E3">
        <w:t xml:space="preserve"> test scripts, and a </w:t>
      </w:r>
      <w:r>
        <w:t>log of modifications made to the AFC system during the field trials.</w:t>
      </w:r>
      <w:r>
        <w:rPr>
          <w:rStyle w:val="FootnoteReference"/>
        </w:rPr>
        <w:footnoteReference w:id="45"/>
      </w:r>
      <w:r>
        <w:t xml:space="preserve">  </w:t>
      </w:r>
      <w:r w:rsidR="0036118B">
        <w:t xml:space="preserve">AT&amp;T </w:t>
      </w:r>
      <w:r w:rsidR="0036118B">
        <w:t>also suggests that</w:t>
      </w:r>
      <w:r w:rsidR="00C859BC">
        <w:t xml:space="preserve"> AFC system applicants be prepared to </w:t>
      </w:r>
      <w:r w:rsidR="00D47AC7">
        <w:t xml:space="preserve">offer coordination to standard-power devices for interested parties to conduct </w:t>
      </w:r>
      <w:r w:rsidR="003A2E2D">
        <w:t>testing anywhere in the United States.</w:t>
      </w:r>
      <w:r>
        <w:rPr>
          <w:rStyle w:val="FootnoteReference"/>
        </w:rPr>
        <w:footnoteReference w:id="46"/>
      </w:r>
      <w:r w:rsidR="003A2E2D">
        <w:t xml:space="preserve">  </w:t>
      </w:r>
      <w:r w:rsidR="00FC53F2">
        <w:t xml:space="preserve">Verizon </w:t>
      </w:r>
      <w:r w:rsidR="000E1862">
        <w:t>suggest</w:t>
      </w:r>
      <w:r w:rsidR="002462F1">
        <w:t>s</w:t>
      </w:r>
      <w:r w:rsidR="00357661">
        <w:t xml:space="preserve"> selecting one or more representative real-world microwave links </w:t>
      </w:r>
      <w:r w:rsidR="007429E1">
        <w:t>for testing purposes</w:t>
      </w:r>
      <w:r w:rsidR="00C96841">
        <w:t xml:space="preserve"> and that stakeholders should be able to exercise the AFC systems to determine if the results meet expectations.</w:t>
      </w:r>
      <w:r>
        <w:rPr>
          <w:rStyle w:val="FootnoteReference"/>
        </w:rPr>
        <w:footnoteReference w:id="47"/>
      </w:r>
      <w:r w:rsidR="00C96841">
        <w:t xml:space="preserve">  </w:t>
      </w:r>
      <w:r w:rsidR="009775EA">
        <w:t>UTC/EEI</w:t>
      </w:r>
      <w:r w:rsidR="00523E69">
        <w:t xml:space="preserve"> </w:t>
      </w:r>
      <w:r w:rsidR="00442D6F">
        <w:t xml:space="preserve">insist that incumbent licensees must </w:t>
      </w:r>
      <w:r w:rsidR="002C09B5">
        <w:t xml:space="preserve">be </w:t>
      </w:r>
      <w:r w:rsidR="00442D6F">
        <w:t>allowed full transparency into the operation of the AFC systems th</w:t>
      </w:r>
      <w:r w:rsidR="00DD4930">
        <w:t xml:space="preserve">rough field and lab testing and that access </w:t>
      </w:r>
      <w:r w:rsidR="00F7715F">
        <w:t xml:space="preserve">to </w:t>
      </w:r>
      <w:r w:rsidR="002C09B5">
        <w:t xml:space="preserve">an </w:t>
      </w:r>
      <w:r w:rsidR="00F7715F">
        <w:t>API, where a black box generates some results, is insufficient.</w:t>
      </w:r>
      <w:r>
        <w:rPr>
          <w:rStyle w:val="FootnoteReference"/>
        </w:rPr>
        <w:footnoteReference w:id="48"/>
      </w:r>
      <w:r w:rsidR="003329F3">
        <w:t xml:space="preserve">  </w:t>
      </w:r>
      <w:r w:rsidR="00E1765C">
        <w:t>UTC/EEI ask</w:t>
      </w:r>
      <w:r w:rsidR="00FE06B1">
        <w:t>s</w:t>
      </w:r>
      <w:r w:rsidR="00E1765C">
        <w:t xml:space="preserve"> OET to establish detailed field and lab test requirements that </w:t>
      </w:r>
      <w:r w:rsidR="00EB09EA">
        <w:t xml:space="preserve">allow </w:t>
      </w:r>
      <w:r w:rsidR="00E1765C">
        <w:t>all parties visibility</w:t>
      </w:r>
      <w:r w:rsidR="00B74914">
        <w:t xml:space="preserve"> in</w:t>
      </w:r>
      <w:r w:rsidR="003443DE">
        <w:t>to</w:t>
      </w:r>
      <w:r w:rsidR="00B74914">
        <w:t xml:space="preserve"> the operation of the AFC systems and that agreement by all potential AFC ope</w:t>
      </w:r>
      <w:r w:rsidR="00EB09EA">
        <w:t>ra</w:t>
      </w:r>
      <w:r w:rsidR="00B74914">
        <w:t xml:space="preserve">tors to </w:t>
      </w:r>
      <w:r w:rsidR="003329F3">
        <w:t>this testing protocol should be required.</w:t>
      </w:r>
      <w:r>
        <w:rPr>
          <w:rStyle w:val="FootnoteReference"/>
        </w:rPr>
        <w:footnoteReference w:id="49"/>
      </w:r>
      <w:r w:rsidR="003329F3">
        <w:t xml:space="preserve">  </w:t>
      </w:r>
      <w:r w:rsidR="00EB09EA">
        <w:t xml:space="preserve">FWCC </w:t>
      </w:r>
      <w:r w:rsidR="00DA3CE8">
        <w:t>ask</w:t>
      </w:r>
      <w:r w:rsidR="00FE06B1">
        <w:t>s</w:t>
      </w:r>
      <w:r w:rsidR="00271593">
        <w:t xml:space="preserve"> that details of the proposed testing be provided</w:t>
      </w:r>
      <w:r w:rsidR="004A1F01">
        <w:t xml:space="preserve"> in advance to allow interested parties </w:t>
      </w:r>
      <w:r w:rsidR="00BE1E05">
        <w:t>to propose additional test</w:t>
      </w:r>
      <w:r w:rsidR="00B9605B">
        <w:t>ing, if necessary</w:t>
      </w:r>
      <w:r w:rsidR="0059428E">
        <w:t>,</w:t>
      </w:r>
      <w:r w:rsidR="00DA3CE8">
        <w:t xml:space="preserve"> and </w:t>
      </w:r>
      <w:r w:rsidR="00617CFA">
        <w:t xml:space="preserve">suggests that </w:t>
      </w:r>
      <w:r w:rsidR="0059428E">
        <w:t>the Commission</w:t>
      </w:r>
      <w:r w:rsidR="002C09B5">
        <w:t xml:space="preserve"> </w:t>
      </w:r>
      <w:r w:rsidR="00380B07">
        <w:t xml:space="preserve">use the </w:t>
      </w:r>
      <w:r w:rsidRPr="00132FB9" w:rsidR="00656B46">
        <w:t xml:space="preserve">spectrum access system </w:t>
      </w:r>
      <w:r w:rsidR="00656B46">
        <w:t>(</w:t>
      </w:r>
      <w:r w:rsidR="00380B07">
        <w:t>SAS</w:t>
      </w:r>
      <w:r w:rsidR="00656B46">
        <w:t>)</w:t>
      </w:r>
      <w:r w:rsidR="00380B07">
        <w:t xml:space="preserve"> </w:t>
      </w:r>
      <w:r w:rsidR="00825B60">
        <w:t>t</w:t>
      </w:r>
      <w:r w:rsidR="00380B07">
        <w:t xml:space="preserve">esting requirements </w:t>
      </w:r>
      <w:r w:rsidR="00E235E1">
        <w:t xml:space="preserve">from </w:t>
      </w:r>
      <w:r w:rsidR="00380B07">
        <w:t xml:space="preserve">the </w:t>
      </w:r>
      <w:r w:rsidRPr="005F2179" w:rsidR="005F2179">
        <w:t>Citizens Broadband Radio Service</w:t>
      </w:r>
      <w:r w:rsidR="005F2179">
        <w:t xml:space="preserve"> (</w:t>
      </w:r>
      <w:r w:rsidR="00380B07">
        <w:t>CBRS</w:t>
      </w:r>
      <w:r w:rsidR="005F2179">
        <w:t>)</w:t>
      </w:r>
      <w:r w:rsidR="00380B07">
        <w:t xml:space="preserve"> band as a guide</w:t>
      </w:r>
      <w:r w:rsidR="00283840">
        <w:t xml:space="preserve"> to the AFC system testing.</w:t>
      </w:r>
      <w:r>
        <w:rPr>
          <w:rStyle w:val="FootnoteReference"/>
        </w:rPr>
        <w:footnoteReference w:id="50"/>
      </w:r>
      <w:r w:rsidR="00380B07">
        <w:t xml:space="preserve"> </w:t>
      </w:r>
      <w:r w:rsidR="007670BF">
        <w:t xml:space="preserve"> </w:t>
      </w:r>
    </w:p>
    <w:p w:rsidR="004D6DB7" w:rsidRPr="00CC3606" w:rsidP="004D6DB7" w14:paraId="3F71289E" w14:textId="013C54FD">
      <w:pPr>
        <w:pStyle w:val="ParaNum"/>
      </w:pPr>
      <w:r>
        <w:t>The</w:t>
      </w:r>
      <w:r w:rsidRPr="007621FD" w:rsidR="00E56A21">
        <w:rPr>
          <w:szCs w:val="22"/>
        </w:rPr>
        <w:t xml:space="preserve"> AFC system applicants </w:t>
      </w:r>
      <w:r w:rsidR="0029246B">
        <w:rPr>
          <w:szCs w:val="22"/>
        </w:rPr>
        <w:t>are</w:t>
      </w:r>
      <w:r w:rsidRPr="007621FD">
        <w:rPr>
          <w:szCs w:val="22"/>
        </w:rPr>
        <w:t xml:space="preserve"> not responsible for</w:t>
      </w:r>
      <w:r w:rsidRPr="007621FD" w:rsidR="00E56A21">
        <w:rPr>
          <w:szCs w:val="22"/>
        </w:rPr>
        <w:t xml:space="preserve"> creat</w:t>
      </w:r>
      <w:r w:rsidRPr="007621FD">
        <w:rPr>
          <w:szCs w:val="22"/>
        </w:rPr>
        <w:t>ing</w:t>
      </w:r>
      <w:r w:rsidRPr="007621FD" w:rsidR="00E56A21">
        <w:rPr>
          <w:szCs w:val="22"/>
        </w:rPr>
        <w:t xml:space="preserve"> the testing process</w:t>
      </w:r>
      <w:r w:rsidR="00E56A21">
        <w:t xml:space="preserve"> </w:t>
      </w:r>
      <w:r>
        <w:t>or for</w:t>
      </w:r>
      <w:r w:rsidR="00E56A21">
        <w:t xml:space="preserve"> describ</w:t>
      </w:r>
      <w:r>
        <w:t>ing</w:t>
      </w:r>
      <w:r w:rsidR="00E56A21">
        <w:t xml:space="preserve"> how testing </w:t>
      </w:r>
      <w:r w:rsidR="00C842A0">
        <w:t xml:space="preserve">will </w:t>
      </w:r>
      <w:r w:rsidR="00E56A21">
        <w:t>be conducted.  Instead, t</w:t>
      </w:r>
      <w:r w:rsidR="001B7857">
        <w:t xml:space="preserve">he Commission in the </w:t>
      </w:r>
      <w:r w:rsidRPr="007621FD" w:rsidR="001B7857">
        <w:rPr>
          <w:i/>
          <w:iCs/>
          <w:szCs w:val="22"/>
        </w:rPr>
        <w:t xml:space="preserve">6 GHz Report and Order </w:t>
      </w:r>
      <w:r w:rsidRPr="007621FD" w:rsidR="001B7857">
        <w:rPr>
          <w:szCs w:val="22"/>
        </w:rPr>
        <w:t>tasked OET with conducting a review process for AFC systems that includes testing</w:t>
      </w:r>
      <w:r w:rsidR="00130917">
        <w:rPr>
          <w:szCs w:val="22"/>
        </w:rPr>
        <w:t xml:space="preserve"> and we have</w:t>
      </w:r>
      <w:r w:rsidR="00026F12">
        <w:rPr>
          <w:szCs w:val="22"/>
        </w:rPr>
        <w:t xml:space="preserve"> </w:t>
      </w:r>
      <w:r w:rsidR="001E6C95">
        <w:rPr>
          <w:szCs w:val="22"/>
        </w:rPr>
        <w:t xml:space="preserve">required the AFC system applicants to conduct testing </w:t>
      </w:r>
      <w:r w:rsidR="00EB78B7">
        <w:rPr>
          <w:szCs w:val="22"/>
        </w:rPr>
        <w:t>as</w:t>
      </w:r>
      <w:r w:rsidR="00F63DF8">
        <w:rPr>
          <w:szCs w:val="22"/>
        </w:rPr>
        <w:t xml:space="preserve"> a requirement of their conditional approval</w:t>
      </w:r>
      <w:r w:rsidRPr="007621FD" w:rsidR="001B7857">
        <w:rPr>
          <w:szCs w:val="22"/>
        </w:rPr>
        <w:t>.</w:t>
      </w:r>
      <w:r>
        <w:rPr>
          <w:rStyle w:val="FootnoteReference"/>
          <w:szCs w:val="22"/>
        </w:rPr>
        <w:footnoteReference w:id="51"/>
      </w:r>
      <w:r w:rsidRPr="007621FD" w:rsidR="00E56A21">
        <w:rPr>
          <w:szCs w:val="22"/>
        </w:rPr>
        <w:t xml:space="preserve">  </w:t>
      </w:r>
      <w:r w:rsidR="00C07F6E">
        <w:rPr>
          <w:szCs w:val="22"/>
        </w:rPr>
        <w:t>Therefore</w:t>
      </w:r>
      <w:r w:rsidRPr="007621FD" w:rsidR="00E56A21">
        <w:rPr>
          <w:szCs w:val="22"/>
        </w:rPr>
        <w:t xml:space="preserve">, OET </w:t>
      </w:r>
      <w:r w:rsidR="00E235E1">
        <w:rPr>
          <w:szCs w:val="22"/>
        </w:rPr>
        <w:t>will</w:t>
      </w:r>
      <w:r w:rsidRPr="007621FD" w:rsidR="00E56A21">
        <w:rPr>
          <w:szCs w:val="22"/>
        </w:rPr>
        <w:t xml:space="preserve"> </w:t>
      </w:r>
      <w:r w:rsidR="00567C48">
        <w:rPr>
          <w:szCs w:val="22"/>
        </w:rPr>
        <w:t>issue guidance on</w:t>
      </w:r>
      <w:r w:rsidRPr="007621FD" w:rsidR="00E56A21">
        <w:rPr>
          <w:szCs w:val="22"/>
        </w:rPr>
        <w:t xml:space="preserve"> a testing process for the conditionally approved AFC systems </w:t>
      </w:r>
      <w:r w:rsidR="00534037">
        <w:rPr>
          <w:szCs w:val="22"/>
        </w:rPr>
        <w:t>that</w:t>
      </w:r>
      <w:r w:rsidRPr="007621FD" w:rsidR="00534037">
        <w:rPr>
          <w:szCs w:val="22"/>
        </w:rPr>
        <w:t xml:space="preserve"> </w:t>
      </w:r>
      <w:r w:rsidRPr="007621FD">
        <w:rPr>
          <w:szCs w:val="22"/>
        </w:rPr>
        <w:t>AFC systems</w:t>
      </w:r>
      <w:r w:rsidRPr="007621FD" w:rsidR="00E56A21">
        <w:rPr>
          <w:szCs w:val="22"/>
        </w:rPr>
        <w:t xml:space="preserve"> will have to </w:t>
      </w:r>
      <w:r w:rsidRPr="007621FD">
        <w:rPr>
          <w:szCs w:val="22"/>
        </w:rPr>
        <w:t>successfully complete</w:t>
      </w:r>
      <w:r w:rsidRPr="007621FD" w:rsidR="00E56A21">
        <w:rPr>
          <w:szCs w:val="22"/>
        </w:rPr>
        <w:t xml:space="preserve"> before </w:t>
      </w:r>
      <w:r w:rsidRPr="007621FD">
        <w:rPr>
          <w:szCs w:val="22"/>
        </w:rPr>
        <w:t>being</w:t>
      </w:r>
      <w:r w:rsidRPr="007621FD" w:rsidR="00E56A21">
        <w:rPr>
          <w:szCs w:val="22"/>
        </w:rPr>
        <w:t xml:space="preserve"> approved for commercial operations.  </w:t>
      </w:r>
      <w:r w:rsidR="008204C3">
        <w:rPr>
          <w:szCs w:val="22"/>
        </w:rPr>
        <w:t xml:space="preserve">Consequently, the fact that the AFC </w:t>
      </w:r>
      <w:r w:rsidR="007A069A">
        <w:rPr>
          <w:szCs w:val="22"/>
        </w:rPr>
        <w:t xml:space="preserve">system </w:t>
      </w:r>
      <w:r w:rsidR="008204C3">
        <w:rPr>
          <w:szCs w:val="22"/>
        </w:rPr>
        <w:t xml:space="preserve">applicants have provided </w:t>
      </w:r>
      <w:r w:rsidR="00E65747">
        <w:rPr>
          <w:szCs w:val="22"/>
        </w:rPr>
        <w:t xml:space="preserve">little details on testing is not a reason to delay </w:t>
      </w:r>
      <w:r w:rsidR="00534037">
        <w:rPr>
          <w:szCs w:val="22"/>
        </w:rPr>
        <w:t xml:space="preserve">the conditional approval of </w:t>
      </w:r>
      <w:r w:rsidR="006E2911">
        <w:rPr>
          <w:szCs w:val="22"/>
        </w:rPr>
        <w:t xml:space="preserve">the proposed </w:t>
      </w:r>
      <w:r w:rsidR="004A2204">
        <w:rPr>
          <w:szCs w:val="22"/>
        </w:rPr>
        <w:t>AFC system</w:t>
      </w:r>
      <w:r w:rsidR="00534037">
        <w:rPr>
          <w:szCs w:val="22"/>
        </w:rPr>
        <w:t>s</w:t>
      </w:r>
      <w:r w:rsidR="007A069A">
        <w:rPr>
          <w:szCs w:val="22"/>
        </w:rPr>
        <w:t xml:space="preserve">.  </w:t>
      </w:r>
    </w:p>
    <w:p w:rsidR="00CC3606" w:rsidRPr="0084731B" w:rsidP="004D6DB7" w14:paraId="69AB4011" w14:textId="068FB4AD">
      <w:pPr>
        <w:pStyle w:val="ParaNum"/>
      </w:pPr>
      <w:r>
        <w:rPr>
          <w:szCs w:val="22"/>
        </w:rPr>
        <w:t xml:space="preserve">Industry efforts, including from </w:t>
      </w:r>
      <w:r w:rsidR="00E6663D">
        <w:rPr>
          <w:szCs w:val="22"/>
        </w:rPr>
        <w:t xml:space="preserve">WFA </w:t>
      </w:r>
      <w:r w:rsidR="00492ABF">
        <w:rPr>
          <w:szCs w:val="22"/>
        </w:rPr>
        <w:t xml:space="preserve">and </w:t>
      </w:r>
      <w:r w:rsidR="00492ABF">
        <w:rPr>
          <w:szCs w:val="22"/>
        </w:rPr>
        <w:t>WinnForum</w:t>
      </w:r>
      <w:r w:rsidR="008A3069">
        <w:rPr>
          <w:szCs w:val="22"/>
        </w:rPr>
        <w:t>,</w:t>
      </w:r>
      <w:r w:rsidR="00492ABF">
        <w:rPr>
          <w:szCs w:val="22"/>
        </w:rPr>
        <w:t xml:space="preserve"> </w:t>
      </w:r>
      <w:r w:rsidR="00AC5720">
        <w:rPr>
          <w:szCs w:val="22"/>
        </w:rPr>
        <w:t xml:space="preserve">are focused on </w:t>
      </w:r>
      <w:r w:rsidR="00BE3B81">
        <w:rPr>
          <w:szCs w:val="22"/>
        </w:rPr>
        <w:t xml:space="preserve">creating </w:t>
      </w:r>
      <w:r w:rsidR="00DF77EB">
        <w:rPr>
          <w:szCs w:val="22"/>
        </w:rPr>
        <w:t>a</w:t>
      </w:r>
      <w:r w:rsidR="004926E3">
        <w:rPr>
          <w:szCs w:val="22"/>
        </w:rPr>
        <w:t>n AFC system</w:t>
      </w:r>
      <w:r w:rsidR="00DF77EB">
        <w:rPr>
          <w:szCs w:val="22"/>
        </w:rPr>
        <w:t xml:space="preserve"> lab test plan </w:t>
      </w:r>
      <w:r w:rsidR="003443DE">
        <w:rPr>
          <w:szCs w:val="22"/>
        </w:rPr>
        <w:t xml:space="preserve">and test vectors </w:t>
      </w:r>
      <w:r w:rsidR="004926E3">
        <w:rPr>
          <w:szCs w:val="22"/>
        </w:rPr>
        <w:t xml:space="preserve">as well as developing criteria </w:t>
      </w:r>
      <w:r w:rsidR="00DF77EB">
        <w:rPr>
          <w:szCs w:val="22"/>
        </w:rPr>
        <w:t xml:space="preserve">and a process for approving </w:t>
      </w:r>
      <w:r w:rsidR="00506F60">
        <w:rPr>
          <w:szCs w:val="22"/>
        </w:rPr>
        <w:t>test labs.</w:t>
      </w:r>
      <w:r>
        <w:rPr>
          <w:rStyle w:val="FootnoteReference"/>
          <w:szCs w:val="22"/>
        </w:rPr>
        <w:footnoteReference w:id="52"/>
      </w:r>
      <w:r w:rsidR="00506F60">
        <w:rPr>
          <w:szCs w:val="22"/>
        </w:rPr>
        <w:t xml:space="preserve">  </w:t>
      </w:r>
      <w:r w:rsidR="001C506F">
        <w:rPr>
          <w:szCs w:val="22"/>
        </w:rPr>
        <w:t>Because this input can be valuable in guiding the Commission</w:t>
      </w:r>
      <w:r w:rsidR="00FB5D90">
        <w:rPr>
          <w:szCs w:val="22"/>
        </w:rPr>
        <w:t xml:space="preserve">, </w:t>
      </w:r>
      <w:r w:rsidR="00BE40DB">
        <w:rPr>
          <w:szCs w:val="22"/>
        </w:rPr>
        <w:t>we will not specify a</w:t>
      </w:r>
      <w:r w:rsidR="000262F5">
        <w:rPr>
          <w:szCs w:val="22"/>
        </w:rPr>
        <w:t xml:space="preserve"> plan </w:t>
      </w:r>
      <w:r w:rsidR="00BC412D">
        <w:rPr>
          <w:szCs w:val="22"/>
        </w:rPr>
        <w:t>for testing the AFC systems at this time</w:t>
      </w:r>
      <w:r w:rsidR="00FB5D90">
        <w:rPr>
          <w:szCs w:val="22"/>
        </w:rPr>
        <w:t xml:space="preserve"> as we await</w:t>
      </w:r>
      <w:r w:rsidR="00A0336E">
        <w:rPr>
          <w:szCs w:val="22"/>
        </w:rPr>
        <w:t xml:space="preserve"> these groups to finalize their work in this area</w:t>
      </w:r>
      <w:r w:rsidR="00BC412D">
        <w:rPr>
          <w:szCs w:val="22"/>
        </w:rPr>
        <w:t xml:space="preserve">.  </w:t>
      </w:r>
      <w:r w:rsidR="002904F4">
        <w:rPr>
          <w:szCs w:val="22"/>
        </w:rPr>
        <w:t xml:space="preserve">While we will give due consideration to </w:t>
      </w:r>
      <w:r w:rsidR="00B81255">
        <w:rPr>
          <w:szCs w:val="22"/>
        </w:rPr>
        <w:t xml:space="preserve">suggestions regarding lab </w:t>
      </w:r>
      <w:r w:rsidR="002904F4">
        <w:rPr>
          <w:szCs w:val="22"/>
        </w:rPr>
        <w:t>test</w:t>
      </w:r>
      <w:r w:rsidR="00B81255">
        <w:rPr>
          <w:szCs w:val="22"/>
        </w:rPr>
        <w:t xml:space="preserve">ing </w:t>
      </w:r>
      <w:r w:rsidR="002904F4">
        <w:rPr>
          <w:szCs w:val="22"/>
        </w:rPr>
        <w:t>developed by industry</w:t>
      </w:r>
      <w:r w:rsidR="00E4534E">
        <w:rPr>
          <w:szCs w:val="22"/>
        </w:rPr>
        <w:t xml:space="preserve">, we emphasize that </w:t>
      </w:r>
      <w:r w:rsidR="00296CCB">
        <w:rPr>
          <w:szCs w:val="22"/>
        </w:rPr>
        <w:t xml:space="preserve">a final </w:t>
      </w:r>
      <w:r w:rsidR="00E4534E">
        <w:rPr>
          <w:szCs w:val="22"/>
        </w:rPr>
        <w:t xml:space="preserve">test plan </w:t>
      </w:r>
      <w:r w:rsidR="00296CCB">
        <w:rPr>
          <w:szCs w:val="22"/>
        </w:rPr>
        <w:t xml:space="preserve">is subject to </w:t>
      </w:r>
      <w:r w:rsidR="00D668FB">
        <w:rPr>
          <w:szCs w:val="22"/>
        </w:rPr>
        <w:t>our approval</w:t>
      </w:r>
      <w:r w:rsidR="008A3069">
        <w:rPr>
          <w:szCs w:val="22"/>
        </w:rPr>
        <w:t>,</w:t>
      </w:r>
      <w:r w:rsidR="00D668FB">
        <w:rPr>
          <w:szCs w:val="22"/>
        </w:rPr>
        <w:t xml:space="preserve"> which is contingent on our satisfaction </w:t>
      </w:r>
      <w:r w:rsidR="00E4534E">
        <w:rPr>
          <w:szCs w:val="22"/>
        </w:rPr>
        <w:t>that it provides</w:t>
      </w:r>
      <w:r w:rsidR="00D668FB">
        <w:rPr>
          <w:szCs w:val="22"/>
        </w:rPr>
        <w:t xml:space="preserve"> </w:t>
      </w:r>
      <w:r w:rsidR="00A10E0F">
        <w:rPr>
          <w:szCs w:val="22"/>
        </w:rPr>
        <w:t xml:space="preserve">a </w:t>
      </w:r>
      <w:r w:rsidR="00D668FB">
        <w:rPr>
          <w:szCs w:val="22"/>
        </w:rPr>
        <w:t>comprehensive and</w:t>
      </w:r>
      <w:r w:rsidR="00E4534E">
        <w:rPr>
          <w:szCs w:val="22"/>
        </w:rPr>
        <w:t xml:space="preserve"> appropriate </w:t>
      </w:r>
      <w:r w:rsidR="00A10E0F">
        <w:rPr>
          <w:szCs w:val="22"/>
        </w:rPr>
        <w:t xml:space="preserve">AFC </w:t>
      </w:r>
      <w:r w:rsidR="00E4534E">
        <w:rPr>
          <w:szCs w:val="22"/>
        </w:rPr>
        <w:t>test</w:t>
      </w:r>
      <w:r w:rsidR="00A10E0F">
        <w:rPr>
          <w:szCs w:val="22"/>
        </w:rPr>
        <w:t xml:space="preserve"> process</w:t>
      </w:r>
      <w:r w:rsidR="00E4534E">
        <w:rPr>
          <w:szCs w:val="22"/>
        </w:rPr>
        <w:t xml:space="preserve">.  </w:t>
      </w:r>
      <w:r w:rsidR="00586AE4">
        <w:rPr>
          <w:szCs w:val="22"/>
        </w:rPr>
        <w:t xml:space="preserve"> </w:t>
      </w:r>
    </w:p>
    <w:p w:rsidR="003B5865" w:rsidP="004D6DB7" w14:paraId="4DC33ED3" w14:textId="104816D4">
      <w:pPr>
        <w:pStyle w:val="ParaNum"/>
      </w:pPr>
      <w:r>
        <w:t xml:space="preserve">APCO </w:t>
      </w:r>
      <w:r w:rsidR="00351C9F">
        <w:t xml:space="preserve">request that the Commission </w:t>
      </w:r>
      <w:r w:rsidR="00644C92">
        <w:t xml:space="preserve">suspend the rules permitting unlicensed operations in the 6 GHz band </w:t>
      </w:r>
      <w:r w:rsidR="002F0297">
        <w:t xml:space="preserve">and conduct a rulemaking as </w:t>
      </w:r>
      <w:r w:rsidR="00EC0E05">
        <w:t>requested</w:t>
      </w:r>
      <w:r w:rsidR="002F0297">
        <w:t xml:space="preserve"> in</w:t>
      </w:r>
      <w:r>
        <w:t xml:space="preserve"> a </w:t>
      </w:r>
      <w:r w:rsidR="00552186">
        <w:t xml:space="preserve">Petition for Rulemaking and </w:t>
      </w:r>
      <w:r w:rsidR="00B16EDC">
        <w:t xml:space="preserve">a </w:t>
      </w:r>
      <w:r w:rsidR="00552186">
        <w:t xml:space="preserve">Request for Stay that </w:t>
      </w:r>
      <w:r w:rsidR="00F4719D">
        <w:t xml:space="preserve">it </w:t>
      </w:r>
      <w:r w:rsidR="00552186">
        <w:t>and other</w:t>
      </w:r>
      <w:r w:rsidR="00A84109">
        <w:t>s</w:t>
      </w:r>
      <w:r w:rsidR="00552186">
        <w:t xml:space="preserve"> filed</w:t>
      </w:r>
      <w:r w:rsidR="002F0297">
        <w:t>.</w:t>
      </w:r>
      <w:r>
        <w:rPr>
          <w:rStyle w:val="FootnoteReference"/>
        </w:rPr>
        <w:footnoteReference w:id="53"/>
      </w:r>
      <w:r w:rsidR="002F0297">
        <w:t xml:space="preserve"> </w:t>
      </w:r>
      <w:r w:rsidR="001A6994">
        <w:t xml:space="preserve"> </w:t>
      </w:r>
      <w:r w:rsidR="003F374C">
        <w:t>According to APCO, t</w:t>
      </w:r>
      <w:r w:rsidR="00600200">
        <w:t>hat petition and request</w:t>
      </w:r>
      <w:r w:rsidR="00FE5EC1">
        <w:t xml:space="preserve"> claim</w:t>
      </w:r>
      <w:r w:rsidR="001A6994">
        <w:t xml:space="preserve"> that real-world testing has shown that the assumptions in the </w:t>
      </w:r>
      <w:r w:rsidRPr="004A2D91" w:rsidR="001A6994">
        <w:rPr>
          <w:i/>
          <w:iCs/>
          <w:szCs w:val="22"/>
        </w:rPr>
        <w:t>6 GHz Report and Order</w:t>
      </w:r>
      <w:r w:rsidR="001A6994">
        <w:rPr>
          <w:i/>
          <w:iCs/>
          <w:szCs w:val="22"/>
        </w:rPr>
        <w:t xml:space="preserve"> </w:t>
      </w:r>
      <w:r w:rsidR="001C7018">
        <w:rPr>
          <w:szCs w:val="22"/>
        </w:rPr>
        <w:t xml:space="preserve">regarding the risk of interference occurring </w:t>
      </w:r>
      <w:r w:rsidR="0071037F">
        <w:rPr>
          <w:szCs w:val="22"/>
        </w:rPr>
        <w:t>are incorrect</w:t>
      </w:r>
      <w:r w:rsidR="002324F2">
        <w:rPr>
          <w:szCs w:val="22"/>
        </w:rPr>
        <w:t>.</w:t>
      </w:r>
      <w:r>
        <w:rPr>
          <w:rStyle w:val="FootnoteReference"/>
          <w:szCs w:val="22"/>
        </w:rPr>
        <w:footnoteReference w:id="54"/>
      </w:r>
      <w:r w:rsidR="002324F2">
        <w:rPr>
          <w:szCs w:val="22"/>
        </w:rPr>
        <w:t xml:space="preserve">  While APCO acknowledges that </w:t>
      </w:r>
      <w:r w:rsidR="00FA72FF">
        <w:rPr>
          <w:szCs w:val="22"/>
        </w:rPr>
        <w:t xml:space="preserve">its </w:t>
      </w:r>
      <w:r w:rsidR="00A61370">
        <w:rPr>
          <w:szCs w:val="22"/>
        </w:rPr>
        <w:t>petition re</w:t>
      </w:r>
      <w:r w:rsidR="004C6471">
        <w:rPr>
          <w:szCs w:val="22"/>
        </w:rPr>
        <w:t>lies on</w:t>
      </w:r>
      <w:r w:rsidR="00A61370">
        <w:rPr>
          <w:szCs w:val="22"/>
        </w:rPr>
        <w:t xml:space="preserve"> low-power indoor device</w:t>
      </w:r>
      <w:r w:rsidR="00ED2B2E">
        <w:rPr>
          <w:szCs w:val="22"/>
        </w:rPr>
        <w:t xml:space="preserve"> testing</w:t>
      </w:r>
      <w:r w:rsidR="00A61370">
        <w:rPr>
          <w:szCs w:val="22"/>
        </w:rPr>
        <w:t xml:space="preserve">, </w:t>
      </w:r>
      <w:r w:rsidR="00ED2B2E">
        <w:rPr>
          <w:szCs w:val="22"/>
        </w:rPr>
        <w:t xml:space="preserve">it </w:t>
      </w:r>
      <w:r w:rsidR="00A61370">
        <w:rPr>
          <w:szCs w:val="22"/>
        </w:rPr>
        <w:t>claim</w:t>
      </w:r>
      <w:r w:rsidR="00ED2B2E">
        <w:rPr>
          <w:szCs w:val="22"/>
        </w:rPr>
        <w:t>s</w:t>
      </w:r>
      <w:r w:rsidR="00A61370">
        <w:rPr>
          <w:szCs w:val="22"/>
        </w:rPr>
        <w:t xml:space="preserve"> </w:t>
      </w:r>
      <w:r w:rsidR="00ED2B2E">
        <w:rPr>
          <w:szCs w:val="22"/>
        </w:rPr>
        <w:t xml:space="preserve">that </w:t>
      </w:r>
      <w:r w:rsidR="00200A70">
        <w:rPr>
          <w:szCs w:val="22"/>
        </w:rPr>
        <w:t xml:space="preserve">the </w:t>
      </w:r>
      <w:r w:rsidR="00A61370">
        <w:rPr>
          <w:szCs w:val="22"/>
        </w:rPr>
        <w:t xml:space="preserve">testing calls into question the </w:t>
      </w:r>
      <w:r w:rsidR="008E496B">
        <w:rPr>
          <w:szCs w:val="22"/>
        </w:rPr>
        <w:t xml:space="preserve">assumptions </w:t>
      </w:r>
      <w:r w:rsidR="00CD501D">
        <w:rPr>
          <w:szCs w:val="22"/>
        </w:rPr>
        <w:t xml:space="preserve">made for the </w:t>
      </w:r>
      <w:r w:rsidR="00A61370">
        <w:rPr>
          <w:szCs w:val="22"/>
        </w:rPr>
        <w:t>risk of interference from standard-power devices as well</w:t>
      </w:r>
      <w:r w:rsidR="003D604E">
        <w:rPr>
          <w:szCs w:val="22"/>
        </w:rPr>
        <w:t>.</w:t>
      </w:r>
      <w:r>
        <w:rPr>
          <w:rStyle w:val="FootnoteReference"/>
        </w:rPr>
        <w:footnoteReference w:id="55"/>
      </w:r>
      <w:r w:rsidR="003D604E">
        <w:rPr>
          <w:szCs w:val="22"/>
        </w:rPr>
        <w:t xml:space="preserve">  </w:t>
      </w:r>
      <w:r w:rsidR="0031683B">
        <w:rPr>
          <w:szCs w:val="22"/>
        </w:rPr>
        <w:t xml:space="preserve">The Petition for Rulemaking and Request for Stay </w:t>
      </w:r>
      <w:r w:rsidR="00B16EDC">
        <w:rPr>
          <w:szCs w:val="22"/>
        </w:rPr>
        <w:t xml:space="preserve">refer </w:t>
      </w:r>
      <w:r w:rsidR="004F2049">
        <w:rPr>
          <w:szCs w:val="22"/>
        </w:rPr>
        <w:t>to</w:t>
      </w:r>
      <w:r w:rsidR="00417C72">
        <w:rPr>
          <w:szCs w:val="22"/>
        </w:rPr>
        <w:t xml:space="preserve"> </w:t>
      </w:r>
      <w:r w:rsidR="009E60F9">
        <w:rPr>
          <w:szCs w:val="22"/>
        </w:rPr>
        <w:t xml:space="preserve">low-power indoor device </w:t>
      </w:r>
      <w:r w:rsidR="00417C72">
        <w:rPr>
          <w:szCs w:val="22"/>
        </w:rPr>
        <w:t>testing conducted by Southern Company</w:t>
      </w:r>
      <w:r w:rsidR="00272C48">
        <w:rPr>
          <w:szCs w:val="22"/>
        </w:rPr>
        <w:t xml:space="preserve"> </w:t>
      </w:r>
      <w:r w:rsidR="00677E7B">
        <w:rPr>
          <w:szCs w:val="22"/>
        </w:rPr>
        <w:t xml:space="preserve">for such devices that are </w:t>
      </w:r>
      <w:r w:rsidR="00FE0C18">
        <w:rPr>
          <w:szCs w:val="22"/>
        </w:rPr>
        <w:t xml:space="preserve">located along the path of </w:t>
      </w:r>
      <w:r w:rsidR="00272C48">
        <w:rPr>
          <w:szCs w:val="22"/>
        </w:rPr>
        <w:t>a particular microwave link</w:t>
      </w:r>
      <w:r w:rsidR="00FE0C18">
        <w:rPr>
          <w:szCs w:val="22"/>
        </w:rPr>
        <w:t>.</w:t>
      </w:r>
      <w:r>
        <w:rPr>
          <w:rStyle w:val="FootnoteReference"/>
          <w:szCs w:val="22"/>
        </w:rPr>
        <w:footnoteReference w:id="56"/>
      </w:r>
      <w:r w:rsidR="00FE0C18">
        <w:rPr>
          <w:szCs w:val="22"/>
        </w:rPr>
        <w:t xml:space="preserve">  </w:t>
      </w:r>
      <w:r w:rsidR="00512708">
        <w:rPr>
          <w:szCs w:val="22"/>
        </w:rPr>
        <w:t xml:space="preserve">The record developed regarding </w:t>
      </w:r>
      <w:r w:rsidR="00341731">
        <w:rPr>
          <w:szCs w:val="22"/>
        </w:rPr>
        <w:t xml:space="preserve">the </w:t>
      </w:r>
      <w:r w:rsidR="00727503">
        <w:rPr>
          <w:szCs w:val="22"/>
        </w:rPr>
        <w:t xml:space="preserve">AFC system proposals does not provide any comments </w:t>
      </w:r>
      <w:r w:rsidR="00B16EDC">
        <w:rPr>
          <w:szCs w:val="22"/>
        </w:rPr>
        <w:t xml:space="preserve">that </w:t>
      </w:r>
      <w:r w:rsidR="00916923">
        <w:rPr>
          <w:szCs w:val="22"/>
        </w:rPr>
        <w:t xml:space="preserve">indicate </w:t>
      </w:r>
      <w:r w:rsidR="0078150A">
        <w:rPr>
          <w:szCs w:val="22"/>
        </w:rPr>
        <w:t xml:space="preserve">that </w:t>
      </w:r>
      <w:r w:rsidR="00FB1B4F">
        <w:rPr>
          <w:szCs w:val="22"/>
        </w:rPr>
        <w:t xml:space="preserve">an AFC system </w:t>
      </w:r>
      <w:r w:rsidR="00D10399">
        <w:rPr>
          <w:szCs w:val="22"/>
        </w:rPr>
        <w:t xml:space="preserve">using </w:t>
      </w:r>
      <w:r w:rsidR="007F44DB">
        <w:rPr>
          <w:szCs w:val="22"/>
        </w:rPr>
        <w:t xml:space="preserve">the </w:t>
      </w:r>
      <w:r w:rsidR="00D10399">
        <w:rPr>
          <w:szCs w:val="22"/>
        </w:rPr>
        <w:t xml:space="preserve">propagation models </w:t>
      </w:r>
      <w:r w:rsidR="007F44DB">
        <w:rPr>
          <w:szCs w:val="22"/>
        </w:rPr>
        <w:t xml:space="preserve">specified in </w:t>
      </w:r>
      <w:r w:rsidR="00FE308B">
        <w:rPr>
          <w:szCs w:val="22"/>
        </w:rPr>
        <w:t xml:space="preserve">the Commission’s rules </w:t>
      </w:r>
      <w:r w:rsidR="00FB1B4F">
        <w:rPr>
          <w:szCs w:val="22"/>
        </w:rPr>
        <w:t>would permit standard-power</w:t>
      </w:r>
      <w:r w:rsidR="00916923">
        <w:rPr>
          <w:szCs w:val="22"/>
        </w:rPr>
        <w:t xml:space="preserve"> </w:t>
      </w:r>
      <w:r w:rsidR="004F2049">
        <w:rPr>
          <w:szCs w:val="22"/>
        </w:rPr>
        <w:t xml:space="preserve">devices </w:t>
      </w:r>
      <w:r w:rsidR="001C3ED0">
        <w:rPr>
          <w:szCs w:val="22"/>
        </w:rPr>
        <w:t xml:space="preserve">to operate at any of </w:t>
      </w:r>
      <w:r w:rsidR="003949A0">
        <w:rPr>
          <w:szCs w:val="22"/>
        </w:rPr>
        <w:t>t</w:t>
      </w:r>
      <w:r w:rsidR="001C3ED0">
        <w:rPr>
          <w:szCs w:val="22"/>
        </w:rPr>
        <w:t xml:space="preserve">he locations </w:t>
      </w:r>
      <w:r w:rsidR="00DF3C5A">
        <w:rPr>
          <w:szCs w:val="22"/>
        </w:rPr>
        <w:t>at which th</w:t>
      </w:r>
      <w:r w:rsidR="00D8470B">
        <w:rPr>
          <w:szCs w:val="22"/>
        </w:rPr>
        <w:t>e Southern Company</w:t>
      </w:r>
      <w:r w:rsidR="00DF3C5A">
        <w:rPr>
          <w:szCs w:val="22"/>
        </w:rPr>
        <w:t xml:space="preserve"> testing was conducted</w:t>
      </w:r>
      <w:r w:rsidR="0014787F">
        <w:rPr>
          <w:szCs w:val="22"/>
        </w:rPr>
        <w:t xml:space="preserve"> or at the </w:t>
      </w:r>
      <w:r w:rsidR="001734B7">
        <w:rPr>
          <w:szCs w:val="22"/>
        </w:rPr>
        <w:t xml:space="preserve">device </w:t>
      </w:r>
      <w:r w:rsidR="0014787F">
        <w:rPr>
          <w:szCs w:val="22"/>
        </w:rPr>
        <w:t>power levels</w:t>
      </w:r>
      <w:r w:rsidR="003A27E0">
        <w:rPr>
          <w:szCs w:val="22"/>
        </w:rPr>
        <w:t xml:space="preserve"> used in the testing</w:t>
      </w:r>
      <w:r w:rsidR="00DF3C5A">
        <w:rPr>
          <w:szCs w:val="22"/>
        </w:rPr>
        <w:t xml:space="preserve">.  </w:t>
      </w:r>
      <w:r w:rsidR="001734B7">
        <w:rPr>
          <w:szCs w:val="22"/>
        </w:rPr>
        <w:t xml:space="preserve">Thus, the record lacks sufficient </w:t>
      </w:r>
      <w:r w:rsidR="00DF3C5A">
        <w:rPr>
          <w:szCs w:val="22"/>
        </w:rPr>
        <w:t>information to</w:t>
      </w:r>
      <w:r w:rsidR="003949A0">
        <w:rPr>
          <w:szCs w:val="22"/>
        </w:rPr>
        <w:t xml:space="preserve"> </w:t>
      </w:r>
      <w:r w:rsidR="007B75E8">
        <w:rPr>
          <w:szCs w:val="22"/>
        </w:rPr>
        <w:t xml:space="preserve">conclude that </w:t>
      </w:r>
      <w:r w:rsidR="00260157">
        <w:rPr>
          <w:szCs w:val="22"/>
        </w:rPr>
        <w:t xml:space="preserve">the </w:t>
      </w:r>
      <w:r w:rsidR="007B75E8">
        <w:rPr>
          <w:szCs w:val="22"/>
        </w:rPr>
        <w:t xml:space="preserve">Southern Company testing has any relevance </w:t>
      </w:r>
      <w:r w:rsidR="00260157">
        <w:rPr>
          <w:szCs w:val="22"/>
        </w:rPr>
        <w:t>regarding the eff</w:t>
      </w:r>
      <w:r w:rsidR="00102BBE">
        <w:rPr>
          <w:szCs w:val="22"/>
        </w:rPr>
        <w:t xml:space="preserve">ectiveness of the AFC systems in preventing </w:t>
      </w:r>
      <w:r w:rsidR="00C2402D">
        <w:rPr>
          <w:szCs w:val="22"/>
        </w:rPr>
        <w:t xml:space="preserve">harmful </w:t>
      </w:r>
      <w:r w:rsidR="00102BBE">
        <w:rPr>
          <w:szCs w:val="22"/>
        </w:rPr>
        <w:t xml:space="preserve">interference from occurring.  </w:t>
      </w:r>
      <w:r w:rsidR="00C26A95">
        <w:rPr>
          <w:szCs w:val="22"/>
        </w:rPr>
        <w:t>Therefore, we see no reason to pause the AFC system approval process based on the</w:t>
      </w:r>
      <w:r w:rsidR="000B59E0">
        <w:rPr>
          <w:szCs w:val="22"/>
        </w:rPr>
        <w:t xml:space="preserve"> Petition for Rulemaking and Request for Stay or the test results upon which they rely.  </w:t>
      </w:r>
      <w:r w:rsidR="00EB3BF0">
        <w:rPr>
          <w:szCs w:val="22"/>
        </w:rPr>
        <w:t>Moreover, we note that this issue is beyond the s</w:t>
      </w:r>
      <w:r w:rsidR="00FB54FC">
        <w:rPr>
          <w:szCs w:val="22"/>
        </w:rPr>
        <w:t>cope of this instant action</w:t>
      </w:r>
      <w:r w:rsidR="00B16EDC">
        <w:rPr>
          <w:szCs w:val="22"/>
        </w:rPr>
        <w:t>,</w:t>
      </w:r>
      <w:r w:rsidR="00FB54FC">
        <w:rPr>
          <w:szCs w:val="22"/>
        </w:rPr>
        <w:t xml:space="preserve"> which is </w:t>
      </w:r>
      <w:r w:rsidR="00D5625D">
        <w:rPr>
          <w:szCs w:val="22"/>
        </w:rPr>
        <w:t xml:space="preserve">solely focused on </w:t>
      </w:r>
      <w:r w:rsidR="00FB54FC">
        <w:rPr>
          <w:szCs w:val="22"/>
        </w:rPr>
        <w:t xml:space="preserve">whether to </w:t>
      </w:r>
      <w:r w:rsidR="009A4F5E">
        <w:rPr>
          <w:szCs w:val="22"/>
        </w:rPr>
        <w:t xml:space="preserve">conditionally approve AFC systems to implement the rules the Commission adopted.  </w:t>
      </w:r>
      <w:r w:rsidR="00272AF3">
        <w:rPr>
          <w:szCs w:val="22"/>
        </w:rPr>
        <w:t xml:space="preserve">The appropriate venue to address the service rules </w:t>
      </w:r>
      <w:r w:rsidR="00D5625D">
        <w:rPr>
          <w:szCs w:val="22"/>
        </w:rPr>
        <w:t xml:space="preserve">and the potential for a device to cause harmful interference </w:t>
      </w:r>
      <w:r w:rsidR="00272AF3">
        <w:rPr>
          <w:szCs w:val="22"/>
        </w:rPr>
        <w:t xml:space="preserve">is </w:t>
      </w:r>
      <w:r w:rsidR="00D5625D">
        <w:rPr>
          <w:szCs w:val="22"/>
        </w:rPr>
        <w:t>through the rulemaking process.</w:t>
      </w:r>
    </w:p>
    <w:p w:rsidR="004D6DB7" w:rsidP="004D6DB7" w14:paraId="36AA9EA2" w14:textId="04E847CA">
      <w:pPr>
        <w:pStyle w:val="Heading3"/>
      </w:pPr>
      <w:r>
        <w:t>Security</w:t>
      </w:r>
    </w:p>
    <w:p w:rsidR="003030F0" w:rsidRPr="00610AF2" w:rsidP="007D5FF3" w14:paraId="3A8F2670" w14:textId="38A079DD">
      <w:pPr>
        <w:pStyle w:val="ParaNum"/>
        <w:rPr>
          <w:szCs w:val="22"/>
        </w:rPr>
      </w:pPr>
      <w:r>
        <w:t>Several commenters raise issues related to AFC system</w:t>
      </w:r>
      <w:r w:rsidRPr="000531F0" w:rsidR="000531F0">
        <w:t xml:space="preserve"> </w:t>
      </w:r>
      <w:r w:rsidR="000531F0">
        <w:t>security</w:t>
      </w:r>
      <w:r>
        <w:t xml:space="preserve">, standard power device configuration, and the </w:t>
      </w:r>
      <w:r w:rsidR="007824F5">
        <w:t>connection</w:t>
      </w:r>
      <w:r>
        <w:t xml:space="preserve"> between the standard power device</w:t>
      </w:r>
      <w:r w:rsidR="007824F5">
        <w:t>s</w:t>
      </w:r>
      <w:r>
        <w:t xml:space="preserve"> and the </w:t>
      </w:r>
      <w:r w:rsidR="007824F5">
        <w:t xml:space="preserve">AFC </w:t>
      </w:r>
      <w:r>
        <w:t>system</w:t>
      </w:r>
      <w:r w:rsidR="007824F5">
        <w:t>s</w:t>
      </w:r>
      <w:r>
        <w:t xml:space="preserve">.  </w:t>
      </w:r>
      <w:r w:rsidRPr="00610AF2">
        <w:rPr>
          <w:szCs w:val="22"/>
        </w:rPr>
        <w:t>AT&amp;T</w:t>
      </w:r>
      <w:r w:rsidRPr="002E5231">
        <w:rPr>
          <w:szCs w:val="22"/>
        </w:rPr>
        <w:t xml:space="preserve"> claims that no applicant </w:t>
      </w:r>
      <w:r w:rsidRPr="002E5231" w:rsidR="00BE20FB">
        <w:rPr>
          <w:szCs w:val="22"/>
        </w:rPr>
        <w:t xml:space="preserve">has </w:t>
      </w:r>
      <w:r w:rsidRPr="002E5231">
        <w:rPr>
          <w:szCs w:val="22"/>
        </w:rPr>
        <w:t xml:space="preserve">addressed </w:t>
      </w:r>
      <w:r w:rsidRPr="002E5231" w:rsidR="00687EE2">
        <w:rPr>
          <w:szCs w:val="22"/>
        </w:rPr>
        <w:t xml:space="preserve">the </w:t>
      </w:r>
      <w:r w:rsidRPr="002E5231" w:rsidR="000A7AFE">
        <w:rPr>
          <w:szCs w:val="22"/>
        </w:rPr>
        <w:t xml:space="preserve">section </w:t>
      </w:r>
      <w:r w:rsidRPr="002E5231">
        <w:rPr>
          <w:szCs w:val="22"/>
        </w:rPr>
        <w:t>15.407(k)(8)(v)</w:t>
      </w:r>
      <w:r>
        <w:rPr>
          <w:rStyle w:val="FootnoteReference"/>
          <w:szCs w:val="22"/>
        </w:rPr>
        <w:footnoteReference w:id="57"/>
      </w:r>
      <w:r w:rsidRPr="002E5231">
        <w:rPr>
          <w:szCs w:val="22"/>
        </w:rPr>
        <w:t xml:space="preserve"> </w:t>
      </w:r>
      <w:r w:rsidRPr="002E5231" w:rsidR="00BE20FB">
        <w:rPr>
          <w:szCs w:val="22"/>
        </w:rPr>
        <w:t xml:space="preserve">requirement </w:t>
      </w:r>
      <w:r w:rsidRPr="002E5231" w:rsidR="000A7AFE">
        <w:rPr>
          <w:szCs w:val="22"/>
        </w:rPr>
        <w:t>that</w:t>
      </w:r>
      <w:r w:rsidRPr="002E5231">
        <w:rPr>
          <w:szCs w:val="22"/>
        </w:rPr>
        <w:t xml:space="preserve"> </w:t>
      </w:r>
      <w:r w:rsidRPr="002E5231" w:rsidR="008C333B">
        <w:rPr>
          <w:szCs w:val="22"/>
        </w:rPr>
        <w:t>standard-power devices</w:t>
      </w:r>
      <w:r w:rsidRPr="002E5231">
        <w:rPr>
          <w:szCs w:val="22"/>
        </w:rPr>
        <w:t xml:space="preserve"> incorporate security measures to prevent </w:t>
      </w:r>
      <w:r w:rsidRPr="002E5231" w:rsidR="000A7AFE">
        <w:rPr>
          <w:szCs w:val="22"/>
        </w:rPr>
        <w:t>the devices</w:t>
      </w:r>
      <w:r w:rsidRPr="002E5231">
        <w:rPr>
          <w:szCs w:val="22"/>
        </w:rPr>
        <w:t xml:space="preserve"> from a</w:t>
      </w:r>
      <w:r w:rsidRPr="002E5231" w:rsidR="00452529">
        <w:rPr>
          <w:szCs w:val="22"/>
        </w:rPr>
        <w:t>cc</w:t>
      </w:r>
      <w:r w:rsidRPr="002E5231">
        <w:rPr>
          <w:szCs w:val="22"/>
        </w:rPr>
        <w:t>essing AFC systems not approved by the FCC.</w:t>
      </w:r>
      <w:r>
        <w:rPr>
          <w:rStyle w:val="FootnoteReference"/>
          <w:szCs w:val="22"/>
        </w:rPr>
        <w:footnoteReference w:id="58"/>
      </w:r>
      <w:r w:rsidRPr="002E5231">
        <w:rPr>
          <w:szCs w:val="22"/>
        </w:rPr>
        <w:t xml:space="preserve">  </w:t>
      </w:r>
      <w:r w:rsidRPr="002E5231" w:rsidR="00424A7D">
        <w:rPr>
          <w:szCs w:val="22"/>
        </w:rPr>
        <w:t xml:space="preserve">AT&amp;T also points out that this requirement is not addressed in </w:t>
      </w:r>
      <w:r w:rsidRPr="002E5231" w:rsidR="00645FFB">
        <w:rPr>
          <w:szCs w:val="22"/>
        </w:rPr>
        <w:t xml:space="preserve">WFA’s </w:t>
      </w:r>
      <w:r w:rsidRPr="002E5231" w:rsidR="00424A7D">
        <w:rPr>
          <w:szCs w:val="22"/>
        </w:rPr>
        <w:t>standard-power device</w:t>
      </w:r>
      <w:r w:rsidRPr="002E5231" w:rsidR="00645FFB">
        <w:rPr>
          <w:szCs w:val="22"/>
        </w:rPr>
        <w:t xml:space="preserve"> test plan</w:t>
      </w:r>
      <w:r w:rsidRPr="002E5231" w:rsidR="00424A7D">
        <w:rPr>
          <w:szCs w:val="22"/>
        </w:rPr>
        <w:t>.</w:t>
      </w:r>
      <w:r>
        <w:rPr>
          <w:rStyle w:val="FootnoteReference"/>
          <w:szCs w:val="22"/>
        </w:rPr>
        <w:footnoteReference w:id="59"/>
      </w:r>
      <w:r w:rsidRPr="002E5231" w:rsidR="00424A7D">
        <w:rPr>
          <w:szCs w:val="22"/>
        </w:rPr>
        <w:t xml:space="preserve">  </w:t>
      </w:r>
      <w:r w:rsidRPr="002E5231">
        <w:rPr>
          <w:szCs w:val="22"/>
        </w:rPr>
        <w:t xml:space="preserve">According to AT&amp;T, if AFC systems can be spoofed, </w:t>
      </w:r>
      <w:r w:rsidRPr="002E5231" w:rsidR="0065694A">
        <w:rPr>
          <w:szCs w:val="22"/>
        </w:rPr>
        <w:t>the microwave links</w:t>
      </w:r>
      <w:r w:rsidRPr="002E5231">
        <w:rPr>
          <w:szCs w:val="22"/>
        </w:rPr>
        <w:t xml:space="preserve"> will have no protection.</w:t>
      </w:r>
      <w:r>
        <w:rPr>
          <w:rStyle w:val="FootnoteReference"/>
          <w:szCs w:val="22"/>
        </w:rPr>
        <w:footnoteReference w:id="60"/>
      </w:r>
      <w:r w:rsidRPr="002E5231">
        <w:rPr>
          <w:szCs w:val="22"/>
        </w:rPr>
        <w:t xml:space="preserve">  AT&amp;T also </w:t>
      </w:r>
      <w:r w:rsidRPr="002E5231" w:rsidR="0097327D">
        <w:rPr>
          <w:szCs w:val="22"/>
        </w:rPr>
        <w:t xml:space="preserve">complains </w:t>
      </w:r>
      <w:r w:rsidRPr="002E5231">
        <w:rPr>
          <w:szCs w:val="22"/>
        </w:rPr>
        <w:t xml:space="preserve">that </w:t>
      </w:r>
      <w:r w:rsidRPr="002E5231" w:rsidR="0097327D">
        <w:rPr>
          <w:szCs w:val="22"/>
        </w:rPr>
        <w:t xml:space="preserve">while </w:t>
      </w:r>
      <w:r w:rsidRPr="002E5231" w:rsidR="008505DF">
        <w:rPr>
          <w:szCs w:val="22"/>
        </w:rPr>
        <w:t>WFA’s</w:t>
      </w:r>
      <w:r w:rsidRPr="002E5231" w:rsidR="008815D9">
        <w:rPr>
          <w:szCs w:val="22"/>
        </w:rPr>
        <w:t xml:space="preserve"> </w:t>
      </w:r>
      <w:r w:rsidRPr="002E5231">
        <w:rPr>
          <w:szCs w:val="22"/>
        </w:rPr>
        <w:t xml:space="preserve">“Device Interface Specification” </w:t>
      </w:r>
      <w:r w:rsidRPr="002E5231" w:rsidR="0097327D">
        <w:rPr>
          <w:szCs w:val="22"/>
        </w:rPr>
        <w:t>provides that</w:t>
      </w:r>
      <w:r w:rsidRPr="002E5231">
        <w:rPr>
          <w:szCs w:val="22"/>
        </w:rPr>
        <w:t xml:space="preserve"> AFC systems will be authenticated using a public key certificate framework, </w:t>
      </w:r>
      <w:r w:rsidRPr="002E5231" w:rsidR="0097327D">
        <w:rPr>
          <w:szCs w:val="22"/>
        </w:rPr>
        <w:t xml:space="preserve">the specification </w:t>
      </w:r>
      <w:r w:rsidRPr="002E5231" w:rsidR="00FD3A19">
        <w:rPr>
          <w:szCs w:val="22"/>
        </w:rPr>
        <w:t xml:space="preserve">does not </w:t>
      </w:r>
      <w:r w:rsidRPr="002E5231">
        <w:rPr>
          <w:szCs w:val="22"/>
        </w:rPr>
        <w:t xml:space="preserve">explain who can issue or revoke certificates, the security of </w:t>
      </w:r>
      <w:r w:rsidRPr="002E5231" w:rsidR="00136E84">
        <w:rPr>
          <w:szCs w:val="22"/>
        </w:rPr>
        <w:t xml:space="preserve">the </w:t>
      </w:r>
      <w:r w:rsidRPr="002E5231" w:rsidR="00E616F8">
        <w:rPr>
          <w:szCs w:val="22"/>
        </w:rPr>
        <w:t xml:space="preserve">process for </w:t>
      </w:r>
      <w:r w:rsidRPr="002E5231">
        <w:rPr>
          <w:szCs w:val="22"/>
        </w:rPr>
        <w:t>obtaining certificates,</w:t>
      </w:r>
      <w:r w:rsidRPr="002E5231" w:rsidR="00E616F8">
        <w:rPr>
          <w:szCs w:val="22"/>
        </w:rPr>
        <w:t xml:space="preserve"> </w:t>
      </w:r>
      <w:r w:rsidRPr="002E5231">
        <w:rPr>
          <w:szCs w:val="22"/>
        </w:rPr>
        <w:t xml:space="preserve">how a certificate is determined to reflect a </w:t>
      </w:r>
      <w:r w:rsidRPr="002E5231" w:rsidR="00E616F8">
        <w:rPr>
          <w:szCs w:val="22"/>
        </w:rPr>
        <w:t>valid</w:t>
      </w:r>
      <w:r w:rsidRPr="002E5231">
        <w:rPr>
          <w:szCs w:val="22"/>
        </w:rPr>
        <w:t xml:space="preserve"> AFC </w:t>
      </w:r>
      <w:r w:rsidRPr="002E5231" w:rsidR="00E616F8">
        <w:rPr>
          <w:szCs w:val="22"/>
        </w:rPr>
        <w:t xml:space="preserve">system </w:t>
      </w:r>
      <w:r w:rsidRPr="002E5231" w:rsidR="006C277F">
        <w:rPr>
          <w:szCs w:val="22"/>
        </w:rPr>
        <w:t>authorization</w:t>
      </w:r>
      <w:r w:rsidRPr="002E5231" w:rsidR="00424A7D">
        <w:rPr>
          <w:szCs w:val="22"/>
        </w:rPr>
        <w:t>,</w:t>
      </w:r>
      <w:r w:rsidRPr="002E5231" w:rsidR="0060196E">
        <w:rPr>
          <w:szCs w:val="22"/>
        </w:rPr>
        <w:t xml:space="preserve"> or why the specification list</w:t>
      </w:r>
      <w:r w:rsidRPr="002E5231" w:rsidR="008815D9">
        <w:rPr>
          <w:szCs w:val="22"/>
        </w:rPr>
        <w:t>s</w:t>
      </w:r>
      <w:r w:rsidRPr="002E5231" w:rsidR="0060196E">
        <w:rPr>
          <w:szCs w:val="22"/>
        </w:rPr>
        <w:t xml:space="preserve"> this requirement as untestable</w:t>
      </w:r>
      <w:r w:rsidRPr="002E5231" w:rsidR="006C277F">
        <w:rPr>
          <w:szCs w:val="22"/>
        </w:rPr>
        <w:t>.</w:t>
      </w:r>
      <w:r>
        <w:rPr>
          <w:rStyle w:val="FootnoteReference"/>
          <w:szCs w:val="22"/>
        </w:rPr>
        <w:footnoteReference w:id="61"/>
      </w:r>
    </w:p>
    <w:p w:rsidR="007D5FF3" w:rsidRPr="00610AF2" w:rsidP="007D5FF3" w14:paraId="10A28D2E" w14:textId="0FC5B8B7">
      <w:pPr>
        <w:pStyle w:val="ParaNum"/>
        <w:rPr>
          <w:szCs w:val="22"/>
        </w:rPr>
      </w:pPr>
      <w:r w:rsidRPr="002E5231">
        <w:rPr>
          <w:szCs w:val="22"/>
        </w:rPr>
        <w:t xml:space="preserve">Verizon asserts that most proposals only </w:t>
      </w:r>
      <w:r w:rsidRPr="002E5231" w:rsidR="002A6A97">
        <w:rPr>
          <w:szCs w:val="22"/>
        </w:rPr>
        <w:t xml:space="preserve">minimally </w:t>
      </w:r>
      <w:r w:rsidRPr="002E5231" w:rsidR="007D7AF7">
        <w:rPr>
          <w:szCs w:val="22"/>
        </w:rPr>
        <w:t>address</w:t>
      </w:r>
      <w:r w:rsidRPr="002E5231">
        <w:rPr>
          <w:szCs w:val="22"/>
        </w:rPr>
        <w:t xml:space="preserve"> security and request</w:t>
      </w:r>
      <w:r w:rsidRPr="002E5231" w:rsidR="002E0273">
        <w:rPr>
          <w:szCs w:val="22"/>
        </w:rPr>
        <w:t>s</w:t>
      </w:r>
      <w:r w:rsidRPr="002E5231">
        <w:rPr>
          <w:szCs w:val="22"/>
        </w:rPr>
        <w:t xml:space="preserve"> that the FCC acquire additional information </w:t>
      </w:r>
      <w:r w:rsidRPr="002E5231" w:rsidR="0007774C">
        <w:rPr>
          <w:szCs w:val="22"/>
        </w:rPr>
        <w:t xml:space="preserve">from </w:t>
      </w:r>
      <w:r w:rsidRPr="002E5231" w:rsidR="00D74EB4">
        <w:rPr>
          <w:szCs w:val="22"/>
        </w:rPr>
        <w:t xml:space="preserve">the </w:t>
      </w:r>
      <w:r w:rsidRPr="002E5231">
        <w:rPr>
          <w:szCs w:val="22"/>
        </w:rPr>
        <w:t xml:space="preserve">AFC </w:t>
      </w:r>
      <w:r w:rsidRPr="002E5231" w:rsidR="008E38E6">
        <w:rPr>
          <w:szCs w:val="22"/>
        </w:rPr>
        <w:t xml:space="preserve">system </w:t>
      </w:r>
      <w:r w:rsidRPr="002E5231">
        <w:rPr>
          <w:szCs w:val="22"/>
        </w:rPr>
        <w:t>operator</w:t>
      </w:r>
      <w:r w:rsidRPr="002E5231" w:rsidR="002821C2">
        <w:rPr>
          <w:szCs w:val="22"/>
        </w:rPr>
        <w:t>s</w:t>
      </w:r>
      <w:r w:rsidRPr="002E5231">
        <w:rPr>
          <w:szCs w:val="22"/>
        </w:rPr>
        <w:t xml:space="preserve"> </w:t>
      </w:r>
      <w:r w:rsidRPr="002E5231" w:rsidR="00812544">
        <w:rPr>
          <w:szCs w:val="22"/>
        </w:rPr>
        <w:t xml:space="preserve">to evaluate whether the </w:t>
      </w:r>
      <w:r w:rsidRPr="002E5231">
        <w:rPr>
          <w:szCs w:val="22"/>
        </w:rPr>
        <w:t>AFC systems</w:t>
      </w:r>
      <w:r w:rsidRPr="002E5231" w:rsidR="00812544">
        <w:rPr>
          <w:szCs w:val="22"/>
        </w:rPr>
        <w:t xml:space="preserve"> will be secure</w:t>
      </w:r>
      <w:r w:rsidRPr="002E5231">
        <w:rPr>
          <w:szCs w:val="22"/>
        </w:rPr>
        <w:t>.</w:t>
      </w:r>
      <w:r>
        <w:rPr>
          <w:rStyle w:val="FootnoteReference"/>
          <w:szCs w:val="22"/>
        </w:rPr>
        <w:footnoteReference w:id="62"/>
      </w:r>
      <w:r w:rsidRPr="002E5231">
        <w:rPr>
          <w:szCs w:val="22"/>
        </w:rPr>
        <w:t xml:space="preserve">  </w:t>
      </w:r>
      <w:r w:rsidRPr="002E5231" w:rsidR="008E58D4">
        <w:rPr>
          <w:szCs w:val="22"/>
        </w:rPr>
        <w:t xml:space="preserve">Although </w:t>
      </w:r>
      <w:r w:rsidRPr="002E5231">
        <w:rPr>
          <w:szCs w:val="22"/>
        </w:rPr>
        <w:t xml:space="preserve">Verizon recognizes that the </w:t>
      </w:r>
      <w:r w:rsidRPr="002E5231" w:rsidR="008E58D4">
        <w:rPr>
          <w:szCs w:val="22"/>
        </w:rPr>
        <w:t xml:space="preserve">AFC system </w:t>
      </w:r>
      <w:r w:rsidRPr="002E5231">
        <w:rPr>
          <w:szCs w:val="22"/>
        </w:rPr>
        <w:t>proposals assert that the</w:t>
      </w:r>
      <w:r w:rsidRPr="002E5231" w:rsidR="008E58D4">
        <w:rPr>
          <w:szCs w:val="22"/>
        </w:rPr>
        <w:t>y</w:t>
      </w:r>
      <w:r w:rsidRPr="002E5231">
        <w:rPr>
          <w:szCs w:val="22"/>
        </w:rPr>
        <w:t xml:space="preserve"> will be </w:t>
      </w:r>
      <w:r w:rsidRPr="002E5231">
        <w:rPr>
          <w:szCs w:val="22"/>
        </w:rPr>
        <w:t>secure</w:t>
      </w:r>
      <w:r w:rsidRPr="002E5231" w:rsidR="00794F11">
        <w:rPr>
          <w:szCs w:val="22"/>
        </w:rPr>
        <w:t>,</w:t>
      </w:r>
      <w:r w:rsidRPr="002E5231">
        <w:rPr>
          <w:szCs w:val="22"/>
        </w:rPr>
        <w:t xml:space="preserve"> </w:t>
      </w:r>
      <w:r w:rsidRPr="002E5231" w:rsidR="008E58D4">
        <w:rPr>
          <w:szCs w:val="22"/>
        </w:rPr>
        <w:t xml:space="preserve">it </w:t>
      </w:r>
      <w:r w:rsidRPr="002E5231">
        <w:rPr>
          <w:szCs w:val="22"/>
        </w:rPr>
        <w:t>claim</w:t>
      </w:r>
      <w:r w:rsidRPr="002E5231" w:rsidR="008E58D4">
        <w:rPr>
          <w:szCs w:val="22"/>
        </w:rPr>
        <w:t>s</w:t>
      </w:r>
      <w:r w:rsidRPr="002E5231">
        <w:rPr>
          <w:szCs w:val="22"/>
        </w:rPr>
        <w:t xml:space="preserve"> that applicants </w:t>
      </w:r>
      <w:r w:rsidRPr="002E5231" w:rsidR="00AC4534">
        <w:rPr>
          <w:szCs w:val="22"/>
        </w:rPr>
        <w:t xml:space="preserve">did </w:t>
      </w:r>
      <w:r w:rsidRPr="002E5231">
        <w:rPr>
          <w:szCs w:val="22"/>
        </w:rPr>
        <w:t>not discuss how th</w:t>
      </w:r>
      <w:r w:rsidRPr="002E5231" w:rsidR="00AC4534">
        <w:rPr>
          <w:szCs w:val="22"/>
        </w:rPr>
        <w:t>os</w:t>
      </w:r>
      <w:r w:rsidRPr="002E5231">
        <w:rPr>
          <w:szCs w:val="22"/>
        </w:rPr>
        <w:t>e system</w:t>
      </w:r>
      <w:r w:rsidRPr="002E5231" w:rsidR="00AC4534">
        <w:rPr>
          <w:szCs w:val="22"/>
        </w:rPr>
        <w:t>s</w:t>
      </w:r>
      <w:r w:rsidRPr="002E5231">
        <w:rPr>
          <w:szCs w:val="22"/>
        </w:rPr>
        <w:t xml:space="preserve"> will detect uncertified firmware changes, unauthorized upgrades, hacking, or tampering. </w:t>
      </w:r>
      <w:r w:rsidRPr="002E5231" w:rsidR="005B6C2A">
        <w:rPr>
          <w:szCs w:val="22"/>
        </w:rPr>
        <w:t xml:space="preserve"> </w:t>
      </w:r>
      <w:r w:rsidRPr="002E5231">
        <w:rPr>
          <w:szCs w:val="22"/>
        </w:rPr>
        <w:t>Verizon points out that the FCC ID does not identify the firmware version so if a device</w:t>
      </w:r>
      <w:r w:rsidRPr="002E5231" w:rsidR="00F22BB2">
        <w:rPr>
          <w:szCs w:val="22"/>
        </w:rPr>
        <w:t>’</w:t>
      </w:r>
      <w:r w:rsidRPr="002E5231">
        <w:rPr>
          <w:szCs w:val="22"/>
        </w:rPr>
        <w:t xml:space="preserve">s firmware is altered, the AFC </w:t>
      </w:r>
      <w:r w:rsidRPr="002E5231" w:rsidR="008E38E6">
        <w:rPr>
          <w:szCs w:val="22"/>
        </w:rPr>
        <w:t xml:space="preserve">system </w:t>
      </w:r>
      <w:r w:rsidRPr="002E5231">
        <w:rPr>
          <w:szCs w:val="22"/>
        </w:rPr>
        <w:t xml:space="preserve">has no way of validating </w:t>
      </w:r>
      <w:r w:rsidRPr="002E5231" w:rsidR="00F22BB2">
        <w:rPr>
          <w:szCs w:val="22"/>
        </w:rPr>
        <w:t xml:space="preserve">that </w:t>
      </w:r>
      <w:r w:rsidRPr="002E5231">
        <w:rPr>
          <w:szCs w:val="22"/>
        </w:rPr>
        <w:t xml:space="preserve">the device </w:t>
      </w:r>
      <w:r w:rsidRPr="002E5231" w:rsidR="00AD36E5">
        <w:rPr>
          <w:szCs w:val="22"/>
        </w:rPr>
        <w:t>continues to comply with the Commission’s rules</w:t>
      </w:r>
      <w:r w:rsidRPr="002E5231">
        <w:rPr>
          <w:szCs w:val="22"/>
        </w:rPr>
        <w:t>.</w:t>
      </w:r>
      <w:r>
        <w:rPr>
          <w:rStyle w:val="FootnoteReference"/>
          <w:szCs w:val="22"/>
        </w:rPr>
        <w:footnoteReference w:id="63"/>
      </w:r>
      <w:r w:rsidRPr="002E5231">
        <w:rPr>
          <w:szCs w:val="22"/>
        </w:rPr>
        <w:t xml:space="preserve">  As a reference, Verizon points to past occurrences </w:t>
      </w:r>
      <w:r w:rsidRPr="002E5231" w:rsidR="00361D7A">
        <w:rPr>
          <w:szCs w:val="22"/>
        </w:rPr>
        <w:t xml:space="preserve">where </w:t>
      </w:r>
      <w:r w:rsidRPr="002E5231">
        <w:rPr>
          <w:szCs w:val="22"/>
        </w:rPr>
        <w:t>5 G</w:t>
      </w:r>
      <w:r w:rsidRPr="002E5231" w:rsidR="00456676">
        <w:rPr>
          <w:szCs w:val="22"/>
        </w:rPr>
        <w:t>H</w:t>
      </w:r>
      <w:r w:rsidRPr="002E5231">
        <w:rPr>
          <w:szCs w:val="22"/>
        </w:rPr>
        <w:t xml:space="preserve">z U-NII equipment </w:t>
      </w:r>
      <w:r w:rsidRPr="002E5231" w:rsidR="00361D7A">
        <w:rPr>
          <w:szCs w:val="22"/>
        </w:rPr>
        <w:t xml:space="preserve">was </w:t>
      </w:r>
      <w:r w:rsidRPr="002E5231" w:rsidR="002A6123">
        <w:rPr>
          <w:szCs w:val="22"/>
        </w:rPr>
        <w:t xml:space="preserve">modified without authorization and </w:t>
      </w:r>
      <w:r w:rsidRPr="002E5231">
        <w:rPr>
          <w:szCs w:val="22"/>
        </w:rPr>
        <w:t>resulted in interference to the Federal Aviation Administration’s Terminal Doppler Weather Radar.</w:t>
      </w:r>
      <w:r>
        <w:rPr>
          <w:rStyle w:val="FootnoteReference"/>
          <w:szCs w:val="22"/>
        </w:rPr>
        <w:footnoteReference w:id="64"/>
      </w:r>
      <w:r w:rsidRPr="002E5231" w:rsidR="00DF4FB0">
        <w:rPr>
          <w:szCs w:val="22"/>
        </w:rPr>
        <w:t xml:space="preserve"> </w:t>
      </w:r>
      <w:r w:rsidRPr="002E5231">
        <w:rPr>
          <w:szCs w:val="22"/>
        </w:rPr>
        <w:t xml:space="preserve"> To prevent a similar </w:t>
      </w:r>
      <w:r w:rsidRPr="002E5231" w:rsidR="00D62A24">
        <w:rPr>
          <w:szCs w:val="22"/>
        </w:rPr>
        <w:t>problem from occurring in the 6 GHz band</w:t>
      </w:r>
      <w:r w:rsidRPr="002E5231">
        <w:rPr>
          <w:szCs w:val="22"/>
        </w:rPr>
        <w:t>, Veri</w:t>
      </w:r>
      <w:r w:rsidRPr="002E5231" w:rsidR="005E6007">
        <w:rPr>
          <w:szCs w:val="22"/>
        </w:rPr>
        <w:t>z</w:t>
      </w:r>
      <w:r w:rsidRPr="002E5231">
        <w:rPr>
          <w:szCs w:val="22"/>
        </w:rPr>
        <w:t>on asserts that the AFC should be able to determine whether a device has been illegally modified.</w:t>
      </w:r>
      <w:r>
        <w:rPr>
          <w:rStyle w:val="FootnoteReference"/>
          <w:szCs w:val="22"/>
        </w:rPr>
        <w:footnoteReference w:id="65"/>
      </w:r>
      <w:r w:rsidRPr="002E5231" w:rsidR="005C0826">
        <w:rPr>
          <w:szCs w:val="22"/>
        </w:rPr>
        <w:t xml:space="preserve">  Verizon advocates that the Com</w:t>
      </w:r>
      <w:r w:rsidRPr="002E5231" w:rsidR="00DF4FB0">
        <w:rPr>
          <w:szCs w:val="22"/>
        </w:rPr>
        <w:t>m</w:t>
      </w:r>
      <w:r w:rsidRPr="002E5231" w:rsidR="005C0826">
        <w:rPr>
          <w:szCs w:val="22"/>
        </w:rPr>
        <w:t>ission seek additional information from AFC operators on how the AFC system and AFC data will be secured.</w:t>
      </w:r>
      <w:r>
        <w:rPr>
          <w:rStyle w:val="FootnoteReference"/>
          <w:szCs w:val="22"/>
        </w:rPr>
        <w:footnoteReference w:id="66"/>
      </w:r>
      <w:r w:rsidRPr="002E5231" w:rsidR="007F7374">
        <w:rPr>
          <w:szCs w:val="22"/>
        </w:rPr>
        <w:t xml:space="preserve">  According to Verizon, the</w:t>
      </w:r>
      <w:r w:rsidRPr="002E5231" w:rsidR="000E6554">
        <w:rPr>
          <w:szCs w:val="22"/>
        </w:rPr>
        <w:t xml:space="preserve"> FCC and </w:t>
      </w:r>
      <w:r w:rsidRPr="002E5231" w:rsidR="000E6554">
        <w:rPr>
          <w:szCs w:val="22"/>
        </w:rPr>
        <w:t>WinnForum</w:t>
      </w:r>
      <w:r w:rsidRPr="002E5231" w:rsidR="000E6554">
        <w:rPr>
          <w:szCs w:val="22"/>
        </w:rPr>
        <w:t xml:space="preserve"> should define a mechanism for ensuring security against unauthorized d</w:t>
      </w:r>
      <w:r w:rsidRPr="002E5231" w:rsidR="005F35D9">
        <w:rPr>
          <w:szCs w:val="22"/>
        </w:rPr>
        <w:t xml:space="preserve">evices and </w:t>
      </w:r>
      <w:r w:rsidRPr="002E5231" w:rsidR="003E71D8">
        <w:rPr>
          <w:szCs w:val="22"/>
        </w:rPr>
        <w:t>Winn</w:t>
      </w:r>
      <w:r w:rsidR="003E71D8">
        <w:rPr>
          <w:szCs w:val="22"/>
        </w:rPr>
        <w:t>F</w:t>
      </w:r>
      <w:r w:rsidRPr="002E5231" w:rsidR="003E71D8">
        <w:rPr>
          <w:szCs w:val="22"/>
        </w:rPr>
        <w:t>orum</w:t>
      </w:r>
      <w:r w:rsidRPr="002E5231" w:rsidR="003E71D8">
        <w:rPr>
          <w:szCs w:val="22"/>
        </w:rPr>
        <w:t xml:space="preserve"> </w:t>
      </w:r>
      <w:r w:rsidRPr="002E5231" w:rsidR="005F35D9">
        <w:rPr>
          <w:szCs w:val="22"/>
        </w:rPr>
        <w:t>should leverage mechanisms f</w:t>
      </w:r>
      <w:r w:rsidRPr="002E5231" w:rsidR="007B3676">
        <w:rPr>
          <w:szCs w:val="22"/>
        </w:rPr>
        <w:t>rom</w:t>
      </w:r>
      <w:r w:rsidRPr="002E5231" w:rsidR="005F35D9">
        <w:rPr>
          <w:szCs w:val="22"/>
        </w:rPr>
        <w:t xml:space="preserve"> CBRS to</w:t>
      </w:r>
      <w:r w:rsidRPr="002E5231" w:rsidR="007B3676">
        <w:rPr>
          <w:szCs w:val="22"/>
        </w:rPr>
        <w:t xml:space="preserve"> </w:t>
      </w:r>
      <w:r w:rsidRPr="002E5231" w:rsidR="009D10F9">
        <w:rPr>
          <w:szCs w:val="22"/>
        </w:rPr>
        <w:t xml:space="preserve">standardize </w:t>
      </w:r>
      <w:r w:rsidRPr="002E5231" w:rsidR="007B3676">
        <w:rPr>
          <w:szCs w:val="22"/>
        </w:rPr>
        <w:t>protect</w:t>
      </w:r>
      <w:r w:rsidRPr="002E5231" w:rsidR="009D10F9">
        <w:rPr>
          <w:szCs w:val="22"/>
        </w:rPr>
        <w:t>ion of</w:t>
      </w:r>
      <w:r w:rsidRPr="002E5231" w:rsidR="007B3676">
        <w:rPr>
          <w:szCs w:val="22"/>
        </w:rPr>
        <w:t xml:space="preserve"> the link between the access points and AFC system</w:t>
      </w:r>
      <w:r w:rsidRPr="002E5231" w:rsidR="00840FB8">
        <w:rPr>
          <w:szCs w:val="22"/>
        </w:rPr>
        <w:t>s</w:t>
      </w:r>
      <w:r w:rsidRPr="002E5231" w:rsidR="007B3676">
        <w:rPr>
          <w:szCs w:val="22"/>
        </w:rPr>
        <w:t>.</w:t>
      </w:r>
      <w:r>
        <w:rPr>
          <w:rStyle w:val="FootnoteReference"/>
          <w:szCs w:val="22"/>
        </w:rPr>
        <w:footnoteReference w:id="67"/>
      </w:r>
      <w:r w:rsidRPr="002E5231" w:rsidR="007B3676">
        <w:rPr>
          <w:szCs w:val="22"/>
        </w:rPr>
        <w:t xml:space="preserve"> </w:t>
      </w:r>
      <w:r w:rsidRPr="002E5231" w:rsidR="005C0826">
        <w:rPr>
          <w:szCs w:val="22"/>
        </w:rPr>
        <w:t xml:space="preserve">  </w:t>
      </w:r>
      <w:r w:rsidRPr="002E5231">
        <w:rPr>
          <w:szCs w:val="22"/>
        </w:rPr>
        <w:t xml:space="preserve">  </w:t>
      </w:r>
    </w:p>
    <w:p w:rsidR="006E11F3" w:rsidRPr="00610AF2" w:rsidP="004D6DB7" w14:paraId="49B8865B" w14:textId="74261555">
      <w:pPr>
        <w:pStyle w:val="ParaNum"/>
        <w:rPr>
          <w:szCs w:val="22"/>
        </w:rPr>
      </w:pPr>
      <w:r w:rsidRPr="002E5231">
        <w:rPr>
          <w:szCs w:val="22"/>
        </w:rPr>
        <w:t xml:space="preserve">FWCC </w:t>
      </w:r>
      <w:r w:rsidRPr="002E5231" w:rsidR="00E92CC2">
        <w:rPr>
          <w:szCs w:val="22"/>
        </w:rPr>
        <w:t>n</w:t>
      </w:r>
      <w:r w:rsidRPr="002E5231" w:rsidR="00795800">
        <w:rPr>
          <w:szCs w:val="22"/>
        </w:rPr>
        <w:t xml:space="preserve">otes </w:t>
      </w:r>
      <w:r w:rsidRPr="002E5231" w:rsidR="004D6EF9">
        <w:rPr>
          <w:szCs w:val="22"/>
        </w:rPr>
        <w:t xml:space="preserve">that </w:t>
      </w:r>
      <w:r w:rsidRPr="002E5231" w:rsidR="00E439C7">
        <w:rPr>
          <w:szCs w:val="22"/>
        </w:rPr>
        <w:t>several AFC</w:t>
      </w:r>
      <w:r w:rsidRPr="002E5231" w:rsidR="004D6EF9">
        <w:rPr>
          <w:szCs w:val="22"/>
        </w:rPr>
        <w:t xml:space="preserve"> applicants discuss using security protocols</w:t>
      </w:r>
      <w:r w:rsidRPr="002E5231" w:rsidR="006E2911">
        <w:rPr>
          <w:szCs w:val="22"/>
        </w:rPr>
        <w:t>,</w:t>
      </w:r>
      <w:r w:rsidRPr="002E5231" w:rsidR="004D6EF9">
        <w:rPr>
          <w:szCs w:val="22"/>
        </w:rPr>
        <w:t xml:space="preserve"> such as two-factor authentication</w:t>
      </w:r>
      <w:r w:rsidRPr="002E5231" w:rsidR="006E2911">
        <w:rPr>
          <w:szCs w:val="22"/>
        </w:rPr>
        <w:t>,</w:t>
      </w:r>
      <w:r w:rsidRPr="002E5231" w:rsidR="003C254A">
        <w:rPr>
          <w:szCs w:val="22"/>
        </w:rPr>
        <w:t xml:space="preserve"> for their systems and accounts</w:t>
      </w:r>
      <w:r w:rsidRPr="002E5231" w:rsidR="00690187">
        <w:rPr>
          <w:szCs w:val="22"/>
        </w:rPr>
        <w:t xml:space="preserve"> and </w:t>
      </w:r>
      <w:r w:rsidRPr="002E5231" w:rsidR="0031249B">
        <w:rPr>
          <w:szCs w:val="22"/>
        </w:rPr>
        <w:t>encourages all AFC operators to implement these measures</w:t>
      </w:r>
      <w:r w:rsidRPr="002E5231" w:rsidR="003C254A">
        <w:rPr>
          <w:szCs w:val="22"/>
        </w:rPr>
        <w:t>.</w:t>
      </w:r>
      <w:r>
        <w:rPr>
          <w:rStyle w:val="FootnoteReference"/>
          <w:szCs w:val="22"/>
        </w:rPr>
        <w:footnoteReference w:id="68"/>
      </w:r>
      <w:r w:rsidRPr="002E5231" w:rsidR="003C254A">
        <w:rPr>
          <w:szCs w:val="22"/>
        </w:rPr>
        <w:t xml:space="preserve">  </w:t>
      </w:r>
      <w:r w:rsidRPr="002E5231" w:rsidR="00A07B7B">
        <w:rPr>
          <w:szCs w:val="22"/>
        </w:rPr>
        <w:t>FWCC</w:t>
      </w:r>
      <w:r w:rsidRPr="002E5231" w:rsidR="00AB0C8C">
        <w:rPr>
          <w:szCs w:val="22"/>
        </w:rPr>
        <w:t xml:space="preserve"> advocates that AFC systems and standard-power devices confirm they are communicating with a counter-party authorized by the Commission.</w:t>
      </w:r>
      <w:r>
        <w:rPr>
          <w:rStyle w:val="FootnoteReference"/>
          <w:szCs w:val="22"/>
        </w:rPr>
        <w:footnoteReference w:id="69"/>
      </w:r>
      <w:r w:rsidRPr="002E5231" w:rsidR="00AB0C8C">
        <w:rPr>
          <w:szCs w:val="22"/>
        </w:rPr>
        <w:t xml:space="preserve">  </w:t>
      </w:r>
      <w:r w:rsidRPr="002E5231" w:rsidR="006537D0">
        <w:rPr>
          <w:szCs w:val="22"/>
        </w:rPr>
        <w:t xml:space="preserve">APCO </w:t>
      </w:r>
      <w:r w:rsidRPr="002E5231" w:rsidR="004923CA">
        <w:rPr>
          <w:szCs w:val="22"/>
        </w:rPr>
        <w:t xml:space="preserve">expresses concern that </w:t>
      </w:r>
      <w:r w:rsidRPr="002E5231" w:rsidR="006537D0">
        <w:rPr>
          <w:szCs w:val="22"/>
        </w:rPr>
        <w:t xml:space="preserve">AFC operators </w:t>
      </w:r>
      <w:r w:rsidRPr="002E5231" w:rsidR="00FD7035">
        <w:rPr>
          <w:szCs w:val="22"/>
        </w:rPr>
        <w:t xml:space="preserve">have not addressed the cyber protections </w:t>
      </w:r>
      <w:r w:rsidRPr="002E5231" w:rsidR="006E2911">
        <w:rPr>
          <w:szCs w:val="22"/>
        </w:rPr>
        <w:t xml:space="preserve">that </w:t>
      </w:r>
      <w:r w:rsidRPr="002E5231" w:rsidR="00FD7035">
        <w:rPr>
          <w:szCs w:val="22"/>
        </w:rPr>
        <w:t xml:space="preserve">they </w:t>
      </w:r>
      <w:r w:rsidRPr="002E5231" w:rsidR="006E2911">
        <w:rPr>
          <w:szCs w:val="22"/>
        </w:rPr>
        <w:t xml:space="preserve">intend </w:t>
      </w:r>
      <w:r w:rsidRPr="002E5231" w:rsidR="00FD7035">
        <w:rPr>
          <w:szCs w:val="22"/>
        </w:rPr>
        <w:t xml:space="preserve">to </w:t>
      </w:r>
      <w:r w:rsidRPr="002E5231" w:rsidR="006537D0">
        <w:rPr>
          <w:szCs w:val="22"/>
        </w:rPr>
        <w:t>employ to prevent AFCs from becoming tools for effectively shutting down critical communication systems</w:t>
      </w:r>
      <w:r w:rsidRPr="002E5231" w:rsidR="005F54E6">
        <w:rPr>
          <w:szCs w:val="22"/>
        </w:rPr>
        <w:t>.</w:t>
      </w:r>
      <w:r>
        <w:rPr>
          <w:rStyle w:val="FootnoteReference"/>
          <w:szCs w:val="22"/>
        </w:rPr>
        <w:footnoteReference w:id="70"/>
      </w:r>
    </w:p>
    <w:p w:rsidR="00F659B6" w:rsidP="004D6DB7" w14:paraId="494C800B" w14:textId="740D58E9">
      <w:pPr>
        <w:pStyle w:val="ParaNum"/>
      </w:pPr>
      <w:bookmarkStart w:id="5" w:name="_Hlk101366235"/>
      <w:r>
        <w:t xml:space="preserve">We conclude that the AFC system applicants have provided sufficient information to </w:t>
      </w:r>
      <w:r w:rsidR="00B92DAC">
        <w:t xml:space="preserve">assure us </w:t>
      </w:r>
      <w:r>
        <w:t xml:space="preserve">that </w:t>
      </w:r>
      <w:r w:rsidR="000D4C6A">
        <w:t xml:space="preserve">both the AFC systems and </w:t>
      </w:r>
      <w:r w:rsidR="00725D14">
        <w:t xml:space="preserve">the communications </w:t>
      </w:r>
      <w:r w:rsidR="00D21057">
        <w:t xml:space="preserve">link </w:t>
      </w:r>
      <w:r w:rsidR="00725D14">
        <w:t xml:space="preserve">between the standard-power devices and AFC systems will be secure.  </w:t>
      </w:r>
      <w:r w:rsidR="00DF1205">
        <w:t xml:space="preserve">Regarding the security of the AFC systems, most of the applicants have </w:t>
      </w:r>
      <w:r w:rsidR="00BC2F9D">
        <w:t>indicated that the</w:t>
      </w:r>
      <w:r w:rsidR="001C434B">
        <w:t xml:space="preserve">ir AFC systems will be hosted by a commercial cloud </w:t>
      </w:r>
      <w:r w:rsidR="006E2911">
        <w:t xml:space="preserve">hosting </w:t>
      </w:r>
      <w:r w:rsidR="001C434B">
        <w:t xml:space="preserve">service and that these services employ </w:t>
      </w:r>
      <w:r w:rsidR="00C459BA">
        <w:t xml:space="preserve">the latest </w:t>
      </w:r>
      <w:r w:rsidR="00934EB0">
        <w:t>well-established security measures such as encryption</w:t>
      </w:r>
      <w:r w:rsidR="00BA703A">
        <w:t xml:space="preserve"> and controlled access.</w:t>
      </w:r>
      <w:r>
        <w:rPr>
          <w:rStyle w:val="FootnoteReference"/>
        </w:rPr>
        <w:footnoteReference w:id="71"/>
      </w:r>
      <w:r w:rsidR="00BA703A">
        <w:t xml:space="preserve">  Even those applicants who have not indicated they </w:t>
      </w:r>
      <w:r w:rsidR="00E152AD">
        <w:t>will use a cloud service indicate they will use</w:t>
      </w:r>
      <w:r w:rsidR="00D75A2F">
        <w:t xml:space="preserve"> tools to secure </w:t>
      </w:r>
      <w:r w:rsidR="0028092D">
        <w:t>their AFC systems</w:t>
      </w:r>
      <w:r w:rsidR="006E2911">
        <w:t>,</w:t>
      </w:r>
      <w:r w:rsidR="0028092D">
        <w:t xml:space="preserve"> such as</w:t>
      </w:r>
      <w:r w:rsidR="00386F46">
        <w:t xml:space="preserve"> encryption, access controls, </w:t>
      </w:r>
      <w:r w:rsidR="0040700E">
        <w:t>compliance audits</w:t>
      </w:r>
      <w:r w:rsidR="00D13B42">
        <w:t xml:space="preserve">, </w:t>
      </w:r>
      <w:r w:rsidR="00386F46">
        <w:t>and</w:t>
      </w:r>
      <w:r w:rsidR="00D13B42">
        <w:t>/or</w:t>
      </w:r>
      <w:r w:rsidR="00386F46">
        <w:t xml:space="preserve"> physical security for </w:t>
      </w:r>
      <w:r w:rsidR="00386F46">
        <w:t>their data centers</w:t>
      </w:r>
      <w:r w:rsidR="0028092D">
        <w:t>.</w:t>
      </w:r>
      <w:r>
        <w:rPr>
          <w:rStyle w:val="FootnoteReference"/>
        </w:rPr>
        <w:footnoteReference w:id="72"/>
      </w:r>
      <w:r w:rsidR="0028092D">
        <w:t xml:space="preserve">  </w:t>
      </w:r>
      <w:r w:rsidR="00F867B9">
        <w:t>W</w:t>
      </w:r>
      <w:r w:rsidR="005D79EA">
        <w:t xml:space="preserve">e also note that </w:t>
      </w:r>
      <w:r w:rsidR="00362AA2">
        <w:t xml:space="preserve">commenters have </w:t>
      </w:r>
      <w:r w:rsidR="00C459BA">
        <w:t xml:space="preserve">not </w:t>
      </w:r>
      <w:r w:rsidR="00731C45">
        <w:t>suggested specific measures that AFC systems should</w:t>
      </w:r>
      <w:r w:rsidR="003B57D2">
        <w:t xml:space="preserve"> take to secure their AFC systems or </w:t>
      </w:r>
      <w:r w:rsidR="0002193A">
        <w:t xml:space="preserve">proposed </w:t>
      </w:r>
      <w:r w:rsidR="003B57D2">
        <w:t xml:space="preserve">specific questions </w:t>
      </w:r>
      <w:r w:rsidR="00605DA1">
        <w:t xml:space="preserve">the applicants should answer regarding security of the AFC systems.  </w:t>
      </w:r>
      <w:r w:rsidR="00C548B4">
        <w:t xml:space="preserve">Based on the information provided in the proposals and supplemental filings, we are confident that </w:t>
      </w:r>
      <w:r w:rsidR="006E603B">
        <w:t xml:space="preserve">the applicants </w:t>
      </w:r>
      <w:r w:rsidR="00FE63D5">
        <w:t xml:space="preserve">are aware of the </w:t>
      </w:r>
      <w:r w:rsidR="0042445C">
        <w:t xml:space="preserve">applicable security issues and </w:t>
      </w:r>
      <w:r w:rsidR="006E603B">
        <w:t xml:space="preserve">have </w:t>
      </w:r>
      <w:r w:rsidR="0042445C">
        <w:t xml:space="preserve">plans in place to ensure that </w:t>
      </w:r>
      <w:r w:rsidR="006E603B">
        <w:t xml:space="preserve">the AFC systems and the data they maintain </w:t>
      </w:r>
      <w:r w:rsidR="00B05797">
        <w:t>will</w:t>
      </w:r>
      <w:r w:rsidR="006E603B">
        <w:t xml:space="preserve"> be adequately secured.  </w:t>
      </w:r>
      <w:r>
        <w:t xml:space="preserve">  </w:t>
      </w:r>
    </w:p>
    <w:p w:rsidR="00C8465C" w:rsidP="004D6DB7" w14:paraId="1CA5A2E4" w14:textId="3FE294DD">
      <w:pPr>
        <w:pStyle w:val="ParaNum"/>
      </w:pPr>
      <w:r>
        <w:t>As to</w:t>
      </w:r>
      <w:r w:rsidR="0002193A">
        <w:t xml:space="preserve"> the security of the communications </w:t>
      </w:r>
      <w:r w:rsidR="0042445C">
        <w:t xml:space="preserve">link </w:t>
      </w:r>
      <w:r w:rsidR="0002193A">
        <w:t xml:space="preserve">between the standard-power devices and AFC systems, all of the applicants have indicated that their AFC systems will implement the </w:t>
      </w:r>
      <w:r w:rsidR="002A5B3C">
        <w:t xml:space="preserve">Wi-Fi Alliance’s </w:t>
      </w:r>
      <w:r w:rsidR="00AE2825">
        <w:t>AFC System to AFC Device Interface Specification</w:t>
      </w:r>
      <w:r w:rsidR="00602547">
        <w:t>.</w:t>
      </w:r>
      <w:r>
        <w:rPr>
          <w:rStyle w:val="FootnoteReference"/>
        </w:rPr>
        <w:footnoteReference w:id="73"/>
      </w:r>
      <w:r w:rsidR="004A2409">
        <w:t xml:space="preserve">  This specification </w:t>
      </w:r>
      <w:r w:rsidR="00E54F1A">
        <w:t xml:space="preserve">stipulates </w:t>
      </w:r>
      <w:r w:rsidR="00700544">
        <w:t xml:space="preserve">the use of </w:t>
      </w:r>
      <w:r w:rsidRPr="00080AF6" w:rsidR="00E56188">
        <w:t>Transport Layer Security (“TLS”) v</w:t>
      </w:r>
      <w:r w:rsidR="004C4320">
        <w:t xml:space="preserve">ersion </w:t>
      </w:r>
      <w:r w:rsidRPr="00080AF6" w:rsidR="00E56188">
        <w:t>1.2 or higher to perform mutual authentication and provide encryption and integrity protection for the communication</w:t>
      </w:r>
      <w:r w:rsidR="00E54F1A">
        <w:t xml:space="preserve"> link</w:t>
      </w:r>
      <w:r w:rsidRPr="00080AF6" w:rsidR="00E56188">
        <w:t xml:space="preserve"> between an AFC device and the AFC system.</w:t>
      </w:r>
      <w:r>
        <w:rPr>
          <w:vertAlign w:val="superscript"/>
        </w:rPr>
        <w:footnoteReference w:id="74"/>
      </w:r>
      <w:r w:rsidR="004C4320">
        <w:t xml:space="preserve">  </w:t>
      </w:r>
      <w:r w:rsidR="00E276F5">
        <w:t xml:space="preserve">TLS is </w:t>
      </w:r>
      <w:r w:rsidR="003B0280">
        <w:t xml:space="preserve">a </w:t>
      </w:r>
      <w:r w:rsidR="00E276F5">
        <w:t xml:space="preserve">widely used cryptographic protocol that </w:t>
      </w:r>
      <w:r w:rsidR="00C96720">
        <w:t xml:space="preserve">is </w:t>
      </w:r>
      <w:r w:rsidR="00E276F5">
        <w:t>used to secure internet applications such as email, instant messaging, and secure website access.</w:t>
      </w:r>
      <w:r>
        <w:rPr>
          <w:rStyle w:val="FootnoteReference"/>
        </w:rPr>
        <w:footnoteReference w:id="75"/>
      </w:r>
      <w:r w:rsidR="00E276F5">
        <w:t xml:space="preserve">  </w:t>
      </w:r>
      <w:r w:rsidR="007740FF">
        <w:t xml:space="preserve">As TLS </w:t>
      </w:r>
      <w:r w:rsidR="00123F6A">
        <w:t>has been successfully</w:t>
      </w:r>
      <w:r w:rsidR="007740FF">
        <w:t xml:space="preserve"> used for secure communications over the internet</w:t>
      </w:r>
      <w:r w:rsidR="00803E6C">
        <w:t>,</w:t>
      </w:r>
      <w:r w:rsidR="007740FF">
        <w:t xml:space="preserve"> we find that its </w:t>
      </w:r>
      <w:r w:rsidR="00803E6C">
        <w:t xml:space="preserve">use provides </w:t>
      </w:r>
      <w:r w:rsidR="00AD26A8">
        <w:t xml:space="preserve">an appropriate level of security for </w:t>
      </w:r>
      <w:r w:rsidR="00FD3A10">
        <w:t xml:space="preserve">the </w:t>
      </w:r>
      <w:r w:rsidR="00AD26A8">
        <w:t xml:space="preserve">communication </w:t>
      </w:r>
      <w:r w:rsidR="00FD3A10">
        <w:t xml:space="preserve">link </w:t>
      </w:r>
      <w:r w:rsidR="00AD26A8">
        <w:t xml:space="preserve">between </w:t>
      </w:r>
      <w:r w:rsidR="009910A2">
        <w:t>the AFC systems and standard-power devices.</w:t>
      </w:r>
      <w:r w:rsidR="007740FF">
        <w:t xml:space="preserve"> </w:t>
      </w:r>
    </w:p>
    <w:p w:rsidR="00941320" w:rsidP="00941320" w14:paraId="11043476" w14:textId="6550DAD2">
      <w:pPr>
        <w:pStyle w:val="ParaNum"/>
      </w:pPr>
      <w:r>
        <w:t>Regarding</w:t>
      </w:r>
      <w:r w:rsidRPr="008A1820">
        <w:t xml:space="preserve"> AT&amp;T</w:t>
      </w:r>
      <w:r>
        <w:t>’</w:t>
      </w:r>
      <w:r w:rsidRPr="008A1820">
        <w:t>s co</w:t>
      </w:r>
      <w:r>
        <w:t>ncern</w:t>
      </w:r>
      <w:r w:rsidRPr="008A1820">
        <w:t xml:space="preserve"> that </w:t>
      </w:r>
      <w:r w:rsidR="006B39F7">
        <w:t xml:space="preserve">AFC system </w:t>
      </w:r>
      <w:r w:rsidRPr="008A1820">
        <w:t xml:space="preserve">applicants have not addressed </w:t>
      </w:r>
      <w:r w:rsidR="006B39F7">
        <w:t xml:space="preserve">the requirement that </w:t>
      </w:r>
      <w:r w:rsidRPr="008A1820" w:rsidR="00FF7372">
        <w:t>standard</w:t>
      </w:r>
      <w:r w:rsidR="00FF7372">
        <w:t>-</w:t>
      </w:r>
      <w:r w:rsidRPr="008A1820">
        <w:t>power devices include security measures to prevent the</w:t>
      </w:r>
      <w:r w:rsidR="006B39F7">
        <w:t>m</w:t>
      </w:r>
      <w:r w:rsidRPr="008A1820">
        <w:t xml:space="preserve"> from accessing unauthorized AFC systems</w:t>
      </w:r>
      <w:r w:rsidR="008E617F">
        <w:t>,</w:t>
      </w:r>
      <w:r w:rsidRPr="008A1820">
        <w:t xml:space="preserve"> </w:t>
      </w:r>
      <w:r w:rsidR="008A4A1B">
        <w:t xml:space="preserve">we point out that this is a </w:t>
      </w:r>
      <w:r w:rsidR="00FF7372">
        <w:t>device-</w:t>
      </w:r>
      <w:r w:rsidR="008A4A1B">
        <w:t xml:space="preserve">specific function </w:t>
      </w:r>
      <w:r w:rsidR="00B72D91">
        <w:t xml:space="preserve">that must be implemented by the device manufacturers </w:t>
      </w:r>
      <w:r w:rsidR="008A4A1B">
        <w:t xml:space="preserve">and </w:t>
      </w:r>
      <w:r w:rsidR="00F207B3">
        <w:t xml:space="preserve">thus, </w:t>
      </w:r>
      <w:r w:rsidR="00FF7372">
        <w:t xml:space="preserve">is </w:t>
      </w:r>
      <w:r w:rsidRPr="008A1820">
        <w:t xml:space="preserve">not a function </w:t>
      </w:r>
      <w:r w:rsidR="0090109C">
        <w:t xml:space="preserve">that can be performed by the </w:t>
      </w:r>
      <w:r w:rsidRPr="008A1820">
        <w:t>AFC system</w:t>
      </w:r>
      <w:r w:rsidR="006B39F7">
        <w:t>s</w:t>
      </w:r>
      <w:r w:rsidRPr="008A1820">
        <w:t xml:space="preserve">.  </w:t>
      </w:r>
      <w:r w:rsidR="00FF6587">
        <w:t>S</w:t>
      </w:r>
      <w:r w:rsidRPr="008A1820">
        <w:t>tandard</w:t>
      </w:r>
      <w:r w:rsidR="00FF6587">
        <w:t>-</w:t>
      </w:r>
      <w:r w:rsidRPr="008A1820">
        <w:t xml:space="preserve">power device </w:t>
      </w:r>
      <w:r w:rsidR="00FF6587">
        <w:t xml:space="preserve">manufacturers </w:t>
      </w:r>
      <w:r w:rsidR="0017454E">
        <w:t xml:space="preserve">will be </w:t>
      </w:r>
      <w:r w:rsidRPr="008A1820">
        <w:t xml:space="preserve">required to show </w:t>
      </w:r>
      <w:r w:rsidR="00C1630C">
        <w:t xml:space="preserve">that </w:t>
      </w:r>
      <w:r w:rsidR="00FF6587">
        <w:t>the</w:t>
      </w:r>
      <w:r w:rsidR="005D62CD">
        <w:t>ir</w:t>
      </w:r>
      <w:r w:rsidR="00FF6587">
        <w:t xml:space="preserve"> devices</w:t>
      </w:r>
      <w:r w:rsidR="00C1630C">
        <w:t xml:space="preserve"> satisf</w:t>
      </w:r>
      <w:r w:rsidR="00FF6587">
        <w:t>y</w:t>
      </w:r>
      <w:r w:rsidR="00C1630C">
        <w:t xml:space="preserve"> this requirement </w:t>
      </w:r>
      <w:r w:rsidR="00B858FA">
        <w:t xml:space="preserve">during the equipment </w:t>
      </w:r>
      <w:r w:rsidRPr="008A1820">
        <w:t>certification</w:t>
      </w:r>
      <w:r w:rsidR="00B858FA">
        <w:t xml:space="preserve"> process</w:t>
      </w:r>
      <w:r w:rsidRPr="008A1820">
        <w:t>.</w:t>
      </w:r>
      <w:r w:rsidR="000C377F">
        <w:t xml:space="preserve">  </w:t>
      </w:r>
      <w:r w:rsidR="000E240C">
        <w:t xml:space="preserve">Given that </w:t>
      </w:r>
      <w:r w:rsidR="00FF42A5">
        <w:t xml:space="preserve">AT&amp;T’s concern </w:t>
      </w:r>
      <w:r w:rsidR="00E47204">
        <w:t xml:space="preserve">must be addressed by the </w:t>
      </w:r>
      <w:r w:rsidR="00FF7372">
        <w:t>standard-</w:t>
      </w:r>
      <w:r w:rsidR="00E47204">
        <w:t xml:space="preserve">power device and not the </w:t>
      </w:r>
      <w:r w:rsidR="00D06920">
        <w:t xml:space="preserve">AFC, </w:t>
      </w:r>
      <w:r w:rsidR="00CA4A5A">
        <w:t xml:space="preserve">it does </w:t>
      </w:r>
      <w:r w:rsidR="00D06920">
        <w:t>no</w:t>
      </w:r>
      <w:r w:rsidR="00CA4A5A">
        <w:t>t provide any</w:t>
      </w:r>
      <w:r w:rsidR="00C859C5">
        <w:t xml:space="preserve"> grounds to delay </w:t>
      </w:r>
      <w:r w:rsidR="00FF7372">
        <w:t xml:space="preserve">the conditional approval of the proposed </w:t>
      </w:r>
      <w:r w:rsidR="006B11D6">
        <w:t xml:space="preserve">AFC </w:t>
      </w:r>
      <w:r w:rsidR="00FF7372">
        <w:t>systems</w:t>
      </w:r>
      <w:r w:rsidR="00C859C5">
        <w:t>.</w:t>
      </w:r>
    </w:p>
    <w:p w:rsidR="00F158F4" w:rsidP="00F158F4" w14:paraId="3190E47F" w14:textId="2DC18B9F">
      <w:pPr>
        <w:pStyle w:val="ParaNum"/>
      </w:pPr>
      <w:r>
        <w:t>Similarly, Verizon’s c</w:t>
      </w:r>
      <w:r w:rsidR="0055640E">
        <w:t>laim</w:t>
      </w:r>
      <w:r>
        <w:t xml:space="preserve"> that AFC systems should be able to determine whether </w:t>
      </w:r>
      <w:r w:rsidR="009E271E">
        <w:t>standard-power devices have been hacked or are running unauthorized firmware</w:t>
      </w:r>
      <w:r w:rsidR="00FF6587">
        <w:t xml:space="preserve"> relates to </w:t>
      </w:r>
      <w:r w:rsidR="000C7793">
        <w:t>the functioning of the</w:t>
      </w:r>
      <w:r w:rsidR="000B0BA8">
        <w:t xml:space="preserve"> standard-power devices</w:t>
      </w:r>
      <w:r w:rsidR="00F312D7">
        <w:t>; not the AFC</w:t>
      </w:r>
      <w:r w:rsidR="000C7793">
        <w:t>.</w:t>
      </w:r>
      <w:r w:rsidR="000E0251">
        <w:t xml:space="preserve"> </w:t>
      </w:r>
      <w:r w:rsidR="000C7793">
        <w:t xml:space="preserve"> </w:t>
      </w:r>
      <w:r>
        <w:t xml:space="preserve">There is </w:t>
      </w:r>
      <w:r w:rsidR="00D626C8">
        <w:t xml:space="preserve">no </w:t>
      </w:r>
      <w:r w:rsidR="000C7793">
        <w:t>ap</w:t>
      </w:r>
      <w:r w:rsidR="00D626C8">
        <w:t>p</w:t>
      </w:r>
      <w:r w:rsidR="000C7793">
        <w:t>arent</w:t>
      </w:r>
      <w:r>
        <w:t xml:space="preserve"> means for the AFC systems to determine whether a standard-power device’s firmware has been modified or if the standard-power device has been hacked.</w:t>
      </w:r>
      <w:r w:rsidR="004E0E56">
        <w:t xml:space="preserve">  </w:t>
      </w:r>
      <w:r>
        <w:t xml:space="preserve">This </w:t>
      </w:r>
      <w:r w:rsidR="003D54F5">
        <w:t xml:space="preserve">device level security </w:t>
      </w:r>
      <w:r>
        <w:t xml:space="preserve">issue is addressed by the Commission’s rules which require U-NII device manufacturers </w:t>
      </w:r>
      <w:r w:rsidR="003D54F5">
        <w:t xml:space="preserve">to </w:t>
      </w:r>
      <w:r>
        <w:t xml:space="preserve">implement security features to prevent third parties from reprogramming devices </w:t>
      </w:r>
      <w:r>
        <w:t>to operate outside of the parameters for which the device is certified.</w:t>
      </w:r>
      <w:r>
        <w:rPr>
          <w:rStyle w:val="FootnoteReference"/>
        </w:rPr>
        <w:footnoteReference w:id="76"/>
      </w:r>
      <w:r>
        <w:t xml:space="preserve">  OET has issued guidance indicating that applications for U-NII device certification must describe the security measures implemented to ensure that the U-NII devices cannot be modified for any RF-related software changes by third parties.</w:t>
      </w:r>
      <w:r>
        <w:rPr>
          <w:rStyle w:val="FootnoteReference"/>
        </w:rPr>
        <w:footnoteReference w:id="77"/>
      </w:r>
      <w:r>
        <w:t xml:space="preserve">  This guidance will apply to 6 GHz band standard-power devices.</w:t>
      </w:r>
      <w:r w:rsidR="0061386E">
        <w:t xml:space="preserve">  As with other device specific features,</w:t>
      </w:r>
      <w:r w:rsidR="00E56FEB">
        <w:t xml:space="preserve"> compliance with this requirement will be done through the equipment certification process; it is outside the scope of AFC functions and thus not a consideration for granting conditional approval.</w:t>
      </w:r>
    </w:p>
    <w:bookmarkEnd w:id="5"/>
    <w:p w:rsidR="004D6DB7" w:rsidP="004D6DB7" w14:paraId="39CD38B5" w14:textId="6D3D843D">
      <w:pPr>
        <w:pStyle w:val="Heading3"/>
      </w:pPr>
      <w:r>
        <w:t xml:space="preserve">Interference Mitigation and </w:t>
      </w:r>
      <w:r>
        <w:t>Enforcement</w:t>
      </w:r>
    </w:p>
    <w:p w:rsidR="00AF4CD2" w:rsidP="004D6DB7" w14:paraId="40E4CE9B" w14:textId="77362D13">
      <w:pPr>
        <w:pStyle w:val="ParaNum"/>
      </w:pPr>
      <w:r>
        <w:t xml:space="preserve">Several commenters raise issues related </w:t>
      </w:r>
      <w:r w:rsidR="0096522E">
        <w:t xml:space="preserve">to </w:t>
      </w:r>
      <w:r>
        <w:t>interference mitigation and enforcement</w:t>
      </w:r>
      <w:r w:rsidR="00D12C0C">
        <w:t xml:space="preserve"> of the Commission’s rules</w:t>
      </w:r>
      <w:r>
        <w:t>.  According to AT&amp;T, many of the AFC applications do not address the requirement that t</w:t>
      </w:r>
      <w:r w:rsidR="00167C47">
        <w:t>he AFC systems</w:t>
      </w:r>
      <w:r>
        <w:t xml:space="preserve"> </w:t>
      </w:r>
      <w:r w:rsidR="00F36EBA">
        <w:t xml:space="preserve">incorporate </w:t>
      </w:r>
      <w:r>
        <w:t xml:space="preserve">protocols to comply with enforcement instructions from the Commission </w:t>
      </w:r>
      <w:r w:rsidR="000A49FA">
        <w:t>and</w:t>
      </w:r>
      <w:r>
        <w:t xml:space="preserve"> </w:t>
      </w:r>
      <w:r w:rsidR="00614E15">
        <w:t xml:space="preserve">do </w:t>
      </w:r>
      <w:r>
        <w:t>no</w:t>
      </w:r>
      <w:r w:rsidR="00614E15">
        <w:t>t</w:t>
      </w:r>
      <w:r>
        <w:t xml:space="preserve"> </w:t>
      </w:r>
      <w:r w:rsidR="00614E15">
        <w:t xml:space="preserve">contain any </w:t>
      </w:r>
      <w:r>
        <w:t>real discussion of how the AFC system will discontinue access point operations in a particular area</w:t>
      </w:r>
      <w:r w:rsidR="00F911BF">
        <w:t xml:space="preserve"> </w:t>
      </w:r>
      <w:r w:rsidR="008804D7">
        <w:t>as required</w:t>
      </w:r>
      <w:r w:rsidR="005004F2">
        <w:t xml:space="preserve"> by the rules</w:t>
      </w:r>
      <w:r>
        <w:t>.</w:t>
      </w:r>
      <w:r>
        <w:rPr>
          <w:rStyle w:val="FootnoteReference"/>
        </w:rPr>
        <w:footnoteReference w:id="78"/>
      </w:r>
      <w:r>
        <w:t xml:space="preserve">  </w:t>
      </w:r>
      <w:r w:rsidR="0096522E">
        <w:t xml:space="preserve">AT&amp;T </w:t>
      </w:r>
      <w:r w:rsidR="003D159D">
        <w:t xml:space="preserve">claims that it would be impractical for OET to </w:t>
      </w:r>
      <w:r w:rsidR="002D43E8">
        <w:t xml:space="preserve">use </w:t>
      </w:r>
      <w:r w:rsidR="00456A80">
        <w:t xml:space="preserve">separate interfaces </w:t>
      </w:r>
      <w:r w:rsidR="00C32972">
        <w:t xml:space="preserve">for each AFC system to </w:t>
      </w:r>
      <w:r w:rsidR="00097F8B">
        <w:t xml:space="preserve">enter </w:t>
      </w:r>
      <w:r w:rsidR="000A49FA">
        <w:t>exclusion</w:t>
      </w:r>
      <w:r w:rsidR="00097F8B">
        <w:t xml:space="preserve"> zones </w:t>
      </w:r>
      <w:r w:rsidR="000A49FA">
        <w:t xml:space="preserve">for unlicensed devices </w:t>
      </w:r>
      <w:r w:rsidR="00097F8B">
        <w:t xml:space="preserve">and </w:t>
      </w:r>
      <w:r w:rsidR="001773C5">
        <w:t xml:space="preserve">suggests </w:t>
      </w:r>
      <w:r w:rsidR="00205FC7">
        <w:t xml:space="preserve">that </w:t>
      </w:r>
      <w:r w:rsidR="00901AFC">
        <w:t>the AFC system</w:t>
      </w:r>
      <w:r w:rsidR="008804D7">
        <w:t xml:space="preserve"> operators</w:t>
      </w:r>
      <w:r w:rsidR="00901AFC">
        <w:t xml:space="preserve"> </w:t>
      </w:r>
      <w:r w:rsidR="00676CF5">
        <w:t xml:space="preserve">work with OET to develop a </w:t>
      </w:r>
      <w:r w:rsidR="00AB1B04">
        <w:t>web-based database to</w:t>
      </w:r>
      <w:r w:rsidR="00CC636B">
        <w:t xml:space="preserve"> import exclusion zon</w:t>
      </w:r>
      <w:r w:rsidR="00A23C18">
        <w:t xml:space="preserve">es </w:t>
      </w:r>
      <w:r w:rsidR="00CC636B">
        <w:t>into each AFC system.</w:t>
      </w:r>
      <w:r>
        <w:rPr>
          <w:rStyle w:val="FootnoteReference"/>
        </w:rPr>
        <w:footnoteReference w:id="79"/>
      </w:r>
      <w:r w:rsidR="00CC636B">
        <w:t xml:space="preserve">  </w:t>
      </w:r>
      <w:r w:rsidR="00E640D0">
        <w:t xml:space="preserve">AT&amp;T also </w:t>
      </w:r>
      <w:r w:rsidR="003F14C7">
        <w:t>mentions that no</w:t>
      </w:r>
      <w:r w:rsidR="001A62F9">
        <w:t>ne of the</w:t>
      </w:r>
      <w:r w:rsidR="003F14C7">
        <w:t xml:space="preserve"> AFC proposal</w:t>
      </w:r>
      <w:r w:rsidR="001A62F9">
        <w:t>s</w:t>
      </w:r>
      <w:r w:rsidR="003F14C7">
        <w:t xml:space="preserve"> incorporates the ability to directly communicate with microwave licensees and </w:t>
      </w:r>
      <w:r w:rsidR="000C6A6E">
        <w:t>suggest</w:t>
      </w:r>
      <w:r w:rsidR="00DA2985">
        <w:t>s</w:t>
      </w:r>
      <w:r w:rsidR="000C6A6E">
        <w:t xml:space="preserve"> that </w:t>
      </w:r>
      <w:r w:rsidR="00650914">
        <w:t xml:space="preserve">AFC system operators engage in good faith </w:t>
      </w:r>
      <w:r w:rsidR="00245430">
        <w:t xml:space="preserve">with microwave licensees </w:t>
      </w:r>
      <w:r w:rsidR="004A3DA3">
        <w:t xml:space="preserve">to diagnose </w:t>
      </w:r>
      <w:r w:rsidR="00CA185B">
        <w:t xml:space="preserve">and remediate </w:t>
      </w:r>
      <w:r w:rsidR="00AB493D">
        <w:t xml:space="preserve">interference problems </w:t>
      </w:r>
      <w:r w:rsidR="00E453C0">
        <w:t xml:space="preserve">even if the </w:t>
      </w:r>
      <w:r w:rsidR="00AB493D">
        <w:t>Commission i</w:t>
      </w:r>
      <w:r w:rsidR="00E453C0">
        <w:t xml:space="preserve">s not </w:t>
      </w:r>
      <w:r w:rsidR="00AB493D">
        <w:t>formally involved.</w:t>
      </w:r>
      <w:r>
        <w:rPr>
          <w:rStyle w:val="FootnoteReference"/>
        </w:rPr>
        <w:footnoteReference w:id="80"/>
      </w:r>
      <w:r w:rsidR="00AB493D">
        <w:t xml:space="preserve">  </w:t>
      </w:r>
    </w:p>
    <w:p w:rsidR="00850B5A" w:rsidRPr="00850B5A" w:rsidP="004D6DB7" w14:paraId="41C869E5" w14:textId="42BF58B9">
      <w:pPr>
        <w:pStyle w:val="ParaNum"/>
      </w:pPr>
      <w:r>
        <w:t>Verizon</w:t>
      </w:r>
      <w:r w:rsidR="00634477">
        <w:t xml:space="preserve"> point</w:t>
      </w:r>
      <w:r w:rsidR="0082528E">
        <w:t>s</w:t>
      </w:r>
      <w:r w:rsidR="00634477">
        <w:t xml:space="preserve"> t</w:t>
      </w:r>
      <w:r w:rsidR="009407BF">
        <w:t xml:space="preserve">o the </w:t>
      </w:r>
      <w:r w:rsidRPr="004A2D91" w:rsidR="009407BF">
        <w:rPr>
          <w:i/>
          <w:iCs/>
          <w:szCs w:val="22"/>
        </w:rPr>
        <w:t>6 GHz Report and Order</w:t>
      </w:r>
      <w:r w:rsidR="009407BF">
        <w:rPr>
          <w:szCs w:val="22"/>
        </w:rPr>
        <w:t xml:space="preserve"> </w:t>
      </w:r>
      <w:r w:rsidR="00620ACE">
        <w:rPr>
          <w:szCs w:val="22"/>
        </w:rPr>
        <w:t xml:space="preserve">to claim that the </w:t>
      </w:r>
      <w:r w:rsidR="00255FF9">
        <w:rPr>
          <w:szCs w:val="22"/>
        </w:rPr>
        <w:t>Commission</w:t>
      </w:r>
      <w:r w:rsidR="009A1163">
        <w:rPr>
          <w:szCs w:val="22"/>
        </w:rPr>
        <w:t xml:space="preserve"> charged a </w:t>
      </w:r>
      <w:r w:rsidR="00620ACE">
        <w:rPr>
          <w:szCs w:val="22"/>
        </w:rPr>
        <w:t>mu</w:t>
      </w:r>
      <w:r w:rsidR="00605281">
        <w:rPr>
          <w:szCs w:val="22"/>
        </w:rPr>
        <w:t>lti-stakeholder group with addressing</w:t>
      </w:r>
      <w:r w:rsidR="00742D14">
        <w:rPr>
          <w:szCs w:val="22"/>
        </w:rPr>
        <w:t xml:space="preserve"> procedures to follow if an incumbent licensee </w:t>
      </w:r>
      <w:r w:rsidR="00073548">
        <w:rPr>
          <w:szCs w:val="22"/>
        </w:rPr>
        <w:t>has a</w:t>
      </w:r>
      <w:r w:rsidR="00EA48DB">
        <w:rPr>
          <w:szCs w:val="22"/>
        </w:rPr>
        <w:t>n interference</w:t>
      </w:r>
      <w:r w:rsidR="00073548">
        <w:rPr>
          <w:szCs w:val="22"/>
        </w:rPr>
        <w:t xml:space="preserve"> </w:t>
      </w:r>
      <w:r w:rsidR="00221400">
        <w:rPr>
          <w:szCs w:val="22"/>
        </w:rPr>
        <w:t>complaint</w:t>
      </w:r>
      <w:r w:rsidR="00385D72">
        <w:rPr>
          <w:szCs w:val="22"/>
        </w:rPr>
        <w:t xml:space="preserve"> and that the group was </w:t>
      </w:r>
      <w:r w:rsidR="009D18B5">
        <w:rPr>
          <w:szCs w:val="22"/>
        </w:rPr>
        <w:t xml:space="preserve">directed to </w:t>
      </w:r>
      <w:r w:rsidR="00EA4180">
        <w:rPr>
          <w:szCs w:val="22"/>
        </w:rPr>
        <w:t xml:space="preserve">create a process </w:t>
      </w:r>
      <w:r w:rsidR="008A0EC7">
        <w:rPr>
          <w:szCs w:val="22"/>
        </w:rPr>
        <w:t xml:space="preserve">to effectively address </w:t>
      </w:r>
      <w:r w:rsidR="0082528E">
        <w:rPr>
          <w:szCs w:val="22"/>
        </w:rPr>
        <w:t xml:space="preserve">and resolve interference complaints without involving the Commission’s </w:t>
      </w:r>
      <w:r w:rsidR="002021A0">
        <w:rPr>
          <w:szCs w:val="22"/>
        </w:rPr>
        <w:t>E</w:t>
      </w:r>
      <w:r w:rsidR="0082528E">
        <w:rPr>
          <w:szCs w:val="22"/>
        </w:rPr>
        <w:t xml:space="preserve">nforcement </w:t>
      </w:r>
      <w:r w:rsidR="002021A0">
        <w:rPr>
          <w:szCs w:val="22"/>
        </w:rPr>
        <w:t>B</w:t>
      </w:r>
      <w:r w:rsidR="0082528E">
        <w:rPr>
          <w:szCs w:val="22"/>
        </w:rPr>
        <w:t>ureau.</w:t>
      </w:r>
      <w:r>
        <w:rPr>
          <w:rStyle w:val="FootnoteReference"/>
          <w:szCs w:val="22"/>
        </w:rPr>
        <w:footnoteReference w:id="81"/>
      </w:r>
      <w:r w:rsidR="0082528E">
        <w:rPr>
          <w:szCs w:val="22"/>
        </w:rPr>
        <w:t xml:space="preserve">  </w:t>
      </w:r>
      <w:r w:rsidR="002E40EA">
        <w:rPr>
          <w:szCs w:val="22"/>
        </w:rPr>
        <w:t>Verizon states that</w:t>
      </w:r>
      <w:r w:rsidR="00C01DAF">
        <w:rPr>
          <w:szCs w:val="22"/>
        </w:rPr>
        <w:t>,</w:t>
      </w:r>
      <w:r w:rsidR="002E40EA">
        <w:rPr>
          <w:szCs w:val="22"/>
        </w:rPr>
        <w:t xml:space="preserve"> to </w:t>
      </w:r>
      <w:r w:rsidR="00C01DAF">
        <w:rPr>
          <w:szCs w:val="22"/>
        </w:rPr>
        <w:t xml:space="preserve">its </w:t>
      </w:r>
      <w:r w:rsidR="002E40EA">
        <w:rPr>
          <w:szCs w:val="22"/>
        </w:rPr>
        <w:t>know</w:t>
      </w:r>
      <w:r w:rsidR="00C60594">
        <w:rPr>
          <w:szCs w:val="22"/>
        </w:rPr>
        <w:t>ledge</w:t>
      </w:r>
      <w:r w:rsidR="00C01DAF">
        <w:rPr>
          <w:szCs w:val="22"/>
        </w:rPr>
        <w:t>,</w:t>
      </w:r>
      <w:r w:rsidR="000532B1">
        <w:rPr>
          <w:szCs w:val="22"/>
        </w:rPr>
        <w:t xml:space="preserve"> </w:t>
      </w:r>
      <w:r w:rsidR="000532B1">
        <w:rPr>
          <w:szCs w:val="22"/>
        </w:rPr>
        <w:t>WinnForum</w:t>
      </w:r>
      <w:r w:rsidR="000532B1">
        <w:rPr>
          <w:szCs w:val="22"/>
        </w:rPr>
        <w:t xml:space="preserve"> has </w:t>
      </w:r>
      <w:r w:rsidR="00C01DAF">
        <w:rPr>
          <w:szCs w:val="22"/>
        </w:rPr>
        <w:t xml:space="preserve">not </w:t>
      </w:r>
      <w:r w:rsidR="000532B1">
        <w:rPr>
          <w:szCs w:val="22"/>
        </w:rPr>
        <w:t xml:space="preserve">made </w:t>
      </w:r>
      <w:r w:rsidR="00C01DAF">
        <w:rPr>
          <w:szCs w:val="22"/>
        </w:rPr>
        <w:t xml:space="preserve">any </w:t>
      </w:r>
      <w:r w:rsidR="000532B1">
        <w:rPr>
          <w:szCs w:val="22"/>
        </w:rPr>
        <w:t>progress</w:t>
      </w:r>
      <w:r w:rsidR="009A0C46">
        <w:rPr>
          <w:szCs w:val="22"/>
        </w:rPr>
        <w:t xml:space="preserve"> on this issue.</w:t>
      </w:r>
      <w:r>
        <w:rPr>
          <w:rStyle w:val="FootnoteReference"/>
        </w:rPr>
        <w:footnoteReference w:id="82"/>
      </w:r>
      <w:r w:rsidR="009A0C46">
        <w:rPr>
          <w:szCs w:val="22"/>
        </w:rPr>
        <w:t xml:space="preserve">  Verizon request</w:t>
      </w:r>
      <w:r w:rsidR="00C01DAF">
        <w:rPr>
          <w:szCs w:val="22"/>
        </w:rPr>
        <w:t>s</w:t>
      </w:r>
      <w:r w:rsidR="009A0C46">
        <w:rPr>
          <w:szCs w:val="22"/>
        </w:rPr>
        <w:t xml:space="preserve"> that </w:t>
      </w:r>
      <w:r>
        <w:rPr>
          <w:szCs w:val="22"/>
        </w:rPr>
        <w:t>cond</w:t>
      </w:r>
      <w:r w:rsidR="00A4572F">
        <w:rPr>
          <w:szCs w:val="22"/>
        </w:rPr>
        <w:t>itional approval not be granted to the AFC systems</w:t>
      </w:r>
      <w:r w:rsidR="00813AAD">
        <w:rPr>
          <w:szCs w:val="22"/>
        </w:rPr>
        <w:t xml:space="preserve"> until this is addressed</w:t>
      </w:r>
      <w:r w:rsidR="00A4572F">
        <w:rPr>
          <w:szCs w:val="22"/>
        </w:rPr>
        <w:t>.</w:t>
      </w:r>
      <w:r>
        <w:rPr>
          <w:rStyle w:val="FootnoteReference"/>
        </w:rPr>
        <w:footnoteReference w:id="83"/>
      </w:r>
      <w:r w:rsidR="00917FB5">
        <w:rPr>
          <w:szCs w:val="22"/>
        </w:rPr>
        <w:t xml:space="preserve">  According to Verizon,</w:t>
      </w:r>
      <w:r w:rsidR="00835447">
        <w:rPr>
          <w:szCs w:val="22"/>
        </w:rPr>
        <w:t xml:space="preserve"> the 6 GHz interference-protection regime would benefit from a clearly defined process for</w:t>
      </w:r>
      <w:r w:rsidR="001F20CC">
        <w:rPr>
          <w:szCs w:val="22"/>
        </w:rPr>
        <w:t xml:space="preserve"> </w:t>
      </w:r>
      <w:r w:rsidR="001876B4">
        <w:rPr>
          <w:szCs w:val="22"/>
        </w:rPr>
        <w:t xml:space="preserve">submitting </w:t>
      </w:r>
      <w:r w:rsidR="001F20CC">
        <w:rPr>
          <w:szCs w:val="22"/>
        </w:rPr>
        <w:t xml:space="preserve">interference complaints and resolution </w:t>
      </w:r>
      <w:r w:rsidR="0029549A">
        <w:rPr>
          <w:szCs w:val="22"/>
        </w:rPr>
        <w:t>mechanisms.</w:t>
      </w:r>
      <w:r>
        <w:rPr>
          <w:rStyle w:val="FootnoteReference"/>
          <w:szCs w:val="22"/>
        </w:rPr>
        <w:footnoteReference w:id="84"/>
      </w:r>
      <w:r w:rsidR="0029549A">
        <w:rPr>
          <w:szCs w:val="22"/>
        </w:rPr>
        <w:t xml:space="preserve">  </w:t>
      </w:r>
      <w:r w:rsidR="00A4572F">
        <w:rPr>
          <w:szCs w:val="22"/>
        </w:rPr>
        <w:t xml:space="preserve"> </w:t>
      </w:r>
    </w:p>
    <w:p w:rsidR="007B29E0" w:rsidP="004D6DB7" w14:paraId="2882FA3B" w14:textId="28CD9847">
      <w:pPr>
        <w:pStyle w:val="ParaNum"/>
      </w:pPr>
      <w:r>
        <w:t xml:space="preserve">FWCC </w:t>
      </w:r>
      <w:r w:rsidR="008319DC">
        <w:t xml:space="preserve">similarly </w:t>
      </w:r>
      <w:r w:rsidR="007D479A">
        <w:t>claims</w:t>
      </w:r>
      <w:r w:rsidR="00947C99">
        <w:t xml:space="preserve"> that the AFC system applications have provided only the barest of details </w:t>
      </w:r>
      <w:r w:rsidR="003A42B6">
        <w:t xml:space="preserve">on how they will comply with the </w:t>
      </w:r>
      <w:r w:rsidR="007D479A">
        <w:t xml:space="preserve">rule </w:t>
      </w:r>
      <w:r w:rsidR="003A42B6">
        <w:t xml:space="preserve">requirement </w:t>
      </w:r>
      <w:r w:rsidR="00011ED0">
        <w:t xml:space="preserve">that they </w:t>
      </w:r>
      <w:r w:rsidR="0084220F">
        <w:t xml:space="preserve">“establish </w:t>
      </w:r>
      <w:r w:rsidR="00432222">
        <w:t xml:space="preserve">[. . .] </w:t>
      </w:r>
      <w:r w:rsidR="0084220F">
        <w:t>protocols to comply with enforcement instructions from the Commission</w:t>
      </w:r>
      <w:r w:rsidR="00A124CE">
        <w:t>.</w:t>
      </w:r>
      <w:r w:rsidR="00995991">
        <w:t>”</w:t>
      </w:r>
      <w:r>
        <w:rPr>
          <w:rStyle w:val="FootnoteReference"/>
        </w:rPr>
        <w:footnoteReference w:id="85"/>
      </w:r>
      <w:r w:rsidR="00A124CE">
        <w:t xml:space="preserve">  </w:t>
      </w:r>
      <w:r w:rsidR="00B81227">
        <w:t xml:space="preserve">FWCC </w:t>
      </w:r>
      <w:r w:rsidR="00562C14">
        <w:t>request</w:t>
      </w:r>
      <w:r w:rsidR="009245B8">
        <w:t>s</w:t>
      </w:r>
      <w:r w:rsidR="00562C14">
        <w:t xml:space="preserve"> that</w:t>
      </w:r>
      <w:r w:rsidR="00B81227">
        <w:t xml:space="preserve"> </w:t>
      </w:r>
      <w:r w:rsidR="001D6CD8">
        <w:t xml:space="preserve">the AFC </w:t>
      </w:r>
      <w:r w:rsidR="000B5342">
        <w:t xml:space="preserve">operators be </w:t>
      </w:r>
      <w:r w:rsidR="00354F14">
        <w:t xml:space="preserve">required </w:t>
      </w:r>
      <w:r w:rsidR="00DE16D4">
        <w:t xml:space="preserve">to describe the </w:t>
      </w:r>
      <w:r w:rsidR="00E5211C">
        <w:t xml:space="preserve">data they will retain regarding interference reports </w:t>
      </w:r>
      <w:r w:rsidR="0073539A">
        <w:t xml:space="preserve">and discontinuance of </w:t>
      </w:r>
      <w:r w:rsidR="00CC443D">
        <w:t xml:space="preserve">access </w:t>
      </w:r>
      <w:r w:rsidR="0073539A">
        <w:t>to the</w:t>
      </w:r>
      <w:r w:rsidR="00764CC4">
        <w:t xml:space="preserve"> 6 GHz band </w:t>
      </w:r>
      <w:r w:rsidR="008C7CD7">
        <w:t>by unlicensed devices</w:t>
      </w:r>
      <w:r w:rsidR="00764CC4">
        <w:t xml:space="preserve"> and how the Commission will access that information.</w:t>
      </w:r>
      <w:r>
        <w:rPr>
          <w:rStyle w:val="FootnoteReference"/>
        </w:rPr>
        <w:footnoteReference w:id="86"/>
      </w:r>
      <w:r w:rsidR="00764CC4">
        <w:t xml:space="preserve">  </w:t>
      </w:r>
      <w:r w:rsidR="009245B8">
        <w:t xml:space="preserve">It </w:t>
      </w:r>
      <w:r w:rsidR="00562C14">
        <w:t>suggest</w:t>
      </w:r>
      <w:r w:rsidR="009245B8">
        <w:t>s</w:t>
      </w:r>
      <w:r w:rsidR="00562C14">
        <w:t xml:space="preserve"> </w:t>
      </w:r>
      <w:r w:rsidR="009245B8">
        <w:t xml:space="preserve">creating </w:t>
      </w:r>
      <w:r w:rsidR="003F3501">
        <w:t xml:space="preserve">a </w:t>
      </w:r>
      <w:r w:rsidR="00C5488D">
        <w:t xml:space="preserve">database </w:t>
      </w:r>
      <w:r w:rsidR="009245B8">
        <w:t xml:space="preserve">that contains </w:t>
      </w:r>
      <w:r w:rsidR="006A7925">
        <w:t xml:space="preserve">information on interference reports and blacklisted devices that is accessible to all AFC </w:t>
      </w:r>
      <w:r w:rsidR="009C454A">
        <w:t xml:space="preserve">system </w:t>
      </w:r>
      <w:r w:rsidR="006A7925">
        <w:t>operators and the Commission</w:t>
      </w:r>
      <w:r w:rsidR="00724D30">
        <w:t xml:space="preserve"> to </w:t>
      </w:r>
      <w:r w:rsidR="000227B6">
        <w:t xml:space="preserve">assist in </w:t>
      </w:r>
      <w:r w:rsidR="009B2D82">
        <w:t>conducting investigations</w:t>
      </w:r>
      <w:r w:rsidR="0047322C">
        <w:t>.</w:t>
      </w:r>
      <w:r>
        <w:rPr>
          <w:rStyle w:val="FootnoteReference"/>
        </w:rPr>
        <w:footnoteReference w:id="87"/>
      </w:r>
      <w:r w:rsidR="0047322C">
        <w:t xml:space="preserve">  </w:t>
      </w:r>
      <w:r w:rsidR="00AB3A0E">
        <w:t>In addition, FWCC suggest</w:t>
      </w:r>
      <w:r w:rsidR="00960771">
        <w:t>s</w:t>
      </w:r>
      <w:r w:rsidR="00AB3A0E">
        <w:t xml:space="preserve"> </w:t>
      </w:r>
      <w:r w:rsidR="00960771">
        <w:t xml:space="preserve">that </w:t>
      </w:r>
      <w:r w:rsidR="00614DA9">
        <w:t>AFC operators and the Commission establish a process to manage blacklisting of devices and speci</w:t>
      </w:r>
      <w:r w:rsidR="004B47F4">
        <w:t xml:space="preserve">fy areas </w:t>
      </w:r>
      <w:r w:rsidR="006107EF">
        <w:t xml:space="preserve">where </w:t>
      </w:r>
      <w:r w:rsidR="004B47F4">
        <w:t>transmissions must be limited.</w:t>
      </w:r>
      <w:r>
        <w:rPr>
          <w:rStyle w:val="FootnoteReference"/>
        </w:rPr>
        <w:footnoteReference w:id="88"/>
      </w:r>
      <w:r w:rsidR="004B47F4">
        <w:t xml:space="preserve">  </w:t>
      </w:r>
      <w:r w:rsidR="00496191">
        <w:t xml:space="preserve">FWCC also claims that AFC </w:t>
      </w:r>
      <w:r w:rsidR="00AF4E2C">
        <w:t>operators should describe how an unlicensed device can be immediately d</w:t>
      </w:r>
      <w:r w:rsidR="00E37190">
        <w:t>isabled</w:t>
      </w:r>
      <w:r w:rsidR="00CB1249">
        <w:t xml:space="preserve"> since </w:t>
      </w:r>
      <w:r w:rsidR="00846874">
        <w:t>access points will typically be authorized for a 24-hour period</w:t>
      </w:r>
      <w:r w:rsidR="00E37190">
        <w:t>.</w:t>
      </w:r>
      <w:r>
        <w:rPr>
          <w:rStyle w:val="FootnoteReference"/>
        </w:rPr>
        <w:footnoteReference w:id="89"/>
      </w:r>
      <w:r w:rsidR="00E37190">
        <w:t xml:space="preserve"> </w:t>
      </w:r>
    </w:p>
    <w:p w:rsidR="004D6DB7" w:rsidP="004D6DB7" w14:paraId="7E96816B" w14:textId="251D105C">
      <w:pPr>
        <w:pStyle w:val="ParaNum"/>
      </w:pPr>
      <w:r>
        <w:t xml:space="preserve">APCO notes that </w:t>
      </w:r>
      <w:r w:rsidR="002F689E">
        <w:t>the AFC system proposals offe</w:t>
      </w:r>
      <w:r w:rsidR="00474B6B">
        <w:t>r</w:t>
      </w:r>
      <w:r w:rsidR="002F689E">
        <w:t xml:space="preserve"> differing explanations for how the</w:t>
      </w:r>
      <w:r w:rsidR="000A2899">
        <w:t xml:space="preserve"> AFC systems</w:t>
      </w:r>
      <w:r w:rsidR="002F689E">
        <w:t xml:space="preserve"> will respond to reports of harmful </w:t>
      </w:r>
      <w:r w:rsidR="004716D9">
        <w:t>interference.</w:t>
      </w:r>
      <w:r>
        <w:rPr>
          <w:rStyle w:val="FootnoteReference"/>
        </w:rPr>
        <w:footnoteReference w:id="90"/>
      </w:r>
      <w:r w:rsidR="004716D9">
        <w:t xml:space="preserve">  APCO </w:t>
      </w:r>
      <w:r w:rsidR="000A2899">
        <w:t>suggest</w:t>
      </w:r>
      <w:r w:rsidR="009D5D0F">
        <w:t>s</w:t>
      </w:r>
      <w:r w:rsidR="004716D9">
        <w:t xml:space="preserve"> that public safety agencies should not be required to report </w:t>
      </w:r>
      <w:r w:rsidR="00DB19DA">
        <w:t>interference to individual AFC operators as they are not likely to know</w:t>
      </w:r>
      <w:r w:rsidR="00A36A09">
        <w:t xml:space="preserve"> which AFC system is controlling </w:t>
      </w:r>
      <w:r w:rsidR="00DE1AEA">
        <w:t xml:space="preserve">a device </w:t>
      </w:r>
      <w:r w:rsidR="000A2899">
        <w:t>that</w:t>
      </w:r>
      <w:r w:rsidR="00DE1AEA">
        <w:t xml:space="preserve"> is causing interference.</w:t>
      </w:r>
      <w:r>
        <w:rPr>
          <w:rStyle w:val="FootnoteReference"/>
        </w:rPr>
        <w:footnoteReference w:id="91"/>
      </w:r>
      <w:r w:rsidR="00DE1AEA">
        <w:t xml:space="preserve">  </w:t>
      </w:r>
      <w:r w:rsidR="009953F6">
        <w:t>APCO asks a series of questions regarding interference</w:t>
      </w:r>
      <w:r w:rsidR="006B2B16">
        <w:t xml:space="preserve"> mitigation</w:t>
      </w:r>
      <w:r w:rsidR="00432222">
        <w:t>,</w:t>
      </w:r>
      <w:r w:rsidR="006B2B16">
        <w:t xml:space="preserve"> such as what information </w:t>
      </w:r>
      <w:r w:rsidR="00D96A2B">
        <w:t>licensees will need to provide</w:t>
      </w:r>
      <w:r w:rsidR="008E5BC8">
        <w:t xml:space="preserve"> </w:t>
      </w:r>
      <w:r w:rsidR="00074E5F">
        <w:t xml:space="preserve">if making an </w:t>
      </w:r>
      <w:r w:rsidR="00452BBD">
        <w:t>interference complaint, what process will be used to identify sources of interference, how will AFC operators account for the cost involved</w:t>
      </w:r>
      <w:r w:rsidR="00B648EE">
        <w:t xml:space="preserve">, </w:t>
      </w:r>
      <w:r w:rsidR="00432222">
        <w:t>whether</w:t>
      </w:r>
      <w:r w:rsidR="00B648EE">
        <w:t xml:space="preserve"> </w:t>
      </w:r>
      <w:r w:rsidR="004801D2">
        <w:t xml:space="preserve">complaints </w:t>
      </w:r>
      <w:r w:rsidR="00432222">
        <w:t xml:space="preserve">will </w:t>
      </w:r>
      <w:r w:rsidR="004801D2">
        <w:t>need to identify individual devices causing interference</w:t>
      </w:r>
      <w:r w:rsidR="00E259E8">
        <w:t xml:space="preserve">, and </w:t>
      </w:r>
      <w:r w:rsidR="00432222">
        <w:t>whether</w:t>
      </w:r>
      <w:r w:rsidR="00CD114E">
        <w:t xml:space="preserve"> AFC operators </w:t>
      </w:r>
      <w:r w:rsidR="00432222">
        <w:t xml:space="preserve">will </w:t>
      </w:r>
      <w:r w:rsidR="00CD114E">
        <w:t xml:space="preserve">be capable of having devices </w:t>
      </w:r>
      <w:r w:rsidR="002F1F49">
        <w:t xml:space="preserve">causing interference immediately shut down or shift </w:t>
      </w:r>
      <w:r w:rsidR="00C76CC6">
        <w:t>frequencies.</w:t>
      </w:r>
      <w:r>
        <w:rPr>
          <w:rStyle w:val="FootnoteReference"/>
        </w:rPr>
        <w:footnoteReference w:id="92"/>
      </w:r>
      <w:r w:rsidR="00333D9D">
        <w:t xml:space="preserve"> </w:t>
      </w:r>
    </w:p>
    <w:p w:rsidR="004B2A56" w:rsidP="004D6DB7" w14:paraId="13EBE76D" w14:textId="4A0DC8DC">
      <w:pPr>
        <w:pStyle w:val="ParaNum"/>
      </w:pPr>
      <w:r>
        <w:t xml:space="preserve">The Commission’s rules require that AFC systems </w:t>
      </w:r>
      <w:r w:rsidR="00D7300B">
        <w:t>“[</w:t>
      </w:r>
      <w:r w:rsidR="00C71210">
        <w:t xml:space="preserve">e]stablish </w:t>
      </w:r>
      <w:r w:rsidR="00304E16">
        <w:t>and follow protocols to comply with enforcement instructions</w:t>
      </w:r>
      <w:r w:rsidR="006107EF">
        <w:t xml:space="preserve"> from the Commission</w:t>
      </w:r>
      <w:r w:rsidR="00A15AE1">
        <w:t>, including discontinuance</w:t>
      </w:r>
      <w:r w:rsidR="00163451">
        <w:t xml:space="preserve"> of standard power</w:t>
      </w:r>
      <w:r w:rsidR="008622C1">
        <w:t xml:space="preserve"> access point operations in designated geographic areas.”</w:t>
      </w:r>
      <w:r>
        <w:rPr>
          <w:rStyle w:val="FootnoteReference"/>
        </w:rPr>
        <w:footnoteReference w:id="93"/>
      </w:r>
      <w:r w:rsidR="008622C1">
        <w:t xml:space="preserve">  All of the AFC</w:t>
      </w:r>
      <w:r w:rsidR="00FE5FDE">
        <w:t xml:space="preserve"> system applicants have indicated in</w:t>
      </w:r>
      <w:r w:rsidR="002D760C">
        <w:t xml:space="preserve"> either their proposals or</w:t>
      </w:r>
      <w:r w:rsidR="006E548E">
        <w:t xml:space="preserve"> supplemental filings that the</w:t>
      </w:r>
      <w:r w:rsidR="00176278">
        <w:t xml:space="preserve">ir systems will </w:t>
      </w:r>
      <w:r w:rsidR="0070467C">
        <w:t xml:space="preserve">comply with enforcement instructions </w:t>
      </w:r>
      <w:r w:rsidR="003F1B6F">
        <w:t>and are</w:t>
      </w:r>
      <w:r w:rsidR="00176278">
        <w:t xml:space="preserve"> capable of meeting this requirement.</w:t>
      </w:r>
      <w:r>
        <w:rPr>
          <w:rStyle w:val="FootnoteReference"/>
        </w:rPr>
        <w:footnoteReference w:id="94"/>
      </w:r>
      <w:r w:rsidR="00176278">
        <w:t xml:space="preserve">  </w:t>
      </w:r>
      <w:r w:rsidR="005A12F0">
        <w:t xml:space="preserve">As discontinuing </w:t>
      </w:r>
      <w:r w:rsidR="00356817">
        <w:t xml:space="preserve">operation of a particular </w:t>
      </w:r>
      <w:r w:rsidR="00356817">
        <w:t xml:space="preserve">standard-power device or preventing </w:t>
      </w:r>
      <w:r w:rsidR="005C7F9A">
        <w:t xml:space="preserve">standard-power device operations in a particular area </w:t>
      </w:r>
      <w:r w:rsidR="00123DE8">
        <w:t xml:space="preserve">on </w:t>
      </w:r>
      <w:r w:rsidR="00514933">
        <w:t>a particular frequency</w:t>
      </w:r>
      <w:r w:rsidR="00931192">
        <w:t xml:space="preserve"> </w:t>
      </w:r>
      <w:r w:rsidR="007F6CC6">
        <w:t xml:space="preserve">is a </w:t>
      </w:r>
      <w:r w:rsidR="00931192">
        <w:t>straight</w:t>
      </w:r>
      <w:r w:rsidR="00F310D7">
        <w:t xml:space="preserve">forward </w:t>
      </w:r>
      <w:r w:rsidR="007F6CC6">
        <w:t xml:space="preserve">task </w:t>
      </w:r>
      <w:r w:rsidR="00F310D7">
        <w:t xml:space="preserve">for an AFC system, </w:t>
      </w:r>
      <w:r w:rsidR="008C583B">
        <w:t xml:space="preserve">more detailed information than what </w:t>
      </w:r>
      <w:r w:rsidR="00065744">
        <w:t xml:space="preserve">the applicants </w:t>
      </w:r>
      <w:r w:rsidR="008C583B">
        <w:t>ha</w:t>
      </w:r>
      <w:r w:rsidR="00065744">
        <w:t>ve</w:t>
      </w:r>
      <w:r w:rsidR="008C583B">
        <w:t xml:space="preserve"> provided</w:t>
      </w:r>
      <w:r w:rsidR="00C2098E">
        <w:t xml:space="preserve"> is not necessary at this time</w:t>
      </w:r>
      <w:r w:rsidR="008C583B">
        <w:t>.</w:t>
      </w:r>
      <w:r w:rsidR="00C2098E">
        <w:t xml:space="preserve">  This required functionality can be tested </w:t>
      </w:r>
      <w:r w:rsidR="00C56737">
        <w:t>prior to final approval</w:t>
      </w:r>
      <w:r w:rsidR="008B6D5A">
        <w:t xml:space="preserve"> to ensure </w:t>
      </w:r>
      <w:r w:rsidR="003B4692">
        <w:t xml:space="preserve">the AFC systems properly handle </w:t>
      </w:r>
      <w:r w:rsidR="00054224">
        <w:t>any</w:t>
      </w:r>
      <w:r w:rsidR="00D90BD7">
        <w:t xml:space="preserve"> relevant shutdown requests.</w:t>
      </w:r>
      <w:r w:rsidR="008C583B">
        <w:t xml:space="preserve"> </w:t>
      </w:r>
      <w:r w:rsidR="00514933">
        <w:t xml:space="preserve"> </w:t>
      </w:r>
      <w:r w:rsidR="009278E1">
        <w:t xml:space="preserve">Consequently, we </w:t>
      </w:r>
      <w:r w:rsidR="00541D24">
        <w:t xml:space="preserve">find that </w:t>
      </w:r>
      <w:r w:rsidR="002172A1">
        <w:t>there is</w:t>
      </w:r>
      <w:r w:rsidR="009278E1">
        <w:t xml:space="preserve"> no reason to delay </w:t>
      </w:r>
      <w:r w:rsidR="006E2911">
        <w:t xml:space="preserve">the </w:t>
      </w:r>
      <w:r w:rsidR="009278E1">
        <w:t xml:space="preserve">conditional approval </w:t>
      </w:r>
      <w:r w:rsidR="006E2AD9">
        <w:t xml:space="preserve">of the AFC systems </w:t>
      </w:r>
      <w:r w:rsidR="009278E1">
        <w:t xml:space="preserve">based on the </w:t>
      </w:r>
      <w:r w:rsidR="00065744">
        <w:t>concerns</w:t>
      </w:r>
      <w:r w:rsidR="006518A6">
        <w:t xml:space="preserve"> </w:t>
      </w:r>
      <w:r w:rsidR="00F93AA6">
        <w:t>expresse</w:t>
      </w:r>
      <w:r w:rsidR="001265EC">
        <w:t>d</w:t>
      </w:r>
      <w:r w:rsidR="00F93AA6">
        <w:t xml:space="preserve"> </w:t>
      </w:r>
      <w:r w:rsidR="00FC1713">
        <w:t xml:space="preserve">regarding </w:t>
      </w:r>
      <w:r w:rsidR="00CB286E">
        <w:t>interference mitigation and enforcement</w:t>
      </w:r>
      <w:r w:rsidR="00B12F0F">
        <w:t>.</w:t>
      </w:r>
    </w:p>
    <w:p w:rsidR="00BA50F5" w:rsidP="004D6DB7" w14:paraId="228BF1BA" w14:textId="3D79CAD6">
      <w:pPr>
        <w:pStyle w:val="ParaNum"/>
      </w:pPr>
      <w:r>
        <w:t>In t</w:t>
      </w:r>
      <w:r>
        <w:t xml:space="preserve">he </w:t>
      </w:r>
      <w:r w:rsidRPr="004A2D91">
        <w:rPr>
          <w:i/>
          <w:iCs/>
          <w:szCs w:val="22"/>
        </w:rPr>
        <w:t>6 GHz Report and Order</w:t>
      </w:r>
      <w:r w:rsidR="006107EF">
        <w:rPr>
          <w:szCs w:val="22"/>
        </w:rPr>
        <w:t>,</w:t>
      </w:r>
      <w:r w:rsidR="001803DD">
        <w:rPr>
          <w:szCs w:val="22"/>
        </w:rPr>
        <w:t xml:space="preserve"> the Commission encouraged </w:t>
      </w:r>
      <w:r w:rsidR="00836613">
        <w:rPr>
          <w:szCs w:val="22"/>
        </w:rPr>
        <w:t xml:space="preserve">stakeholders to </w:t>
      </w:r>
      <w:r w:rsidR="001803DD">
        <w:rPr>
          <w:szCs w:val="22"/>
        </w:rPr>
        <w:t>form a multi-stakeholder group</w:t>
      </w:r>
      <w:r w:rsidR="008D12B5">
        <w:rPr>
          <w:szCs w:val="22"/>
        </w:rPr>
        <w:t xml:space="preserve"> to address issues concerning 6 GHz unlicensed</w:t>
      </w:r>
      <w:r w:rsidR="00AB2EC1">
        <w:rPr>
          <w:szCs w:val="22"/>
        </w:rPr>
        <w:t xml:space="preserve"> device operations.</w:t>
      </w:r>
      <w:r>
        <w:rPr>
          <w:rStyle w:val="FootnoteReference"/>
          <w:szCs w:val="22"/>
        </w:rPr>
        <w:footnoteReference w:id="95"/>
      </w:r>
      <w:r w:rsidR="00AB2EC1">
        <w:rPr>
          <w:szCs w:val="22"/>
        </w:rPr>
        <w:t xml:space="preserve">  </w:t>
      </w:r>
      <w:r w:rsidR="0066099C">
        <w:rPr>
          <w:szCs w:val="22"/>
        </w:rPr>
        <w:t xml:space="preserve">The </w:t>
      </w:r>
      <w:r w:rsidR="00897CD7">
        <w:rPr>
          <w:szCs w:val="22"/>
        </w:rPr>
        <w:t>Commis</w:t>
      </w:r>
      <w:r w:rsidR="00086A11">
        <w:rPr>
          <w:szCs w:val="22"/>
        </w:rPr>
        <w:t>si</w:t>
      </w:r>
      <w:r w:rsidR="00897CD7">
        <w:rPr>
          <w:szCs w:val="22"/>
        </w:rPr>
        <w:t xml:space="preserve">on encouraged the </w:t>
      </w:r>
      <w:r w:rsidR="0066099C">
        <w:rPr>
          <w:szCs w:val="22"/>
        </w:rPr>
        <w:t>multi</w:t>
      </w:r>
      <w:r w:rsidR="00D90798">
        <w:rPr>
          <w:szCs w:val="22"/>
        </w:rPr>
        <w:t xml:space="preserve">-stakeholder group </w:t>
      </w:r>
      <w:r w:rsidR="00897CD7">
        <w:rPr>
          <w:szCs w:val="22"/>
        </w:rPr>
        <w:t>to</w:t>
      </w:r>
      <w:r w:rsidR="00E62177">
        <w:rPr>
          <w:szCs w:val="22"/>
        </w:rPr>
        <w:t xml:space="preserve"> </w:t>
      </w:r>
      <w:r w:rsidR="00672293">
        <w:rPr>
          <w:szCs w:val="22"/>
        </w:rPr>
        <w:t>“address any issues it deems appropriate</w:t>
      </w:r>
      <w:r w:rsidR="007C2D81">
        <w:rPr>
          <w:szCs w:val="22"/>
        </w:rPr>
        <w:t xml:space="preserve"> regarding interference detection</w:t>
      </w:r>
      <w:r w:rsidR="00895B01">
        <w:rPr>
          <w:szCs w:val="22"/>
        </w:rPr>
        <w:t xml:space="preserve"> and mitigation</w:t>
      </w:r>
      <w:r w:rsidR="00C342F3">
        <w:rPr>
          <w:szCs w:val="22"/>
        </w:rPr>
        <w:t>”</w:t>
      </w:r>
      <w:r w:rsidR="00AA4143">
        <w:rPr>
          <w:szCs w:val="22"/>
        </w:rPr>
        <w:t xml:space="preserve"> which </w:t>
      </w:r>
      <w:r w:rsidR="00E66DD4">
        <w:rPr>
          <w:szCs w:val="22"/>
        </w:rPr>
        <w:t xml:space="preserve">would “include </w:t>
      </w:r>
      <w:r w:rsidR="00952B43">
        <w:rPr>
          <w:szCs w:val="22"/>
        </w:rPr>
        <w:t xml:space="preserve">procedures and </w:t>
      </w:r>
      <w:r w:rsidR="009753A6">
        <w:rPr>
          <w:szCs w:val="22"/>
        </w:rPr>
        <w:t xml:space="preserve">processes that could be followed if an incumbent licensee has, or potentially </w:t>
      </w:r>
      <w:r w:rsidR="00820BB5">
        <w:rPr>
          <w:szCs w:val="22"/>
        </w:rPr>
        <w:t>has, an interference complaint.”</w:t>
      </w:r>
      <w:r>
        <w:rPr>
          <w:rStyle w:val="FootnoteReference"/>
          <w:szCs w:val="22"/>
        </w:rPr>
        <w:footnoteReference w:id="96"/>
      </w:r>
      <w:r w:rsidR="00820BB5">
        <w:rPr>
          <w:szCs w:val="22"/>
        </w:rPr>
        <w:t xml:space="preserve">  </w:t>
      </w:r>
      <w:r w:rsidR="00086A11">
        <w:rPr>
          <w:szCs w:val="22"/>
        </w:rPr>
        <w:t>While the Commission encouraged the multi-stakeholder group to</w:t>
      </w:r>
      <w:r w:rsidR="005C6A57">
        <w:rPr>
          <w:szCs w:val="22"/>
        </w:rPr>
        <w:t xml:space="preserve"> address these issues, it did not mak</w:t>
      </w:r>
      <w:r w:rsidR="00CD7770">
        <w:rPr>
          <w:szCs w:val="22"/>
        </w:rPr>
        <w:t xml:space="preserve">e this a mandatory requirement or </w:t>
      </w:r>
      <w:r w:rsidR="00082B0E">
        <w:rPr>
          <w:szCs w:val="22"/>
        </w:rPr>
        <w:t xml:space="preserve">condition </w:t>
      </w:r>
      <w:r w:rsidR="00B41860">
        <w:rPr>
          <w:szCs w:val="22"/>
        </w:rPr>
        <w:t xml:space="preserve">for </w:t>
      </w:r>
      <w:r w:rsidR="00082B0E">
        <w:rPr>
          <w:szCs w:val="22"/>
        </w:rPr>
        <w:t xml:space="preserve">AFC system </w:t>
      </w:r>
      <w:r w:rsidR="00B41860">
        <w:rPr>
          <w:szCs w:val="22"/>
        </w:rPr>
        <w:t>approval</w:t>
      </w:r>
      <w:r w:rsidR="000C51C2">
        <w:rPr>
          <w:szCs w:val="22"/>
        </w:rPr>
        <w:t xml:space="preserve">.  </w:t>
      </w:r>
      <w:r w:rsidR="00E37C0F">
        <w:rPr>
          <w:szCs w:val="22"/>
        </w:rPr>
        <w:t xml:space="preserve">The multi-stakeholder </w:t>
      </w:r>
      <w:r w:rsidR="00781665">
        <w:rPr>
          <w:szCs w:val="22"/>
        </w:rPr>
        <w:t xml:space="preserve">working group focused on harmful interference </w:t>
      </w:r>
      <w:r w:rsidR="00211DCC">
        <w:rPr>
          <w:szCs w:val="22"/>
        </w:rPr>
        <w:t>detection, reporting</w:t>
      </w:r>
      <w:r w:rsidR="00541D24">
        <w:rPr>
          <w:szCs w:val="22"/>
        </w:rPr>
        <w:t>,</w:t>
      </w:r>
      <w:r w:rsidR="00211DCC">
        <w:rPr>
          <w:szCs w:val="22"/>
        </w:rPr>
        <w:t xml:space="preserve"> and resolution </w:t>
      </w:r>
      <w:r w:rsidRPr="0069402D" w:rsidR="003443DE">
        <w:rPr>
          <w:szCs w:val="22"/>
        </w:rPr>
        <w:t>produced a report on recommended procedures for interference detection, reporting and resolution to protect microwave receivers.</w:t>
      </w:r>
      <w:r>
        <w:rPr>
          <w:rStyle w:val="FootnoteReference"/>
          <w:szCs w:val="22"/>
        </w:rPr>
        <w:footnoteReference w:id="97"/>
      </w:r>
      <w:r w:rsidRPr="00E83C54" w:rsidR="003443DE">
        <w:rPr>
          <w:szCs w:val="22"/>
        </w:rPr>
        <w:t xml:space="preserve"> </w:t>
      </w:r>
      <w:r w:rsidR="003443DE">
        <w:rPr>
          <w:szCs w:val="22"/>
        </w:rPr>
        <w:t xml:space="preserve"> </w:t>
      </w:r>
      <w:r w:rsidRPr="00E83C54" w:rsidR="003443DE">
        <w:rPr>
          <w:szCs w:val="22"/>
        </w:rPr>
        <w:t xml:space="preserve">This report presents two alternate viewpoints on how interference should be reported and what procedures should be used to resolve </w:t>
      </w:r>
      <w:r w:rsidR="003443DE">
        <w:rPr>
          <w:szCs w:val="22"/>
        </w:rPr>
        <w:t xml:space="preserve">interference </w:t>
      </w:r>
      <w:r w:rsidRPr="00E83C54" w:rsidR="003443DE">
        <w:rPr>
          <w:szCs w:val="22"/>
        </w:rPr>
        <w:t>complaints.</w:t>
      </w:r>
      <w:r>
        <w:rPr>
          <w:rStyle w:val="FootnoteReference"/>
          <w:szCs w:val="22"/>
        </w:rPr>
        <w:footnoteReference w:id="98"/>
      </w:r>
      <w:r w:rsidRPr="00E83C54" w:rsidR="003443DE">
        <w:rPr>
          <w:szCs w:val="22"/>
        </w:rPr>
        <w:t xml:space="preserve">  These two viewpoints represent the conflicting positions of microwave incumbents and unlicensed standard-power device</w:t>
      </w:r>
      <w:r w:rsidRPr="00CE44DC" w:rsidR="003443DE">
        <w:rPr>
          <w:szCs w:val="22"/>
        </w:rPr>
        <w:t xml:space="preserve"> </w:t>
      </w:r>
      <w:r w:rsidRPr="00E83C54" w:rsidR="003443DE">
        <w:rPr>
          <w:szCs w:val="22"/>
        </w:rPr>
        <w:t>proponents.  Because of the lack of consensus of the multi-stakeholder group and lack of recommendations by other industry groups such as the W</w:t>
      </w:r>
      <w:r w:rsidR="003443DE">
        <w:rPr>
          <w:szCs w:val="22"/>
        </w:rPr>
        <w:t>F</w:t>
      </w:r>
      <w:r w:rsidRPr="00E83C54" w:rsidR="003443DE">
        <w:rPr>
          <w:szCs w:val="22"/>
        </w:rPr>
        <w:t xml:space="preserve">A and </w:t>
      </w:r>
      <w:r w:rsidRPr="00E83C54" w:rsidR="003443DE">
        <w:rPr>
          <w:szCs w:val="22"/>
        </w:rPr>
        <w:t>WinnForum</w:t>
      </w:r>
      <w:r w:rsidRPr="00E83C54" w:rsidR="003443DE">
        <w:rPr>
          <w:szCs w:val="22"/>
        </w:rPr>
        <w:t xml:space="preserve"> regarding </w:t>
      </w:r>
      <w:r w:rsidR="003443DE">
        <w:rPr>
          <w:szCs w:val="22"/>
        </w:rPr>
        <w:t xml:space="preserve">how to </w:t>
      </w:r>
      <w:r w:rsidRPr="00E83C54" w:rsidR="003443DE">
        <w:rPr>
          <w:szCs w:val="22"/>
        </w:rPr>
        <w:t>resol</w:t>
      </w:r>
      <w:r w:rsidR="003443DE">
        <w:rPr>
          <w:szCs w:val="22"/>
        </w:rPr>
        <w:t>ve</w:t>
      </w:r>
      <w:r w:rsidRPr="00E83C54" w:rsidR="003443DE">
        <w:rPr>
          <w:szCs w:val="22"/>
        </w:rPr>
        <w:t xml:space="preserve"> reports of potential </w:t>
      </w:r>
      <w:r w:rsidR="003443DE">
        <w:rPr>
          <w:szCs w:val="22"/>
        </w:rPr>
        <w:t xml:space="preserve">harmful </w:t>
      </w:r>
      <w:r w:rsidRPr="00E83C54" w:rsidR="003443DE">
        <w:rPr>
          <w:szCs w:val="22"/>
        </w:rPr>
        <w:t>interference, we will not provide specific requirements regarding interference mitigation at this time</w:t>
      </w:r>
      <w:r w:rsidR="007F6486">
        <w:rPr>
          <w:szCs w:val="22"/>
        </w:rPr>
        <w:t xml:space="preserve">. </w:t>
      </w:r>
      <w:r w:rsidR="00B621F3">
        <w:rPr>
          <w:szCs w:val="22"/>
        </w:rPr>
        <w:t xml:space="preserve"> </w:t>
      </w:r>
      <w:r w:rsidR="00B349CC">
        <w:rPr>
          <w:szCs w:val="22"/>
        </w:rPr>
        <w:t xml:space="preserve">Considering </w:t>
      </w:r>
      <w:r w:rsidR="00996D62">
        <w:rPr>
          <w:szCs w:val="22"/>
        </w:rPr>
        <w:t xml:space="preserve">that </w:t>
      </w:r>
      <w:r w:rsidR="006C4DA3">
        <w:rPr>
          <w:szCs w:val="22"/>
        </w:rPr>
        <w:t>the Commission did</w:t>
      </w:r>
      <w:r w:rsidR="00F363FB">
        <w:rPr>
          <w:szCs w:val="22"/>
        </w:rPr>
        <w:t xml:space="preserve"> not</w:t>
      </w:r>
      <w:r w:rsidR="006C4DA3">
        <w:rPr>
          <w:szCs w:val="22"/>
        </w:rPr>
        <w:t xml:space="preserve"> require </w:t>
      </w:r>
      <w:r w:rsidR="00BD499B">
        <w:rPr>
          <w:szCs w:val="22"/>
        </w:rPr>
        <w:t>th</w:t>
      </w:r>
      <w:r w:rsidR="00571452">
        <w:rPr>
          <w:szCs w:val="22"/>
        </w:rPr>
        <w:t>ese groups to address</w:t>
      </w:r>
      <w:r w:rsidR="00B42AAE">
        <w:rPr>
          <w:szCs w:val="22"/>
        </w:rPr>
        <w:t xml:space="preserve"> th</w:t>
      </w:r>
      <w:r w:rsidR="0065037D">
        <w:rPr>
          <w:szCs w:val="22"/>
        </w:rPr>
        <w:t>ese</w:t>
      </w:r>
      <w:r w:rsidR="00B42AAE">
        <w:rPr>
          <w:szCs w:val="22"/>
        </w:rPr>
        <w:t xml:space="preserve"> issue</w:t>
      </w:r>
      <w:r w:rsidR="0065037D">
        <w:rPr>
          <w:szCs w:val="22"/>
        </w:rPr>
        <w:t>s</w:t>
      </w:r>
      <w:r w:rsidR="00F363FB">
        <w:rPr>
          <w:szCs w:val="22"/>
        </w:rPr>
        <w:t xml:space="preserve">, </w:t>
      </w:r>
      <w:r w:rsidR="008D7EFC">
        <w:rPr>
          <w:szCs w:val="22"/>
        </w:rPr>
        <w:t xml:space="preserve">the lack of </w:t>
      </w:r>
      <w:r w:rsidR="003443DE">
        <w:rPr>
          <w:szCs w:val="22"/>
        </w:rPr>
        <w:t>consensus</w:t>
      </w:r>
      <w:r w:rsidR="00C34FD7">
        <w:rPr>
          <w:szCs w:val="22"/>
        </w:rPr>
        <w:t xml:space="preserve"> from these groups does </w:t>
      </w:r>
      <w:r w:rsidR="003D560D">
        <w:rPr>
          <w:szCs w:val="22"/>
        </w:rPr>
        <w:t xml:space="preserve">not provide a </w:t>
      </w:r>
      <w:r w:rsidR="00F363FB">
        <w:rPr>
          <w:szCs w:val="22"/>
        </w:rPr>
        <w:t xml:space="preserve">basis </w:t>
      </w:r>
      <w:r w:rsidR="00BD499B">
        <w:rPr>
          <w:szCs w:val="22"/>
        </w:rPr>
        <w:t xml:space="preserve">to </w:t>
      </w:r>
      <w:r w:rsidR="00625DE6">
        <w:rPr>
          <w:szCs w:val="22"/>
        </w:rPr>
        <w:t xml:space="preserve">delay </w:t>
      </w:r>
      <w:r w:rsidR="003D560D">
        <w:rPr>
          <w:szCs w:val="22"/>
        </w:rPr>
        <w:t xml:space="preserve">AFC system </w:t>
      </w:r>
      <w:r w:rsidR="008C37F2">
        <w:rPr>
          <w:szCs w:val="22"/>
        </w:rPr>
        <w:t>conditional approval</w:t>
      </w:r>
      <w:r w:rsidR="00EB5A1B">
        <w:rPr>
          <w:szCs w:val="22"/>
        </w:rPr>
        <w:t xml:space="preserve"> as Verizon request</w:t>
      </w:r>
      <w:r w:rsidR="003D560D">
        <w:rPr>
          <w:szCs w:val="22"/>
        </w:rPr>
        <w:t>s</w:t>
      </w:r>
      <w:r w:rsidR="00EB5A1B">
        <w:rPr>
          <w:szCs w:val="22"/>
        </w:rPr>
        <w:t xml:space="preserve">.  </w:t>
      </w:r>
    </w:p>
    <w:p w:rsidR="00B13E21" w:rsidP="004D6DB7" w14:paraId="6816CC42" w14:textId="5B6BE548">
      <w:pPr>
        <w:pStyle w:val="ParaNum"/>
      </w:pPr>
      <w:r>
        <w:t xml:space="preserve">However, </w:t>
      </w:r>
      <w:r w:rsidR="00E72CF6">
        <w:t xml:space="preserve">as </w:t>
      </w:r>
      <w:r w:rsidR="00A77544">
        <w:t xml:space="preserve">the commenters </w:t>
      </w:r>
      <w:r w:rsidR="00E72CF6">
        <w:t>suggest</w:t>
      </w:r>
      <w:r w:rsidR="00EA7109">
        <w:t>,</w:t>
      </w:r>
      <w:r w:rsidR="00E72CF6">
        <w:t xml:space="preserve"> </w:t>
      </w:r>
      <w:r w:rsidR="00B51C9B">
        <w:t xml:space="preserve">the AFC </w:t>
      </w:r>
      <w:r w:rsidR="00DB5C22">
        <w:t xml:space="preserve">system </w:t>
      </w:r>
      <w:r w:rsidR="00B51C9B">
        <w:t xml:space="preserve">operators can clearly do more to streamline the process of investigating interference complaints and </w:t>
      </w:r>
      <w:r w:rsidR="00BB741B">
        <w:t xml:space="preserve">implementing enforcement </w:t>
      </w:r>
      <w:r w:rsidR="00B54A40">
        <w:t xml:space="preserve">instructions from the Commission.  </w:t>
      </w:r>
      <w:r w:rsidR="00FF3F45">
        <w:t>For example, providing a process for</w:t>
      </w:r>
      <w:r w:rsidR="00D2274A">
        <w:t xml:space="preserve"> the Commission to seamlessly provide enforcement instructions to all the</w:t>
      </w:r>
      <w:r w:rsidR="006E2D1E">
        <w:t xml:space="preserve"> AFC systems through a </w:t>
      </w:r>
      <w:r w:rsidR="00EE56A8">
        <w:t>web-</w:t>
      </w:r>
      <w:r w:rsidR="006E2D1E">
        <w:t xml:space="preserve">based </w:t>
      </w:r>
      <w:r w:rsidR="00CF1A83">
        <w:t xml:space="preserve">interface </w:t>
      </w:r>
      <w:r w:rsidR="000C25DC">
        <w:t>could be helpful</w:t>
      </w:r>
      <w:r w:rsidR="000006D2">
        <w:t xml:space="preserve"> to </w:t>
      </w:r>
      <w:r w:rsidR="002E721A">
        <w:t>both</w:t>
      </w:r>
      <w:r w:rsidR="000006D2">
        <w:t xml:space="preserve"> </w:t>
      </w:r>
      <w:r w:rsidR="00BA547A">
        <w:t xml:space="preserve">the </w:t>
      </w:r>
      <w:r w:rsidR="000006D2">
        <w:t>Commission and AFC operators</w:t>
      </w:r>
      <w:r w:rsidR="000C25DC">
        <w:t xml:space="preserve">.  </w:t>
      </w:r>
      <w:r w:rsidR="00F84765">
        <w:t xml:space="preserve">Providing a </w:t>
      </w:r>
      <w:r w:rsidR="00492DB2">
        <w:t>centralized</w:t>
      </w:r>
      <w:r w:rsidR="00402797">
        <w:t xml:space="preserve"> </w:t>
      </w:r>
      <w:r w:rsidR="00F84765">
        <w:t xml:space="preserve">means for </w:t>
      </w:r>
      <w:r w:rsidR="00F506A9">
        <w:t>microwave licensees to report</w:t>
      </w:r>
      <w:r w:rsidR="00402797">
        <w:t xml:space="preserve"> suspected </w:t>
      </w:r>
      <w:r w:rsidR="001B795A">
        <w:t>harmful</w:t>
      </w:r>
      <w:r w:rsidR="00402797">
        <w:t xml:space="preserve"> interference</w:t>
      </w:r>
      <w:r w:rsidR="00492DB2">
        <w:t xml:space="preserve"> and </w:t>
      </w:r>
      <w:r w:rsidR="00BA547A">
        <w:t xml:space="preserve">a process </w:t>
      </w:r>
      <w:r w:rsidR="00052696">
        <w:t xml:space="preserve">for AFC systems to </w:t>
      </w:r>
      <w:r w:rsidR="008E7C04">
        <w:t>investigate instances of potential interference</w:t>
      </w:r>
      <w:r w:rsidR="00402797">
        <w:t xml:space="preserve"> could </w:t>
      </w:r>
      <w:r w:rsidR="00624490">
        <w:t xml:space="preserve">be useful </w:t>
      </w:r>
      <w:r w:rsidR="00B74FB5">
        <w:t>to</w:t>
      </w:r>
      <w:r w:rsidR="00624490">
        <w:t xml:space="preserve"> </w:t>
      </w:r>
      <w:r w:rsidR="00A02806">
        <w:t>resolving</w:t>
      </w:r>
      <w:r w:rsidR="003E0283">
        <w:t xml:space="preserve"> </w:t>
      </w:r>
      <w:r w:rsidR="007F713B">
        <w:t xml:space="preserve">harmful </w:t>
      </w:r>
      <w:r w:rsidR="003E0283">
        <w:t>interference</w:t>
      </w:r>
      <w:r w:rsidR="007F713B">
        <w:t>, if any occurs,</w:t>
      </w:r>
      <w:r w:rsidR="003E0283">
        <w:t xml:space="preserve"> in a timely </w:t>
      </w:r>
      <w:r w:rsidR="00816211">
        <w:t>manner</w:t>
      </w:r>
      <w:r w:rsidR="00426B93">
        <w:t xml:space="preserve">.  </w:t>
      </w:r>
      <w:r w:rsidR="00836C48">
        <w:t xml:space="preserve">Creating a shared database of </w:t>
      </w:r>
      <w:r w:rsidR="00902390">
        <w:t>exclusion areas or</w:t>
      </w:r>
      <w:r w:rsidR="00D77E8A">
        <w:t xml:space="preserve"> blacklisted devices could </w:t>
      </w:r>
      <w:r w:rsidR="000C226F">
        <w:t xml:space="preserve">ease the process of coordinating </w:t>
      </w:r>
      <w:r w:rsidR="00A022BD">
        <w:t xml:space="preserve">enforcement instructions across the different AFC systems.  </w:t>
      </w:r>
      <w:r w:rsidR="0035320E">
        <w:t xml:space="preserve">Many </w:t>
      </w:r>
      <w:r w:rsidR="00A03FC4">
        <w:t>of the AFC system applicants have indicated an intention to collaborate with industry groups to form</w:t>
      </w:r>
      <w:r w:rsidR="00B352CD">
        <w:t xml:space="preserve">ulate procedures </w:t>
      </w:r>
      <w:r w:rsidR="0038172B">
        <w:t>for</w:t>
      </w:r>
      <w:r w:rsidR="00DD0D11">
        <w:t xml:space="preserve"> acting on reports of </w:t>
      </w:r>
      <w:r w:rsidR="00DD0D11">
        <w:t>potential harmful interference.</w:t>
      </w:r>
      <w:r>
        <w:rPr>
          <w:rStyle w:val="FootnoteReference"/>
        </w:rPr>
        <w:footnoteReference w:id="99"/>
      </w:r>
      <w:r w:rsidR="00DD0D11">
        <w:t xml:space="preserve">  </w:t>
      </w:r>
      <w:r w:rsidR="003A7BAF">
        <w:t>We encourage the</w:t>
      </w:r>
      <w:r w:rsidR="00227B8E">
        <w:t xml:space="preserve"> </w:t>
      </w:r>
      <w:r w:rsidR="003A7BAF">
        <w:t>AFC system applicants</w:t>
      </w:r>
      <w:r w:rsidR="000C2706">
        <w:t xml:space="preserve"> and industry groups to </w:t>
      </w:r>
      <w:r w:rsidR="00227B8E">
        <w:t xml:space="preserve">work </w:t>
      </w:r>
      <w:r w:rsidR="00C7730F">
        <w:t xml:space="preserve">on </w:t>
      </w:r>
      <w:r w:rsidR="005E6D89">
        <w:t xml:space="preserve">ways to </w:t>
      </w:r>
      <w:r w:rsidR="00504737">
        <w:t>address claims of potential interference</w:t>
      </w:r>
      <w:r w:rsidR="00DD0409">
        <w:t xml:space="preserve">, but </w:t>
      </w:r>
      <w:r w:rsidR="00784E1D">
        <w:t xml:space="preserve">as it is not required in the rules, </w:t>
      </w:r>
      <w:r w:rsidR="00FD03C8">
        <w:t xml:space="preserve">we </w:t>
      </w:r>
      <w:r w:rsidR="00F1109A">
        <w:t xml:space="preserve">will not delay conditional approval </w:t>
      </w:r>
      <w:r w:rsidR="00EE56A8">
        <w:t xml:space="preserve">of the proposed AFC systems </w:t>
      </w:r>
      <w:r w:rsidR="00F1109A">
        <w:t>based on the lack of any such</w:t>
      </w:r>
      <w:r w:rsidR="00637DAB">
        <w:t xml:space="preserve"> reporting mechanisms being in place today</w:t>
      </w:r>
      <w:r w:rsidR="009156C6">
        <w:t>.</w:t>
      </w:r>
      <w:r w:rsidR="004E54E3">
        <w:t xml:space="preserve">  Finally, </w:t>
      </w:r>
      <w:r w:rsidR="007D77B8">
        <w:t>w</w:t>
      </w:r>
      <w:r w:rsidR="00182908">
        <w:t xml:space="preserve">hile we encourage AFC system operators to work together to develop streamlined processes to address complaints of potential interference, we </w:t>
      </w:r>
      <w:r w:rsidR="001A1085">
        <w:t xml:space="preserve">note that the </w:t>
      </w:r>
      <w:r w:rsidR="003B16CC">
        <w:t xml:space="preserve">Commission has not adopted </w:t>
      </w:r>
      <w:r w:rsidR="001A1085">
        <w:t xml:space="preserve">rules requiring </w:t>
      </w:r>
      <w:r w:rsidR="006D4D87">
        <w:t>that licensees be</w:t>
      </w:r>
      <w:r w:rsidR="003B16CC">
        <w:t xml:space="preserve"> </w:t>
      </w:r>
      <w:r w:rsidR="006D4D87">
        <w:t xml:space="preserve">reimbursed for any </w:t>
      </w:r>
      <w:r w:rsidR="0003572D">
        <w:t>cost</w:t>
      </w:r>
      <w:r w:rsidR="006D4D87">
        <w:t>s</w:t>
      </w:r>
      <w:r w:rsidR="0003572D">
        <w:t xml:space="preserve"> </w:t>
      </w:r>
      <w:r w:rsidR="00AB4EB2">
        <w:t xml:space="preserve">incurred </w:t>
      </w:r>
      <w:r w:rsidR="00E03A7A">
        <w:t xml:space="preserve">if they </w:t>
      </w:r>
      <w:r w:rsidR="000A0FF1">
        <w:t xml:space="preserve">experience </w:t>
      </w:r>
      <w:r w:rsidR="00E03A7A">
        <w:t xml:space="preserve">harmful </w:t>
      </w:r>
      <w:r w:rsidR="000A0FF1">
        <w:t>interference</w:t>
      </w:r>
      <w:r w:rsidR="00E03A7A">
        <w:t>.  Thus</w:t>
      </w:r>
      <w:r w:rsidR="00D35E94">
        <w:t>,</w:t>
      </w:r>
      <w:r w:rsidR="000A0FF1">
        <w:t xml:space="preserve"> </w:t>
      </w:r>
      <w:r w:rsidR="0077140E">
        <w:t xml:space="preserve">APCO’s </w:t>
      </w:r>
      <w:r w:rsidR="00F609A1">
        <w:t xml:space="preserve">desire that </w:t>
      </w:r>
      <w:r w:rsidR="0077140E">
        <w:t>AFC operators account for such cost</w:t>
      </w:r>
      <w:r w:rsidR="00F609A1">
        <w:t xml:space="preserve"> is beyond the scope of </w:t>
      </w:r>
      <w:r w:rsidR="00750992">
        <w:t>AFC system conditional approval</w:t>
      </w:r>
      <w:r w:rsidR="00703C37">
        <w:t>.</w:t>
      </w:r>
      <w:r w:rsidR="003025A3">
        <w:t xml:space="preserve">  </w:t>
      </w:r>
      <w:r w:rsidR="00D749E1">
        <w:t xml:space="preserve">In addition, </w:t>
      </w:r>
      <w:r w:rsidR="0024403D">
        <w:t>as the</w:t>
      </w:r>
      <w:r w:rsidR="00D749E1">
        <w:t xml:space="preserve"> Commission’s rules do not require AFC systems </w:t>
      </w:r>
      <w:r w:rsidR="00EE56A8">
        <w:t xml:space="preserve">to </w:t>
      </w:r>
      <w:r w:rsidR="00420A44">
        <w:t xml:space="preserve">have the means to immediately </w:t>
      </w:r>
      <w:r w:rsidR="00127DF8">
        <w:t>disable</w:t>
      </w:r>
      <w:r w:rsidR="00E2196C">
        <w:t xml:space="preserve"> access points</w:t>
      </w:r>
      <w:r w:rsidR="00EE56A8">
        <w:t>,</w:t>
      </w:r>
      <w:r w:rsidR="00127DF8">
        <w:t xml:space="preserve"> as FWCC </w:t>
      </w:r>
      <w:r w:rsidR="00EE56A8">
        <w:t xml:space="preserve">and </w:t>
      </w:r>
      <w:r w:rsidR="00127DF8">
        <w:t>APCO suggest</w:t>
      </w:r>
      <w:r w:rsidR="0024403D">
        <w:t xml:space="preserve">, this </w:t>
      </w:r>
      <w:r w:rsidR="00E2196C">
        <w:t xml:space="preserve">cannot be addressed as part of the AFC system conditional approval process.  </w:t>
      </w:r>
    </w:p>
    <w:p w:rsidR="004D6DB7" w:rsidP="004D6DB7" w14:paraId="4FFA1BE5" w14:textId="11408433">
      <w:pPr>
        <w:pStyle w:val="Heading3"/>
      </w:pPr>
      <w:r>
        <w:t>Propagation Models</w:t>
      </w:r>
    </w:p>
    <w:p w:rsidR="00987223" w:rsidRPr="00287D66" w:rsidP="00987223" w14:paraId="710602A6" w14:textId="3C4B9A01">
      <w:pPr>
        <w:pStyle w:val="ParaNum"/>
      </w:pPr>
      <w:r>
        <w:t xml:space="preserve">The rules adopted in the </w:t>
      </w:r>
      <w:r w:rsidRPr="004A2D91">
        <w:rPr>
          <w:i/>
          <w:iCs/>
          <w:szCs w:val="22"/>
        </w:rPr>
        <w:t>6 GHz Report and Order</w:t>
      </w:r>
      <w:r>
        <w:rPr>
          <w:szCs w:val="22"/>
        </w:rPr>
        <w:t xml:space="preserve"> </w:t>
      </w:r>
      <w:r>
        <w:t>specify the propagation model</w:t>
      </w:r>
      <w:r w:rsidR="004757AE">
        <w:t>s</w:t>
      </w:r>
      <w:r>
        <w:t xml:space="preserve"> the AFC system</w:t>
      </w:r>
      <w:r w:rsidR="004757AE">
        <w:t>s</w:t>
      </w:r>
      <w:r>
        <w:t xml:space="preserve"> must use for determining frequency availability and power levels, which depend on the distance between the standard-power device and the licensed microwave station.  F</w:t>
      </w:r>
      <w:r w:rsidRPr="000F6B31">
        <w:t xml:space="preserve">or separation distances of 30 meters or less, the </w:t>
      </w:r>
      <w:r>
        <w:t>AFC system</w:t>
      </w:r>
      <w:r w:rsidR="00860CD8">
        <w:t>s</w:t>
      </w:r>
      <w:r>
        <w:t xml:space="preserve"> </w:t>
      </w:r>
      <w:r w:rsidR="00B210C3">
        <w:t xml:space="preserve">are directed to </w:t>
      </w:r>
      <w:r>
        <w:t xml:space="preserve">use a </w:t>
      </w:r>
      <w:r w:rsidRPr="000F6B31">
        <w:t>free space pathloss model</w:t>
      </w:r>
      <w:r>
        <w:t>.</w:t>
      </w:r>
      <w:r>
        <w:rPr>
          <w:rStyle w:val="FootnoteReference"/>
          <w:szCs w:val="22"/>
        </w:rPr>
        <w:footnoteReference w:id="100"/>
      </w:r>
      <w:r>
        <w:t xml:space="preserve">  When the separation distance is greater than 30 meters, but less than 1 kilometer, the AFC system</w:t>
      </w:r>
      <w:r w:rsidR="00860CD8">
        <w:t>s</w:t>
      </w:r>
      <w:r>
        <w:t xml:space="preserve"> </w:t>
      </w:r>
      <w:r w:rsidR="00B210C3">
        <w:t xml:space="preserve">are required to </w:t>
      </w:r>
      <w:r>
        <w:t>use the WINNER II model.</w:t>
      </w:r>
      <w:r>
        <w:rPr>
          <w:rStyle w:val="FootnoteReference"/>
          <w:szCs w:val="22"/>
        </w:rPr>
        <w:footnoteReference w:id="101"/>
      </w:r>
      <w:r>
        <w:t xml:space="preserve">  T</w:t>
      </w:r>
      <w:r w:rsidRPr="00485057">
        <w:t>he WINNER II model is one of the most widely used and well‐known channel models in the world</w:t>
      </w:r>
      <w:r>
        <w:rPr>
          <w:vertAlign w:val="superscript"/>
        </w:rPr>
        <w:footnoteReference w:id="102"/>
      </w:r>
      <w:r w:rsidRPr="00485057">
        <w:t xml:space="preserve"> and was developed from measurements conducted by the WINNER organization, as well as results from academic literature</w:t>
      </w:r>
      <w:r>
        <w:t>.</w:t>
      </w:r>
      <w:r>
        <w:rPr>
          <w:vertAlign w:val="superscript"/>
        </w:rPr>
        <w:footnoteReference w:id="103"/>
      </w:r>
      <w:r>
        <w:t xml:space="preserve">  When using the WINNER II model, the rules require the AFC system to use s</w:t>
      </w:r>
      <w:r w:rsidRPr="00984463">
        <w:t>ite-specific information, including building</w:t>
      </w:r>
      <w:r>
        <w:rPr>
          <w:vertAlign w:val="superscript"/>
        </w:rPr>
        <w:footnoteReference w:id="104"/>
      </w:r>
      <w:r w:rsidRPr="00984463">
        <w:t xml:space="preserve"> and terrain data, </w:t>
      </w:r>
      <w:r>
        <w:t>for</w:t>
      </w:r>
      <w:r w:rsidRPr="00984463">
        <w:t xml:space="preserve"> determining the line-of-sight/non-line-of-sight path component where this information is available.</w:t>
      </w:r>
      <w:r>
        <w:rPr>
          <w:rStyle w:val="FootnoteReference"/>
        </w:rPr>
        <w:footnoteReference w:id="105"/>
      </w:r>
      <w:r w:rsidRPr="00984463">
        <w:t xml:space="preserve">  </w:t>
      </w:r>
      <w:r w:rsidRPr="00E858EB">
        <w:t xml:space="preserve">For evaluating paths where this data is not available, </w:t>
      </w:r>
      <w:r>
        <w:t xml:space="preserve">the rules specify </w:t>
      </w:r>
      <w:r w:rsidRPr="00E858EB">
        <w:t>probabilistic combining of the line-of-sight and non-line-of-sight path</w:t>
      </w:r>
      <w:r w:rsidR="000D308B">
        <w:t>s</w:t>
      </w:r>
      <w:r w:rsidRPr="00E858EB">
        <w:t xml:space="preserve"> into a single path-loss.</w:t>
      </w:r>
      <w:r>
        <w:rPr>
          <w:vertAlign w:val="superscript"/>
        </w:rPr>
        <w:footnoteReference w:id="106"/>
      </w:r>
      <w:r w:rsidRPr="00E858EB">
        <w:t xml:space="preserve">  </w:t>
      </w:r>
      <w:r>
        <w:t xml:space="preserve">For distances greater than 1 kilometer, the AFC systems </w:t>
      </w:r>
      <w:r w:rsidR="006F5581">
        <w:t>are required to</w:t>
      </w:r>
      <w:r>
        <w:t xml:space="preserve"> use the Irregular Terrain Model (ITM) </w:t>
      </w:r>
      <w:r w:rsidRPr="000F6B31">
        <w:t xml:space="preserve">combined with a clutter model </w:t>
      </w:r>
      <w:r>
        <w:t xml:space="preserve">for </w:t>
      </w:r>
      <w:r w:rsidRPr="000F6B31">
        <w:t xml:space="preserve">the </w:t>
      </w:r>
      <w:r>
        <w:t>local</w:t>
      </w:r>
      <w:r w:rsidRPr="000F6B31">
        <w:t xml:space="preserve"> environment</w:t>
      </w:r>
      <w:r>
        <w:t>.</w:t>
      </w:r>
      <w:r>
        <w:rPr>
          <w:rStyle w:val="FootnoteReference"/>
          <w:szCs w:val="22"/>
        </w:rPr>
        <w:footnoteReference w:id="107"/>
      </w:r>
      <w:r>
        <w:t xml:space="preserve">  T</w:t>
      </w:r>
      <w:r w:rsidRPr="00132FB9">
        <w:t>he I</w:t>
      </w:r>
      <w:r>
        <w:t>TM</w:t>
      </w:r>
      <w:r w:rsidRPr="00132FB9">
        <w:t xml:space="preserve"> has been widely </w:t>
      </w:r>
      <w:r>
        <w:t>available and accepted</w:t>
      </w:r>
      <w:r w:rsidRPr="00132FB9">
        <w:t xml:space="preserve"> since</w:t>
      </w:r>
      <w:r w:rsidRPr="00CE2F6C">
        <w:t xml:space="preserve"> the early 1980s</w:t>
      </w:r>
      <w:r>
        <w:t>,</w:t>
      </w:r>
      <w:r w:rsidRPr="00CE2F6C">
        <w:t xml:space="preserve"> has been used by </w:t>
      </w:r>
      <w:r w:rsidRPr="00CE2F6C">
        <w:t>the Commission for int</w:t>
      </w:r>
      <w:r w:rsidRPr="000F6B31">
        <w:t>erference prediction in other proceedings</w:t>
      </w:r>
      <w:r>
        <w:t xml:space="preserve">, and </w:t>
      </w:r>
      <w:r w:rsidRPr="00132FB9">
        <w:t xml:space="preserve">is the propagation model currently used to determine spectrum availability </w:t>
      </w:r>
      <w:r>
        <w:t xml:space="preserve">by </w:t>
      </w:r>
      <w:r w:rsidRPr="00132FB9">
        <w:t xml:space="preserve">the </w:t>
      </w:r>
      <w:r w:rsidR="00656B46">
        <w:t>SAS</w:t>
      </w:r>
      <w:r w:rsidRPr="00132FB9">
        <w:t xml:space="preserve"> </w:t>
      </w:r>
      <w:r>
        <w:t xml:space="preserve">that are </w:t>
      </w:r>
      <w:r w:rsidRPr="00132FB9">
        <w:t>ma</w:t>
      </w:r>
      <w:r w:rsidRPr="00CE2F6C">
        <w:t>nag</w:t>
      </w:r>
      <w:r>
        <w:t>ing</w:t>
      </w:r>
      <w:r w:rsidRPr="00CE2F6C">
        <w:t xml:space="preserve"> </w:t>
      </w:r>
      <w:r>
        <w:t>spectrum</w:t>
      </w:r>
      <w:r w:rsidRPr="00CE2F6C">
        <w:t xml:space="preserve"> access </w:t>
      </w:r>
      <w:r>
        <w:t>for</w:t>
      </w:r>
      <w:r w:rsidRPr="00CE2F6C">
        <w:t xml:space="preserve"> the 3550-3700 MHz band in the </w:t>
      </w:r>
      <w:r w:rsidR="005B436B">
        <w:t>CBRS</w:t>
      </w:r>
      <w:r>
        <w:t>.</w:t>
      </w:r>
      <w:r>
        <w:rPr>
          <w:vertAlign w:val="superscript"/>
        </w:rPr>
        <w:footnoteReference w:id="108"/>
      </w:r>
      <w:r>
        <w:t xml:space="preserve">  When using the ITM, the rules specify that AFC systems</w:t>
      </w:r>
      <w:r w:rsidRPr="00403C29">
        <w:t xml:space="preserve"> </w:t>
      </w:r>
      <w:r>
        <w:t xml:space="preserve">are to </w:t>
      </w:r>
      <w:r w:rsidRPr="00403C29">
        <w:t>use 1 arc-second digital elevation terrain data and,</w:t>
      </w:r>
      <w:r>
        <w:rPr>
          <w:vertAlign w:val="superscript"/>
        </w:rPr>
        <w:footnoteReference w:id="109"/>
      </w:r>
      <w:r w:rsidRPr="00403C29">
        <w:t xml:space="preserve"> for locations where such data is not available, use the most granular digital elevation terrain data available.</w:t>
      </w:r>
      <w:r>
        <w:rPr>
          <w:vertAlign w:val="superscript"/>
        </w:rPr>
        <w:footnoteReference w:id="110"/>
      </w:r>
      <w:r w:rsidRPr="00403C29">
        <w:t xml:space="preserve">  </w:t>
      </w:r>
      <w:r w:rsidRPr="00284504">
        <w:t xml:space="preserve">To account for the effects of clutter, such as from buildings and foliage, </w:t>
      </w:r>
      <w:r>
        <w:t xml:space="preserve">the AFC system should combine use of the ITM </w:t>
      </w:r>
      <w:r w:rsidRPr="00284504">
        <w:t>with statistical clutter model ITU-R P.2108</w:t>
      </w:r>
      <w:r>
        <w:rPr>
          <w:sz w:val="20"/>
          <w:vertAlign w:val="superscript"/>
        </w:rPr>
        <w:footnoteReference w:id="111"/>
      </w:r>
      <w:r w:rsidRPr="00284504">
        <w:t xml:space="preserve"> for urban and suburban environments and </w:t>
      </w:r>
      <w:r>
        <w:t xml:space="preserve">the </w:t>
      </w:r>
      <w:r w:rsidRPr="00284504">
        <w:t>ITU-R P.452-16 clutter model for rural environments.</w:t>
      </w:r>
      <w:r>
        <w:rPr>
          <w:rStyle w:val="FootnoteReference"/>
          <w:szCs w:val="22"/>
        </w:rPr>
        <w:footnoteReference w:id="112"/>
      </w:r>
    </w:p>
    <w:p w:rsidR="0054692E" w:rsidP="004D6DB7" w14:paraId="27342FB4" w14:textId="146DC9CB">
      <w:pPr>
        <w:pStyle w:val="ParaNum"/>
      </w:pPr>
      <w:r>
        <w:t xml:space="preserve">AT&amp;T </w:t>
      </w:r>
      <w:r w:rsidR="00A8173A">
        <w:t xml:space="preserve">and Verizon </w:t>
      </w:r>
      <w:r w:rsidR="00745724">
        <w:t>state</w:t>
      </w:r>
      <w:r w:rsidR="00860CD8">
        <w:t xml:space="preserve"> that</w:t>
      </w:r>
      <w:r>
        <w:t xml:space="preserve"> industry consensus has not been achieved regarding certain parameters used in the propagation models</w:t>
      </w:r>
      <w:r w:rsidR="00383B4B">
        <w:t xml:space="preserve"> and that only one applicant, RED Technolo</w:t>
      </w:r>
      <w:r w:rsidR="00A950E2">
        <w:t>gies</w:t>
      </w:r>
      <w:r w:rsidR="00777DB8">
        <w:t>,</w:t>
      </w:r>
      <w:r w:rsidR="00A950E2">
        <w:t xml:space="preserve"> has indicated in </w:t>
      </w:r>
      <w:r w:rsidR="005B436B">
        <w:t xml:space="preserve">its </w:t>
      </w:r>
      <w:r w:rsidR="00A950E2">
        <w:t xml:space="preserve">AFC application what parameters </w:t>
      </w:r>
      <w:r w:rsidR="005B436B">
        <w:t xml:space="preserve">it </w:t>
      </w:r>
      <w:r w:rsidR="00A950E2">
        <w:t>will use</w:t>
      </w:r>
      <w:r>
        <w:t>.</w:t>
      </w:r>
      <w:r>
        <w:rPr>
          <w:rStyle w:val="FootnoteReference"/>
        </w:rPr>
        <w:footnoteReference w:id="113"/>
      </w:r>
      <w:r>
        <w:t xml:space="preserve">  AT&amp;T </w:t>
      </w:r>
      <w:r w:rsidR="00383B4B">
        <w:t xml:space="preserve">raised this </w:t>
      </w:r>
      <w:r w:rsidR="00A950E2">
        <w:t xml:space="preserve">concern in an earlier ex </w:t>
      </w:r>
      <w:r w:rsidR="00A950E2">
        <w:t>parte</w:t>
      </w:r>
      <w:r w:rsidR="00A950E2">
        <w:t xml:space="preserve"> filing</w:t>
      </w:r>
      <w:r w:rsidR="00745724">
        <w:t xml:space="preserve"> in which </w:t>
      </w:r>
      <w:r w:rsidR="005B436B">
        <w:t xml:space="preserve">it </w:t>
      </w:r>
      <w:r w:rsidR="00745724">
        <w:t>point</w:t>
      </w:r>
      <w:r w:rsidR="005B436B">
        <w:t>ed</w:t>
      </w:r>
      <w:r w:rsidR="00745724">
        <w:t xml:space="preserve"> out that</w:t>
      </w:r>
      <w:r w:rsidR="00A950E2">
        <w:t xml:space="preserve"> agreement </w:t>
      </w:r>
      <w:r w:rsidR="005B436B">
        <w:t xml:space="preserve">had </w:t>
      </w:r>
      <w:r w:rsidR="00A950E2">
        <w:t xml:space="preserve">not been reached on the confidence and reliability levels used in the ITM propagation model and for the confidence levels used in the urban/suburban clutter models </w:t>
      </w:r>
      <w:r w:rsidR="006D67A1">
        <w:t>and the WINNER II model.</w:t>
      </w:r>
      <w:r>
        <w:rPr>
          <w:rStyle w:val="FootnoteReference"/>
        </w:rPr>
        <w:footnoteReference w:id="114"/>
      </w:r>
      <w:r w:rsidR="006D67A1">
        <w:t xml:space="preserve">  AT&amp;T advocates using 95% for the confidence level and 80% for reliability.</w:t>
      </w:r>
      <w:r>
        <w:rPr>
          <w:rStyle w:val="FootnoteReference"/>
        </w:rPr>
        <w:footnoteReference w:id="115"/>
      </w:r>
      <w:r w:rsidR="006D67A1">
        <w:t xml:space="preserve">  AT&amp;T </w:t>
      </w:r>
      <w:r w:rsidR="005B436B">
        <w:t xml:space="preserve">suggests </w:t>
      </w:r>
      <w:r w:rsidR="006D67A1">
        <w:t xml:space="preserve">that these values </w:t>
      </w:r>
      <w:r w:rsidR="00EE4C91">
        <w:t xml:space="preserve">are appropriate </w:t>
      </w:r>
      <w:r w:rsidR="006D67A1">
        <w:t xml:space="preserve">because they are consistent with the </w:t>
      </w:r>
      <w:r w:rsidR="00EE4C91">
        <w:t xml:space="preserve">propagation </w:t>
      </w:r>
      <w:r w:rsidR="006D67A1">
        <w:t>mo</w:t>
      </w:r>
      <w:r w:rsidR="00952504">
        <w:t>dels</w:t>
      </w:r>
      <w:r w:rsidR="006D67A1">
        <w:t xml:space="preserve"> used for coordination between microwave links and </w:t>
      </w:r>
      <w:r w:rsidR="00EE4C91">
        <w:t xml:space="preserve">that </w:t>
      </w:r>
      <w:r w:rsidR="006D67A1">
        <w:t>unlicensed devices must pro</w:t>
      </w:r>
      <w:r w:rsidR="00EE4C91">
        <w:t>vide</w:t>
      </w:r>
      <w:r w:rsidR="006D67A1">
        <w:t xml:space="preserve"> licensed microwave links</w:t>
      </w:r>
      <w:r w:rsidR="00EE4C91">
        <w:t xml:space="preserve"> with at least the same level of protection</w:t>
      </w:r>
      <w:r w:rsidR="006D67A1">
        <w:t>.</w:t>
      </w:r>
      <w:r>
        <w:rPr>
          <w:rStyle w:val="FootnoteReference"/>
        </w:rPr>
        <w:footnoteReference w:id="116"/>
      </w:r>
      <w:r w:rsidR="006D67A1">
        <w:t xml:space="preserve">  </w:t>
      </w:r>
      <w:r w:rsidRPr="00FA571C" w:rsidR="00963B43">
        <w:t>AT&amp;T urg</w:t>
      </w:r>
      <w:r w:rsidRPr="00FA571C" w:rsidR="008506C6">
        <w:t xml:space="preserve">es OET to either engage </w:t>
      </w:r>
      <w:r w:rsidRPr="00FA571C" w:rsidR="00A049B9">
        <w:t>actively</w:t>
      </w:r>
      <w:r w:rsidRPr="00FA571C" w:rsidR="008506C6">
        <w:t xml:space="preserve"> in</w:t>
      </w:r>
      <w:r w:rsidRPr="00FA571C" w:rsidR="00A049B9">
        <w:t xml:space="preserve"> t</w:t>
      </w:r>
      <w:r w:rsidR="00A049B9">
        <w:t>he multi-stakeholder group deliberations or define</w:t>
      </w:r>
      <w:r w:rsidR="00FA571C">
        <w:t xml:space="preserve"> any parameters the group is unable to achieve consensus on given all parties’ interest in timely AFC system approvals.</w:t>
      </w:r>
      <w:r>
        <w:rPr>
          <w:rStyle w:val="FootnoteReference"/>
        </w:rPr>
        <w:footnoteReference w:id="117"/>
      </w:r>
      <w:r w:rsidR="00FA571C">
        <w:t xml:space="preserve"> </w:t>
      </w:r>
      <w:r w:rsidR="008506C6">
        <w:t xml:space="preserve"> </w:t>
      </w:r>
      <w:r w:rsidR="00421EAA">
        <w:t>Verizon a</w:t>
      </w:r>
      <w:r w:rsidR="000F04C6">
        <w:t xml:space="preserve">dvocates </w:t>
      </w:r>
      <w:r w:rsidR="000F04C6">
        <w:t>use of a 99% confidence</w:t>
      </w:r>
      <w:r w:rsidR="00731C20">
        <w:t xml:space="preserve"> level</w:t>
      </w:r>
      <w:r w:rsidR="00F85925">
        <w:t>,</w:t>
      </w:r>
      <w:r w:rsidR="00731C20">
        <w:t xml:space="preserve"> which can be later adjusted with experie</w:t>
      </w:r>
      <w:r w:rsidR="001A4C39">
        <w:t>nce</w:t>
      </w:r>
      <w:r w:rsidR="00F85925">
        <w:t>,</w:t>
      </w:r>
      <w:r w:rsidR="001A4C39">
        <w:t xml:space="preserve"> and a</w:t>
      </w:r>
      <w:r w:rsidR="00421EAA">
        <w:t>lso request</w:t>
      </w:r>
      <w:r w:rsidR="00B9671A">
        <w:t>s</w:t>
      </w:r>
      <w:r w:rsidR="00421EAA">
        <w:t xml:space="preserve"> that the C</w:t>
      </w:r>
      <w:r w:rsidR="00A8173A">
        <w:t>o</w:t>
      </w:r>
      <w:r w:rsidR="00421EAA">
        <w:t>mmiss</w:t>
      </w:r>
      <w:r w:rsidR="00A8173A">
        <w:t>i</w:t>
      </w:r>
      <w:r w:rsidR="00421EAA">
        <w:t>on obtain information about the parameters that each AFC system will use to implement the various models adopted in the rules.</w:t>
      </w:r>
      <w:r>
        <w:rPr>
          <w:rStyle w:val="FootnoteReference"/>
        </w:rPr>
        <w:footnoteReference w:id="118"/>
      </w:r>
      <w:r w:rsidR="00421EAA">
        <w:t xml:space="preserve">  </w:t>
      </w:r>
    </w:p>
    <w:p w:rsidR="003B2721" w:rsidRPr="003B2721" w:rsidP="004D6DB7" w14:paraId="19FDDAC5" w14:textId="4FF7D92E">
      <w:pPr>
        <w:pStyle w:val="ParaNum"/>
      </w:pPr>
      <w:r>
        <w:t xml:space="preserve">In response to AT&amp;T’s </w:t>
      </w:r>
      <w:r w:rsidR="004435DB">
        <w:t xml:space="preserve">ex </w:t>
      </w:r>
      <w:r w:rsidR="004435DB">
        <w:t>parte</w:t>
      </w:r>
      <w:r w:rsidR="004435DB">
        <w:t xml:space="preserve"> filing</w:t>
      </w:r>
      <w:r>
        <w:t xml:space="preserve">, Apple, Broadcom, et al. </w:t>
      </w:r>
      <w:r w:rsidR="004435DB">
        <w:t xml:space="preserve">claim that the </w:t>
      </w:r>
      <w:r w:rsidRPr="004A2D91" w:rsidR="004435DB">
        <w:rPr>
          <w:i/>
          <w:iCs/>
          <w:szCs w:val="22"/>
        </w:rPr>
        <w:t>6 GHz Report and Order</w:t>
      </w:r>
      <w:r w:rsidR="004435DB">
        <w:rPr>
          <w:szCs w:val="22"/>
        </w:rPr>
        <w:t xml:space="preserve"> did not delegate authority to OET to prescribe parameters for implementing the propagation models but instead </w:t>
      </w:r>
      <w:r w:rsidR="00150510">
        <w:rPr>
          <w:szCs w:val="22"/>
        </w:rPr>
        <w:t>established a process where AFC system operators would submit proposals subject to review and comment followed by conditional approval and thorough testing.</w:t>
      </w:r>
      <w:r>
        <w:rPr>
          <w:rStyle w:val="FootnoteReference"/>
          <w:szCs w:val="22"/>
        </w:rPr>
        <w:footnoteReference w:id="119"/>
      </w:r>
      <w:r w:rsidR="00150510">
        <w:rPr>
          <w:szCs w:val="22"/>
        </w:rPr>
        <w:t xml:space="preserve">  </w:t>
      </w:r>
      <w:r w:rsidR="00147368">
        <w:rPr>
          <w:szCs w:val="22"/>
        </w:rPr>
        <w:t xml:space="preserve">According to </w:t>
      </w:r>
      <w:r>
        <w:rPr>
          <w:szCs w:val="22"/>
        </w:rPr>
        <w:t>Apple, Broadcom et al.</w:t>
      </w:r>
      <w:r w:rsidR="00680FAB">
        <w:rPr>
          <w:szCs w:val="22"/>
        </w:rPr>
        <w:t>,</w:t>
      </w:r>
      <w:r w:rsidR="00147368">
        <w:rPr>
          <w:szCs w:val="22"/>
        </w:rPr>
        <w:t xml:space="preserve"> the Commission </w:t>
      </w:r>
      <w:r w:rsidR="00150510">
        <w:rPr>
          <w:szCs w:val="22"/>
        </w:rPr>
        <w:t>left issues specific to technical and operational issues of the AFC systems to industry</w:t>
      </w:r>
      <w:r w:rsidR="00680FAB">
        <w:rPr>
          <w:szCs w:val="22"/>
        </w:rPr>
        <w:t>.</w:t>
      </w:r>
      <w:r>
        <w:rPr>
          <w:rStyle w:val="FootnoteReference"/>
          <w:szCs w:val="22"/>
        </w:rPr>
        <w:footnoteReference w:id="120"/>
      </w:r>
      <w:r w:rsidR="00680FAB">
        <w:rPr>
          <w:szCs w:val="22"/>
        </w:rPr>
        <w:t xml:space="preserve">  According to </w:t>
      </w:r>
      <w:r>
        <w:rPr>
          <w:szCs w:val="22"/>
        </w:rPr>
        <w:t xml:space="preserve">Apple, </w:t>
      </w:r>
      <w:r w:rsidR="00252600">
        <w:rPr>
          <w:szCs w:val="22"/>
        </w:rPr>
        <w:t>Broadcom</w:t>
      </w:r>
      <w:r>
        <w:rPr>
          <w:szCs w:val="22"/>
        </w:rPr>
        <w:t>, et al.,</w:t>
      </w:r>
      <w:r w:rsidR="00680FAB">
        <w:rPr>
          <w:szCs w:val="22"/>
        </w:rPr>
        <w:t xml:space="preserve"> </w:t>
      </w:r>
      <w:r w:rsidR="00147368">
        <w:rPr>
          <w:szCs w:val="22"/>
        </w:rPr>
        <w:t>AFC system proposals are not required to include detailed discussions of their implementation of specific technical algorithms</w:t>
      </w:r>
      <w:r w:rsidR="00F85925">
        <w:rPr>
          <w:szCs w:val="22"/>
        </w:rPr>
        <w:t>,</w:t>
      </w:r>
      <w:r w:rsidR="00680FAB">
        <w:rPr>
          <w:szCs w:val="22"/>
        </w:rPr>
        <w:t xml:space="preserve"> and incumbents would have </w:t>
      </w:r>
      <w:r w:rsidR="005E6A84">
        <w:rPr>
          <w:szCs w:val="22"/>
        </w:rPr>
        <w:t xml:space="preserve">an </w:t>
      </w:r>
      <w:r w:rsidR="00680FAB">
        <w:rPr>
          <w:szCs w:val="22"/>
        </w:rPr>
        <w:t>opportunity to evaluate the AFC systems through the testing process.</w:t>
      </w:r>
      <w:r>
        <w:rPr>
          <w:rStyle w:val="FootnoteReference"/>
          <w:szCs w:val="22"/>
        </w:rPr>
        <w:footnoteReference w:id="121"/>
      </w:r>
      <w:r w:rsidR="00147368">
        <w:rPr>
          <w:szCs w:val="22"/>
        </w:rPr>
        <w:t xml:space="preserve"> </w:t>
      </w:r>
      <w:r w:rsidR="00680FAB">
        <w:rPr>
          <w:szCs w:val="22"/>
        </w:rPr>
        <w:t xml:space="preserve"> </w:t>
      </w:r>
      <w:r>
        <w:rPr>
          <w:szCs w:val="22"/>
        </w:rPr>
        <w:t>Apple,</w:t>
      </w:r>
      <w:r w:rsidR="003A3D84">
        <w:rPr>
          <w:szCs w:val="22"/>
        </w:rPr>
        <w:t xml:space="preserve"> Broadcom</w:t>
      </w:r>
      <w:r>
        <w:rPr>
          <w:szCs w:val="22"/>
        </w:rPr>
        <w:t xml:space="preserve">, et al. </w:t>
      </w:r>
      <w:r w:rsidR="00680FAB">
        <w:rPr>
          <w:szCs w:val="22"/>
        </w:rPr>
        <w:t xml:space="preserve">also point out that AT&amp;T’s suggested parameters are far more restrictive than what the Commission used in its analysis in the </w:t>
      </w:r>
      <w:r w:rsidRPr="004A2D91">
        <w:rPr>
          <w:i/>
          <w:iCs/>
          <w:szCs w:val="22"/>
        </w:rPr>
        <w:t>6 GHz Report and Order</w:t>
      </w:r>
      <w:r w:rsidR="003D1257">
        <w:rPr>
          <w:i/>
          <w:iCs/>
          <w:szCs w:val="22"/>
        </w:rPr>
        <w:t>,</w:t>
      </w:r>
      <w:r w:rsidR="00B21401">
        <w:rPr>
          <w:szCs w:val="22"/>
        </w:rPr>
        <w:t xml:space="preserve"> which used 50% as the confidence and reliability </w:t>
      </w:r>
      <w:r w:rsidR="00990D3E">
        <w:rPr>
          <w:szCs w:val="22"/>
        </w:rPr>
        <w:t xml:space="preserve">levels </w:t>
      </w:r>
      <w:r w:rsidR="00B21401">
        <w:rPr>
          <w:szCs w:val="22"/>
        </w:rPr>
        <w:t>in the propagation models</w:t>
      </w:r>
      <w:r w:rsidR="0027126F">
        <w:rPr>
          <w:szCs w:val="22"/>
        </w:rPr>
        <w:t xml:space="preserve"> and that using AT&amp;T’s worst-case parameters would prevent unlicensed devices from using channels where such restrictions are not necessary to protect licensees.</w:t>
      </w:r>
      <w:r>
        <w:rPr>
          <w:rStyle w:val="FootnoteReference"/>
          <w:szCs w:val="22"/>
        </w:rPr>
        <w:footnoteReference w:id="122"/>
      </w:r>
      <w:r w:rsidR="00147368">
        <w:rPr>
          <w:szCs w:val="22"/>
        </w:rPr>
        <w:t xml:space="preserve">  </w:t>
      </w:r>
    </w:p>
    <w:p w:rsidR="0054692E" w:rsidP="004D6DB7" w14:paraId="63879B14" w14:textId="019CA212">
      <w:pPr>
        <w:pStyle w:val="ParaNum"/>
      </w:pPr>
      <w:r>
        <w:t>Of the AFC applicants, only Red Technologies addressed these propagation parameters in its application</w:t>
      </w:r>
      <w:r w:rsidR="00DC7171">
        <w:t>,</w:t>
      </w:r>
      <w:r>
        <w:t xml:space="preserve"> indicating it would use a 95% </w:t>
      </w:r>
      <w:r w:rsidR="00184046">
        <w:t xml:space="preserve">confidence level </w:t>
      </w:r>
      <w:r>
        <w:t>and a</w:t>
      </w:r>
      <w:r w:rsidR="00184046">
        <w:t>n</w:t>
      </w:r>
      <w:r>
        <w:t xml:space="preserve"> 80% </w:t>
      </w:r>
      <w:r w:rsidR="00184046">
        <w:t xml:space="preserve">reliability level </w:t>
      </w:r>
      <w:r>
        <w:t>in the propagation models.</w:t>
      </w:r>
      <w:r>
        <w:rPr>
          <w:rStyle w:val="FootnoteReference"/>
        </w:rPr>
        <w:footnoteReference w:id="123"/>
      </w:r>
      <w:r>
        <w:t xml:space="preserve">  </w:t>
      </w:r>
      <w:r w:rsidR="00FD7055">
        <w:t>In a supplemental filing</w:t>
      </w:r>
      <w:r w:rsidR="001F7BA8">
        <w:t>,</w:t>
      </w:r>
      <w:r w:rsidR="00FD7055">
        <w:t xml:space="preserve"> Sony also endorsed using a </w:t>
      </w:r>
      <w:r w:rsidR="00FB59AA">
        <w:t>95</w:t>
      </w:r>
      <w:r w:rsidR="00351FE0">
        <w:t>%</w:t>
      </w:r>
      <w:r w:rsidR="00FD7055">
        <w:t xml:space="preserve"> confidence level</w:t>
      </w:r>
      <w:r w:rsidR="00DC7171">
        <w:t>,</w:t>
      </w:r>
      <w:r w:rsidR="00FD7055">
        <w:t xml:space="preserve"> while Qualcomm</w:t>
      </w:r>
      <w:r w:rsidR="007E7DE9">
        <w:t xml:space="preserve"> and Nokia</w:t>
      </w:r>
      <w:r w:rsidR="00FD7055">
        <w:t xml:space="preserve"> indicate </w:t>
      </w:r>
      <w:r w:rsidR="006A0332">
        <w:t>they intend to</w:t>
      </w:r>
      <w:r w:rsidR="00FD7055">
        <w:t xml:space="preserve"> use a 50% confidence level</w:t>
      </w:r>
      <w:r w:rsidR="00FD7055">
        <w:rPr>
          <w:i/>
          <w:iCs/>
          <w:szCs w:val="22"/>
        </w:rPr>
        <w:t>.</w:t>
      </w:r>
      <w:r>
        <w:rPr>
          <w:rStyle w:val="FootnoteReference"/>
          <w:i/>
          <w:iCs/>
          <w:szCs w:val="22"/>
        </w:rPr>
        <w:footnoteReference w:id="124"/>
      </w:r>
      <w:r w:rsidR="00FD7055">
        <w:t xml:space="preserve">  All AFC applicants indicated in supplemental filings that these parameters are </w:t>
      </w:r>
      <w:r w:rsidR="00715DF5">
        <w:t xml:space="preserve">configurable in their AFC implementations and that they would use parameters consistent with Commission rules or guidance or industry consensus.  </w:t>
      </w:r>
    </w:p>
    <w:p w:rsidR="0069708B" w:rsidP="00A703E3" w14:paraId="6684EA1C" w14:textId="01E9E102">
      <w:pPr>
        <w:pStyle w:val="ParaNum"/>
      </w:pPr>
      <w:r>
        <w:t xml:space="preserve">We disagree with Apple, Broadcom, et al. to the extent that they imply that OET has no authority to require use of particular parameters for the AFC systems.  The Commission delegated to OET </w:t>
      </w:r>
      <w:r w:rsidR="002E3794">
        <w:t>the authority to administer the AFC systems and AFC system operator functions set forth in the Commission’s rules.</w:t>
      </w:r>
      <w:r>
        <w:rPr>
          <w:rStyle w:val="FootnoteReference"/>
        </w:rPr>
        <w:footnoteReference w:id="125"/>
      </w:r>
      <w:r w:rsidR="002E3794">
        <w:t xml:space="preserve">  This authority specifically includes the </w:t>
      </w:r>
      <w:r w:rsidR="002C6FEA">
        <w:t>ability</w:t>
      </w:r>
      <w:r w:rsidR="002E3794">
        <w:t xml:space="preserve"> to “develop procedures that these AFC system operators will use to ensure compliance with the requirements for AFC system </w:t>
      </w:r>
      <w:r w:rsidR="00671749">
        <w:t>operations</w:t>
      </w:r>
      <w:r w:rsidR="002E3794">
        <w:t>.”</w:t>
      </w:r>
      <w:r>
        <w:rPr>
          <w:rStyle w:val="FootnoteReference"/>
        </w:rPr>
        <w:footnoteReference w:id="126"/>
      </w:r>
      <w:r w:rsidR="002E3794">
        <w:t xml:space="preserve">  </w:t>
      </w:r>
      <w:r w:rsidR="006D65EC">
        <w:t xml:space="preserve">OET appreciates the </w:t>
      </w:r>
      <w:r w:rsidR="002E3794">
        <w:t xml:space="preserve">efforts of </w:t>
      </w:r>
      <w:r w:rsidR="006D65EC">
        <w:t xml:space="preserve">industry </w:t>
      </w:r>
      <w:r w:rsidR="002E3794">
        <w:t xml:space="preserve">groups </w:t>
      </w:r>
      <w:r w:rsidR="006D65EC">
        <w:t xml:space="preserve">in developing </w:t>
      </w:r>
      <w:r w:rsidR="00E72222">
        <w:t xml:space="preserve">specifications and </w:t>
      </w:r>
      <w:r w:rsidR="006D65EC">
        <w:t>protocols for AFC system</w:t>
      </w:r>
      <w:r w:rsidR="002E3794">
        <w:t xml:space="preserve"> </w:t>
      </w:r>
      <w:r w:rsidR="006D6ABD">
        <w:t>operation</w:t>
      </w:r>
      <w:r w:rsidR="002E3794">
        <w:t xml:space="preserve">.  However, </w:t>
      </w:r>
      <w:r w:rsidR="002C6FEA">
        <w:t xml:space="preserve">OET has the responsibility to administer the AFC systems and </w:t>
      </w:r>
      <w:r w:rsidR="00B6428C">
        <w:t>en</w:t>
      </w:r>
      <w:r w:rsidR="002C6FEA">
        <w:t>sure that their operations are consistent with the Commission’s rules</w:t>
      </w:r>
      <w:r w:rsidR="0005169B">
        <w:t xml:space="preserve"> to prevent harmful interference </w:t>
      </w:r>
      <w:r w:rsidR="000C5C77">
        <w:t xml:space="preserve">from occurring </w:t>
      </w:r>
      <w:r w:rsidR="0005169B">
        <w:t xml:space="preserve">to </w:t>
      </w:r>
      <w:r w:rsidR="008C486D">
        <w:t>licensees.</w:t>
      </w:r>
      <w:r w:rsidR="002C6FEA">
        <w:t xml:space="preserve">  </w:t>
      </w:r>
    </w:p>
    <w:p w:rsidR="007521C9" w:rsidP="00AF33A4" w14:paraId="58CE1363" w14:textId="4823729B">
      <w:pPr>
        <w:pStyle w:val="ParaNum"/>
      </w:pPr>
      <w:bookmarkStart w:id="9" w:name="_Hlk110317593"/>
      <w:r>
        <w:t xml:space="preserve">In the case of these propagation model parameters, it appears that, to date, the industry has not yet reached a consensus.  Because discussion among stakeholders is ongoing, and propagation model </w:t>
      </w:r>
      <w:r>
        <w:t xml:space="preserve">parameters are merely inputs to those models and are easily configurable as a parameter within the AFC, </w:t>
      </w:r>
      <w:r w:rsidR="00802CC8">
        <w:t>OET is</w:t>
      </w:r>
      <w:r>
        <w:t xml:space="preserve"> not inclined to specify specific parameters at this time so that the industry can continue working toward consensus.  However, </w:t>
      </w:r>
      <w:r w:rsidR="00154F9F">
        <w:t xml:space="preserve">acting under our delegated authority </w:t>
      </w:r>
      <w:r w:rsidR="00802CC8">
        <w:t xml:space="preserve">we are </w:t>
      </w:r>
      <w:r w:rsidR="00154F9F">
        <w:t>specify</w:t>
      </w:r>
      <w:r w:rsidR="002E3743">
        <w:t>ing</w:t>
      </w:r>
      <w:r w:rsidR="00154F9F">
        <w:t xml:space="preserve"> </w:t>
      </w:r>
      <w:r w:rsidR="00E82766">
        <w:t xml:space="preserve">a </w:t>
      </w:r>
      <w:r w:rsidR="00154F9F">
        <w:t xml:space="preserve">bound on these parameters that we believe </w:t>
      </w:r>
      <w:r w:rsidR="00E82766">
        <w:t>is</w:t>
      </w:r>
      <w:r w:rsidR="00154F9F">
        <w:t xml:space="preserve"> necessary to provide protection to the microwave incumbents and </w:t>
      </w:r>
      <w:r w:rsidR="00802CC8">
        <w:t>is</w:t>
      </w:r>
      <w:r w:rsidR="00154F9F">
        <w:t xml:space="preserve"> consistent with the Commission’s actions in the </w:t>
      </w:r>
      <w:r w:rsidRPr="003A21DC" w:rsidR="00154F9F">
        <w:rPr>
          <w:i/>
          <w:iCs/>
        </w:rPr>
        <w:t>6 GHz Report and Order</w:t>
      </w:r>
      <w:r w:rsidR="00154F9F">
        <w:t>.  W</w:t>
      </w:r>
      <w:r>
        <w:t xml:space="preserve">e note that in the Commission’s link budget analysis of five actual fixed point-to-point links used as one factor in the Commission’s decision in the </w:t>
      </w:r>
      <w:r w:rsidRPr="002E3743">
        <w:rPr>
          <w:i/>
          <w:iCs/>
        </w:rPr>
        <w:t>6 GHz Report and Order</w:t>
      </w:r>
      <w:r>
        <w:t>, all statistical quantities were treated as a median or average value.</w:t>
      </w:r>
      <w:r>
        <w:rPr>
          <w:rStyle w:val="FootnoteReference"/>
        </w:rPr>
        <w:footnoteReference w:id="127"/>
      </w:r>
      <w:r>
        <w:t xml:space="preserve">  That is, for link budget analyses using the ITM model and the WINNER II model, a confidence and reliability of 50%--i.e. the median value-- was used.  As the Commission found that unlicensed devices could co-exist in the 6 GHz band with incumbent users based on such modeling, we believe that using </w:t>
      </w:r>
      <w:r w:rsidRPr="00095608">
        <w:t xml:space="preserve">50% for the reliability and confidence </w:t>
      </w:r>
      <w:r>
        <w:t xml:space="preserve">levels </w:t>
      </w:r>
      <w:r w:rsidRPr="00095608">
        <w:t>in the ITM model and 50% for the confidence</w:t>
      </w:r>
      <w:r>
        <w:t xml:space="preserve"> level</w:t>
      </w:r>
      <w:r w:rsidRPr="00095608">
        <w:t xml:space="preserve"> in the WINNER II model and clutter models are consistent with the </w:t>
      </w:r>
      <w:r w:rsidRPr="003A21DC">
        <w:rPr>
          <w:i/>
          <w:iCs/>
        </w:rPr>
        <w:t>6 GHz Report and Order</w:t>
      </w:r>
      <w:r w:rsidRPr="00095608">
        <w:t xml:space="preserve"> and are </w:t>
      </w:r>
      <w:r>
        <w:t>sufficient to ensure that fixed service microwave links are adequately protected from receiving harmful interference.</w:t>
      </w:r>
      <w:r>
        <w:rPr>
          <w:rStyle w:val="FootnoteReference"/>
        </w:rPr>
        <w:footnoteReference w:id="128"/>
      </w:r>
      <w:r>
        <w:t xml:space="preserve">  As these parameters represent the minimum protection level that must be provided to incumbent microwave stations, we emphasize that AFC systems may use more stringent levels (i.e., predict additional standard-power device path loss by using higher reliability and confidence levels in the propagation models), but they may not provide a lower level of protection.  We appreciate that industry stakeholders may desire to implement propagation models using more stringent parameters so as to provide additional </w:t>
      </w:r>
      <w:r w:rsidR="001F65FA">
        <w:t>protection (above the minimum required)</w:t>
      </w:r>
      <w:r>
        <w:t xml:space="preserve"> to licensed incumbents—especially during initial </w:t>
      </w:r>
      <w:r w:rsidR="001F65FA">
        <w:t xml:space="preserve">AFC </w:t>
      </w:r>
      <w:r>
        <w:t>deployment.  We believe there is value in having the AFC systems make uniform assumptions when both implementing the propagation models and modeling the incumbent microwave systems.</w:t>
      </w:r>
      <w:r>
        <w:rPr>
          <w:rStyle w:val="FootnoteReference"/>
        </w:rPr>
        <w:footnoteReference w:id="129"/>
      </w:r>
      <w:r>
        <w:t xml:space="preserve">  We encourage industry stakeholders to continue to work toward reaching a consensus on this issue.</w:t>
      </w:r>
      <w:r>
        <w:rPr>
          <w:rStyle w:val="FootnoteReference"/>
        </w:rPr>
        <w:footnoteReference w:id="130"/>
      </w:r>
      <w:r w:rsidRPr="006757EC">
        <w:t xml:space="preserve"> </w:t>
      </w:r>
      <w:r>
        <w:t xml:space="preserve">  </w:t>
      </w:r>
    </w:p>
    <w:p w:rsidR="004D6DB7" w:rsidP="004D6DB7" w14:paraId="3D06D57B" w14:textId="2074BD4F">
      <w:pPr>
        <w:pStyle w:val="Heading3"/>
      </w:pPr>
      <w:bookmarkStart w:id="11" w:name="_Hlk114491627"/>
      <w:bookmarkEnd w:id="9"/>
      <w:r>
        <w:t>Indoor Operation of Standard-power Devices</w:t>
      </w:r>
    </w:p>
    <w:p w:rsidR="002933AD" w:rsidP="002933AD" w14:paraId="0D5255A8" w14:textId="1374FD04">
      <w:pPr>
        <w:pStyle w:val="ParaNum"/>
      </w:pPr>
      <w:r>
        <w:t>Verizon requests that the Commission obtain information about the parameters AFC systems will use to implement models for building entry loss.</w:t>
      </w:r>
      <w:r>
        <w:rPr>
          <w:rStyle w:val="FootnoteReference"/>
        </w:rPr>
        <w:footnoteReference w:id="131"/>
      </w:r>
      <w:r>
        <w:t xml:space="preserve">  AT&amp;T claims that industry has not reached agreement on how building entry loss should be applied for standard-power devices that are indoors.</w:t>
      </w:r>
      <w:r>
        <w:rPr>
          <w:rStyle w:val="FootnoteReference"/>
        </w:rPr>
        <w:footnoteReference w:id="132"/>
      </w:r>
      <w:r>
        <w:t xml:space="preserve">  As the rules for low-power indoor devices are predicated on an assumed building entry loss,</w:t>
      </w:r>
      <w:r>
        <w:rPr>
          <w:rStyle w:val="FootnoteReference"/>
        </w:rPr>
        <w:footnoteReference w:id="133"/>
      </w:r>
      <w:r>
        <w:t xml:space="preserve"> AFC systems could theoretically also use an assumed value or model for building entry loss to reduce the calculated signal level from an indoor unlicensed device due to signal attenuation from passing through the building walls.  During meetings held with each AFC applicant, OET staff requested that the AFC system applicants explain whether they were contemplating a method to incorporate building entry loss </w:t>
      </w:r>
      <w:r>
        <w:t>into their AFC system propagation prediction models.  Most of the applicants responded that they would comply with industry consensus and Commission directives.  The only exception was RED Technologies, who indicated that because the Commission’s rules do not provide a distinction between indoor and outdoor standard-power devices, its AFC will treat indoor standard-power devices identically to those located outdoors.</w:t>
      </w:r>
      <w:r>
        <w:rPr>
          <w:rStyle w:val="FootnoteReference"/>
        </w:rPr>
        <w:footnoteReference w:id="134"/>
      </w:r>
      <w:r>
        <w:t xml:space="preserve">  Broadcom, while indicating that its AFC system will follow FCC rules and industry standards, indicated that it expects the vast majority of standard-power access points to operate indoors and that its AFC system will be capable of accounting for building entry loss when assigning channels to standard-power devices that operate indoors.</w:t>
      </w:r>
      <w:r>
        <w:rPr>
          <w:rStyle w:val="FootnoteReference"/>
        </w:rPr>
        <w:footnoteReference w:id="135"/>
      </w:r>
      <w:r>
        <w:t xml:space="preserve">  </w:t>
      </w:r>
    </w:p>
    <w:p w:rsidR="002933AD" w:rsidRPr="008930D9" w:rsidP="002933AD" w14:paraId="2AACCCBF" w14:textId="76EBC996">
      <w:pPr>
        <w:pStyle w:val="ParaNum"/>
      </w:pPr>
      <w:r>
        <w:t xml:space="preserve">The </w:t>
      </w:r>
      <w:bookmarkStart w:id="12" w:name="_Hlk100224818"/>
      <w:r w:rsidRPr="004A2D91">
        <w:rPr>
          <w:i/>
          <w:iCs/>
          <w:szCs w:val="22"/>
        </w:rPr>
        <w:t>6 GHz Report and Order</w:t>
      </w:r>
      <w:r>
        <w:rPr>
          <w:i/>
          <w:iCs/>
          <w:szCs w:val="22"/>
        </w:rPr>
        <w:t xml:space="preserve"> </w:t>
      </w:r>
      <w:bookmarkEnd w:id="12"/>
      <w:r>
        <w:rPr>
          <w:szCs w:val="22"/>
        </w:rPr>
        <w:t>clearly provided that standard-power devices may operate either indoors or outdoors under the control of an AFC system.</w:t>
      </w:r>
      <w:r>
        <w:rPr>
          <w:rStyle w:val="FootnoteReference"/>
          <w:szCs w:val="22"/>
        </w:rPr>
        <w:footnoteReference w:id="136"/>
      </w:r>
      <w:r>
        <w:rPr>
          <w:szCs w:val="22"/>
        </w:rPr>
        <w:t xml:space="preserve">  </w:t>
      </w:r>
      <w:r w:rsidR="00CF49DD">
        <w:rPr>
          <w:szCs w:val="22"/>
        </w:rPr>
        <w:t xml:space="preserve">Based on our analysis supporting low-power indoor devices which accounted for building entry loss, it would stand to reason that an AFC could, based on </w:t>
      </w:r>
      <w:r w:rsidR="003443DE">
        <w:rPr>
          <w:szCs w:val="22"/>
        </w:rPr>
        <w:t>building entry loss</w:t>
      </w:r>
      <w:r w:rsidR="00CF49DD">
        <w:rPr>
          <w:szCs w:val="22"/>
        </w:rPr>
        <w:t xml:space="preserve">, determine a higher permitted power level for an indoor versus an outdoor standard-power device so long as it is aware of whether such a device is operating indoors or outdoors.  </w:t>
      </w:r>
      <w:r w:rsidR="009F7AF8">
        <w:rPr>
          <w:szCs w:val="22"/>
        </w:rPr>
        <w:t xml:space="preserve">The </w:t>
      </w:r>
      <w:r w:rsidR="00CF49DD">
        <w:rPr>
          <w:szCs w:val="22"/>
        </w:rPr>
        <w:t xml:space="preserve">sole requirement in the rules is for </w:t>
      </w:r>
      <w:r w:rsidR="009F7AF8">
        <w:rPr>
          <w:szCs w:val="22"/>
        </w:rPr>
        <w:t xml:space="preserve">AFC systems to use the specified propagation models to protect microwave receivers based on the -6 dB I/N metric used in the </w:t>
      </w:r>
      <w:r w:rsidR="009F7AF8">
        <w:rPr>
          <w:i/>
          <w:iCs/>
          <w:szCs w:val="22"/>
        </w:rPr>
        <w:t>6 GHz Report and Order</w:t>
      </w:r>
      <w:r w:rsidR="009F7AF8">
        <w:rPr>
          <w:szCs w:val="22"/>
        </w:rPr>
        <w:t>.</w:t>
      </w:r>
      <w:r w:rsidR="00CF49DD">
        <w:rPr>
          <w:szCs w:val="22"/>
        </w:rPr>
        <w:t xml:space="preserve">  Recognizing that </w:t>
      </w:r>
      <w:r w:rsidR="003443DE">
        <w:rPr>
          <w:szCs w:val="22"/>
        </w:rPr>
        <w:t>building entry loss</w:t>
      </w:r>
      <w:r w:rsidR="00CF49DD">
        <w:rPr>
          <w:szCs w:val="22"/>
        </w:rPr>
        <w:t xml:space="preserve"> could be an input to any </w:t>
      </w:r>
      <w:r w:rsidR="002C4C1D">
        <w:rPr>
          <w:szCs w:val="22"/>
        </w:rPr>
        <w:t xml:space="preserve">predictive </w:t>
      </w:r>
      <w:r w:rsidR="00CF49DD">
        <w:rPr>
          <w:szCs w:val="22"/>
        </w:rPr>
        <w:t>propagation model</w:t>
      </w:r>
      <w:r w:rsidR="002C4C1D">
        <w:rPr>
          <w:szCs w:val="22"/>
        </w:rPr>
        <w:t xml:space="preserve"> to determine permitted power levels for 6 GHz standard-power devices, accounting for indoor operation would provide such devices located indoors additional power to serve a larger coverage area.</w:t>
      </w:r>
      <w:r w:rsidR="00CF49DD">
        <w:rPr>
          <w:szCs w:val="22"/>
        </w:rPr>
        <w:t xml:space="preserve">  </w:t>
      </w:r>
      <w:r w:rsidR="002C4C1D">
        <w:rPr>
          <w:szCs w:val="22"/>
        </w:rPr>
        <w:t xml:space="preserve">However, neither the </w:t>
      </w:r>
      <w:r w:rsidRPr="004A2D91" w:rsidR="002C4C1D">
        <w:rPr>
          <w:i/>
          <w:iCs/>
          <w:szCs w:val="22"/>
        </w:rPr>
        <w:t>6 GHz Report and Order</w:t>
      </w:r>
      <w:r w:rsidR="002C4C1D">
        <w:rPr>
          <w:i/>
          <w:iCs/>
          <w:szCs w:val="22"/>
        </w:rPr>
        <w:t xml:space="preserve"> </w:t>
      </w:r>
      <w:r w:rsidR="002C4C1D">
        <w:rPr>
          <w:szCs w:val="22"/>
        </w:rPr>
        <w:t xml:space="preserve">nor the rules governing AFC system operations directly address how the AFC systems could determine that a device is, in fact, located indoors.  We note that </w:t>
      </w:r>
      <w:r>
        <w:rPr>
          <w:szCs w:val="22"/>
        </w:rPr>
        <w:t>there may be methods for making this determination and providing it to the AFC</w:t>
      </w:r>
      <w:r w:rsidR="008B0697">
        <w:rPr>
          <w:szCs w:val="22"/>
        </w:rPr>
        <w:t>.</w:t>
      </w:r>
      <w:r>
        <w:rPr>
          <w:rStyle w:val="FootnoteReference"/>
          <w:szCs w:val="22"/>
        </w:rPr>
        <w:footnoteReference w:id="137"/>
      </w:r>
      <w:r w:rsidR="008B0697">
        <w:rPr>
          <w:szCs w:val="22"/>
        </w:rPr>
        <w:t xml:space="preserve"> </w:t>
      </w:r>
      <w:r>
        <w:rPr>
          <w:szCs w:val="22"/>
        </w:rPr>
        <w:t xml:space="preserve"> </w:t>
      </w:r>
      <w:r w:rsidR="00CC1A6C">
        <w:rPr>
          <w:szCs w:val="22"/>
        </w:rPr>
        <w:t>Given the developmental state of these location determining technologies and the lack of a professional installer requirement for 6 GHz standard-power devices,</w:t>
      </w:r>
      <w:r>
        <w:rPr>
          <w:rStyle w:val="FootnoteReference"/>
          <w:szCs w:val="22"/>
        </w:rPr>
        <w:footnoteReference w:id="138"/>
      </w:r>
      <w:r w:rsidR="00CC1A6C">
        <w:rPr>
          <w:szCs w:val="22"/>
        </w:rPr>
        <w:t xml:space="preserve"> </w:t>
      </w:r>
      <w:r>
        <w:rPr>
          <w:szCs w:val="22"/>
        </w:rPr>
        <w:t>we take no position</w:t>
      </w:r>
      <w:r w:rsidR="00CC1A6C">
        <w:rPr>
          <w:szCs w:val="22"/>
        </w:rPr>
        <w:t xml:space="preserve"> at this time</w:t>
      </w:r>
      <w:r>
        <w:rPr>
          <w:szCs w:val="22"/>
        </w:rPr>
        <w:t xml:space="preserve"> whether to permit the AFC to account for building entry loss for indoor standard-power devices.  </w:t>
      </w:r>
      <w:r w:rsidR="00CC1A6C">
        <w:rPr>
          <w:szCs w:val="22"/>
        </w:rPr>
        <w:t xml:space="preserve">We will continue to monitor </w:t>
      </w:r>
      <w:r w:rsidR="00AC49BE">
        <w:rPr>
          <w:szCs w:val="22"/>
        </w:rPr>
        <w:t xml:space="preserve">how </w:t>
      </w:r>
      <w:r w:rsidR="00CC1A6C">
        <w:rPr>
          <w:szCs w:val="22"/>
        </w:rPr>
        <w:t>these technologies</w:t>
      </w:r>
      <w:r w:rsidR="00AC49BE">
        <w:rPr>
          <w:szCs w:val="22"/>
        </w:rPr>
        <w:t xml:space="preserve"> mature and their effectiveness at precisely determining location, and, if warranted, provide additional guidance in the future</w:t>
      </w:r>
      <w:r w:rsidRPr="008930D9" w:rsidR="00AC49BE">
        <w:rPr>
          <w:szCs w:val="22"/>
        </w:rPr>
        <w:t>.</w:t>
      </w:r>
      <w:r w:rsidRPr="008930D9" w:rsidR="008930D9">
        <w:rPr>
          <w:szCs w:val="22"/>
        </w:rPr>
        <w:t xml:space="preserve">  </w:t>
      </w:r>
      <w:r w:rsidRPr="00FF5DE7" w:rsidR="008930D9">
        <w:rPr>
          <w:szCs w:val="22"/>
        </w:rPr>
        <w:t>However, in consideration of providing more flexibility near-term as we move forward with the AFC approval process and given our experience with low-power indoor devices, we believe that it would be possible to protect the microwave incumbents while permitting the AFC systems to adjust their calculations to take into account building entry loss when standard-power devices are indoors.  If entities believe their technology or unique situation merits Commission consideration for providing the flexibility of considering building entry loss for indoor standard-power devices, the Commission may consider waiver requests to allow such operation.  Any waiver request must provide full support for how standard power devices will be constrained to indoor locations, how interference protection to incumbent spectrum users will be provided, and any arrangements with AFC providers to ensure that indoor versus outdoor location data is being properly transmitted, interpreted, and acted on appropriately.</w:t>
      </w:r>
    </w:p>
    <w:bookmarkEnd w:id="11"/>
    <w:p w:rsidR="00BC3BF9" w:rsidP="00BC3BF9" w14:paraId="3E3CB9E3" w14:textId="7752DD2C">
      <w:pPr>
        <w:pStyle w:val="Heading1"/>
      </w:pPr>
      <w:r>
        <w:t>AFc system</w:t>
      </w:r>
      <w:r w:rsidR="007F0871">
        <w:t xml:space="preserve"> TESTING</w:t>
      </w:r>
    </w:p>
    <w:p w:rsidR="00CA55A5" w:rsidP="0073644B" w14:paraId="1A654B55" w14:textId="726D1C0E">
      <w:pPr>
        <w:pStyle w:val="ParaNum"/>
      </w:pPr>
      <w:r>
        <w:t xml:space="preserve">As directed by the </w:t>
      </w:r>
      <w:r w:rsidRPr="004A2D91" w:rsidR="00676878">
        <w:rPr>
          <w:i/>
          <w:iCs/>
          <w:szCs w:val="22"/>
        </w:rPr>
        <w:t>6 GHz Report and Order</w:t>
      </w:r>
      <w:r w:rsidR="00676878">
        <w:t xml:space="preserve">, we require that the </w:t>
      </w:r>
      <w:r w:rsidR="002524BA">
        <w:t xml:space="preserve">conditionally approved </w:t>
      </w:r>
      <w:r w:rsidR="00676878">
        <w:t>AFC systems undergo rigorous testing</w:t>
      </w:r>
      <w:r w:rsidR="00872D45">
        <w:t xml:space="preserve">, </w:t>
      </w:r>
      <w:r w:rsidR="00E608DC">
        <w:t xml:space="preserve">both </w:t>
      </w:r>
      <w:r w:rsidR="00872D45">
        <w:t xml:space="preserve">in a controlled environment and through demonstration projects, </w:t>
      </w:r>
      <w:r w:rsidR="00676878">
        <w:t>before we approve them for commercial operations.</w:t>
      </w:r>
      <w:r>
        <w:rPr>
          <w:rStyle w:val="FootnoteReference"/>
        </w:rPr>
        <w:footnoteReference w:id="139"/>
      </w:r>
      <w:r w:rsidR="00676878">
        <w:t xml:space="preserve">  </w:t>
      </w:r>
      <w:r w:rsidR="00F37500">
        <w:t>Th</w:t>
      </w:r>
      <w:r w:rsidR="00872D45">
        <w:t xml:space="preserve">e controlled environment testing shall consist of </w:t>
      </w:r>
      <w:r w:rsidR="00B70290">
        <w:t xml:space="preserve">testing conducted </w:t>
      </w:r>
      <w:r w:rsidR="005C2057">
        <w:t xml:space="preserve">by </w:t>
      </w:r>
      <w:r w:rsidR="00B70290">
        <w:t xml:space="preserve">a </w:t>
      </w:r>
      <w:r w:rsidR="00631B5E">
        <w:t>third-</w:t>
      </w:r>
      <w:r w:rsidR="00B70290">
        <w:t>party test lab</w:t>
      </w:r>
      <w:r w:rsidR="00BB42C2">
        <w:t>.</w:t>
      </w:r>
      <w:r>
        <w:rPr>
          <w:rStyle w:val="FootnoteReference"/>
        </w:rPr>
        <w:footnoteReference w:id="140"/>
      </w:r>
      <w:r w:rsidR="00BB42C2">
        <w:t xml:space="preserve">  </w:t>
      </w:r>
      <w:r w:rsidR="00923B7B">
        <w:t>In addition to this lab testing</w:t>
      </w:r>
      <w:r w:rsidR="00067052">
        <w:t>,</w:t>
      </w:r>
      <w:r w:rsidR="00923B7B">
        <w:t xml:space="preserve"> we shall also </w:t>
      </w:r>
      <w:r w:rsidR="00846FBE">
        <w:t xml:space="preserve">require </w:t>
      </w:r>
      <w:r w:rsidR="00694025">
        <w:t xml:space="preserve">the AFC systems to undergo </w:t>
      </w:r>
      <w:r w:rsidR="007821E3">
        <w:t>one or more demonstration projects</w:t>
      </w:r>
      <w:r w:rsidR="00277B1B">
        <w:t>.</w:t>
      </w:r>
      <w:r>
        <w:rPr>
          <w:rStyle w:val="FootnoteReference"/>
        </w:rPr>
        <w:footnoteReference w:id="141"/>
      </w:r>
      <w:r w:rsidR="00277B1B">
        <w:t xml:space="preserve"> </w:t>
      </w:r>
      <w:r w:rsidR="007821E3">
        <w:t xml:space="preserve"> </w:t>
      </w:r>
      <w:r w:rsidR="00277B1B">
        <w:t>W</w:t>
      </w:r>
      <w:r w:rsidR="007821E3">
        <w:t>hi</w:t>
      </w:r>
      <w:r w:rsidR="00277B1B">
        <w:t>le</w:t>
      </w:r>
      <w:r w:rsidR="007821E3">
        <w:t xml:space="preserve"> </w:t>
      </w:r>
      <w:r w:rsidR="003A0D37">
        <w:t xml:space="preserve">we </w:t>
      </w:r>
      <w:r w:rsidR="0082386A">
        <w:t xml:space="preserve">will </w:t>
      </w:r>
      <w:r w:rsidR="00277B1B">
        <w:t>provide details on this testing</w:t>
      </w:r>
      <w:r w:rsidR="003A0D37">
        <w:t xml:space="preserve"> in a forthcoming public notice</w:t>
      </w:r>
      <w:r w:rsidR="0082386A">
        <w:t>,</w:t>
      </w:r>
      <w:r w:rsidR="00277B1B">
        <w:t xml:space="preserve"> we </w:t>
      </w:r>
      <w:r w:rsidR="00820B78">
        <w:t xml:space="preserve">are </w:t>
      </w:r>
      <w:r w:rsidR="00277B1B">
        <w:t>provid</w:t>
      </w:r>
      <w:r w:rsidR="00820B78">
        <w:t>ing</w:t>
      </w:r>
      <w:r w:rsidR="00277B1B">
        <w:t xml:space="preserve"> preliminary information on the </w:t>
      </w:r>
      <w:r w:rsidR="005503CF">
        <w:t xml:space="preserve">required </w:t>
      </w:r>
      <w:r w:rsidR="00277B1B">
        <w:t>testing</w:t>
      </w:r>
      <w:r w:rsidR="0082386A">
        <w:t xml:space="preserve"> to enable the AFC system applicants to begin preparing for the testing process</w:t>
      </w:r>
      <w:r w:rsidR="003A0D37">
        <w:t xml:space="preserve">.  </w:t>
      </w:r>
      <w:r w:rsidR="00067052">
        <w:t xml:space="preserve">  </w:t>
      </w:r>
    </w:p>
    <w:p w:rsidR="00576EE6" w:rsidRPr="00576EE6" w:rsidP="005A5DD1" w14:paraId="75CD6D22" w14:textId="549298DE">
      <w:pPr>
        <w:pStyle w:val="ParaNum"/>
      </w:pPr>
      <w:r w:rsidRPr="003A21DC">
        <w:rPr>
          <w:i/>
          <w:iCs/>
        </w:rPr>
        <w:t>Lab Testing</w:t>
      </w:r>
      <w:r>
        <w:t xml:space="preserve">.  </w:t>
      </w:r>
      <w:r w:rsidR="00602BF5">
        <w:t>Th</w:t>
      </w:r>
      <w:r w:rsidR="003D6E42">
        <w:t>e</w:t>
      </w:r>
      <w:r w:rsidR="00602BF5">
        <w:t xml:space="preserve"> </w:t>
      </w:r>
      <w:r w:rsidR="00240290">
        <w:t xml:space="preserve">required </w:t>
      </w:r>
      <w:r w:rsidR="00602BF5">
        <w:t xml:space="preserve">lab testing </w:t>
      </w:r>
      <w:r w:rsidR="0009268A">
        <w:t xml:space="preserve">for </w:t>
      </w:r>
      <w:r w:rsidR="003D6E42">
        <w:t xml:space="preserve">each </w:t>
      </w:r>
      <w:r w:rsidR="002524BA">
        <w:t xml:space="preserve">conditionally approved </w:t>
      </w:r>
      <w:r w:rsidR="003D6E42">
        <w:t xml:space="preserve">AFC </w:t>
      </w:r>
      <w:r w:rsidR="00602BF5">
        <w:t xml:space="preserve">will consist of a set of </w:t>
      </w:r>
      <w:r w:rsidR="00FF554B">
        <w:t>test</w:t>
      </w:r>
      <w:r w:rsidR="00B7514C">
        <w:t xml:space="preserve">s </w:t>
      </w:r>
      <w:r w:rsidR="00631B5E">
        <w:t xml:space="preserve">that </w:t>
      </w:r>
      <w:r w:rsidR="00FF621E">
        <w:t xml:space="preserve">will </w:t>
      </w:r>
      <w:r w:rsidR="00160777">
        <w:t xml:space="preserve">ultimately </w:t>
      </w:r>
      <w:r w:rsidR="00FF621E">
        <w:t xml:space="preserve">be </w:t>
      </w:r>
      <w:r w:rsidR="003D6E42">
        <w:t>specified</w:t>
      </w:r>
      <w:r w:rsidR="00FF621E">
        <w:t xml:space="preserve"> by OET.  </w:t>
      </w:r>
      <w:r w:rsidR="00BE1E12">
        <w:t xml:space="preserve">We have encouraged stakeholders to </w:t>
      </w:r>
      <w:r w:rsidR="008F320F">
        <w:t xml:space="preserve">contribute their thoughts on how testing could be conducted in an efficient and expeditious manner.  To that end, </w:t>
      </w:r>
      <w:r w:rsidR="002E748E">
        <w:t xml:space="preserve">WFA </w:t>
      </w:r>
      <w:r w:rsidR="00525F5A">
        <w:rPr>
          <w:szCs w:val="22"/>
        </w:rPr>
        <w:t xml:space="preserve">created a </w:t>
      </w:r>
      <w:r w:rsidR="00A53422">
        <w:rPr>
          <w:szCs w:val="22"/>
        </w:rPr>
        <w:t>lab test plan</w:t>
      </w:r>
      <w:r w:rsidR="00150AC9">
        <w:rPr>
          <w:szCs w:val="22"/>
        </w:rPr>
        <w:t>.</w:t>
      </w:r>
      <w:r>
        <w:rPr>
          <w:rStyle w:val="FootnoteReference"/>
          <w:szCs w:val="22"/>
        </w:rPr>
        <w:footnoteReference w:id="142"/>
      </w:r>
      <w:r w:rsidR="00150AC9">
        <w:rPr>
          <w:szCs w:val="22"/>
        </w:rPr>
        <w:t xml:space="preserve">  </w:t>
      </w:r>
      <w:r w:rsidR="00C228A4">
        <w:rPr>
          <w:szCs w:val="22"/>
        </w:rPr>
        <w:t xml:space="preserve">In addition, </w:t>
      </w:r>
      <w:r w:rsidR="00377B56">
        <w:rPr>
          <w:szCs w:val="22"/>
        </w:rPr>
        <w:t xml:space="preserve">WFA </w:t>
      </w:r>
      <w:r w:rsidR="00C228A4">
        <w:rPr>
          <w:szCs w:val="22"/>
        </w:rPr>
        <w:t xml:space="preserve">is creating </w:t>
      </w:r>
      <w:r w:rsidR="003D6E36">
        <w:t xml:space="preserve">a </w:t>
      </w:r>
      <w:r w:rsidRPr="00943017" w:rsidR="003D6E36">
        <w:t xml:space="preserve">set of inputs </w:t>
      </w:r>
      <w:r w:rsidR="00421046">
        <w:t xml:space="preserve">(test vectors) </w:t>
      </w:r>
      <w:r w:rsidRPr="00943017" w:rsidR="003D6E36">
        <w:t xml:space="preserve">to </w:t>
      </w:r>
      <w:r w:rsidR="00EF7B39">
        <w:t xml:space="preserve">thoroughly </w:t>
      </w:r>
      <w:r w:rsidR="006F7794">
        <w:t xml:space="preserve">test </w:t>
      </w:r>
      <w:r w:rsidRPr="00943017" w:rsidR="003D6E36">
        <w:t>the AFC system</w:t>
      </w:r>
      <w:r w:rsidR="005A59CD">
        <w:t xml:space="preserve">s’ </w:t>
      </w:r>
      <w:r w:rsidR="001433D5">
        <w:t xml:space="preserve">ability to </w:t>
      </w:r>
      <w:r w:rsidR="00E90826">
        <w:t xml:space="preserve">protect incumbent microwave </w:t>
      </w:r>
      <w:r w:rsidR="00CB05A3">
        <w:t>systems</w:t>
      </w:r>
      <w:r w:rsidR="003443DE">
        <w:t xml:space="preserve"> that is being revised based on collaboration with </w:t>
      </w:r>
      <w:r w:rsidR="003443DE">
        <w:t>WinnForum</w:t>
      </w:r>
      <w:r w:rsidRPr="00943017" w:rsidR="003D6E36">
        <w:t>.</w:t>
      </w:r>
      <w:r>
        <w:rPr>
          <w:rStyle w:val="FootnoteReference"/>
        </w:rPr>
        <w:footnoteReference w:id="143"/>
      </w:r>
      <w:r w:rsidR="003D6E36">
        <w:t xml:space="preserve">  </w:t>
      </w:r>
      <w:r w:rsidRPr="00943017" w:rsidR="003D6E36">
        <w:t xml:space="preserve">These </w:t>
      </w:r>
      <w:r w:rsidR="000E366B">
        <w:t xml:space="preserve">test </w:t>
      </w:r>
      <w:r w:rsidRPr="00943017" w:rsidR="003D6E36">
        <w:t xml:space="preserve">vectors will include geographic coordinates (including location uncertainty), antenna height above ground, </w:t>
      </w:r>
      <w:r w:rsidR="00D31220">
        <w:t>,</w:t>
      </w:r>
      <w:r w:rsidR="004B52F9">
        <w:t xml:space="preserve"> </w:t>
      </w:r>
      <w:r w:rsidR="004574B5">
        <w:t>as well as the available frequencies and permitted power levels that the AFC systems</w:t>
      </w:r>
      <w:r w:rsidR="00C727D7">
        <w:t xml:space="preserve"> </w:t>
      </w:r>
      <w:r w:rsidR="00D3571F">
        <w:t>should return</w:t>
      </w:r>
      <w:r w:rsidR="00812933">
        <w:t xml:space="preserve"> </w:t>
      </w:r>
      <w:r w:rsidR="0028696D">
        <w:t xml:space="preserve">for </w:t>
      </w:r>
      <w:r w:rsidR="00812933">
        <w:t>the geographic location and height</w:t>
      </w:r>
      <w:r w:rsidRPr="00943017" w:rsidR="003D6E36">
        <w:t>.</w:t>
      </w:r>
      <w:r>
        <w:rPr>
          <w:rStyle w:val="FootnoteReference"/>
        </w:rPr>
        <w:footnoteReference w:id="144"/>
      </w:r>
      <w:r w:rsidR="003D6E36">
        <w:t xml:space="preserve">  </w:t>
      </w:r>
      <w:r w:rsidR="00B10B16">
        <w:t>T</w:t>
      </w:r>
      <w:r w:rsidRPr="00943017" w:rsidR="009A6A99">
        <w:t>he</w:t>
      </w:r>
      <w:r w:rsidRPr="00943017" w:rsidR="003D6E36">
        <w:t xml:space="preserve"> test vectors will need to </w:t>
      </w:r>
      <w:r w:rsidR="000660F4">
        <w:t xml:space="preserve">include </w:t>
      </w:r>
      <w:r w:rsidRPr="00943017" w:rsidR="003D6E36">
        <w:t xml:space="preserve">a wide range of scenarios, </w:t>
      </w:r>
      <w:r w:rsidR="00C24125">
        <w:t xml:space="preserve">such as </w:t>
      </w:r>
      <w:r w:rsidR="009A7BD5">
        <w:t>multiple</w:t>
      </w:r>
      <w:r w:rsidR="00356DAD">
        <w:t xml:space="preserve"> fixed service </w:t>
      </w:r>
      <w:r w:rsidR="001A01C9">
        <w:t>station locations</w:t>
      </w:r>
      <w:r w:rsidR="005B537C">
        <w:t xml:space="preserve"> and </w:t>
      </w:r>
      <w:r w:rsidRPr="00943017" w:rsidR="003D6E36">
        <w:t xml:space="preserve">a variety of </w:t>
      </w:r>
      <w:r w:rsidR="001A61F4">
        <w:t xml:space="preserve">separation </w:t>
      </w:r>
      <w:r w:rsidRPr="00943017" w:rsidR="003D6E36">
        <w:t xml:space="preserve">distances </w:t>
      </w:r>
      <w:r w:rsidR="00DD7E16">
        <w:t xml:space="preserve">between </w:t>
      </w:r>
      <w:r w:rsidR="007A41D1">
        <w:t xml:space="preserve">the </w:t>
      </w:r>
      <w:r w:rsidR="00DD7E16">
        <w:t>standard-power devices and</w:t>
      </w:r>
      <w:r w:rsidRPr="00943017" w:rsidR="003D6E36">
        <w:t xml:space="preserve"> fixed service receive sites</w:t>
      </w:r>
      <w:r w:rsidR="00B10B16">
        <w:t xml:space="preserve">.  </w:t>
      </w:r>
      <w:r w:rsidR="00E6516F">
        <w:t>In addition to fixed service protection, t</w:t>
      </w:r>
      <w:r w:rsidRPr="00943017" w:rsidR="00E6516F">
        <w:t xml:space="preserve">est </w:t>
      </w:r>
      <w:r w:rsidRPr="00943017" w:rsidR="003D6E36">
        <w:t xml:space="preserve">vectors </w:t>
      </w:r>
      <w:r w:rsidR="003D6E36">
        <w:t>must also</w:t>
      </w:r>
      <w:r w:rsidRPr="00943017" w:rsidR="003D6E36">
        <w:t xml:space="preserve"> </w:t>
      </w:r>
      <w:r w:rsidR="00E6516F">
        <w:t>include</w:t>
      </w:r>
      <w:r w:rsidR="002335A9">
        <w:t xml:space="preserve"> scenarios </w:t>
      </w:r>
      <w:r w:rsidRPr="00943017" w:rsidR="003D6E36">
        <w:t xml:space="preserve">to </w:t>
      </w:r>
      <w:r w:rsidR="00385EF0">
        <w:t xml:space="preserve">test that </w:t>
      </w:r>
      <w:r w:rsidRPr="00943017" w:rsidR="003D6E36">
        <w:t>AFC system</w:t>
      </w:r>
      <w:r w:rsidR="00385EF0">
        <w:t>s</w:t>
      </w:r>
      <w:r w:rsidRPr="00943017" w:rsidR="003D6E36">
        <w:t xml:space="preserve"> protect radio astronomy sites</w:t>
      </w:r>
      <w:r w:rsidR="003D6E36">
        <w:t xml:space="preserve"> in accordance with the rules</w:t>
      </w:r>
      <w:r w:rsidRPr="00943017" w:rsidR="003D6E36">
        <w:t xml:space="preserve"> </w:t>
      </w:r>
      <w:r w:rsidR="00385EF0">
        <w:t xml:space="preserve">as well as </w:t>
      </w:r>
      <w:r w:rsidRPr="00943017" w:rsidR="00862E9E">
        <w:t>recogniz</w:t>
      </w:r>
      <w:r w:rsidR="00862E9E">
        <w:t>ing</w:t>
      </w:r>
      <w:r w:rsidRPr="00943017" w:rsidR="00862E9E">
        <w:t xml:space="preserve"> </w:t>
      </w:r>
      <w:r w:rsidRPr="00943017" w:rsidR="003D6E36">
        <w:t>United States borders.</w:t>
      </w:r>
      <w:r>
        <w:rPr>
          <w:rStyle w:val="FootnoteReference"/>
        </w:rPr>
        <w:footnoteReference w:id="145"/>
      </w:r>
      <w:r w:rsidRPr="00943017" w:rsidR="003D6E36">
        <w:t xml:space="preserve">  </w:t>
      </w:r>
      <w:r w:rsidR="00594046">
        <w:t xml:space="preserve">We expect that </w:t>
      </w:r>
      <w:r w:rsidR="00594046">
        <w:rPr>
          <w:szCs w:val="22"/>
        </w:rPr>
        <w:t>t</w:t>
      </w:r>
      <w:r w:rsidRPr="005A5DD1" w:rsidR="00594046">
        <w:rPr>
          <w:szCs w:val="22"/>
        </w:rPr>
        <w:t xml:space="preserve">he </w:t>
      </w:r>
      <w:r w:rsidR="00594046">
        <w:rPr>
          <w:szCs w:val="22"/>
        </w:rPr>
        <w:t xml:space="preserve">WFA </w:t>
      </w:r>
      <w:r w:rsidRPr="005A5DD1" w:rsidR="00905E45">
        <w:rPr>
          <w:szCs w:val="22"/>
        </w:rPr>
        <w:t>test</w:t>
      </w:r>
      <w:r w:rsidRPr="005A5DD1" w:rsidR="00282175">
        <w:rPr>
          <w:szCs w:val="22"/>
        </w:rPr>
        <w:t xml:space="preserve"> plan </w:t>
      </w:r>
      <w:r w:rsidRPr="005A5DD1" w:rsidR="00B33599">
        <w:rPr>
          <w:szCs w:val="22"/>
        </w:rPr>
        <w:t>and test vectors</w:t>
      </w:r>
      <w:r w:rsidRPr="005A5DD1" w:rsidR="0062699B">
        <w:rPr>
          <w:szCs w:val="22"/>
        </w:rPr>
        <w:t xml:space="preserve"> </w:t>
      </w:r>
      <w:r w:rsidRPr="005A5DD1" w:rsidR="00282175">
        <w:rPr>
          <w:szCs w:val="22"/>
        </w:rPr>
        <w:t xml:space="preserve">will </w:t>
      </w:r>
      <w:r w:rsidRPr="005A5DD1" w:rsidR="00905E45">
        <w:rPr>
          <w:szCs w:val="22"/>
        </w:rPr>
        <w:t>have wide</w:t>
      </w:r>
      <w:r w:rsidR="00430494">
        <w:rPr>
          <w:szCs w:val="22"/>
        </w:rPr>
        <w:t>spread</w:t>
      </w:r>
      <w:r w:rsidRPr="005A5DD1" w:rsidR="00905E45">
        <w:rPr>
          <w:szCs w:val="22"/>
        </w:rPr>
        <w:t xml:space="preserve"> support from</w:t>
      </w:r>
      <w:r w:rsidRPr="005A5DD1" w:rsidR="004C2E9A">
        <w:rPr>
          <w:szCs w:val="22"/>
        </w:rPr>
        <w:t xml:space="preserve"> all AFC applicants as well as other </w:t>
      </w:r>
      <w:r w:rsidR="00607F19">
        <w:rPr>
          <w:szCs w:val="22"/>
        </w:rPr>
        <w:t>stakeholders, including fixed service licensees</w:t>
      </w:r>
      <w:r w:rsidRPr="005A5DD1" w:rsidR="004C2E9A">
        <w:rPr>
          <w:szCs w:val="22"/>
        </w:rPr>
        <w:t xml:space="preserve">. </w:t>
      </w:r>
      <w:r w:rsidRPr="005A5DD1" w:rsidR="00327E82">
        <w:rPr>
          <w:szCs w:val="22"/>
        </w:rPr>
        <w:t xml:space="preserve"> W</w:t>
      </w:r>
      <w:r w:rsidRPr="005A5DD1" w:rsidR="004C2E9A">
        <w:rPr>
          <w:szCs w:val="22"/>
        </w:rPr>
        <w:t>e intend to</w:t>
      </w:r>
      <w:r w:rsidRPr="005A5DD1" w:rsidR="00B33599">
        <w:rPr>
          <w:szCs w:val="22"/>
        </w:rPr>
        <w:t xml:space="preserve"> consider the </w:t>
      </w:r>
      <w:r w:rsidRPr="005A5DD1" w:rsidR="00306993">
        <w:rPr>
          <w:szCs w:val="22"/>
        </w:rPr>
        <w:t xml:space="preserve">results of this </w:t>
      </w:r>
      <w:r w:rsidRPr="005A5DD1" w:rsidR="00BD3FB6">
        <w:rPr>
          <w:szCs w:val="22"/>
        </w:rPr>
        <w:t xml:space="preserve">collaborative </w:t>
      </w:r>
      <w:r w:rsidRPr="005A5DD1" w:rsidR="00306993">
        <w:rPr>
          <w:szCs w:val="22"/>
        </w:rPr>
        <w:t xml:space="preserve">process </w:t>
      </w:r>
      <w:r w:rsidR="00994273">
        <w:rPr>
          <w:szCs w:val="22"/>
        </w:rPr>
        <w:t>when</w:t>
      </w:r>
      <w:r w:rsidRPr="005A5DD1" w:rsidR="00306993">
        <w:rPr>
          <w:szCs w:val="22"/>
        </w:rPr>
        <w:t xml:space="preserve"> deciding </w:t>
      </w:r>
      <w:r w:rsidR="00FE7136">
        <w:rPr>
          <w:szCs w:val="22"/>
        </w:rPr>
        <w:t>the final</w:t>
      </w:r>
      <w:r w:rsidRPr="005A5DD1" w:rsidR="00306993">
        <w:rPr>
          <w:szCs w:val="22"/>
        </w:rPr>
        <w:t xml:space="preserve"> </w:t>
      </w:r>
      <w:r w:rsidR="00B47549">
        <w:rPr>
          <w:szCs w:val="22"/>
        </w:rPr>
        <w:t xml:space="preserve">protocols </w:t>
      </w:r>
      <w:r w:rsidR="007614C6">
        <w:rPr>
          <w:szCs w:val="22"/>
        </w:rPr>
        <w:t xml:space="preserve">and test vectors </w:t>
      </w:r>
      <w:r w:rsidR="003A3A61">
        <w:rPr>
          <w:szCs w:val="22"/>
        </w:rPr>
        <w:t xml:space="preserve">for </w:t>
      </w:r>
      <w:r w:rsidRPr="005A5DD1" w:rsidR="00EE0ED6">
        <w:rPr>
          <w:szCs w:val="22"/>
        </w:rPr>
        <w:t xml:space="preserve">AFC </w:t>
      </w:r>
      <w:r w:rsidR="00A75D1D">
        <w:rPr>
          <w:szCs w:val="22"/>
        </w:rPr>
        <w:t xml:space="preserve">system </w:t>
      </w:r>
      <w:r w:rsidRPr="005A5DD1" w:rsidR="00E165EF">
        <w:rPr>
          <w:szCs w:val="22"/>
        </w:rPr>
        <w:t>lab testing</w:t>
      </w:r>
      <w:r w:rsidR="007844C5">
        <w:rPr>
          <w:szCs w:val="22"/>
        </w:rPr>
        <w:t xml:space="preserve">, including </w:t>
      </w:r>
      <w:r w:rsidR="005244FB">
        <w:rPr>
          <w:szCs w:val="22"/>
        </w:rPr>
        <w:t xml:space="preserve">adding </w:t>
      </w:r>
      <w:r w:rsidR="007A7FE3">
        <w:t xml:space="preserve">additional </w:t>
      </w:r>
      <w:r w:rsidRPr="00943017" w:rsidR="005A6778">
        <w:t xml:space="preserve">test vectors </w:t>
      </w:r>
      <w:r w:rsidR="007A7FE3">
        <w:t>beyond</w:t>
      </w:r>
      <w:r w:rsidR="003F46AA">
        <w:t xml:space="preserve"> </w:t>
      </w:r>
      <w:r w:rsidR="00571C68">
        <w:t>those provided to us</w:t>
      </w:r>
      <w:r w:rsidRPr="00943017" w:rsidR="005A6778">
        <w:t xml:space="preserve">.  </w:t>
      </w:r>
      <w:r w:rsidRPr="005A5DD1" w:rsidR="0062699B">
        <w:rPr>
          <w:szCs w:val="22"/>
        </w:rPr>
        <w:t xml:space="preserve">Hence, we </w:t>
      </w:r>
      <w:r w:rsidR="005955B2">
        <w:rPr>
          <w:szCs w:val="22"/>
        </w:rPr>
        <w:t>are</w:t>
      </w:r>
      <w:r w:rsidRPr="005A5DD1" w:rsidR="0062699B">
        <w:rPr>
          <w:szCs w:val="22"/>
        </w:rPr>
        <w:t xml:space="preserve"> not specify</w:t>
      </w:r>
      <w:r w:rsidR="005955B2">
        <w:rPr>
          <w:szCs w:val="22"/>
        </w:rPr>
        <w:t>ing</w:t>
      </w:r>
      <w:r w:rsidRPr="005A5DD1" w:rsidR="0062699B">
        <w:rPr>
          <w:szCs w:val="22"/>
        </w:rPr>
        <w:t xml:space="preserve"> the test plan</w:t>
      </w:r>
      <w:r w:rsidRPr="005A5DD1" w:rsidR="003F46AA">
        <w:rPr>
          <w:szCs w:val="22"/>
        </w:rPr>
        <w:t xml:space="preserve"> and test vectors</w:t>
      </w:r>
      <w:r w:rsidRPr="005A5DD1" w:rsidR="0062699B">
        <w:rPr>
          <w:szCs w:val="22"/>
        </w:rPr>
        <w:t xml:space="preserve"> to be used for the lab testing at this time.  </w:t>
      </w:r>
      <w:r w:rsidRPr="005A5DD1" w:rsidR="00FD66E7">
        <w:rPr>
          <w:szCs w:val="22"/>
        </w:rPr>
        <w:t>Instead, w</w:t>
      </w:r>
      <w:r w:rsidRPr="005A5DD1" w:rsidR="00954301">
        <w:rPr>
          <w:szCs w:val="22"/>
        </w:rPr>
        <w:t xml:space="preserve">e </w:t>
      </w:r>
      <w:r w:rsidR="00165EFE">
        <w:rPr>
          <w:szCs w:val="22"/>
        </w:rPr>
        <w:t xml:space="preserve">will provide guidance on a </w:t>
      </w:r>
      <w:r w:rsidRPr="005A5DD1" w:rsidR="00954301">
        <w:rPr>
          <w:szCs w:val="22"/>
        </w:rPr>
        <w:t xml:space="preserve">test plan </w:t>
      </w:r>
      <w:r w:rsidRPr="005A5DD1" w:rsidR="003F46AA">
        <w:rPr>
          <w:szCs w:val="22"/>
        </w:rPr>
        <w:t>and test</w:t>
      </w:r>
      <w:r w:rsidRPr="005A5DD1" w:rsidR="003D6E36">
        <w:rPr>
          <w:szCs w:val="22"/>
        </w:rPr>
        <w:t xml:space="preserve"> vectors </w:t>
      </w:r>
      <w:r w:rsidRPr="005A5DD1" w:rsidR="00954301">
        <w:rPr>
          <w:szCs w:val="22"/>
        </w:rPr>
        <w:t>in a forthcoming public notice</w:t>
      </w:r>
      <w:r w:rsidRPr="005A5DD1" w:rsidR="00BE7684">
        <w:rPr>
          <w:szCs w:val="22"/>
        </w:rPr>
        <w:t xml:space="preserve"> to be issued after </w:t>
      </w:r>
      <w:r w:rsidR="0071727E">
        <w:rPr>
          <w:szCs w:val="22"/>
        </w:rPr>
        <w:t>we</w:t>
      </w:r>
      <w:r w:rsidR="00890AA5">
        <w:rPr>
          <w:szCs w:val="22"/>
        </w:rPr>
        <w:t xml:space="preserve"> </w:t>
      </w:r>
      <w:r w:rsidR="0071727E">
        <w:rPr>
          <w:szCs w:val="22"/>
        </w:rPr>
        <w:t xml:space="preserve">have </w:t>
      </w:r>
      <w:r w:rsidR="00890AA5">
        <w:rPr>
          <w:szCs w:val="22"/>
        </w:rPr>
        <w:t xml:space="preserve">an opportunity to review </w:t>
      </w:r>
      <w:r w:rsidR="00320756">
        <w:rPr>
          <w:szCs w:val="22"/>
        </w:rPr>
        <w:t xml:space="preserve">the </w:t>
      </w:r>
      <w:r w:rsidRPr="005A5DD1" w:rsidR="00944BC4">
        <w:rPr>
          <w:szCs w:val="22"/>
        </w:rPr>
        <w:t xml:space="preserve">test plan and </w:t>
      </w:r>
      <w:r w:rsidR="003443DE">
        <w:rPr>
          <w:szCs w:val="22"/>
        </w:rPr>
        <w:t xml:space="preserve">final </w:t>
      </w:r>
      <w:r w:rsidRPr="005A5DD1" w:rsidR="00944BC4">
        <w:rPr>
          <w:szCs w:val="22"/>
        </w:rPr>
        <w:t>test vectors</w:t>
      </w:r>
      <w:r w:rsidR="00156A1B">
        <w:rPr>
          <w:szCs w:val="22"/>
        </w:rPr>
        <w:t xml:space="preserve"> </w:t>
      </w:r>
      <w:r w:rsidR="00FA17A3">
        <w:rPr>
          <w:szCs w:val="22"/>
        </w:rPr>
        <w:t>provided by WFA and/or other industry stakeholders</w:t>
      </w:r>
      <w:r w:rsidRPr="005A5DD1" w:rsidR="00954301">
        <w:rPr>
          <w:szCs w:val="22"/>
        </w:rPr>
        <w:t>.</w:t>
      </w:r>
      <w:r w:rsidRPr="005A5DD1" w:rsidR="009E61BB">
        <w:rPr>
          <w:szCs w:val="22"/>
        </w:rPr>
        <w:t xml:space="preserve">  </w:t>
      </w:r>
      <w:r w:rsidRPr="005A5DD1" w:rsidR="00EE0ED6">
        <w:rPr>
          <w:szCs w:val="22"/>
        </w:rPr>
        <w:t xml:space="preserve">  </w:t>
      </w:r>
      <w:r w:rsidRPr="005A5DD1" w:rsidR="004C2E9A">
        <w:rPr>
          <w:szCs w:val="22"/>
        </w:rPr>
        <w:t xml:space="preserve"> </w:t>
      </w:r>
      <w:r w:rsidRPr="005A5DD1" w:rsidR="00602BF5">
        <w:rPr>
          <w:szCs w:val="22"/>
        </w:rPr>
        <w:t xml:space="preserve"> </w:t>
      </w:r>
    </w:p>
    <w:p w:rsidR="00A8738D" w:rsidP="0073644B" w14:paraId="63003933" w14:textId="1CB1E582">
      <w:pPr>
        <w:pStyle w:val="ParaNum"/>
      </w:pPr>
      <w:r>
        <w:t>So that interested parties can</w:t>
      </w:r>
      <w:r w:rsidR="00FB740E">
        <w:t xml:space="preserve"> </w:t>
      </w:r>
      <w:r w:rsidR="00302D70">
        <w:t xml:space="preserve">begin </w:t>
      </w:r>
      <w:r>
        <w:t xml:space="preserve">preparing to conduct the required AFC system lab testing, we are providing some guidance on those entities that will be permitted to </w:t>
      </w:r>
      <w:r w:rsidR="00155305">
        <w:t xml:space="preserve">conduct </w:t>
      </w:r>
      <w:r w:rsidR="005528C1">
        <w:t xml:space="preserve">such testing.  </w:t>
      </w:r>
      <w:r w:rsidR="00404DB2">
        <w:t>As an initial m</w:t>
      </w:r>
      <w:r w:rsidR="000B5F4D">
        <w:t>atter</w:t>
      </w:r>
      <w:r w:rsidR="00C34405">
        <w:t xml:space="preserve">, we need to ensure </w:t>
      </w:r>
      <w:r w:rsidR="00036A61">
        <w:t>that</w:t>
      </w:r>
      <w:r w:rsidR="00C34405">
        <w:t xml:space="preserve"> </w:t>
      </w:r>
      <w:r w:rsidR="00E90C8D">
        <w:t>such testing is conducted by entit</w:t>
      </w:r>
      <w:r w:rsidR="003D6D69">
        <w:t>ies</w:t>
      </w:r>
      <w:r w:rsidR="000B5F4D">
        <w:t xml:space="preserve"> </w:t>
      </w:r>
      <w:r w:rsidR="00D838D5">
        <w:t>with the proper experience and expertise</w:t>
      </w:r>
      <w:r w:rsidR="000B5F4D">
        <w:t xml:space="preserve"> </w:t>
      </w:r>
      <w:r w:rsidR="002151F9">
        <w:t xml:space="preserve">for </w:t>
      </w:r>
      <w:r w:rsidR="00852A8C">
        <w:t xml:space="preserve">this specialized testing.  In this connection, </w:t>
      </w:r>
      <w:r w:rsidR="00863BAC">
        <w:t xml:space="preserve">the Commission’s experience in approving </w:t>
      </w:r>
      <w:r w:rsidR="00D64761">
        <w:t xml:space="preserve">CBRS </w:t>
      </w:r>
      <w:r w:rsidR="00EA5D73">
        <w:t xml:space="preserve">SASs and devices </w:t>
      </w:r>
      <w:r w:rsidR="005453B1">
        <w:t>is instructive</w:t>
      </w:r>
      <w:r w:rsidR="00845E9C">
        <w:t xml:space="preserve"> </w:t>
      </w:r>
      <w:r w:rsidR="00707437">
        <w:t xml:space="preserve">regarding </w:t>
      </w:r>
      <w:r w:rsidR="00FB5F94">
        <w:t>our approach</w:t>
      </w:r>
      <w:r w:rsidR="00EB12C3">
        <w:t xml:space="preserve"> to </w:t>
      </w:r>
      <w:r w:rsidR="00FB5F94">
        <w:t xml:space="preserve">similar testing for </w:t>
      </w:r>
      <w:r w:rsidR="00BB5E8D">
        <w:t>AFC system</w:t>
      </w:r>
      <w:r w:rsidR="00FB5F94">
        <w:t>s</w:t>
      </w:r>
      <w:r w:rsidR="00BB5E8D">
        <w:t xml:space="preserve">.  Although CBRS SAS testing was </w:t>
      </w:r>
      <w:r w:rsidR="002D735C">
        <w:t xml:space="preserve">conducted </w:t>
      </w:r>
      <w:r w:rsidR="00B10D20">
        <w:t xml:space="preserve">by </w:t>
      </w:r>
      <w:r w:rsidRPr="00DE3CCD" w:rsidR="00DE3CCD">
        <w:t>NTIA</w:t>
      </w:r>
      <w:r w:rsidR="00DE3CCD">
        <w:t>’s</w:t>
      </w:r>
      <w:r w:rsidRPr="00DE3CCD" w:rsidR="00DE3CCD">
        <w:t xml:space="preserve"> Institute for Telecommunication Sciences (ITS)</w:t>
      </w:r>
      <w:r w:rsidR="00E323D4">
        <w:t xml:space="preserve">, </w:t>
      </w:r>
      <w:r w:rsidR="00DC78D8">
        <w:t>the device testing</w:t>
      </w:r>
      <w:r w:rsidR="00700522">
        <w:t>, which includes using specific test software and a test harness,</w:t>
      </w:r>
      <w:r w:rsidR="00551C76">
        <w:t xml:space="preserve"> </w:t>
      </w:r>
      <w:r w:rsidR="004B6F5F">
        <w:t>is</w:t>
      </w:r>
      <w:r w:rsidR="005375E8">
        <w:t xml:space="preserve"> conducted by</w:t>
      </w:r>
      <w:r w:rsidR="00617280">
        <w:t xml:space="preserve"> </w:t>
      </w:r>
      <w:r w:rsidR="000B35E1">
        <w:t xml:space="preserve">FCC- recognized </w:t>
      </w:r>
      <w:r w:rsidR="002E112F">
        <w:t xml:space="preserve">accredited </w:t>
      </w:r>
      <w:r w:rsidR="00C86D62">
        <w:t>labs</w:t>
      </w:r>
      <w:r w:rsidR="00395272">
        <w:t>.</w:t>
      </w:r>
      <w:r>
        <w:rPr>
          <w:rStyle w:val="FootnoteReference"/>
        </w:rPr>
        <w:footnoteReference w:id="146"/>
      </w:r>
      <w:r w:rsidR="005F56C4">
        <w:t xml:space="preserve">  Thus, </w:t>
      </w:r>
      <w:r w:rsidR="00BE4420">
        <w:t>many FCC</w:t>
      </w:r>
      <w:r w:rsidR="00E04D72">
        <w:t xml:space="preserve">-recognized </w:t>
      </w:r>
      <w:r w:rsidR="00DC17E1">
        <w:t xml:space="preserve">accredited </w:t>
      </w:r>
      <w:r w:rsidR="00E04D72">
        <w:t>labs already possess expertise</w:t>
      </w:r>
      <w:r w:rsidR="00104B04">
        <w:t xml:space="preserve"> for </w:t>
      </w:r>
      <w:r w:rsidR="00104B04">
        <w:t xml:space="preserve">similar testing as </w:t>
      </w:r>
      <w:r w:rsidR="00395272">
        <w:t xml:space="preserve">is </w:t>
      </w:r>
      <w:r w:rsidR="00104B04">
        <w:t>required for AFC systems.</w:t>
      </w:r>
      <w:r>
        <w:rPr>
          <w:rStyle w:val="FootnoteReference"/>
        </w:rPr>
        <w:footnoteReference w:id="147"/>
      </w:r>
      <w:r w:rsidR="00104B04">
        <w:t xml:space="preserve"> </w:t>
      </w:r>
      <w:r w:rsidR="00395272">
        <w:t xml:space="preserve"> B</w:t>
      </w:r>
      <w:r w:rsidR="000D777E">
        <w:t>ecause</w:t>
      </w:r>
      <w:r w:rsidR="001B1D68">
        <w:t xml:space="preserve"> </w:t>
      </w:r>
      <w:r w:rsidR="00852A8C">
        <w:t xml:space="preserve">we </w:t>
      </w:r>
      <w:r w:rsidR="000D777E">
        <w:t>have confidence</w:t>
      </w:r>
      <w:r w:rsidR="00852A8C">
        <w:t xml:space="preserve"> that </w:t>
      </w:r>
      <w:r w:rsidR="00897F69">
        <w:t>the</w:t>
      </w:r>
      <w:r w:rsidR="00BA1C11">
        <w:t xml:space="preserve"> FCC</w:t>
      </w:r>
      <w:r w:rsidR="004045EC">
        <w:t>-</w:t>
      </w:r>
      <w:r w:rsidR="00BA1C11">
        <w:t xml:space="preserve">recognized accredited testing laboratories </w:t>
      </w:r>
      <w:r w:rsidR="004045EC">
        <w:t xml:space="preserve">that have also been </w:t>
      </w:r>
      <w:r w:rsidR="00C31742">
        <w:t xml:space="preserve">approved through </w:t>
      </w:r>
      <w:r w:rsidR="00C31742">
        <w:t>WinnForum’s</w:t>
      </w:r>
      <w:r w:rsidR="00C31742">
        <w:t xml:space="preserve"> </w:t>
      </w:r>
      <w:r w:rsidRPr="00C941CD" w:rsidR="00C941CD">
        <w:t xml:space="preserve">Citizens Broadband Radio Service Device </w:t>
      </w:r>
      <w:r w:rsidR="00C941CD">
        <w:t>(</w:t>
      </w:r>
      <w:r w:rsidR="009D19B2">
        <w:t>CBSD</w:t>
      </w:r>
      <w:r w:rsidR="00C941CD">
        <w:t>)</w:t>
      </w:r>
      <w:r w:rsidR="009D19B2">
        <w:t xml:space="preserve"> testing and certification program</w:t>
      </w:r>
      <w:r w:rsidR="00B630F6">
        <w:t xml:space="preserve"> possess the facilities and expertise to conduct AFC testing, we will permit such </w:t>
      </w:r>
      <w:r w:rsidR="00A1771A">
        <w:t xml:space="preserve">labs </w:t>
      </w:r>
      <w:r w:rsidR="00BA1C11">
        <w:t xml:space="preserve">to perform </w:t>
      </w:r>
      <w:r w:rsidR="00397B69">
        <w:t xml:space="preserve">AFC </w:t>
      </w:r>
      <w:r w:rsidR="00852563">
        <w:t xml:space="preserve">system </w:t>
      </w:r>
      <w:r w:rsidR="00BA1C11">
        <w:t>lab testing</w:t>
      </w:r>
      <w:r w:rsidR="00397B69">
        <w:t xml:space="preserve"> once such procedures are approved by the Commission</w:t>
      </w:r>
      <w:r w:rsidR="00BA1C11">
        <w:t>.</w:t>
      </w:r>
      <w:r>
        <w:rPr>
          <w:rStyle w:val="FootnoteReference"/>
        </w:rPr>
        <w:footnoteReference w:id="148"/>
      </w:r>
      <w:r w:rsidR="006F2F77">
        <w:t xml:space="preserve">  </w:t>
      </w:r>
      <w:r w:rsidR="00262CC0">
        <w:t xml:space="preserve">We make this determination because </w:t>
      </w:r>
      <w:r w:rsidR="00B33234">
        <w:t xml:space="preserve">the AFC system </w:t>
      </w:r>
      <w:r w:rsidR="006F2F77">
        <w:t>lab testing will</w:t>
      </w:r>
      <w:r w:rsidR="00B33234">
        <w:t xml:space="preserve">, similar to CBRS device testing, </w:t>
      </w:r>
      <w:r w:rsidR="006F2F77">
        <w:t xml:space="preserve">involve using test harness software to send and receive information from the server on which the AFC system is running.  </w:t>
      </w:r>
      <w:r w:rsidR="008D7C21">
        <w:t xml:space="preserve">Consequently, we believe that </w:t>
      </w:r>
      <w:r w:rsidR="00D81039">
        <w:t xml:space="preserve">this subset of </w:t>
      </w:r>
      <w:r w:rsidR="008D7C21">
        <w:t>FCC</w:t>
      </w:r>
      <w:r w:rsidR="00D81039">
        <w:t>-</w:t>
      </w:r>
      <w:r w:rsidR="008D7C21">
        <w:t xml:space="preserve">recognized accredited testing laboratories </w:t>
      </w:r>
      <w:r w:rsidR="00E74260">
        <w:t xml:space="preserve">has </w:t>
      </w:r>
      <w:r w:rsidR="00042262">
        <w:t xml:space="preserve">the capability to conduct the AFC </w:t>
      </w:r>
      <w:r w:rsidR="00852563">
        <w:t xml:space="preserve">system lab </w:t>
      </w:r>
      <w:r w:rsidR="00042262">
        <w:t>testing</w:t>
      </w:r>
      <w:r w:rsidR="00DA3AEC">
        <w:t>.  For these labs</w:t>
      </w:r>
      <w:r w:rsidR="007E0F39">
        <w:t>, no</w:t>
      </w:r>
      <w:r w:rsidR="003A6EC7">
        <w:t xml:space="preserve"> additional certification or permission from OET</w:t>
      </w:r>
      <w:r w:rsidR="0043316E">
        <w:t xml:space="preserve"> will be necessary</w:t>
      </w:r>
      <w:r w:rsidR="00292811">
        <w:t>.</w:t>
      </w:r>
      <w:r w:rsidR="00042262">
        <w:t xml:space="preserve">  </w:t>
      </w:r>
    </w:p>
    <w:p w:rsidR="00277B1B" w:rsidP="0073644B" w14:paraId="2B3787C1" w14:textId="77777777">
      <w:pPr>
        <w:pStyle w:val="ParaNum"/>
      </w:pPr>
      <w:r>
        <w:t>In making the determination</w:t>
      </w:r>
      <w:r w:rsidR="00016560">
        <w:t xml:space="preserve"> to permit </w:t>
      </w:r>
      <w:r w:rsidR="003209AC">
        <w:t xml:space="preserve">labs that have been </w:t>
      </w:r>
      <w:r w:rsidR="0065115E">
        <w:t xml:space="preserve">certified </w:t>
      </w:r>
      <w:r w:rsidR="003209AC">
        <w:t xml:space="preserve">by </w:t>
      </w:r>
      <w:r w:rsidR="003209AC">
        <w:t>WinnForum</w:t>
      </w:r>
      <w:r w:rsidR="0065115E">
        <w:t xml:space="preserve"> for CBRS testing to also </w:t>
      </w:r>
      <w:r w:rsidR="00880548">
        <w:t xml:space="preserve">conduct AFC system testing, we are mindful of not foreclosing </w:t>
      </w:r>
      <w:r w:rsidR="008C206E">
        <w:t>other qualified</w:t>
      </w:r>
      <w:r w:rsidR="00880548">
        <w:t xml:space="preserve"> entit</w:t>
      </w:r>
      <w:r w:rsidR="008C206E">
        <w:t>ies</w:t>
      </w:r>
      <w:r w:rsidR="00880548">
        <w:t xml:space="preserve"> </w:t>
      </w:r>
      <w:r w:rsidR="00300012">
        <w:t>from</w:t>
      </w:r>
      <w:r w:rsidR="00213503">
        <w:t xml:space="preserve"> conducting such testing.  </w:t>
      </w:r>
      <w:r w:rsidR="003B0CCC">
        <w:t>WinnForum</w:t>
      </w:r>
      <w:r w:rsidR="00CB021D">
        <w:t xml:space="preserve"> is creating a process</w:t>
      </w:r>
      <w:r w:rsidR="000B6375">
        <w:t>, similar to what it did for CBRS,</w:t>
      </w:r>
      <w:r w:rsidR="00CB021D">
        <w:t xml:space="preserve"> </w:t>
      </w:r>
      <w:r w:rsidR="003F6256">
        <w:t xml:space="preserve">to </w:t>
      </w:r>
      <w:r w:rsidR="000B6375">
        <w:t xml:space="preserve">develop criteria and </w:t>
      </w:r>
      <w:r w:rsidR="003F6256">
        <w:t xml:space="preserve">approve labs to conduct </w:t>
      </w:r>
      <w:r w:rsidR="000B6375">
        <w:t xml:space="preserve">AFC system </w:t>
      </w:r>
      <w:r w:rsidR="003F6256">
        <w:t>testing</w:t>
      </w:r>
      <w:r w:rsidR="000B6375">
        <w:t>.</w:t>
      </w:r>
      <w:r>
        <w:rPr>
          <w:rStyle w:val="FootnoteReference"/>
        </w:rPr>
        <w:footnoteReference w:id="149"/>
      </w:r>
      <w:r w:rsidR="001A12AC">
        <w:t xml:space="preserve">  </w:t>
      </w:r>
      <w:r w:rsidR="00F41310">
        <w:t>Under</w:t>
      </w:r>
      <w:r w:rsidR="00652EED">
        <w:t xml:space="preserve"> </w:t>
      </w:r>
      <w:r w:rsidR="001D5C42">
        <w:t xml:space="preserve">the </w:t>
      </w:r>
      <w:r w:rsidR="00E560F3">
        <w:t>draft</w:t>
      </w:r>
      <w:r w:rsidR="00652EED">
        <w:t xml:space="preserve"> process</w:t>
      </w:r>
      <w:r w:rsidR="001D5C42">
        <w:t xml:space="preserve"> outlined by </w:t>
      </w:r>
      <w:r w:rsidR="001D5C42">
        <w:t>WinnForum</w:t>
      </w:r>
      <w:r w:rsidR="00F41310">
        <w:t xml:space="preserve">, a prospective test lab </w:t>
      </w:r>
      <w:r w:rsidR="00652EED">
        <w:t>w</w:t>
      </w:r>
      <w:r w:rsidR="00911E55">
        <w:t>ill</w:t>
      </w:r>
      <w:r w:rsidR="00652EED">
        <w:t xml:space="preserve"> </w:t>
      </w:r>
      <w:r w:rsidR="00F41310">
        <w:t xml:space="preserve">submit an application to </w:t>
      </w:r>
      <w:r w:rsidR="00F41310">
        <w:t>WinnForum</w:t>
      </w:r>
      <w:r w:rsidR="00F41310">
        <w:t xml:space="preserve"> that includes</w:t>
      </w:r>
      <w:r w:rsidR="00597616">
        <w:t xml:space="preserve"> proof of I</w:t>
      </w:r>
      <w:r w:rsidR="00C92792">
        <w:t>SO</w:t>
      </w:r>
      <w:r w:rsidR="00597616">
        <w:t xml:space="preserve">/IEC 17025 accreditation to the </w:t>
      </w:r>
      <w:r w:rsidR="00597616">
        <w:t>WinnF</w:t>
      </w:r>
      <w:r w:rsidR="00C92792">
        <w:t>o</w:t>
      </w:r>
      <w:r w:rsidR="00597616">
        <w:t>rum</w:t>
      </w:r>
      <w:r w:rsidR="00597616">
        <w:t xml:space="preserve"> 6 GHz AFC system test plans, an overview of the test lab including </w:t>
      </w:r>
      <w:r w:rsidR="00A4272D">
        <w:t xml:space="preserve">its </w:t>
      </w:r>
      <w:r w:rsidR="00446237">
        <w:t xml:space="preserve">experience with the test modules, the resumes of the lab’s subject matter experts and engineers who will be involved with the testing, a </w:t>
      </w:r>
      <w:r w:rsidR="0043200A">
        <w:t>demonstration of execution of the test harness software, a written description of the test procedures</w:t>
      </w:r>
      <w:r w:rsidR="0036595B">
        <w:t>, a test report template, and a valid set of sample test vectors representative of additional test</w:t>
      </w:r>
      <w:r w:rsidR="00704B46">
        <w:t>s</w:t>
      </w:r>
      <w:r w:rsidR="0036595B">
        <w:t xml:space="preserve"> that the test lab may run.</w:t>
      </w:r>
      <w:r>
        <w:rPr>
          <w:rStyle w:val="FootnoteReference"/>
        </w:rPr>
        <w:footnoteReference w:id="150"/>
      </w:r>
      <w:r w:rsidR="00C92792">
        <w:t xml:space="preserve">  </w:t>
      </w:r>
      <w:r w:rsidR="00BA3A7A">
        <w:t xml:space="preserve">A task group of industry stakeholders operating </w:t>
      </w:r>
      <w:r w:rsidR="00F9016D">
        <w:t xml:space="preserve">independently of </w:t>
      </w:r>
      <w:r w:rsidR="00F9016D">
        <w:t>WinnForum</w:t>
      </w:r>
      <w:r w:rsidR="00F9016D">
        <w:t xml:space="preserve"> and not including representatives of the candidate test labs will review the </w:t>
      </w:r>
      <w:r w:rsidR="006726B9">
        <w:t xml:space="preserve">application to ensure that all requirements are </w:t>
      </w:r>
      <w:r w:rsidR="006841BB">
        <w:t>satisfied</w:t>
      </w:r>
      <w:r w:rsidR="006726B9">
        <w:t>.</w:t>
      </w:r>
      <w:r>
        <w:rPr>
          <w:rStyle w:val="FootnoteReference"/>
        </w:rPr>
        <w:footnoteReference w:id="151"/>
      </w:r>
      <w:r w:rsidR="006726B9">
        <w:t xml:space="preserve">  </w:t>
      </w:r>
      <w:r w:rsidR="00684020">
        <w:t>After</w:t>
      </w:r>
      <w:r w:rsidR="00911E55">
        <w:t xml:space="preserve"> </w:t>
      </w:r>
      <w:r w:rsidR="00CA2B1A">
        <w:t>WinnForum</w:t>
      </w:r>
      <w:r w:rsidR="00CA2B1A">
        <w:t xml:space="preserve"> finalizes this process</w:t>
      </w:r>
      <w:r w:rsidR="00B51E39">
        <w:t>,</w:t>
      </w:r>
      <w:r w:rsidR="00CA2B1A">
        <w:t xml:space="preserve"> we will </w:t>
      </w:r>
      <w:r w:rsidR="00EB1D28">
        <w:t xml:space="preserve">examine it and </w:t>
      </w:r>
      <w:r w:rsidR="00944E10">
        <w:t xml:space="preserve">issue guidance on </w:t>
      </w:r>
      <w:r w:rsidR="00CA2B1A">
        <w:t>whether test labs approved under the process will be eligi</w:t>
      </w:r>
      <w:r w:rsidR="00944E10">
        <w:t xml:space="preserve">ble to conduct </w:t>
      </w:r>
      <w:r w:rsidR="002B49A3">
        <w:t xml:space="preserve">AFC system </w:t>
      </w:r>
      <w:r w:rsidR="00944E10">
        <w:t xml:space="preserve">lab testing </w:t>
      </w:r>
      <w:r w:rsidR="00565BC9">
        <w:t xml:space="preserve">as part of </w:t>
      </w:r>
      <w:r w:rsidR="00421E7D">
        <w:t xml:space="preserve">the overall process </w:t>
      </w:r>
      <w:r w:rsidR="002172FA">
        <w:t xml:space="preserve">toward </w:t>
      </w:r>
      <w:r w:rsidR="00421E7D">
        <w:t xml:space="preserve">AFC’s </w:t>
      </w:r>
      <w:r w:rsidR="00565BC9">
        <w:t>obtaining approval to commence commercial operations.</w:t>
      </w:r>
      <w:r w:rsidR="006726B9">
        <w:t xml:space="preserve"> </w:t>
      </w:r>
    </w:p>
    <w:p w:rsidR="00045416" w:rsidP="0073644B" w14:paraId="049AD6CE" w14:textId="4C8AC8D8">
      <w:pPr>
        <w:pStyle w:val="ParaNum"/>
      </w:pPr>
      <w:r w:rsidRPr="003A21DC">
        <w:rPr>
          <w:i/>
          <w:iCs/>
        </w:rPr>
        <w:t>Demonstration Projects</w:t>
      </w:r>
      <w:r>
        <w:t xml:space="preserve">:  </w:t>
      </w:r>
      <w:r w:rsidR="009C193B">
        <w:t xml:space="preserve">As part of the multi-stage review process to designate AFC operators, the </w:t>
      </w:r>
      <w:r w:rsidRPr="001D07E7" w:rsidR="009C193B">
        <w:rPr>
          <w:i/>
          <w:iCs/>
        </w:rPr>
        <w:t>6 GHz Report and Order</w:t>
      </w:r>
      <w:r w:rsidR="009C193B">
        <w:t xml:space="preserve"> require</w:t>
      </w:r>
      <w:r w:rsidR="00506910">
        <w:t>s</w:t>
      </w:r>
      <w:r w:rsidR="009C193B">
        <w:t xml:space="preserve"> conditionally approved AFC system applicants to “</w:t>
      </w:r>
      <w:r w:rsidRPr="000F6B31" w:rsidR="009C193B">
        <w:rPr>
          <w:szCs w:val="22"/>
        </w:rPr>
        <w:t>provide a test system that will be subject to a public trial period to provide interested parties an opportunity to check that it provides accurate results</w:t>
      </w:r>
      <w:r w:rsidR="009C193B">
        <w:rPr>
          <w:szCs w:val="22"/>
        </w:rPr>
        <w:t>.”</w:t>
      </w:r>
      <w:r w:rsidRPr="00BC2FCE" w:rsidR="009C193B">
        <w:rPr>
          <w:rStyle w:val="FootnoteReference"/>
          <w:szCs w:val="22"/>
        </w:rPr>
        <w:t xml:space="preserve"> </w:t>
      </w:r>
      <w:r>
        <w:rPr>
          <w:rStyle w:val="FootnoteReference"/>
          <w:szCs w:val="22"/>
        </w:rPr>
        <w:footnoteReference w:id="152"/>
      </w:r>
      <w:r w:rsidR="009C193B">
        <w:rPr>
          <w:szCs w:val="22"/>
        </w:rPr>
        <w:t xml:space="preserve">  To meet this directive, OET intends </w:t>
      </w:r>
      <w:r>
        <w:t>to require each of the AFC system</w:t>
      </w:r>
      <w:r w:rsidR="000A3793">
        <w:t xml:space="preserve"> applicants</w:t>
      </w:r>
      <w:r>
        <w:t xml:space="preserve"> to </w:t>
      </w:r>
      <w:r w:rsidR="000A3793">
        <w:t>conduct a</w:t>
      </w:r>
      <w:r>
        <w:t xml:space="preserve"> public trial</w:t>
      </w:r>
      <w:r w:rsidR="009C193B">
        <w:t xml:space="preserve"> as a demonstration project</w:t>
      </w:r>
      <w:r w:rsidR="00100969">
        <w:t xml:space="preserve"> after completi</w:t>
      </w:r>
      <w:r w:rsidR="00506910">
        <w:t>ng</w:t>
      </w:r>
      <w:r w:rsidR="00100969">
        <w:t xml:space="preserve"> </w:t>
      </w:r>
      <w:r w:rsidR="00100969">
        <w:t>lab testing</w:t>
      </w:r>
      <w:r w:rsidR="006C2DEF">
        <w:t>.</w:t>
      </w:r>
      <w:r w:rsidR="00820B78">
        <w:t xml:space="preserve">  During this public trial each AFC system applicant will</w:t>
      </w:r>
      <w:r>
        <w:t xml:space="preserve"> </w:t>
      </w:r>
      <w:r w:rsidR="0007521B">
        <w:t xml:space="preserve">be required to </w:t>
      </w:r>
      <w:r w:rsidR="00820B78">
        <w:t xml:space="preserve">make </w:t>
      </w:r>
      <w:r>
        <w:t xml:space="preserve">a website </w:t>
      </w:r>
      <w:r w:rsidR="00820B78">
        <w:t xml:space="preserve">available </w:t>
      </w:r>
      <w:r w:rsidR="00014F8E">
        <w:t>for a specified period of time (</w:t>
      </w:r>
      <w:r w:rsidR="004E104A">
        <w:t>e.g.</w:t>
      </w:r>
      <w:r w:rsidR="00014F8E">
        <w:t xml:space="preserve"> 30 days) </w:t>
      </w:r>
      <w:r w:rsidR="00820B78">
        <w:t xml:space="preserve">that </w:t>
      </w:r>
      <w:r w:rsidR="00A7327D">
        <w:t>provide</w:t>
      </w:r>
      <w:r w:rsidR="00E66660">
        <w:t>s</w:t>
      </w:r>
      <w:r w:rsidR="00A7327D">
        <w:t xml:space="preserve"> an opportunity for</w:t>
      </w:r>
      <w:r w:rsidR="00820B78">
        <w:t xml:space="preserve"> members of the public to test the functionality of the</w:t>
      </w:r>
      <w:r w:rsidR="00A7327D">
        <w:t>ir</w:t>
      </w:r>
      <w:r w:rsidR="00820B78">
        <w:t xml:space="preserve"> AFC system.</w:t>
      </w:r>
      <w:r>
        <w:rPr>
          <w:rStyle w:val="FootnoteReference"/>
        </w:rPr>
        <w:footnoteReference w:id="153"/>
      </w:r>
      <w:r w:rsidR="00820B78">
        <w:t xml:space="preserve">  The website </w:t>
      </w:r>
      <w:r w:rsidR="00DB14CA">
        <w:t xml:space="preserve">will </w:t>
      </w:r>
      <w:r w:rsidR="008351F2">
        <w:t xml:space="preserve">permit the </w:t>
      </w:r>
      <w:r w:rsidR="009C5BBE">
        <w:t>‘</w:t>
      </w:r>
      <w:r w:rsidR="008351F2">
        <w:t>tester</w:t>
      </w:r>
      <w:r w:rsidR="009C5BBE">
        <w:t>’</w:t>
      </w:r>
      <w:r w:rsidR="008351F2">
        <w:t xml:space="preserve"> to specify i</w:t>
      </w:r>
      <w:r w:rsidR="00820B78">
        <w:t xml:space="preserve">nformation </w:t>
      </w:r>
      <w:r w:rsidR="00506910">
        <w:t xml:space="preserve">is provided </w:t>
      </w:r>
      <w:r w:rsidR="00820B78">
        <w:t xml:space="preserve">to the AFC </w:t>
      </w:r>
      <w:r w:rsidR="00014F8E">
        <w:t xml:space="preserve">system </w:t>
      </w:r>
      <w:r w:rsidR="00820B78">
        <w:t xml:space="preserve">such as the devices </w:t>
      </w:r>
      <w:r w:rsidR="004B6517">
        <w:t>latitude, longitude, height</w:t>
      </w:r>
      <w:r w:rsidR="00506910">
        <w:t xml:space="preserve"> above ground</w:t>
      </w:r>
      <w:r w:rsidR="004B6517">
        <w:t xml:space="preserve">, and location uncertainty.  The </w:t>
      </w:r>
      <w:r w:rsidR="00832F14">
        <w:t>AFC system</w:t>
      </w:r>
      <w:r w:rsidR="00AE5240">
        <w:t xml:space="preserve"> </w:t>
      </w:r>
      <w:r w:rsidR="004B6517">
        <w:t xml:space="preserve">will then </w:t>
      </w:r>
      <w:r w:rsidR="00AE5240">
        <w:t xml:space="preserve">calculate </w:t>
      </w:r>
      <w:r w:rsidR="004B6517">
        <w:t xml:space="preserve">the available 6 GHz band </w:t>
      </w:r>
      <w:r w:rsidR="00506910">
        <w:t xml:space="preserve">channels </w:t>
      </w:r>
      <w:r w:rsidR="004B6517">
        <w:t xml:space="preserve">and </w:t>
      </w:r>
      <w:r w:rsidR="004C5630">
        <w:t xml:space="preserve">maximum permissible </w:t>
      </w:r>
      <w:r w:rsidR="004B6517">
        <w:t xml:space="preserve">power </w:t>
      </w:r>
      <w:r w:rsidR="00506910">
        <w:t xml:space="preserve">for </w:t>
      </w:r>
      <w:r w:rsidR="004C5630">
        <w:t>each.  The website will</w:t>
      </w:r>
      <w:r w:rsidR="008351F2">
        <w:t xml:space="preserve"> either display this information to the tester</w:t>
      </w:r>
      <w:r w:rsidR="00361A9C">
        <w:t xml:space="preserve"> or </w:t>
      </w:r>
      <w:r w:rsidR="00506910">
        <w:t xml:space="preserve">the test system </w:t>
      </w:r>
      <w:r w:rsidR="00361A9C">
        <w:t>will send the information in an</w:t>
      </w:r>
      <w:r w:rsidR="008351F2">
        <w:t xml:space="preserve"> email to the tester.  The website will </w:t>
      </w:r>
      <w:r w:rsidR="004C5630">
        <w:t>also be required to have the capabilit</w:t>
      </w:r>
      <w:r w:rsidR="00014F8E">
        <w:t xml:space="preserve">y for </w:t>
      </w:r>
      <w:r w:rsidR="009C5BBE">
        <w:t>the tester</w:t>
      </w:r>
      <w:r w:rsidR="00014F8E">
        <w:t xml:space="preserve"> to raise specific concerns about the available frequencies </w:t>
      </w:r>
      <w:r w:rsidR="00506910">
        <w:t xml:space="preserve">calculated </w:t>
      </w:r>
      <w:r w:rsidR="00014F8E">
        <w:t xml:space="preserve">and </w:t>
      </w:r>
      <w:r w:rsidR="00506910">
        <w:t xml:space="preserve">their associated </w:t>
      </w:r>
      <w:r w:rsidR="00014F8E">
        <w:t>maximum power levels.</w:t>
      </w:r>
      <w:r>
        <w:t xml:space="preserve">  </w:t>
      </w:r>
      <w:r w:rsidR="00434A74">
        <w:t xml:space="preserve">The AFC system applicant will </w:t>
      </w:r>
      <w:r w:rsidR="00100969">
        <w:t>then</w:t>
      </w:r>
      <w:r w:rsidR="00434A74">
        <w:t xml:space="preserve"> investigate the concerns and provide a response to the tester by email.  </w:t>
      </w:r>
      <w:r>
        <w:t>Once the public trial is complete the AFC system applicant will submit a report to OET describing how they have addressed any concerns raised or explaining why th</w:t>
      </w:r>
      <w:r w:rsidR="00506910">
        <w:t>os</w:t>
      </w:r>
      <w:r>
        <w:t xml:space="preserve">e concerns do not require any action.  </w:t>
      </w:r>
    </w:p>
    <w:p w:rsidR="004E2252" w:rsidP="0073644B" w14:paraId="2574CBE9" w14:textId="732ACD48">
      <w:pPr>
        <w:pStyle w:val="ParaNum"/>
      </w:pPr>
      <w:r>
        <w:t xml:space="preserve">We will permit the AFC </w:t>
      </w:r>
      <w:r w:rsidR="00FB335E">
        <w:t xml:space="preserve">system </w:t>
      </w:r>
      <w:r>
        <w:t xml:space="preserve">applicants to either work together to jointly operate a </w:t>
      </w:r>
      <w:r w:rsidR="004E104A">
        <w:t xml:space="preserve">public trial </w:t>
      </w:r>
      <w:r>
        <w:t xml:space="preserve">website </w:t>
      </w:r>
      <w:r w:rsidR="00AB61B0">
        <w:t xml:space="preserve">as a single point of entry for testing multiple AFC systems </w:t>
      </w:r>
      <w:r>
        <w:t xml:space="preserve">or </w:t>
      </w:r>
      <w:r w:rsidR="00FB335E">
        <w:t xml:space="preserve">to </w:t>
      </w:r>
      <w:r>
        <w:t>operate</w:t>
      </w:r>
      <w:r w:rsidR="00FB335E">
        <w:t xml:space="preserve"> individual websites.  Providing a single website for multiple AFC systems would benefit the public by providing a means to test multiple </w:t>
      </w:r>
      <w:r w:rsidR="00BF43BC">
        <w:t>AFC systems</w:t>
      </w:r>
      <w:r w:rsidR="00FB335E">
        <w:t xml:space="preserve"> with identical coordinates at the same time</w:t>
      </w:r>
      <w:r w:rsidR="00AB61B0">
        <w:t xml:space="preserve"> making </w:t>
      </w:r>
      <w:r w:rsidR="00FB335E">
        <w:t xml:space="preserve">it </w:t>
      </w:r>
      <w:r w:rsidR="00BF43BC">
        <w:t>easy</w:t>
      </w:r>
      <w:r w:rsidR="00FB335E">
        <w:t xml:space="preserve"> to compare the outputs returned by the different AFC systems</w:t>
      </w:r>
      <w:r>
        <w:t xml:space="preserve">.  However, we appreciate that requiring the AFC system applicants to jointly create a website could be complex and not all AFC systems may be complete and ready for testing in the same timeframe.  Therefore, </w:t>
      </w:r>
      <w:r w:rsidR="00AB61B0">
        <w:t xml:space="preserve">while we believe a single point of entry for testing all AFCs has many benefits for the public, we will not require such a system and permit each </w:t>
      </w:r>
      <w:r>
        <w:t xml:space="preserve">AFC system applicant the option of </w:t>
      </w:r>
      <w:r w:rsidR="00AB61B0">
        <w:t xml:space="preserve">using a common website, if available, or </w:t>
      </w:r>
      <w:r>
        <w:t xml:space="preserve">setting up </w:t>
      </w:r>
      <w:r w:rsidR="00AB61B0">
        <w:t xml:space="preserve">its </w:t>
      </w:r>
      <w:r>
        <w:t xml:space="preserve">own </w:t>
      </w:r>
      <w:r w:rsidR="00A7327D">
        <w:t xml:space="preserve">public trial </w:t>
      </w:r>
      <w:r>
        <w:t>website.</w:t>
      </w:r>
    </w:p>
    <w:p w:rsidR="00B951FA" w:rsidP="0073644B" w14:paraId="150F4343" w14:textId="76EA23D8">
      <w:pPr>
        <w:pStyle w:val="ParaNum"/>
      </w:pPr>
      <w:r>
        <w:t>The</w:t>
      </w:r>
      <w:r w:rsidR="004E2252">
        <w:t xml:space="preserve"> public trial </w:t>
      </w:r>
      <w:r w:rsidR="00AB61B0">
        <w:t xml:space="preserve">is intended to </w:t>
      </w:r>
      <w:r w:rsidR="004E2252">
        <w:t>supplement the lab testing</w:t>
      </w:r>
      <w:r>
        <w:t xml:space="preserve"> by providing additional test vectors to the AFC systems.  Incumbent licensees </w:t>
      </w:r>
      <w:r w:rsidR="00AB61B0">
        <w:t xml:space="preserve">can </w:t>
      </w:r>
      <w:r>
        <w:t xml:space="preserve">submit coordinates near their microwave receivers to verify that the AFC systems </w:t>
      </w:r>
      <w:r w:rsidR="003E2932">
        <w:t xml:space="preserve">correctly </w:t>
      </w:r>
      <w:r>
        <w:t>implement</w:t>
      </w:r>
      <w:r w:rsidR="003E2932">
        <w:t>ed</w:t>
      </w:r>
      <w:r>
        <w:t xml:space="preserve"> the propagation models and </w:t>
      </w:r>
      <w:r w:rsidR="003E2932">
        <w:t>are providing appropriate protection.</w:t>
      </w:r>
      <w:r w:rsidR="004E104A">
        <w:t xml:space="preserve">  </w:t>
      </w:r>
    </w:p>
    <w:p w:rsidR="00B87141" w:rsidP="0073644B" w14:paraId="35060390" w14:textId="352F6C66">
      <w:pPr>
        <w:pStyle w:val="ParaNum"/>
      </w:pPr>
      <w:r>
        <w:t xml:space="preserve">In addition to a public trial demonstration project, OET is also considering requiring the AFC system applicants </w:t>
      </w:r>
      <w:r w:rsidR="00BF43BC">
        <w:t xml:space="preserve">to </w:t>
      </w:r>
      <w:r>
        <w:t>conduct an integration test of the AFC system</w:t>
      </w:r>
      <w:r>
        <w:t>s</w:t>
      </w:r>
      <w:r>
        <w:t xml:space="preserve">.  </w:t>
      </w:r>
      <w:r w:rsidR="003E2932">
        <w:t>If required, t</w:t>
      </w:r>
      <w:r>
        <w:t xml:space="preserve">his test would involve deploying  standard-power devices in the field and verifying that they </w:t>
      </w:r>
      <w:r w:rsidR="0045113B">
        <w:t xml:space="preserve">operate under the control of the AFC systems </w:t>
      </w:r>
      <w:r w:rsidR="00BF43BC">
        <w:t xml:space="preserve">on the appropriate </w:t>
      </w:r>
      <w:r w:rsidR="003E2932">
        <w:t xml:space="preserve">channels </w:t>
      </w:r>
      <w:r w:rsidR="00BF43BC">
        <w:t xml:space="preserve">and </w:t>
      </w:r>
      <w:r w:rsidR="00E66660">
        <w:t xml:space="preserve">at the specified </w:t>
      </w:r>
      <w:r w:rsidR="00BF43BC">
        <w:t xml:space="preserve">power levels.  </w:t>
      </w:r>
      <w:r>
        <w:t>For s</w:t>
      </w:r>
      <w:r w:rsidR="0045113B">
        <w:t>uch test</w:t>
      </w:r>
      <w:r w:rsidR="00BF43BC">
        <w:t>ing</w:t>
      </w:r>
      <w:r w:rsidR="0045113B">
        <w:t xml:space="preserve"> </w:t>
      </w:r>
      <w:r>
        <w:t>to occur</w:t>
      </w:r>
      <w:r w:rsidR="0045113B">
        <w:t xml:space="preserve"> standard-power devices </w:t>
      </w:r>
      <w:r>
        <w:t xml:space="preserve">would need to </w:t>
      </w:r>
      <w:r w:rsidR="0045113B">
        <w:t xml:space="preserve">be available, either after </w:t>
      </w:r>
      <w:r w:rsidR="00BF43BC">
        <w:t xml:space="preserve">the devices </w:t>
      </w:r>
      <w:r w:rsidR="003E2932">
        <w:t xml:space="preserve">are </w:t>
      </w:r>
      <w:r w:rsidR="0045113B">
        <w:t>certifi</w:t>
      </w:r>
      <w:r w:rsidR="003E2932">
        <w:t>ed</w:t>
      </w:r>
      <w:r w:rsidR="00BF43BC">
        <w:t xml:space="preserve"> as required by the Commission’s rules or </w:t>
      </w:r>
      <w:r w:rsidR="003E2932">
        <w:t xml:space="preserve">under </w:t>
      </w:r>
      <w:r w:rsidR="00BF43BC">
        <w:t xml:space="preserve">experimental </w:t>
      </w:r>
      <w:r w:rsidR="003E2932">
        <w:t>authority</w:t>
      </w:r>
      <w:r w:rsidR="00BF43BC">
        <w:t xml:space="preserve">.  Because </w:t>
      </w:r>
      <w:r>
        <w:t>the timeframe for device availability i</w:t>
      </w:r>
      <w:r w:rsidR="00E66660">
        <w:t>s</w:t>
      </w:r>
      <w:r>
        <w:t xml:space="preserve"> not currently known, the timing of </w:t>
      </w:r>
      <w:r w:rsidR="004B7AC2">
        <w:t xml:space="preserve">any required </w:t>
      </w:r>
      <w:r>
        <w:t xml:space="preserve">integration testing cannot currently be </w:t>
      </w:r>
      <w:r w:rsidR="0054243E">
        <w:t>determined</w:t>
      </w:r>
      <w:r>
        <w:t>.</w:t>
      </w:r>
      <w:r w:rsidR="008B537D">
        <w:t xml:space="preserve">  However, we expect that </w:t>
      </w:r>
      <w:r w:rsidR="004B7AC2">
        <w:t xml:space="preserve">such </w:t>
      </w:r>
      <w:r w:rsidR="008B537D">
        <w:t>demonstration project</w:t>
      </w:r>
      <w:r w:rsidR="004B7AC2">
        <w:t>s</w:t>
      </w:r>
      <w:r w:rsidR="008B537D">
        <w:t xml:space="preserve"> could be conducted at the same time as the public trial. </w:t>
      </w:r>
    </w:p>
    <w:p w:rsidR="00696429" w:rsidP="0073644B" w14:paraId="228712C8" w14:textId="786848FE">
      <w:pPr>
        <w:pStyle w:val="ParaNum"/>
      </w:pPr>
      <w:r>
        <w:t>One possible model for integration test</w:t>
      </w:r>
      <w:r w:rsidR="004B7AC2">
        <w:t>ing</w:t>
      </w:r>
      <w:r>
        <w:t xml:space="preserve"> </w:t>
      </w:r>
      <w:r w:rsidR="004B7AC2">
        <w:t xml:space="preserve">is </w:t>
      </w:r>
      <w:r>
        <w:t>the Initial Commercial Deployment (ICD) required for the Spectrum Access System</w:t>
      </w:r>
      <w:r w:rsidR="00717E75">
        <w:t>s</w:t>
      </w:r>
      <w:r>
        <w:t xml:space="preserve"> (SAS) that control spectrum access in the CBRS band (</w:t>
      </w:r>
      <w:r w:rsidR="00E264C8">
        <w:t>3550-3700</w:t>
      </w:r>
      <w:r>
        <w:t xml:space="preserve"> MHz).</w:t>
      </w:r>
      <w:r>
        <w:rPr>
          <w:rStyle w:val="FootnoteReference"/>
        </w:rPr>
        <w:footnoteReference w:id="154"/>
      </w:r>
      <w:r w:rsidR="00717E75">
        <w:t xml:space="preserve">  </w:t>
      </w:r>
      <w:r w:rsidR="003B3719">
        <w:t xml:space="preserve">The ICD </w:t>
      </w:r>
      <w:r w:rsidR="007177A3">
        <w:t xml:space="preserve">testing </w:t>
      </w:r>
      <w:r w:rsidR="003B3719">
        <w:t xml:space="preserve">was designed to </w:t>
      </w:r>
      <w:r w:rsidRPr="00312522" w:rsidR="003B3719">
        <w:rPr>
          <w:szCs w:val="22"/>
        </w:rPr>
        <w:t xml:space="preserve">complement </w:t>
      </w:r>
      <w:r w:rsidR="004B7AC2">
        <w:rPr>
          <w:szCs w:val="22"/>
        </w:rPr>
        <w:t xml:space="preserve">SAS </w:t>
      </w:r>
      <w:r w:rsidR="00C6359B">
        <w:rPr>
          <w:szCs w:val="22"/>
        </w:rPr>
        <w:t xml:space="preserve">lab </w:t>
      </w:r>
      <w:r w:rsidRPr="00523991" w:rsidR="003B3719">
        <w:rPr>
          <w:szCs w:val="22"/>
        </w:rPr>
        <w:t>testing</w:t>
      </w:r>
      <w:r w:rsidRPr="00312522" w:rsidR="003B3719">
        <w:rPr>
          <w:szCs w:val="22"/>
        </w:rPr>
        <w:t xml:space="preserve"> </w:t>
      </w:r>
      <w:r w:rsidRPr="005B71E1" w:rsidR="003B3719">
        <w:rPr>
          <w:szCs w:val="22"/>
        </w:rPr>
        <w:t>by providing a real-world environment to assess compliance</w:t>
      </w:r>
      <w:r w:rsidRPr="00312522" w:rsidR="003B3719">
        <w:rPr>
          <w:szCs w:val="22"/>
        </w:rPr>
        <w:t xml:space="preserve"> </w:t>
      </w:r>
      <w:r w:rsidR="003B3719">
        <w:rPr>
          <w:szCs w:val="22"/>
        </w:rPr>
        <w:t xml:space="preserve">with </w:t>
      </w:r>
      <w:r w:rsidR="004B7AC2">
        <w:rPr>
          <w:szCs w:val="22"/>
        </w:rPr>
        <w:t xml:space="preserve">certain of </w:t>
      </w:r>
      <w:r w:rsidR="003B3719">
        <w:rPr>
          <w:szCs w:val="22"/>
        </w:rPr>
        <w:t>the Commission’s rules</w:t>
      </w:r>
      <w:r w:rsidR="00D75167">
        <w:rPr>
          <w:szCs w:val="22"/>
        </w:rPr>
        <w:t xml:space="preserve"> as well as </w:t>
      </w:r>
      <w:r w:rsidR="003B3719">
        <w:t>certain</w:t>
      </w:r>
      <w:r w:rsidR="00D94E54">
        <w:t xml:space="preserve"> features of the SAS such as the </w:t>
      </w:r>
      <w:r w:rsidR="00890980">
        <w:t xml:space="preserve">device </w:t>
      </w:r>
      <w:r w:rsidR="00D94E54">
        <w:t xml:space="preserve">registration process, communication between the SAS and CBRS devices, interoperability between </w:t>
      </w:r>
      <w:r w:rsidR="007177A3">
        <w:t xml:space="preserve">different </w:t>
      </w:r>
      <w:r w:rsidR="00D94E54">
        <w:t>SAS</w:t>
      </w:r>
      <w:r w:rsidR="00D75167">
        <w:t>s</w:t>
      </w:r>
      <w:r w:rsidR="00D94E54">
        <w:t xml:space="preserve">, utilization of information </w:t>
      </w:r>
      <w:r w:rsidR="007177A3">
        <w:t>from</w:t>
      </w:r>
      <w:r w:rsidR="00D94E54">
        <w:t xml:space="preserve"> Commission databases, and </w:t>
      </w:r>
      <w:r w:rsidR="007177A3">
        <w:t xml:space="preserve">implementation of the relevant interference </w:t>
      </w:r>
      <w:r w:rsidR="00D94E54">
        <w:t xml:space="preserve">protection </w:t>
      </w:r>
      <w:r w:rsidR="007177A3">
        <w:t>criteria</w:t>
      </w:r>
      <w:r w:rsidR="00D94E54">
        <w:t>.</w:t>
      </w:r>
      <w:r>
        <w:rPr>
          <w:rStyle w:val="FootnoteReference"/>
        </w:rPr>
        <w:footnoteReference w:id="155"/>
      </w:r>
      <w:r w:rsidR="00D94E54">
        <w:t xml:space="preserve">  Because the ICD plans were created by the individual SAS applicants</w:t>
      </w:r>
      <w:r w:rsidR="007177A3">
        <w:t>,</w:t>
      </w:r>
      <w:r w:rsidR="00D94E54">
        <w:t xml:space="preserve"> </w:t>
      </w:r>
      <w:r w:rsidR="007177A3">
        <w:t>applicants had flexibility</w:t>
      </w:r>
      <w:r w:rsidR="00D94E54">
        <w:t xml:space="preserve"> to </w:t>
      </w:r>
      <w:r w:rsidR="00E946A8">
        <w:t xml:space="preserve">determine </w:t>
      </w:r>
      <w:r w:rsidR="00D94E54">
        <w:t xml:space="preserve">where and when the test were </w:t>
      </w:r>
      <w:r w:rsidR="00D94E54">
        <w:t>conducted</w:t>
      </w:r>
      <w:r w:rsidR="007177A3">
        <w:t>.</w:t>
      </w:r>
      <w:r w:rsidR="00D94E54">
        <w:t xml:space="preserve">  </w:t>
      </w:r>
      <w:r w:rsidR="00E15486">
        <w:t>As</w:t>
      </w:r>
      <w:r w:rsidR="00D94E54">
        <w:t xml:space="preserve"> AFC systems are </w:t>
      </w:r>
      <w:r w:rsidR="00B10126">
        <w:t>less complex</w:t>
      </w:r>
      <w:r w:rsidR="00D94E54">
        <w:t xml:space="preserve"> than the SAS, any </w:t>
      </w:r>
      <w:r w:rsidR="00E946A8">
        <w:t xml:space="preserve">such </w:t>
      </w:r>
      <w:r w:rsidR="00D94E54">
        <w:t>testing</w:t>
      </w:r>
      <w:r w:rsidR="00E946A8">
        <w:t>, if required,</w:t>
      </w:r>
      <w:r w:rsidR="00D94E54">
        <w:t xml:space="preserve"> will be simpler than </w:t>
      </w:r>
      <w:r w:rsidR="00C6359B">
        <w:t xml:space="preserve">the </w:t>
      </w:r>
      <w:r w:rsidR="00D94E54">
        <w:t>ICD</w:t>
      </w:r>
      <w:r w:rsidR="007177A3">
        <w:t xml:space="preserve"> testing</w:t>
      </w:r>
      <w:r w:rsidR="0054243E">
        <w:t>—i.e. the testing will address a smaller set of functions</w:t>
      </w:r>
      <w:r w:rsidR="00D94E54">
        <w:t>.</w:t>
      </w:r>
      <w:r>
        <w:rPr>
          <w:rStyle w:val="FootnoteReference"/>
        </w:rPr>
        <w:footnoteReference w:id="156"/>
      </w:r>
      <w:r w:rsidR="00D94E54">
        <w:t xml:space="preserve">  We </w:t>
      </w:r>
      <w:r w:rsidR="007177A3">
        <w:t>mention</w:t>
      </w:r>
      <w:r w:rsidR="00890980">
        <w:t xml:space="preserve"> the</w:t>
      </w:r>
      <w:r w:rsidR="007177A3">
        <w:t xml:space="preserve"> </w:t>
      </w:r>
      <w:r w:rsidR="00E15486">
        <w:t xml:space="preserve">SAS </w:t>
      </w:r>
      <w:r w:rsidR="007177A3">
        <w:t xml:space="preserve">ICD testing to provide </w:t>
      </w:r>
      <w:r w:rsidR="00890980">
        <w:t xml:space="preserve">an example of </w:t>
      </w:r>
      <w:r w:rsidR="007177A3">
        <w:t xml:space="preserve">one potential model that </w:t>
      </w:r>
      <w:r w:rsidR="00E946A8">
        <w:t xml:space="preserve">any required </w:t>
      </w:r>
      <w:r w:rsidR="007177A3">
        <w:t xml:space="preserve">integration testing </w:t>
      </w:r>
      <w:r w:rsidR="00E946A8">
        <w:t xml:space="preserve">could </w:t>
      </w:r>
      <w:r w:rsidR="007177A3">
        <w:t xml:space="preserve">follow and </w:t>
      </w:r>
      <w:r w:rsidR="00E15486">
        <w:t xml:space="preserve">do not intend to imply that </w:t>
      </w:r>
      <w:r w:rsidR="00463ADA">
        <w:t xml:space="preserve">if we choose to require an integration test for the </w:t>
      </w:r>
      <w:r w:rsidR="00E15486">
        <w:t xml:space="preserve">AFC </w:t>
      </w:r>
      <w:r w:rsidR="00463ADA">
        <w:t xml:space="preserve">systems that </w:t>
      </w:r>
      <w:r w:rsidR="00C1193C">
        <w:t>the testing</w:t>
      </w:r>
      <w:r w:rsidR="00E15486">
        <w:t xml:space="preserve"> will</w:t>
      </w:r>
      <w:r w:rsidR="00890980">
        <w:t xml:space="preserve"> follow</w:t>
      </w:r>
      <w:r w:rsidR="00E15486">
        <w:t xml:space="preserve"> this </w:t>
      </w:r>
      <w:r w:rsidR="0054243E">
        <w:t xml:space="preserve">exact </w:t>
      </w:r>
      <w:r w:rsidR="00E15486">
        <w:t xml:space="preserve">process. </w:t>
      </w:r>
      <w:r w:rsidR="003B3719">
        <w:t xml:space="preserve"> </w:t>
      </w:r>
      <w:r>
        <w:t xml:space="preserve"> </w:t>
      </w:r>
      <w:r w:rsidR="00BF43BC">
        <w:t xml:space="preserve">  </w:t>
      </w:r>
      <w:r w:rsidR="0045113B">
        <w:t xml:space="preserve"> </w:t>
      </w:r>
      <w:r w:rsidR="00041C33">
        <w:t xml:space="preserve"> </w:t>
      </w:r>
      <w:r w:rsidR="004E2252">
        <w:t xml:space="preserve">  </w:t>
      </w:r>
      <w:r w:rsidR="00045416">
        <w:t xml:space="preserve"> </w:t>
      </w:r>
      <w:r w:rsidR="00014F8E">
        <w:t xml:space="preserve">    </w:t>
      </w:r>
      <w:r w:rsidR="004C5630">
        <w:t xml:space="preserve">  </w:t>
      </w:r>
      <w:r w:rsidR="004B6517">
        <w:t xml:space="preserve"> </w:t>
      </w:r>
      <w:r w:rsidR="0082352B">
        <w:t xml:space="preserve">  </w:t>
      </w:r>
      <w:r w:rsidR="00277B1B">
        <w:t xml:space="preserve">  </w:t>
      </w:r>
      <w:r w:rsidR="006726B9">
        <w:t xml:space="preserve"> </w:t>
      </w:r>
      <w:r w:rsidR="0036595B">
        <w:t xml:space="preserve">  </w:t>
      </w:r>
    </w:p>
    <w:p w:rsidR="001B5C2D" w:rsidP="001B5C2D" w14:paraId="64BEFF2E" w14:textId="0B8EF73A">
      <w:pPr>
        <w:pStyle w:val="ParaNum"/>
      </w:pPr>
      <w:r w:rsidRPr="00C073CA">
        <w:rPr>
          <w:i/>
          <w:iCs/>
        </w:rPr>
        <w:t>Further Information</w:t>
      </w:r>
      <w:r>
        <w:t xml:space="preserve">. Questions regarding this Public Notice may be directed to Nicholas Oros, Office of Engineering and Technology, at (202) 418-0636 or </w:t>
      </w:r>
      <w:hyperlink r:id="rId5" w:history="1">
        <w:r w:rsidRPr="00187B4D">
          <w:rPr>
            <w:rStyle w:val="Hyperlink"/>
          </w:rPr>
          <w:t>Nicholas.Oros@fcc.gov</w:t>
        </w:r>
      </w:hyperlink>
      <w:r>
        <w:t>.</w:t>
      </w:r>
    </w:p>
    <w:p w:rsidR="001B5C2D" w:rsidP="001B5C2D" w14:paraId="06AF16EF" w14:textId="060F7E68">
      <w:pPr>
        <w:pStyle w:val="ParaNum"/>
        <w:numPr>
          <w:ilvl w:val="0"/>
          <w:numId w:val="0"/>
        </w:numPr>
        <w:ind w:firstLine="720"/>
      </w:pPr>
    </w:p>
    <w:p w:rsidR="001B5C2D" w:rsidP="00461CD7" w14:paraId="1B711C5F" w14:textId="4DD7774F">
      <w:pPr>
        <w:pStyle w:val="ParaNum"/>
        <w:numPr>
          <w:ilvl w:val="0"/>
          <w:numId w:val="0"/>
        </w:numPr>
      </w:pPr>
    </w:p>
    <w:p w:rsidR="001B5C2D" w:rsidRPr="007A32A9" w:rsidP="007A32A9" w14:paraId="0FBE8C06" w14:textId="156A2FA4">
      <w:pPr>
        <w:pStyle w:val="ParaNum"/>
        <w:numPr>
          <w:ilvl w:val="0"/>
          <w:numId w:val="0"/>
        </w:numPr>
        <w:ind w:left="3600" w:firstLine="720"/>
        <w:rPr>
          <w:b/>
          <w:bCs/>
        </w:rPr>
      </w:pPr>
      <w:r w:rsidRPr="007A32A9">
        <w:rPr>
          <w:b/>
          <w:bCs/>
        </w:rPr>
        <w:t>-</w:t>
      </w:r>
      <w:r w:rsidRPr="007A32A9">
        <w:rPr>
          <w:b/>
          <w:bCs/>
        </w:rPr>
        <w:t>FCC-</w:t>
      </w:r>
    </w:p>
    <w:bookmarkEnd w:id="0"/>
    <w:p w:rsidR="007F379C" w:rsidP="00D5069F" w14:paraId="2E078A88" w14:textId="02B03463">
      <w:pPr>
        <w:pStyle w:val="ParaNum"/>
        <w:numPr>
          <w:ilvl w:val="0"/>
          <w:numId w:val="0"/>
        </w:numPr>
        <w:ind w:left="720"/>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20EC9A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D43E6" w14:paraId="2FFEF1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0C2E19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4C39C3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1CB9" w14:paraId="2180B2EA" w14:textId="77777777">
      <w:r>
        <w:separator/>
      </w:r>
    </w:p>
  </w:footnote>
  <w:footnote w:type="continuationSeparator" w:id="1">
    <w:p w:rsidR="003A1CB9" w14:paraId="32383A85" w14:textId="77777777">
      <w:pPr>
        <w:rPr>
          <w:sz w:val="20"/>
        </w:rPr>
      </w:pPr>
      <w:r>
        <w:rPr>
          <w:sz w:val="20"/>
        </w:rPr>
        <w:t xml:space="preserve">(Continued from previous page)  </w:t>
      </w:r>
      <w:r>
        <w:rPr>
          <w:sz w:val="20"/>
        </w:rPr>
        <w:separator/>
      </w:r>
    </w:p>
  </w:footnote>
  <w:footnote w:type="continuationNotice" w:id="2">
    <w:p w:rsidR="003A1CB9" w14:paraId="0B919779" w14:textId="77777777">
      <w:pPr>
        <w:jc w:val="right"/>
        <w:rPr>
          <w:sz w:val="20"/>
        </w:rPr>
      </w:pPr>
      <w:r>
        <w:rPr>
          <w:sz w:val="20"/>
        </w:rPr>
        <w:t>(continued….)</w:t>
      </w:r>
    </w:p>
  </w:footnote>
  <w:footnote w:id="3">
    <w:p w:rsidR="001D07E7" w14:paraId="3CBC5E77" w14:textId="063350FE">
      <w:pPr>
        <w:pStyle w:val="FootnoteText"/>
      </w:pPr>
      <w:r>
        <w:rPr>
          <w:rStyle w:val="FootnoteReference"/>
        </w:rPr>
        <w:footnoteRef/>
      </w:r>
      <w:r>
        <w:t xml:space="preserve"> </w:t>
      </w:r>
      <w:r w:rsidRPr="00D0545A">
        <w:rPr>
          <w:i/>
          <w:spacing w:val="-2"/>
        </w:rPr>
        <w:t>Unlicensed Use of the 6 GHz Band</w:t>
      </w:r>
      <w:r w:rsidRPr="00D0545A">
        <w:rPr>
          <w:spacing w:val="-2"/>
        </w:rPr>
        <w:t xml:space="preserve">, </w:t>
      </w:r>
      <w:r>
        <w:rPr>
          <w:spacing w:val="-2"/>
        </w:rPr>
        <w:t xml:space="preserve">ET Docket No. 18-295, </w:t>
      </w:r>
      <w:r w:rsidRPr="00D0545A">
        <w:rPr>
          <w:spacing w:val="-2"/>
        </w:rPr>
        <w:t xml:space="preserve">Report and Order and Further Notice of Proposed Rulemaking, 35 FCC </w:t>
      </w:r>
      <w:r w:rsidRPr="00D0545A">
        <w:rPr>
          <w:spacing w:val="-2"/>
        </w:rPr>
        <w:t>Rcd</w:t>
      </w:r>
      <w:r w:rsidRPr="00D0545A">
        <w:rPr>
          <w:spacing w:val="-2"/>
        </w:rPr>
        <w:t xml:space="preserve"> 3852 (2020) (</w:t>
      </w:r>
      <w:r w:rsidRPr="00D0545A">
        <w:rPr>
          <w:i/>
          <w:iCs/>
          <w:spacing w:val="-2"/>
        </w:rPr>
        <w:t>6 GHz R</w:t>
      </w:r>
      <w:r>
        <w:rPr>
          <w:i/>
          <w:iCs/>
          <w:spacing w:val="-2"/>
        </w:rPr>
        <w:t>eport and Order</w:t>
      </w:r>
      <w:r w:rsidRPr="00D0545A">
        <w:rPr>
          <w:spacing w:val="-2"/>
        </w:rPr>
        <w:t>)</w:t>
      </w:r>
      <w:r>
        <w:rPr>
          <w:spacing w:val="-2"/>
        </w:rPr>
        <w:t>.</w:t>
      </w:r>
    </w:p>
  </w:footnote>
  <w:footnote w:id="4">
    <w:p w:rsidR="00F11827" w:rsidP="00F11827" w14:paraId="2FE77BF2" w14:textId="77777777">
      <w:pPr>
        <w:pStyle w:val="FootnoteText"/>
      </w:pPr>
      <w:r>
        <w:rPr>
          <w:rStyle w:val="FootnoteReference"/>
        </w:rPr>
        <w:footnoteRef/>
      </w:r>
      <w:r>
        <w:t xml:space="preserve"> </w:t>
      </w:r>
      <w:r w:rsidRPr="00A71E55">
        <w:rPr>
          <w:i/>
          <w:iCs/>
        </w:rPr>
        <w:t>Id</w:t>
      </w:r>
      <w:r>
        <w:t>. at 3860, paras. 17-18.</w:t>
      </w:r>
    </w:p>
  </w:footnote>
  <w:footnote w:id="5">
    <w:p w:rsidR="00A71E55" w14:paraId="20B5E9F4" w14:textId="399A8E3B">
      <w:pPr>
        <w:pStyle w:val="FootnoteText"/>
      </w:pPr>
      <w:r>
        <w:rPr>
          <w:rStyle w:val="FootnoteReference"/>
        </w:rPr>
        <w:footnoteRef/>
      </w:r>
      <w:r>
        <w:t xml:space="preserve"> </w:t>
      </w:r>
      <w:r w:rsidR="00BE254A">
        <w:t xml:space="preserve">47 CFR § 15.407(k)(1); </w:t>
      </w:r>
      <w:r w:rsidR="00BE254A">
        <w:rPr>
          <w:i/>
          <w:iCs/>
        </w:rPr>
        <w:t>6 GHz Report and Order</w:t>
      </w:r>
      <w:r w:rsidR="00BE254A">
        <w:t xml:space="preserve">, 35 FCC </w:t>
      </w:r>
      <w:r w:rsidR="00BE254A">
        <w:t>Rcd</w:t>
      </w:r>
      <w:r>
        <w:t xml:space="preserve"> at 3860, </w:t>
      </w:r>
      <w:r w:rsidR="00F11827">
        <w:t xml:space="preserve">3862, 3923, </w:t>
      </w:r>
      <w:r>
        <w:t>paras. 17-18</w:t>
      </w:r>
      <w:r w:rsidR="00EB5DD1">
        <w:t>, 22, 192</w:t>
      </w:r>
      <w:r>
        <w:t>.</w:t>
      </w:r>
      <w:r w:rsidR="00EB5DD1">
        <w:t xml:space="preserve">  Only standard-power and fixed-client 6 GHz unlicensed devices are required to operate pursuant to an AFC system.  47 CFR § 15.407(k)(1).  Standard-power devices may operate outdoors and/or above the low-power indoor device power limits.  </w:t>
      </w:r>
      <w:r w:rsidRPr="00BE254A" w:rsidR="00BE254A">
        <w:rPr>
          <w:i/>
          <w:iCs/>
        </w:rPr>
        <w:t>Id.</w:t>
      </w:r>
      <w:r w:rsidR="00BE254A">
        <w:t xml:space="preserve"> § 15.407(a)(4).  A f</w:t>
      </w:r>
      <w:r w:rsidR="00EB5DD1">
        <w:t>ixed client device</w:t>
      </w:r>
      <w:r w:rsidR="00BE254A">
        <w:t xml:space="preserve"> is</w:t>
      </w:r>
      <w:r w:rsidR="00EB5DD1">
        <w:t xml:space="preserve"> </w:t>
      </w:r>
      <w:r w:rsidR="00BE254A">
        <w:t>“</w:t>
      </w:r>
      <w:r w:rsidRPr="004603AC" w:rsidR="00EB5DD1">
        <w:t>intended as customer premise equipment that is permanently attached to a structure, operates only on channels provided by an AFC, has a geolocation capability, and complies with antenna pointing angle requirements.</w:t>
      </w:r>
      <w:r w:rsidR="00BE254A">
        <w:t>”</w:t>
      </w:r>
      <w:r w:rsidR="00EB5DD1">
        <w:t xml:space="preserve">  47 CFR § 15.403.</w:t>
      </w:r>
      <w:r w:rsidRPr="00F11827" w:rsidR="00F11827">
        <w:rPr>
          <w:i/>
          <w:iCs/>
        </w:rPr>
        <w:t xml:space="preserve"> </w:t>
      </w:r>
    </w:p>
  </w:footnote>
  <w:footnote w:id="6">
    <w:p w:rsidR="00A71E55" w14:paraId="7998AAE7" w14:textId="72DE098C">
      <w:pPr>
        <w:pStyle w:val="FootnoteText"/>
      </w:pPr>
      <w:r>
        <w:rPr>
          <w:rStyle w:val="FootnoteReference"/>
        </w:rPr>
        <w:footnoteRef/>
      </w:r>
      <w:r>
        <w:t xml:space="preserve"> </w:t>
      </w:r>
      <w:r w:rsidR="000B24E5">
        <w:rPr>
          <w:i/>
          <w:iCs/>
        </w:rPr>
        <w:t>6 GHz Report and Order</w:t>
      </w:r>
      <w:r w:rsidR="000B24E5">
        <w:t xml:space="preserve">, 35 FCC </w:t>
      </w:r>
      <w:r w:rsidR="000B24E5">
        <w:t>Rcd</w:t>
      </w:r>
      <w:r w:rsidR="000B24E5">
        <w:t xml:space="preserve"> </w:t>
      </w:r>
      <w:r>
        <w:t>at 3855, para. 7.</w:t>
      </w:r>
    </w:p>
  </w:footnote>
  <w:footnote w:id="7">
    <w:p w:rsidR="00A71E55" w14:paraId="602E70DA" w14:textId="74EFC4BB">
      <w:pPr>
        <w:pStyle w:val="FootnoteText"/>
      </w:pPr>
      <w:r>
        <w:rPr>
          <w:rStyle w:val="FootnoteReference"/>
        </w:rPr>
        <w:footnoteRef/>
      </w:r>
      <w:r>
        <w:t xml:space="preserve"> </w:t>
      </w:r>
      <w:r w:rsidRPr="00A71E55">
        <w:rPr>
          <w:i/>
          <w:iCs/>
        </w:rPr>
        <w:t>Id</w:t>
      </w:r>
      <w:r>
        <w:t>. at 3884, para. 87.</w:t>
      </w:r>
    </w:p>
  </w:footnote>
  <w:footnote w:id="8">
    <w:p w:rsidR="000B24E5" w:rsidP="000B24E5" w14:paraId="7838E935" w14:textId="1D56D07A">
      <w:pPr>
        <w:pStyle w:val="FootnoteText"/>
      </w:pPr>
      <w:r>
        <w:rPr>
          <w:rStyle w:val="FootnoteReference"/>
        </w:rPr>
        <w:footnoteRef/>
      </w:r>
      <w:r>
        <w:t xml:space="preserve"> </w:t>
      </w:r>
      <w:r w:rsidR="00E7427A">
        <w:t>47 CFR § 15.407(</w:t>
      </w:r>
      <w:r w:rsidRPr="00E7427A" w:rsidR="00E7427A">
        <w:rPr>
          <w:i/>
          <w:iCs/>
        </w:rPr>
        <w:t>l</w:t>
      </w:r>
      <w:r w:rsidR="00E7427A">
        <w:t xml:space="preserve">), (m); </w:t>
      </w:r>
      <w:r w:rsidR="00E7427A">
        <w:rPr>
          <w:i/>
          <w:iCs/>
        </w:rPr>
        <w:t>6 GHz Report and Order</w:t>
      </w:r>
      <w:r w:rsidR="00E7427A">
        <w:t xml:space="preserve">, 35 FCC </w:t>
      </w:r>
      <w:r w:rsidR="00E7427A">
        <w:t>Rcd</w:t>
      </w:r>
      <w:r>
        <w:t xml:space="preserve"> at 3862, para. 22.</w:t>
      </w:r>
    </w:p>
  </w:footnote>
  <w:footnote w:id="9">
    <w:p w:rsidR="002A6DE1" w14:paraId="7B1796E4" w14:textId="514829BD">
      <w:pPr>
        <w:pStyle w:val="FootnoteText"/>
      </w:pPr>
      <w:r>
        <w:rPr>
          <w:rStyle w:val="FootnoteReference"/>
        </w:rPr>
        <w:footnoteRef/>
      </w:r>
      <w:r>
        <w:t xml:space="preserve"> </w:t>
      </w:r>
      <w:r w:rsidRPr="00B46673" w:rsidR="00B46673">
        <w:rPr>
          <w:i/>
          <w:iCs/>
        </w:rPr>
        <w:t xml:space="preserve"> </w:t>
      </w:r>
      <w:r w:rsidR="00B46673">
        <w:rPr>
          <w:i/>
          <w:iCs/>
        </w:rPr>
        <w:t>6 GHz Report and Order</w:t>
      </w:r>
      <w:r w:rsidR="00B46673">
        <w:t xml:space="preserve">, 35 FCC </w:t>
      </w:r>
      <w:r w:rsidR="00B46673">
        <w:t>Rcd</w:t>
      </w:r>
      <w:r>
        <w:t xml:space="preserve"> at 3870-71, para. 49.</w:t>
      </w:r>
    </w:p>
  </w:footnote>
  <w:footnote w:id="10">
    <w:p w:rsidR="00A23839" w:rsidP="00A23839" w14:paraId="638C670F" w14:textId="58760BBB">
      <w:pPr>
        <w:pStyle w:val="FootnoteText"/>
      </w:pPr>
      <w:r>
        <w:rPr>
          <w:rStyle w:val="FootnoteReference"/>
        </w:rPr>
        <w:footnoteRef/>
      </w:r>
      <w:r w:rsidRPr="00B46673">
        <w:rPr>
          <w:i/>
          <w:iCs/>
        </w:rPr>
        <w:t xml:space="preserve"> </w:t>
      </w:r>
      <w:r>
        <w:rPr>
          <w:i/>
          <w:iCs/>
        </w:rPr>
        <w:t>Id.</w:t>
      </w:r>
    </w:p>
  </w:footnote>
  <w:footnote w:id="11">
    <w:p w:rsidR="00A23839" w:rsidP="00A23839" w14:paraId="424C97C1" w14:textId="43ACD721">
      <w:pPr>
        <w:pStyle w:val="FootnoteText"/>
      </w:pPr>
      <w:r>
        <w:rPr>
          <w:rStyle w:val="FootnoteReference"/>
        </w:rPr>
        <w:footnoteRef/>
      </w:r>
      <w:r w:rsidRPr="00B46673">
        <w:rPr>
          <w:i/>
          <w:iCs/>
        </w:rPr>
        <w:t xml:space="preserve"> </w:t>
      </w:r>
      <w:r w:rsidR="00B77CF2">
        <w:rPr>
          <w:i/>
          <w:iCs/>
        </w:rPr>
        <w:t>Id.</w:t>
      </w:r>
      <w:r w:rsidR="00B77CF2">
        <w:t xml:space="preserve"> </w:t>
      </w:r>
      <w:r>
        <w:t>at 3871, para. 49.</w:t>
      </w:r>
    </w:p>
  </w:footnote>
  <w:footnote w:id="12">
    <w:p w:rsidR="00B77CF2" w:rsidP="00B77CF2" w14:paraId="5B5D70A9" w14:textId="58C5F0CB">
      <w:pPr>
        <w:pStyle w:val="FootnoteText"/>
      </w:pPr>
      <w:r>
        <w:rPr>
          <w:rStyle w:val="FootnoteReference"/>
        </w:rPr>
        <w:footnoteRef/>
      </w:r>
      <w:r w:rsidRPr="00B46673">
        <w:rPr>
          <w:i/>
          <w:iCs/>
        </w:rPr>
        <w:t xml:space="preserve"> </w:t>
      </w:r>
      <w:r>
        <w:rPr>
          <w:i/>
          <w:iCs/>
        </w:rPr>
        <w:t>Id.</w:t>
      </w:r>
    </w:p>
  </w:footnote>
  <w:footnote w:id="13">
    <w:p w:rsidR="00B77CF2" w:rsidP="00B77CF2" w14:paraId="74C403F0" w14:textId="3CB3737D">
      <w:pPr>
        <w:pStyle w:val="FootnoteText"/>
      </w:pPr>
      <w:r>
        <w:rPr>
          <w:rStyle w:val="FootnoteReference"/>
        </w:rPr>
        <w:footnoteRef/>
      </w:r>
      <w:r w:rsidRPr="00B46673">
        <w:rPr>
          <w:i/>
          <w:iCs/>
        </w:rPr>
        <w:t xml:space="preserve"> </w:t>
      </w:r>
      <w:r>
        <w:rPr>
          <w:i/>
          <w:iCs/>
        </w:rPr>
        <w:t>Id.</w:t>
      </w:r>
    </w:p>
  </w:footnote>
  <w:footnote w:id="14">
    <w:p w:rsidR="00C9344E" w14:paraId="2574B3FB" w14:textId="4B6250C9">
      <w:pPr>
        <w:pStyle w:val="FootnoteText"/>
      </w:pPr>
      <w:r>
        <w:rPr>
          <w:rStyle w:val="FootnoteReference"/>
        </w:rPr>
        <w:footnoteRef/>
      </w:r>
      <w:r>
        <w:t xml:space="preserve"> </w:t>
      </w:r>
      <w:r w:rsidRPr="001E7250" w:rsidR="001E7250">
        <w:rPr>
          <w:i/>
          <w:iCs/>
        </w:rPr>
        <w:t xml:space="preserve">The Commission Begins the Process for Authorizing </w:t>
      </w:r>
      <w:r w:rsidR="00B86068">
        <w:rPr>
          <w:i/>
          <w:iCs/>
        </w:rPr>
        <w:t xml:space="preserve">6 GHz Band </w:t>
      </w:r>
      <w:r w:rsidRPr="001E7250" w:rsidR="001E7250">
        <w:rPr>
          <w:i/>
          <w:iCs/>
        </w:rPr>
        <w:t>Automated Frequency Coordination Systems</w:t>
      </w:r>
      <w:r w:rsidR="001E7250">
        <w:t xml:space="preserve">, ET Docket No. 21-352, </w:t>
      </w:r>
      <w:r w:rsidR="00B86068">
        <w:t xml:space="preserve">Public Notice, </w:t>
      </w:r>
      <w:r w:rsidR="00FD5F15">
        <w:t xml:space="preserve">FCC 21-100, </w:t>
      </w:r>
      <w:r w:rsidR="001E7250">
        <w:t>2021 WL 4500447</w:t>
      </w:r>
      <w:r w:rsidR="00B86068">
        <w:t xml:space="preserve">, at *1, *3, </w:t>
      </w:r>
      <w:r w:rsidR="00C50060">
        <w:t>*</w:t>
      </w:r>
      <w:r w:rsidR="00B86068">
        <w:t>4, paras. 2, 7, 10</w:t>
      </w:r>
      <w:r w:rsidR="001E7250">
        <w:t xml:space="preserve"> (Sept. 28, 2021).</w:t>
      </w:r>
    </w:p>
  </w:footnote>
  <w:footnote w:id="15">
    <w:p w:rsidR="00E25CEF" w14:paraId="42135242" w14:textId="00974DA3">
      <w:pPr>
        <w:pStyle w:val="FootnoteText"/>
      </w:pPr>
      <w:r>
        <w:rPr>
          <w:rStyle w:val="FootnoteReference"/>
        </w:rPr>
        <w:footnoteRef/>
      </w:r>
      <w:r>
        <w:t xml:space="preserve"> </w:t>
      </w:r>
      <w:r w:rsidR="00186A85">
        <w:t>See the 14 applications to operate AFC systems filed in ET Docket No. 21-352 between October 28, 2021</w:t>
      </w:r>
      <w:r w:rsidR="00B86068">
        <w:t>,</w:t>
      </w:r>
      <w:r w:rsidR="00186A85">
        <w:t xml:space="preserve"> and November 11, 2021.</w:t>
      </w:r>
    </w:p>
  </w:footnote>
  <w:footnote w:id="16">
    <w:p w:rsidR="009D01D6" w14:paraId="7B0C3467" w14:textId="12AE40A9">
      <w:pPr>
        <w:pStyle w:val="FootnoteText"/>
      </w:pPr>
      <w:r>
        <w:rPr>
          <w:rStyle w:val="FootnoteReference"/>
        </w:rPr>
        <w:footnoteRef/>
      </w:r>
      <w:r>
        <w:t xml:space="preserve"> </w:t>
      </w:r>
      <w:r w:rsidR="00820C43">
        <w:t xml:space="preserve">APCO International; </w:t>
      </w:r>
      <w:r w:rsidR="00E66ACB">
        <w:t>the Utilities Te</w:t>
      </w:r>
      <w:r w:rsidR="0075575A">
        <w:t xml:space="preserve">chnology Council and </w:t>
      </w:r>
      <w:r w:rsidR="00820C43">
        <w:t>Edison Electric Institute; Wi-Fi Alliance; Dynamic Spectrum Alliance; Verizon; AT&amp;T Services; Apple, Broadcom et al.; and the Fixed Wireless Communications Coalition</w:t>
      </w:r>
      <w:r w:rsidR="001245C6">
        <w:t xml:space="preserve"> (FWCC)</w:t>
      </w:r>
      <w:r w:rsidR="00820C43">
        <w:t xml:space="preserve"> </w:t>
      </w:r>
      <w:r w:rsidR="00EA0467">
        <w:t xml:space="preserve">filed comments </w:t>
      </w:r>
      <w:r>
        <w:t>in ET Docket No. 21-352 on December 21, 2021</w:t>
      </w:r>
      <w:r w:rsidR="00820C43">
        <w:t>.</w:t>
      </w:r>
    </w:p>
  </w:footnote>
  <w:footnote w:id="17">
    <w:p w:rsidR="003E19B0" w14:paraId="680149A2" w14:textId="4DC031B0">
      <w:pPr>
        <w:pStyle w:val="FootnoteText"/>
      </w:pPr>
      <w:r>
        <w:rPr>
          <w:rStyle w:val="FootnoteReference"/>
        </w:rPr>
        <w:footnoteRef/>
      </w:r>
      <w:r>
        <w:t xml:space="preserve"> </w:t>
      </w:r>
      <w:r>
        <w:t xml:space="preserve">See the </w:t>
      </w:r>
      <w:r w:rsidRPr="003E19B0">
        <w:rPr>
          <w:i/>
          <w:iCs/>
        </w:rPr>
        <w:t xml:space="preserve">ex </w:t>
      </w:r>
      <w:r w:rsidRPr="003E19B0">
        <w:rPr>
          <w:i/>
          <w:iCs/>
        </w:rPr>
        <w:t>parte</w:t>
      </w:r>
      <w:r>
        <w:t xml:space="preserve"> notices of the 14 </w:t>
      </w:r>
      <w:r w:rsidR="0020772D">
        <w:t xml:space="preserve">AFC system </w:t>
      </w:r>
      <w:r>
        <w:t>applicants in ET Docket No. 21-352 filed between January 28, 2022</w:t>
      </w:r>
      <w:r w:rsidR="00364B92">
        <w:t>,</w:t>
      </w:r>
      <w:r>
        <w:t xml:space="preserve"> and </w:t>
      </w:r>
      <w:r w:rsidR="00795E9B">
        <w:t>February 16, 2022.</w:t>
      </w:r>
    </w:p>
  </w:footnote>
  <w:footnote w:id="18">
    <w:p w:rsidR="003E19B0" w14:paraId="1B86918B" w14:textId="374F19D4">
      <w:pPr>
        <w:pStyle w:val="FootnoteText"/>
      </w:pPr>
      <w:r>
        <w:rPr>
          <w:rStyle w:val="FootnoteReference"/>
        </w:rPr>
        <w:footnoteRef/>
      </w:r>
      <w:r>
        <w:t xml:space="preserve"> </w:t>
      </w:r>
      <w:r>
        <w:t xml:space="preserve">See </w:t>
      </w:r>
      <w:r w:rsidR="006357BC">
        <w:t xml:space="preserve">the </w:t>
      </w:r>
      <w:r>
        <w:t>supplemental filings of the 1</w:t>
      </w:r>
      <w:r w:rsidR="006357BC">
        <w:t>2</w:t>
      </w:r>
      <w:r>
        <w:t xml:space="preserve"> applicants in ET Docket No. 21-352 between February 2, 2022 and </w:t>
      </w:r>
      <w:r w:rsidR="00576364">
        <w:t>April 14</w:t>
      </w:r>
      <w:r>
        <w:t xml:space="preserve">, 2022.  </w:t>
      </w:r>
      <w:r w:rsidR="008C66FA">
        <w:t>Amdocs</w:t>
      </w:r>
      <w:r w:rsidR="00BD628E">
        <w:t xml:space="preserve"> March 25, 2022 </w:t>
      </w:r>
      <w:r w:rsidRPr="00264AF6" w:rsidR="00BD628E">
        <w:rPr>
          <w:i/>
          <w:iCs/>
        </w:rPr>
        <w:t xml:space="preserve">Ex </w:t>
      </w:r>
      <w:r w:rsidRPr="00264AF6" w:rsidR="00BD628E">
        <w:rPr>
          <w:i/>
          <w:iCs/>
        </w:rPr>
        <w:t>Parte</w:t>
      </w:r>
      <w:r w:rsidR="00364B92">
        <w:t xml:space="preserve"> at 1</w:t>
      </w:r>
      <w:r w:rsidR="00264AF6">
        <w:t>.</w:t>
      </w:r>
    </w:p>
  </w:footnote>
  <w:footnote w:id="19">
    <w:p w:rsidR="000C3226" w:rsidRPr="004C2ED1" w:rsidP="000C3226" w14:paraId="78F78600" w14:textId="7C1E7487">
      <w:pPr>
        <w:pStyle w:val="FootnoteText"/>
      </w:pPr>
      <w:r w:rsidRPr="004C2ED1">
        <w:rPr>
          <w:rStyle w:val="FootnoteReference"/>
        </w:rPr>
        <w:footnoteRef/>
      </w:r>
      <w:r w:rsidRPr="004C2ED1">
        <w:t xml:space="preserve"> </w:t>
      </w:r>
      <w:bookmarkStart w:id="2" w:name="_Hlk100152891"/>
      <w:r w:rsidRPr="004C2ED1">
        <w:t>47 CFR § 0.241(</w:t>
      </w:r>
      <w:r w:rsidR="00971AEC">
        <w:t>k</w:t>
      </w:r>
      <w:r w:rsidRPr="004C2ED1">
        <w:t>)</w:t>
      </w:r>
      <w:bookmarkEnd w:id="2"/>
      <w:r w:rsidRPr="004C2ED1">
        <w:t>.</w:t>
      </w:r>
    </w:p>
  </w:footnote>
  <w:footnote w:id="20">
    <w:p w:rsidR="000C3226" w:rsidRPr="004C2ED1" w:rsidP="000C3226" w14:paraId="4ADCA30A" w14:textId="6DD16C72">
      <w:pPr>
        <w:pStyle w:val="FootnoteText"/>
      </w:pPr>
      <w:r w:rsidRPr="004C2ED1">
        <w:rPr>
          <w:rStyle w:val="FootnoteReference"/>
        </w:rPr>
        <w:footnoteRef/>
      </w:r>
      <w:r w:rsidRPr="004C2ED1">
        <w:t xml:space="preserve"> </w:t>
      </w:r>
      <w:r w:rsidRPr="004C2ED1">
        <w:t xml:space="preserve">Each </w:t>
      </w:r>
      <w:r>
        <w:t xml:space="preserve">conditionally approved </w:t>
      </w:r>
      <w:r w:rsidR="0086429D">
        <w:t>AFC system operator</w:t>
      </w:r>
      <w:r>
        <w:t xml:space="preserve"> states that it </w:t>
      </w:r>
      <w:r w:rsidRPr="004C2ED1">
        <w:t xml:space="preserve">relies on </w:t>
      </w:r>
      <w:r w:rsidRPr="00793128">
        <w:t xml:space="preserve">current </w:t>
      </w:r>
      <w:r w:rsidRPr="004C2ED1">
        <w:t xml:space="preserve">or future </w:t>
      </w:r>
      <w:r w:rsidR="0086429D">
        <w:t xml:space="preserve">Wi-Fi Alliance and </w:t>
      </w:r>
      <w:r w:rsidR="0086429D">
        <w:t>Win</w:t>
      </w:r>
      <w:r w:rsidR="00853B91">
        <w:t>n</w:t>
      </w:r>
      <w:r w:rsidR="0086429D">
        <w:t>Forum</w:t>
      </w:r>
      <w:r w:rsidRPr="004C2ED1">
        <w:t xml:space="preserve"> s</w:t>
      </w:r>
      <w:r w:rsidR="00853B91">
        <w:t>pecifications</w:t>
      </w:r>
      <w:r w:rsidRPr="004C2ED1">
        <w:t xml:space="preserve"> as part of </w:t>
      </w:r>
      <w:r w:rsidR="00853B91">
        <w:t>their</w:t>
      </w:r>
      <w:r w:rsidRPr="004C2ED1">
        <w:t xml:space="preserve"> proposal</w:t>
      </w:r>
      <w:r w:rsidR="00853B91">
        <w:t>s</w:t>
      </w:r>
      <w:r>
        <w:t>.  T</w:t>
      </w:r>
      <w:r w:rsidRPr="004C2ED1">
        <w:t xml:space="preserve">o the extent that </w:t>
      </w:r>
      <w:r w:rsidR="0086429D">
        <w:t xml:space="preserve">any AFC </w:t>
      </w:r>
      <w:r w:rsidR="00B27D49">
        <w:t xml:space="preserve">system </w:t>
      </w:r>
      <w:r w:rsidR="0086429D">
        <w:t>operators</w:t>
      </w:r>
      <w:r w:rsidRPr="004C2ED1">
        <w:t xml:space="preserve"> </w:t>
      </w:r>
      <w:r w:rsidR="00B27D49">
        <w:t xml:space="preserve">modify their </w:t>
      </w:r>
      <w:r w:rsidR="001B5022">
        <w:t xml:space="preserve">AFC </w:t>
      </w:r>
      <w:r w:rsidR="00B27D49">
        <w:t>systems to reflect</w:t>
      </w:r>
      <w:r w:rsidRPr="004C2ED1">
        <w:t xml:space="preserve"> </w:t>
      </w:r>
      <w:r>
        <w:t>any revisions to existing</w:t>
      </w:r>
      <w:r w:rsidRPr="004C2ED1">
        <w:t xml:space="preserve"> </w:t>
      </w:r>
      <w:r w:rsidR="0086429D">
        <w:t xml:space="preserve">Wi-Fi Alliance or </w:t>
      </w:r>
      <w:r w:rsidRPr="004C2ED1">
        <w:t>WinnForum</w:t>
      </w:r>
      <w:r w:rsidRPr="004C2ED1">
        <w:t xml:space="preserve"> standard</w:t>
      </w:r>
      <w:r>
        <w:t>s</w:t>
      </w:r>
      <w:r w:rsidRPr="004C2ED1">
        <w:t xml:space="preserve">, such </w:t>
      </w:r>
      <w:r w:rsidR="001B5022">
        <w:t>modifications</w:t>
      </w:r>
      <w:r>
        <w:t xml:space="preserve"> must also</w:t>
      </w:r>
      <w:r w:rsidRPr="004C2ED1">
        <w:t xml:space="preserve"> </w:t>
      </w:r>
      <w:r>
        <w:t xml:space="preserve">be consistent </w:t>
      </w:r>
      <w:r w:rsidRPr="004C2ED1">
        <w:t xml:space="preserve">with Commission rules. </w:t>
      </w:r>
    </w:p>
  </w:footnote>
  <w:footnote w:id="21">
    <w:p w:rsidR="008160A2" w:rsidRPr="00814D18" w:rsidP="008160A2" w14:paraId="4F8B6678" w14:textId="223494D9">
      <w:pPr>
        <w:pStyle w:val="FootnoteText"/>
      </w:pPr>
      <w:r>
        <w:rPr>
          <w:rStyle w:val="FootnoteReference"/>
        </w:rPr>
        <w:footnoteRef/>
      </w:r>
      <w:r>
        <w:t xml:space="preserve"> </w:t>
      </w:r>
      <w:r>
        <w:rPr>
          <w:i/>
          <w:iCs/>
        </w:rPr>
        <w:t xml:space="preserve">See </w:t>
      </w:r>
      <w:r>
        <w:t xml:space="preserve">47 CFR § 15.407(k)(15)(vi); </w:t>
      </w:r>
      <w:r>
        <w:rPr>
          <w:i/>
          <w:iCs/>
        </w:rPr>
        <w:t>6 GHz Report and Order</w:t>
      </w:r>
      <w:r>
        <w:t xml:space="preserve">, 35 FCC </w:t>
      </w:r>
      <w:r>
        <w:t>Rcd</w:t>
      </w:r>
      <w:r>
        <w:t xml:space="preserve"> at </w:t>
      </w:r>
      <w:r w:rsidR="00AD7BC2">
        <w:t>3883</w:t>
      </w:r>
      <w:r>
        <w:t>, para. 83.</w:t>
      </w:r>
    </w:p>
  </w:footnote>
  <w:footnote w:id="22">
    <w:p w:rsidR="006526FE" w14:paraId="044D110D" w14:textId="118C5F93">
      <w:pPr>
        <w:pStyle w:val="FootnoteText"/>
      </w:pPr>
      <w:r>
        <w:rPr>
          <w:rStyle w:val="FootnoteReference"/>
        </w:rPr>
        <w:footnoteRef/>
      </w:r>
      <w:r>
        <w:t xml:space="preserve"> </w:t>
      </w:r>
      <w:r w:rsidR="006B06CA">
        <w:t>AT&amp;T Services Comments at 14</w:t>
      </w:r>
      <w:r>
        <w:t>.</w:t>
      </w:r>
    </w:p>
  </w:footnote>
  <w:footnote w:id="23">
    <w:p w:rsidR="00245A31" w14:paraId="2B0B2D83" w14:textId="513B32F0">
      <w:pPr>
        <w:pStyle w:val="FootnoteText"/>
      </w:pPr>
      <w:r>
        <w:rPr>
          <w:rStyle w:val="FootnoteReference"/>
        </w:rPr>
        <w:footnoteRef/>
      </w:r>
      <w:r>
        <w:t xml:space="preserve"> </w:t>
      </w:r>
      <w:r>
        <w:t xml:space="preserve">AT&amp;T </w:t>
      </w:r>
      <w:bookmarkStart w:id="3" w:name="_Hlk100915695"/>
      <w:r w:rsidR="00732A0B">
        <w:t>Services</w:t>
      </w:r>
      <w:bookmarkEnd w:id="3"/>
      <w:r w:rsidR="00642F83">
        <w:t xml:space="preserve"> </w:t>
      </w:r>
      <w:r w:rsidR="008369F3">
        <w:t>C</w:t>
      </w:r>
      <w:r>
        <w:t>omments at 14</w:t>
      </w:r>
      <w:r w:rsidR="00BC3C93">
        <w:t xml:space="preserve">; </w:t>
      </w:r>
      <w:r w:rsidRPr="00BC3C93" w:rsidR="00BC3C93">
        <w:rPr>
          <w:i/>
          <w:iCs/>
        </w:rPr>
        <w:t>see</w:t>
      </w:r>
      <w:r w:rsidR="00BC3C93">
        <w:t xml:space="preserve"> </w:t>
      </w:r>
      <w:r w:rsidRPr="00BC3C93" w:rsidR="00BC3C93">
        <w:rPr>
          <w:i/>
          <w:iCs/>
        </w:rPr>
        <w:t>id.</w:t>
      </w:r>
      <w:r w:rsidR="00BC3C93">
        <w:t xml:space="preserve"> at 14-16</w:t>
      </w:r>
      <w:r>
        <w:t>.</w:t>
      </w:r>
    </w:p>
  </w:footnote>
  <w:footnote w:id="24">
    <w:p w:rsidR="002B23A6" w14:paraId="6B4261F0" w14:textId="4D65BCC3">
      <w:pPr>
        <w:pStyle w:val="FootnoteText"/>
      </w:pPr>
      <w:r>
        <w:rPr>
          <w:rStyle w:val="FootnoteReference"/>
        </w:rPr>
        <w:footnoteRef/>
      </w:r>
      <w:r>
        <w:t xml:space="preserve"> </w:t>
      </w:r>
      <w:r>
        <w:t>AT&amp;T Services</w:t>
      </w:r>
      <w:r w:rsidR="00046489">
        <w:t xml:space="preserve"> </w:t>
      </w:r>
      <w:r w:rsidR="00946E31">
        <w:t>April</w:t>
      </w:r>
      <w:r w:rsidR="00046489">
        <w:t xml:space="preserve"> 2</w:t>
      </w:r>
      <w:r w:rsidR="00946E31">
        <w:t>6</w:t>
      </w:r>
      <w:r w:rsidR="00046489">
        <w:t xml:space="preserve">, 2022 </w:t>
      </w:r>
      <w:r w:rsidRPr="00402862" w:rsidR="00046489">
        <w:rPr>
          <w:i/>
          <w:iCs/>
        </w:rPr>
        <w:t xml:space="preserve">Ex </w:t>
      </w:r>
      <w:r w:rsidRPr="00402862" w:rsidR="00046489">
        <w:rPr>
          <w:i/>
          <w:iCs/>
        </w:rPr>
        <w:t>Parte</w:t>
      </w:r>
      <w:r w:rsidR="00046489">
        <w:t xml:space="preserve"> ET Docket No. 21-352, at</w:t>
      </w:r>
      <w:r w:rsidR="00946E31">
        <w:t xml:space="preserve"> 2.</w:t>
      </w:r>
    </w:p>
  </w:footnote>
  <w:footnote w:id="25">
    <w:p w:rsidR="00B86FBF" w14:paraId="441A7FDE" w14:textId="1C2C7D37">
      <w:pPr>
        <w:pStyle w:val="FootnoteText"/>
      </w:pPr>
      <w:r>
        <w:rPr>
          <w:rStyle w:val="FootnoteReference"/>
        </w:rPr>
        <w:footnoteRef/>
      </w:r>
      <w:r>
        <w:t xml:space="preserve"> </w:t>
      </w:r>
      <w:r>
        <w:t xml:space="preserve">Utilities Technology Council and the Edison Electric Institute </w:t>
      </w:r>
      <w:r w:rsidR="008369F3">
        <w:t>C</w:t>
      </w:r>
      <w:r>
        <w:t>omments at 3-4.</w:t>
      </w:r>
    </w:p>
  </w:footnote>
  <w:footnote w:id="26">
    <w:p w:rsidR="00C462B5" w14:paraId="1A5AB1D8" w14:textId="098FC80C">
      <w:pPr>
        <w:pStyle w:val="FootnoteText"/>
      </w:pPr>
      <w:r>
        <w:rPr>
          <w:rStyle w:val="FootnoteReference"/>
        </w:rPr>
        <w:footnoteRef/>
      </w:r>
      <w:r>
        <w:t xml:space="preserve"> </w:t>
      </w:r>
      <w:r w:rsidRPr="00C462B5">
        <w:rPr>
          <w:i/>
          <w:iCs/>
        </w:rPr>
        <w:t>Id.</w:t>
      </w:r>
      <w:r>
        <w:t xml:space="preserve"> at 5 (internal quotation marks omitted).</w:t>
      </w:r>
    </w:p>
  </w:footnote>
  <w:footnote w:id="27">
    <w:p w:rsidR="001511E1" w14:paraId="2CA3E9D5" w14:textId="47A2ED15">
      <w:pPr>
        <w:pStyle w:val="FootnoteText"/>
      </w:pPr>
      <w:r>
        <w:rPr>
          <w:rStyle w:val="FootnoteReference"/>
        </w:rPr>
        <w:footnoteRef/>
      </w:r>
      <w:r>
        <w:t xml:space="preserve"> </w:t>
      </w:r>
      <w:r>
        <w:t xml:space="preserve">Verizon </w:t>
      </w:r>
      <w:r w:rsidR="008369F3">
        <w:t>C</w:t>
      </w:r>
      <w:r>
        <w:t xml:space="preserve">omments at </w:t>
      </w:r>
      <w:r w:rsidR="00A4091C">
        <w:t>10.</w:t>
      </w:r>
    </w:p>
  </w:footnote>
  <w:footnote w:id="28">
    <w:p w:rsidR="00F32282" w14:paraId="33F07E7D" w14:textId="7D2D3124">
      <w:pPr>
        <w:pStyle w:val="FootnoteText"/>
      </w:pPr>
      <w:r>
        <w:rPr>
          <w:rStyle w:val="FootnoteReference"/>
        </w:rPr>
        <w:footnoteRef/>
      </w:r>
      <w:r>
        <w:t xml:space="preserve"> </w:t>
      </w:r>
      <w:r w:rsidR="00245733">
        <w:t xml:space="preserve">FCC, </w:t>
      </w:r>
      <w:r w:rsidRPr="00C570AF" w:rsidR="005A220A">
        <w:rPr>
          <w:i/>
          <w:iCs/>
        </w:rPr>
        <w:t>Public Access Files Database Downloads</w:t>
      </w:r>
      <w:r w:rsidR="005A220A">
        <w:t>,</w:t>
      </w:r>
      <w:r w:rsidR="00625E13">
        <w:t xml:space="preserve"> </w:t>
      </w:r>
      <w:hyperlink r:id="rId1" w:history="1">
        <w:r w:rsidRPr="004C525F" w:rsidR="00625E13">
          <w:rPr>
            <w:rStyle w:val="Hyperlink"/>
          </w:rPr>
          <w:t>https://www.fcc.gov/wireless/data/public-access-files-database-downloads</w:t>
        </w:r>
      </w:hyperlink>
      <w:r w:rsidR="005B3642">
        <w:t xml:space="preserve"> (last visited June 16, 2022)</w:t>
      </w:r>
      <w:r w:rsidR="00625E13">
        <w:t>.</w:t>
      </w:r>
      <w:r w:rsidR="00AF14B9">
        <w:t xml:space="preserve">  A description of downloading 6 GHz band incumbent licensing data can be found </w:t>
      </w:r>
      <w:r w:rsidR="00F664D1">
        <w:t xml:space="preserve">in </w:t>
      </w:r>
      <w:r w:rsidRPr="00C570AF" w:rsidR="00F664D1">
        <w:rPr>
          <w:i/>
          <w:iCs/>
        </w:rPr>
        <w:t>Incumbent Fixed Service Data in the U.S. U-NII 5 &amp; 7 Bands</w:t>
      </w:r>
      <w:r w:rsidR="00F664D1">
        <w:t xml:space="preserve">, </w:t>
      </w:r>
      <w:r w:rsidR="00F664D1">
        <w:t>WinnForum</w:t>
      </w:r>
      <w:r w:rsidR="00F664D1">
        <w:t xml:space="preserve">, WINNF-TR-1008, </w:t>
      </w:r>
      <w:r w:rsidR="0075538B">
        <w:t xml:space="preserve">5-7 (Jan. 5, 2021), </w:t>
      </w:r>
      <w:hyperlink r:id="rId2" w:history="1">
        <w:r w:rsidRPr="004C525F" w:rsidR="0075538B">
          <w:rPr>
            <w:rStyle w:val="Hyperlink"/>
          </w:rPr>
          <w:t>https://www.wirelessinnovation.org/assets/work_products/Reports/winnf-tr-1008-v1.0.0%206%20ghz%20incumbent%20data%20technical%20report.pdf</w:t>
        </w:r>
      </w:hyperlink>
      <w:r w:rsidR="0075538B">
        <w:t xml:space="preserve">.   </w:t>
      </w:r>
      <w:r w:rsidR="00625E13">
        <w:t xml:space="preserve">  </w:t>
      </w:r>
    </w:p>
  </w:footnote>
  <w:footnote w:id="29">
    <w:p w:rsidR="00121B91" w14:paraId="711138D7" w14:textId="318B3A3F">
      <w:pPr>
        <w:pStyle w:val="FootnoteText"/>
      </w:pPr>
      <w:r>
        <w:rPr>
          <w:rStyle w:val="FootnoteReference"/>
        </w:rPr>
        <w:footnoteRef/>
      </w:r>
      <w:r>
        <w:t xml:space="preserve"> </w:t>
      </w:r>
      <w:r w:rsidRPr="00121B91">
        <w:t>47 CFR § 1.17</w:t>
      </w:r>
      <w:r>
        <w:t>.</w:t>
      </w:r>
    </w:p>
  </w:footnote>
  <w:footnote w:id="30">
    <w:p w:rsidR="00F812E1" w14:paraId="1B5AA565" w14:textId="671E054A">
      <w:pPr>
        <w:pStyle w:val="FootnoteText"/>
      </w:pPr>
      <w:r>
        <w:rPr>
          <w:rStyle w:val="FootnoteReference"/>
        </w:rPr>
        <w:footnoteRef/>
      </w:r>
      <w:r>
        <w:t xml:space="preserve"> </w:t>
      </w:r>
      <w:r>
        <w:t xml:space="preserve">Utilities Technology Council and the Edison Electric Institute </w:t>
      </w:r>
      <w:r w:rsidR="008369F3">
        <w:t>C</w:t>
      </w:r>
      <w:r>
        <w:t>omments at 4; AT&amp;T</w:t>
      </w:r>
      <w:r w:rsidR="006B4093">
        <w:t xml:space="preserve"> </w:t>
      </w:r>
      <w:r w:rsidR="001F7215">
        <w:t xml:space="preserve">Comments </w:t>
      </w:r>
      <w:r>
        <w:t xml:space="preserve">at </w:t>
      </w:r>
      <w:r w:rsidR="00287390">
        <w:t>16</w:t>
      </w:r>
      <w:r>
        <w:t xml:space="preserve">; </w:t>
      </w:r>
      <w:r w:rsidR="008B5C02">
        <w:t xml:space="preserve">AT&amp;T Services April 26, 2022 </w:t>
      </w:r>
      <w:r w:rsidRPr="00402862" w:rsidR="008B5C02">
        <w:rPr>
          <w:i/>
          <w:iCs/>
        </w:rPr>
        <w:t xml:space="preserve">Ex </w:t>
      </w:r>
      <w:r w:rsidRPr="00402862" w:rsidR="008B5C02">
        <w:rPr>
          <w:i/>
          <w:iCs/>
        </w:rPr>
        <w:t>Parte</w:t>
      </w:r>
      <w:r w:rsidR="008B5C02">
        <w:t xml:space="preserve"> ET Docket No. 21-352, at </w:t>
      </w:r>
      <w:r w:rsidR="000515B0">
        <w:t>5-8</w:t>
      </w:r>
      <w:r w:rsidR="008B5C02">
        <w:t>.</w:t>
      </w:r>
      <w:r w:rsidR="00DA3D39">
        <w:t xml:space="preserve"> </w:t>
      </w:r>
      <w:r w:rsidR="001967D3">
        <w:t xml:space="preserve"> </w:t>
      </w:r>
      <w:r w:rsidR="00DA3D39">
        <w:t xml:space="preserve">The Wi-Fi Alliance is </w:t>
      </w:r>
      <w:r w:rsidR="00465E21">
        <w:t xml:space="preserve">an </w:t>
      </w:r>
      <w:r w:rsidR="00DA3D39">
        <w:t xml:space="preserve">international organization of companies in the Wi-Fi industry.  Wi-Fi Alliance, Who We Are, </w:t>
      </w:r>
      <w:hyperlink r:id="rId3" w:history="1">
        <w:r w:rsidRPr="008D2603" w:rsidR="00DA3D39">
          <w:rPr>
            <w:rStyle w:val="Hyperlink"/>
          </w:rPr>
          <w:t>https://www.wi-fi.org/who-we-are</w:t>
        </w:r>
      </w:hyperlink>
      <w:r w:rsidR="00DA3D39">
        <w:t xml:space="preserve"> (last visited May 4, 2022).  </w:t>
      </w:r>
      <w:r w:rsidR="00465E21">
        <w:t>The Wi-Fi Alliance is</w:t>
      </w:r>
      <w:r w:rsidR="00DA3D39">
        <w:t xml:space="preserve"> developing a set of specifications for AFC systems and standard-power devices.  Wi-Fi Alliance, </w:t>
      </w:r>
      <w:r w:rsidRPr="00B86B84" w:rsidR="00DA3D39">
        <w:t>Coordination specification and compliance development to accelerate Wi-Fi 6E</w:t>
      </w:r>
      <w:r w:rsidR="00DA3D39">
        <w:t xml:space="preserve"> (June 30, 2021), </w:t>
      </w:r>
      <w:hyperlink r:id="rId4" w:history="1">
        <w:r w:rsidRPr="008D2603" w:rsidR="00DA3D39">
          <w:rPr>
            <w:rStyle w:val="Hyperlink"/>
          </w:rPr>
          <w:t>https://www.wi-fi.org/news-events/newsroom/wi-fi-alliance-furthers-automated-frequency-coordination-specification-and</w:t>
        </w:r>
      </w:hyperlink>
      <w:r w:rsidR="00DA3D39">
        <w:t>.  The Wireless Innovation Forum (</w:t>
      </w:r>
      <w:r w:rsidR="00DA3D39">
        <w:t>WinnForum</w:t>
      </w:r>
      <w:r w:rsidR="00DA3D39">
        <w:t xml:space="preserve">) is an international group of telecommunications equipment manufacturers, venders, research labs, academic institutions, and service providers.  </w:t>
      </w:r>
      <w:r w:rsidR="00DA3D39">
        <w:t>WinnForum</w:t>
      </w:r>
      <w:r w:rsidR="00DA3D39">
        <w:t xml:space="preserve">, About the Wireless Innovation Forum, </w:t>
      </w:r>
      <w:hyperlink r:id="rId5" w:history="1">
        <w:r w:rsidRPr="008D2603" w:rsidR="00DA3D39">
          <w:rPr>
            <w:rStyle w:val="Hyperlink"/>
          </w:rPr>
          <w:t>https://www.wirelessinnovation.org/about_the_forum</w:t>
        </w:r>
      </w:hyperlink>
      <w:r w:rsidR="00DA3D39">
        <w:t xml:space="preserve"> (last visited May 4, 2022).  The </w:t>
      </w:r>
      <w:r w:rsidR="00DA3D39">
        <w:t>WinnForum</w:t>
      </w:r>
      <w:r w:rsidR="00DA3D39">
        <w:t xml:space="preserve"> has developed a set of technical specifications related to 6 GHz AFC systems and standard-power devices.  </w:t>
      </w:r>
      <w:r w:rsidR="00DA3D39">
        <w:t>WinnForum</w:t>
      </w:r>
      <w:r w:rsidR="00DA3D39">
        <w:t xml:space="preserve">, Forum Work Products, </w:t>
      </w:r>
      <w:hyperlink r:id="rId6" w:history="1">
        <w:r w:rsidRPr="008D2603" w:rsidR="00DA3D39">
          <w:rPr>
            <w:rStyle w:val="Hyperlink"/>
          </w:rPr>
          <w:t>https://6ghz.wirelessinnovation.org/work-group-products</w:t>
        </w:r>
      </w:hyperlink>
      <w:r w:rsidR="00DA3D39">
        <w:t xml:space="preserve"> (last visited May 4, 2022). </w:t>
      </w:r>
    </w:p>
  </w:footnote>
  <w:footnote w:id="31">
    <w:p w:rsidR="006526FE" w:rsidP="006526FE" w14:paraId="16F7F1D3" w14:textId="05BDDB80">
      <w:pPr>
        <w:pStyle w:val="FootnoteText"/>
      </w:pPr>
      <w:r>
        <w:rPr>
          <w:rStyle w:val="FootnoteReference"/>
        </w:rPr>
        <w:footnoteRef/>
      </w:r>
      <w:r>
        <w:t xml:space="preserve"> </w:t>
      </w:r>
      <w:r w:rsidR="00CC7FB7">
        <w:t xml:space="preserve">AT&amp;T Services Comments at 18-19 (discussing the </w:t>
      </w:r>
      <w:r w:rsidRPr="0096633E" w:rsidR="00CC7FB7">
        <w:rPr>
          <w:i/>
          <w:iCs/>
        </w:rPr>
        <w:t>AFC Device (AFC DUT) Compliance Test Plan</w:t>
      </w:r>
      <w:r w:rsidR="00CC7FB7">
        <w:t xml:space="preserve">, Wi-Fi Alliance, Version 1.0.6). </w:t>
      </w:r>
    </w:p>
  </w:footnote>
  <w:footnote w:id="32">
    <w:p w:rsidR="0043674A" w:rsidP="0043674A" w14:paraId="355D2A14" w14:textId="7CF24CAA">
      <w:pPr>
        <w:pStyle w:val="FootnoteText"/>
      </w:pPr>
      <w:r>
        <w:rPr>
          <w:rStyle w:val="FootnoteReference"/>
        </w:rPr>
        <w:footnoteRef/>
      </w:r>
      <w:r>
        <w:t xml:space="preserve"> </w:t>
      </w:r>
      <w:r>
        <w:t>A</w:t>
      </w:r>
      <w:r w:rsidRPr="00C570AF" w:rsidR="00CC7FB7">
        <w:rPr>
          <w:i/>
          <w:iCs/>
        </w:rPr>
        <w:t>Id</w:t>
      </w:r>
      <w:r>
        <w:t>.</w:t>
      </w:r>
    </w:p>
  </w:footnote>
  <w:footnote w:id="33">
    <w:p w:rsidR="006526FE" w:rsidP="006526FE" w14:paraId="1BEC5EB3" w14:textId="76741129">
      <w:pPr>
        <w:pStyle w:val="FootnoteText"/>
      </w:pPr>
      <w:r>
        <w:rPr>
          <w:rStyle w:val="FootnoteReference"/>
        </w:rPr>
        <w:footnoteRef/>
      </w:r>
      <w:r>
        <w:t xml:space="preserve"> </w:t>
      </w:r>
      <w:r w:rsidR="0057792B">
        <w:t>Verizon Comments at 9</w:t>
      </w:r>
      <w:r>
        <w:t>.</w:t>
      </w:r>
    </w:p>
  </w:footnote>
  <w:footnote w:id="34">
    <w:p w:rsidR="00AA32C2" w14:paraId="79A86AC0" w14:textId="14911631">
      <w:pPr>
        <w:pStyle w:val="FootnoteText"/>
      </w:pPr>
      <w:r>
        <w:rPr>
          <w:rStyle w:val="FootnoteReference"/>
        </w:rPr>
        <w:footnoteRef/>
      </w:r>
      <w:r>
        <w:t xml:space="preserve"> </w:t>
      </w:r>
      <w:r w:rsidRPr="00C570AF" w:rsidR="0031007F">
        <w:rPr>
          <w:i/>
          <w:iCs/>
        </w:rPr>
        <w:t>Id</w:t>
      </w:r>
      <w:r w:rsidR="0031007F">
        <w:t>.</w:t>
      </w:r>
      <w:r>
        <w:t xml:space="preserve"> at 9-10.</w:t>
      </w:r>
    </w:p>
  </w:footnote>
  <w:footnote w:id="35">
    <w:p w:rsidR="008B00CD" w14:paraId="5F36C5DB" w14:textId="1D0D1904">
      <w:pPr>
        <w:pStyle w:val="FootnoteText"/>
      </w:pPr>
      <w:r>
        <w:rPr>
          <w:rStyle w:val="FootnoteReference"/>
        </w:rPr>
        <w:footnoteRef/>
      </w:r>
      <w:r>
        <w:t xml:space="preserve"> </w:t>
      </w:r>
      <w:r>
        <w:t xml:space="preserve">FWCC </w:t>
      </w:r>
      <w:r w:rsidR="00F348C4">
        <w:t>C</w:t>
      </w:r>
      <w:r>
        <w:t>omments at 5</w:t>
      </w:r>
      <w:r w:rsidR="008A1081">
        <w:t xml:space="preserve">; </w:t>
      </w:r>
      <w:r w:rsidR="006526FE">
        <w:rPr>
          <w:i/>
          <w:iCs/>
        </w:rPr>
        <w:t>s</w:t>
      </w:r>
      <w:r w:rsidRPr="008A1081" w:rsidR="006526FE">
        <w:rPr>
          <w:i/>
          <w:iCs/>
        </w:rPr>
        <w:t xml:space="preserve">ee </w:t>
      </w:r>
      <w:r w:rsidRPr="008A1081" w:rsidR="008A1081">
        <w:rPr>
          <w:i/>
          <w:iCs/>
        </w:rPr>
        <w:t>also</w:t>
      </w:r>
      <w:r w:rsidR="008A1081">
        <w:t xml:space="preserve"> AT&amp;T Services Comments at 11.</w:t>
      </w:r>
    </w:p>
  </w:footnote>
  <w:footnote w:id="36">
    <w:p w:rsidR="00425EFA" w14:paraId="310D1A8B" w14:textId="636B25AD">
      <w:pPr>
        <w:pStyle w:val="FootnoteText"/>
      </w:pPr>
      <w:r>
        <w:rPr>
          <w:rStyle w:val="FootnoteReference"/>
        </w:rPr>
        <w:footnoteRef/>
      </w:r>
      <w:r>
        <w:t xml:space="preserve"> </w:t>
      </w:r>
      <w:r>
        <w:t xml:space="preserve">APCO </w:t>
      </w:r>
      <w:r w:rsidR="00F348C4">
        <w:t>C</w:t>
      </w:r>
      <w:r>
        <w:t xml:space="preserve">omments at 3.  </w:t>
      </w:r>
    </w:p>
  </w:footnote>
  <w:footnote w:id="37">
    <w:p w:rsidR="001452DD" w14:paraId="0354FDFF" w14:textId="1A855F4F">
      <w:pPr>
        <w:pStyle w:val="FootnoteText"/>
      </w:pPr>
      <w:r>
        <w:rPr>
          <w:rStyle w:val="FootnoteReference"/>
        </w:rPr>
        <w:footnoteRef/>
      </w:r>
      <w:r>
        <w:t xml:space="preserve"> </w:t>
      </w:r>
      <w:r w:rsidRPr="004C2ED1" w:rsidR="001A4FE4">
        <w:t xml:space="preserve">47 CFR §§ </w:t>
      </w:r>
      <w:r w:rsidR="001A4FE4">
        <w:t>2.907</w:t>
      </w:r>
      <w:r w:rsidR="00D81304">
        <w:t>(a)</w:t>
      </w:r>
      <w:r w:rsidR="001A4FE4">
        <w:t>, 2.915</w:t>
      </w:r>
      <w:r w:rsidR="00717FF9">
        <w:t xml:space="preserve">, </w:t>
      </w:r>
      <w:r w:rsidR="001A4FE4">
        <w:t>2.948</w:t>
      </w:r>
      <w:r w:rsidR="00717FF9">
        <w:t>(e), 2.950(a), 15.201(b)</w:t>
      </w:r>
      <w:r w:rsidR="001A4FE4">
        <w:t xml:space="preserve">; </w:t>
      </w:r>
      <w:r w:rsidRPr="00C2661E" w:rsidR="001A4FE4">
        <w:rPr>
          <w:i/>
          <w:iCs/>
        </w:rPr>
        <w:t>Accredited Testing Laboratory Program Roles and Responsibilities</w:t>
      </w:r>
      <w:r w:rsidR="001A4FE4">
        <w:t>, Office of Engineering and Technology, KDB Publication 974614 D01</w:t>
      </w:r>
      <w:r w:rsidR="004122F2">
        <w:t>, at 1</w:t>
      </w:r>
      <w:r w:rsidR="001A4FE4">
        <w:t xml:space="preserve"> (Apr. 2, 2019), </w:t>
      </w:r>
      <w:hyperlink r:id="rId7" w:history="1">
        <w:r w:rsidRPr="00187B4D" w:rsidR="001A4FE4">
          <w:rPr>
            <w:rStyle w:val="Hyperlink"/>
          </w:rPr>
          <w:t>https://apps.fcc.gov/kdb/GetAttachment.html?id=koP7QuHnAbqrT0URaUjRBw%3D%3D&amp;desc=974614%20D01%20Accredited%20Test%20Lab%20Roles%20and%20Resp%20v05r01&amp;tracking_number=44684</w:t>
        </w:r>
      </w:hyperlink>
      <w:r w:rsidR="001A4FE4">
        <w:t xml:space="preserve"> </w:t>
      </w:r>
      <w:r>
        <w:t>.</w:t>
      </w:r>
    </w:p>
  </w:footnote>
  <w:footnote w:id="38">
    <w:p w:rsidR="00822941" w14:paraId="73AC33FD" w14:textId="315F6713">
      <w:pPr>
        <w:pStyle w:val="FootnoteText"/>
      </w:pPr>
      <w:r>
        <w:rPr>
          <w:rStyle w:val="FootnoteReference"/>
        </w:rPr>
        <w:footnoteRef/>
      </w:r>
      <w:r>
        <w:t xml:space="preserve"> </w:t>
      </w:r>
      <w:r w:rsidR="00AB2BAB">
        <w:t>47</w:t>
      </w:r>
      <w:r w:rsidR="003661F5">
        <w:t xml:space="preserve"> CFR § 15.407(k)(14) re</w:t>
      </w:r>
      <w:r w:rsidR="0082050E">
        <w:t xml:space="preserve">quires </w:t>
      </w:r>
      <w:r w:rsidRPr="0082050E" w:rsidR="0082050E">
        <w:t xml:space="preserve">AFC system </w:t>
      </w:r>
      <w:r w:rsidR="0082050E">
        <w:t>to</w:t>
      </w:r>
      <w:r w:rsidR="001452DD">
        <w:t xml:space="preserve"> </w:t>
      </w:r>
      <w:r w:rsidRPr="0082050E" w:rsidR="0082050E">
        <w:t>implement the terms of international agreements with Mexico and Canada</w:t>
      </w:r>
      <w:r w:rsidR="00244427">
        <w:t>.</w:t>
      </w:r>
    </w:p>
  </w:footnote>
  <w:footnote w:id="39">
    <w:p w:rsidR="00FC634D" w14:paraId="5F4073BC" w14:textId="44AC3190">
      <w:pPr>
        <w:pStyle w:val="FootnoteText"/>
      </w:pPr>
      <w:r>
        <w:rPr>
          <w:rStyle w:val="FootnoteReference"/>
        </w:rPr>
        <w:footnoteRef/>
      </w:r>
      <w:r>
        <w:t xml:space="preserve"> </w:t>
      </w:r>
      <w:r w:rsidRPr="004C2ED1">
        <w:t xml:space="preserve">47 CFR § </w:t>
      </w:r>
      <w:r>
        <w:t>15.407(k)(</w:t>
      </w:r>
      <w:r w:rsidR="005C0217">
        <w:t>9)(</w:t>
      </w:r>
      <w:r w:rsidR="005C0217">
        <w:t>i</w:t>
      </w:r>
      <w:r w:rsidR="005C0217">
        <w:t>).</w:t>
      </w:r>
    </w:p>
  </w:footnote>
  <w:footnote w:id="40">
    <w:p w:rsidR="00B14DFF" w14:paraId="5579E8F6" w14:textId="54AFBBFC">
      <w:pPr>
        <w:pStyle w:val="FootnoteText"/>
      </w:pPr>
      <w:r>
        <w:rPr>
          <w:rStyle w:val="FootnoteReference"/>
        </w:rPr>
        <w:footnoteRef/>
      </w:r>
      <w:r>
        <w:t xml:space="preserve"> </w:t>
      </w:r>
      <w:r w:rsidR="003F44AC">
        <w:t xml:space="preserve">Qualcomm Automated Frequency Coordination System Operator Application: Responses to Supplemental Questions, ET Docket No. 21-352, at </w:t>
      </w:r>
      <w:r w:rsidR="00D1350F">
        <w:t>6</w:t>
      </w:r>
      <w:r w:rsidR="003F44AC">
        <w:t xml:space="preserve"> (filed Feb. 28, 2022);</w:t>
      </w:r>
      <w:r w:rsidR="00FA2E6D">
        <w:t xml:space="preserve"> </w:t>
      </w:r>
      <w:r w:rsidR="0080691B">
        <w:t xml:space="preserve">Wi-Fi Alliance Feb. 22, 2022 </w:t>
      </w:r>
      <w:r w:rsidRPr="005C5968" w:rsidR="0080691B">
        <w:rPr>
          <w:i/>
          <w:iCs/>
        </w:rPr>
        <w:t xml:space="preserve">Ex </w:t>
      </w:r>
      <w:r w:rsidRPr="005C5968" w:rsidR="0080691B">
        <w:rPr>
          <w:i/>
          <w:iCs/>
        </w:rPr>
        <w:t>Parte</w:t>
      </w:r>
      <w:r w:rsidR="0080691B">
        <w:t xml:space="preserve"> ET Docket No. 21-352, at 6</w:t>
      </w:r>
      <w:r w:rsidR="00FA2E6D">
        <w:t>;</w:t>
      </w:r>
      <w:r w:rsidR="00AE0228">
        <w:t xml:space="preserve"> </w:t>
      </w:r>
      <w:r w:rsidR="005E6978">
        <w:t xml:space="preserve">Supplement to </w:t>
      </w:r>
      <w:r w:rsidR="005E6978">
        <w:t>Comsearch</w:t>
      </w:r>
      <w:r w:rsidR="005E6978">
        <w:t xml:space="preserve"> Proposal to be Approved as an Automated Frequency Coordination Operator, ET Docket No. 31-352, at 10 (filed March 1, 2022)</w:t>
      </w:r>
      <w:r w:rsidR="00905501">
        <w:t xml:space="preserve">; </w:t>
      </w:r>
      <w:r w:rsidR="00805AD6">
        <w:t>Supplement to the Proposal by RED Technologies SAS to Serve as an Automated Frequency Coordination System Operator in the 6 GHz Band, ET Docket 21-352, at 6 (filed Nov. 26, 2021)</w:t>
      </w:r>
      <w:r w:rsidR="00244679">
        <w:t xml:space="preserve">; </w:t>
      </w:r>
      <w:r w:rsidR="0080691B">
        <w:t>Supplement to the Proposal by Federated Wireless to Serve as an Automated Frequency Coordination System Operator in the 6 GHz Band, ET Docket No. 21-352, at 12 (filed Feb. 9, 2022)</w:t>
      </w:r>
      <w:r w:rsidR="00D16B15">
        <w:t>.</w:t>
      </w:r>
      <w:r w:rsidR="00D1350F">
        <w:t xml:space="preserve"> </w:t>
      </w:r>
    </w:p>
  </w:footnote>
  <w:footnote w:id="41">
    <w:p w:rsidR="009836A0" w14:paraId="70624083" w14:textId="68244B9E">
      <w:pPr>
        <w:pStyle w:val="FootnoteText"/>
      </w:pPr>
      <w:r>
        <w:rPr>
          <w:rStyle w:val="FootnoteReference"/>
        </w:rPr>
        <w:footnoteRef/>
      </w:r>
      <w:r>
        <w:t xml:space="preserve"> </w:t>
      </w:r>
      <w:r>
        <w:t>Broadcom</w:t>
      </w:r>
      <w:r w:rsidR="00A060CB">
        <w:t xml:space="preserve"> Feb. 24, 2022 </w:t>
      </w:r>
      <w:r w:rsidRPr="005F1FA9" w:rsidR="00A060CB">
        <w:rPr>
          <w:i/>
          <w:iCs/>
        </w:rPr>
        <w:t xml:space="preserve">Ex </w:t>
      </w:r>
      <w:r w:rsidRPr="005F1FA9" w:rsidR="00A060CB">
        <w:rPr>
          <w:i/>
          <w:iCs/>
        </w:rPr>
        <w:t>Parte</w:t>
      </w:r>
      <w:r w:rsidR="005F1FA9">
        <w:t xml:space="preserve"> ET Docket No. 21-352,</w:t>
      </w:r>
      <w:r>
        <w:t xml:space="preserve"> at 3; </w:t>
      </w:r>
      <w:r w:rsidR="002F256F">
        <w:t>Kyrio</w:t>
      </w:r>
      <w:r w:rsidR="00C0500C">
        <w:t xml:space="preserve"> Feb. 25, 2022 </w:t>
      </w:r>
      <w:r w:rsidRPr="00680E6A" w:rsidR="00C0500C">
        <w:rPr>
          <w:i/>
          <w:iCs/>
        </w:rPr>
        <w:t xml:space="preserve">Ex </w:t>
      </w:r>
      <w:r w:rsidRPr="00680E6A" w:rsidR="00C0500C">
        <w:rPr>
          <w:i/>
          <w:iCs/>
        </w:rPr>
        <w:t>Parte</w:t>
      </w:r>
      <w:r w:rsidR="00C0500C">
        <w:t xml:space="preserve"> ET Docket No. 21-352, </w:t>
      </w:r>
      <w:r w:rsidR="002F256F">
        <w:t xml:space="preserve">at </w:t>
      </w:r>
      <w:r w:rsidR="00E529D6">
        <w:t>1-2 (</w:t>
      </w:r>
      <w:r w:rsidR="00E529D6">
        <w:t>Kyrio</w:t>
      </w:r>
      <w:r w:rsidR="00E529D6">
        <w:t xml:space="preserve"> specified a 1 arc second grid in the horizontal plane but no vertical spacing)</w:t>
      </w:r>
      <w:r w:rsidR="00D2206F">
        <w:t xml:space="preserve">; </w:t>
      </w:r>
      <w:r w:rsidR="001E68B3">
        <w:t>Supplement of Plume Design, Inc. To Proposal for Approval as an Automated Frequency Coordination System Operator,</w:t>
      </w:r>
      <w:r w:rsidR="004F216C">
        <w:t xml:space="preserve"> ET Docket No. 21-352, a</w:t>
      </w:r>
      <w:r w:rsidR="00D2206F">
        <w:t>t 10</w:t>
      </w:r>
      <w:r w:rsidR="004F216C">
        <w:t xml:space="preserve"> (filed Feb. 28, 2022)</w:t>
      </w:r>
      <w:r w:rsidR="00E97078">
        <w:t>; Wireless Broadband Alliance</w:t>
      </w:r>
      <w:r w:rsidR="006400C0">
        <w:t xml:space="preserve"> Feb. 28, 2022 </w:t>
      </w:r>
      <w:r w:rsidRPr="00680E6A" w:rsidR="006400C0">
        <w:rPr>
          <w:i/>
          <w:iCs/>
        </w:rPr>
        <w:t xml:space="preserve">Ex </w:t>
      </w:r>
      <w:r w:rsidRPr="00680E6A" w:rsidR="006400C0">
        <w:rPr>
          <w:i/>
          <w:iCs/>
        </w:rPr>
        <w:t>Parte</w:t>
      </w:r>
      <w:r w:rsidR="006400C0">
        <w:t xml:space="preserve"> ET Docket No. 21-352,</w:t>
      </w:r>
      <w:r w:rsidR="00E97078">
        <w:t xml:space="preserve"> at 5-6</w:t>
      </w:r>
      <w:r w:rsidR="006400C0">
        <w:t>.</w:t>
      </w:r>
    </w:p>
  </w:footnote>
  <w:footnote w:id="42">
    <w:p w:rsidR="00DB4969" w14:paraId="329E837E" w14:textId="1F5124F8">
      <w:pPr>
        <w:pStyle w:val="FootnoteText"/>
      </w:pPr>
      <w:r>
        <w:rPr>
          <w:rStyle w:val="FootnoteReference"/>
        </w:rPr>
        <w:footnoteRef/>
      </w:r>
      <w:r>
        <w:t xml:space="preserve"> </w:t>
      </w:r>
      <w:r w:rsidR="00D1350F">
        <w:t>Supplement to Proposal from Sony Group Corporation to Serve as an Automated Frequency Coordination System Operator, ET Docket No. 21-352, at 5 (filed Feb. 24, 2022);</w:t>
      </w:r>
      <w:r w:rsidR="0080691B">
        <w:t xml:space="preserve"> </w:t>
      </w:r>
      <w:r w:rsidR="00DB0D31">
        <w:t xml:space="preserve">Google </w:t>
      </w:r>
      <w:r w:rsidR="00C76E00">
        <w:t xml:space="preserve">Feb. 28, 2022 </w:t>
      </w:r>
      <w:r w:rsidRPr="008C2DD4" w:rsidR="00C76E00">
        <w:rPr>
          <w:i/>
          <w:iCs/>
        </w:rPr>
        <w:t xml:space="preserve">Ex </w:t>
      </w:r>
      <w:r w:rsidRPr="008C2DD4" w:rsidR="00C76E00">
        <w:rPr>
          <w:i/>
          <w:iCs/>
        </w:rPr>
        <w:t>Parte</w:t>
      </w:r>
      <w:r w:rsidR="00C76E00">
        <w:t xml:space="preserve"> ET Docket No. </w:t>
      </w:r>
      <w:r w:rsidR="008C2DD4">
        <w:t xml:space="preserve">21-352, </w:t>
      </w:r>
      <w:r w:rsidR="00DB0D31">
        <w:t xml:space="preserve">at </w:t>
      </w:r>
      <w:r w:rsidR="00122A17">
        <w:t>2;</w:t>
      </w:r>
      <w:r w:rsidR="00113D8F">
        <w:t xml:space="preserve"> </w:t>
      </w:r>
      <w:r w:rsidR="00832ADB">
        <w:t>Response to Commission Questions Regarding Nokia’s Proposal to be Approved as an Automated Frequency Coordination (AFC) System Operator, ET Docket No. 21-352, at 5 (filed April 14, 2022)</w:t>
      </w:r>
      <w:r w:rsidR="00A93C08">
        <w:t>.</w:t>
      </w:r>
      <w:r w:rsidR="00122A17">
        <w:t xml:space="preserve"> </w:t>
      </w:r>
      <w:r w:rsidR="00C72DAD">
        <w:t xml:space="preserve"> </w:t>
      </w:r>
    </w:p>
  </w:footnote>
  <w:footnote w:id="43">
    <w:p w:rsidR="00CD2711" w14:paraId="26AD8F5E" w14:textId="26B463D7">
      <w:pPr>
        <w:pStyle w:val="FootnoteText"/>
      </w:pPr>
      <w:r>
        <w:rPr>
          <w:rStyle w:val="FootnoteReference"/>
        </w:rPr>
        <w:footnoteRef/>
      </w:r>
      <w:r>
        <w:t xml:space="preserve"> </w:t>
      </w:r>
      <w:r>
        <w:t xml:space="preserve">AT&amp;T </w:t>
      </w:r>
      <w:r w:rsidR="00642F83">
        <w:t xml:space="preserve">Services </w:t>
      </w:r>
      <w:r w:rsidR="00A84A72">
        <w:t>C</w:t>
      </w:r>
      <w:r>
        <w:t xml:space="preserve">omments at 25-28; </w:t>
      </w:r>
      <w:r w:rsidR="00626E34">
        <w:t>Utilities Technology Council and Edison Electric Institute C</w:t>
      </w:r>
      <w:r>
        <w:t xml:space="preserve">omments at 6-7; </w:t>
      </w:r>
      <w:r w:rsidR="001B7857">
        <w:t xml:space="preserve">FWCC </w:t>
      </w:r>
      <w:r w:rsidR="00626E34">
        <w:t xml:space="preserve">Comments </w:t>
      </w:r>
      <w:r w:rsidR="001B7857">
        <w:t>at 9</w:t>
      </w:r>
      <w:r w:rsidR="004D045C">
        <w:t>.</w:t>
      </w:r>
      <w:r>
        <w:t xml:space="preserve"> </w:t>
      </w:r>
    </w:p>
  </w:footnote>
  <w:footnote w:id="44">
    <w:p w:rsidR="004B66C1" w14:paraId="436DFAC4" w14:textId="70AD7553">
      <w:pPr>
        <w:pStyle w:val="FootnoteText"/>
      </w:pPr>
      <w:r>
        <w:rPr>
          <w:rStyle w:val="FootnoteReference"/>
        </w:rPr>
        <w:footnoteRef/>
      </w:r>
      <w:r>
        <w:t xml:space="preserve"> </w:t>
      </w:r>
      <w:r>
        <w:t xml:space="preserve">AT&amp;T Services Comments at </w:t>
      </w:r>
      <w:r w:rsidR="00C63D8F">
        <w:t>26-27.</w:t>
      </w:r>
    </w:p>
  </w:footnote>
  <w:footnote w:id="45">
    <w:p w:rsidR="00C63D8F" w14:paraId="08906F97" w14:textId="2EE7B6B0">
      <w:pPr>
        <w:pStyle w:val="FootnoteText"/>
      </w:pPr>
      <w:r>
        <w:rPr>
          <w:rStyle w:val="FootnoteReference"/>
        </w:rPr>
        <w:footnoteRef/>
      </w:r>
      <w:r>
        <w:t xml:space="preserve"> </w:t>
      </w:r>
      <w:r>
        <w:t xml:space="preserve">AT&amp;T Comments at </w:t>
      </w:r>
      <w:r w:rsidR="0036118B">
        <w:t>27-28.</w:t>
      </w:r>
    </w:p>
  </w:footnote>
  <w:footnote w:id="46">
    <w:p w:rsidR="00617CFA" w14:paraId="6E366527" w14:textId="09A61DAA">
      <w:pPr>
        <w:pStyle w:val="FootnoteText"/>
      </w:pPr>
      <w:r>
        <w:rPr>
          <w:rStyle w:val="FootnoteReference"/>
        </w:rPr>
        <w:footnoteRef/>
      </w:r>
      <w:r>
        <w:t xml:space="preserve"> </w:t>
      </w:r>
      <w:r w:rsidRPr="00C570AF" w:rsidR="003007B9">
        <w:rPr>
          <w:i/>
          <w:iCs/>
        </w:rPr>
        <w:t>Id</w:t>
      </w:r>
      <w:r w:rsidR="003007B9">
        <w:t>. at 28</w:t>
      </w:r>
      <w:r>
        <w:t>.</w:t>
      </w:r>
    </w:p>
  </w:footnote>
  <w:footnote w:id="47">
    <w:p w:rsidR="00C96841" w14:paraId="05E4C25C" w14:textId="502989DB">
      <w:pPr>
        <w:pStyle w:val="FootnoteText"/>
      </w:pPr>
      <w:r>
        <w:rPr>
          <w:rStyle w:val="FootnoteReference"/>
        </w:rPr>
        <w:footnoteRef/>
      </w:r>
      <w:r>
        <w:t xml:space="preserve"> </w:t>
      </w:r>
      <w:r>
        <w:t xml:space="preserve">Verizon Comments at </w:t>
      </w:r>
      <w:r w:rsidR="009775EA">
        <w:t>14.</w:t>
      </w:r>
    </w:p>
  </w:footnote>
  <w:footnote w:id="48">
    <w:p w:rsidR="003329F3" w14:paraId="158AFB23" w14:textId="07CB8A10">
      <w:pPr>
        <w:pStyle w:val="FootnoteText"/>
      </w:pPr>
      <w:r>
        <w:rPr>
          <w:rStyle w:val="FootnoteReference"/>
        </w:rPr>
        <w:footnoteRef/>
      </w:r>
      <w:r>
        <w:t xml:space="preserve"> </w:t>
      </w:r>
      <w:r>
        <w:t xml:space="preserve">UTC/EEI Comments at </w:t>
      </w:r>
      <w:r w:rsidR="00373978">
        <w:t>7.</w:t>
      </w:r>
    </w:p>
  </w:footnote>
  <w:footnote w:id="49">
    <w:p w:rsidR="00617CFA" w:rsidP="00617CFA" w14:paraId="0FDE327E" w14:textId="44CCAC91">
      <w:pPr>
        <w:pStyle w:val="FootnoteText"/>
      </w:pPr>
      <w:r>
        <w:rPr>
          <w:rStyle w:val="FootnoteReference"/>
        </w:rPr>
        <w:footnoteRef/>
      </w:r>
      <w:r>
        <w:t xml:space="preserve"> </w:t>
      </w:r>
      <w:r w:rsidRPr="00C570AF" w:rsidR="001B5B8C">
        <w:rPr>
          <w:i/>
          <w:iCs/>
        </w:rPr>
        <w:t>Id</w:t>
      </w:r>
      <w:r>
        <w:t>.</w:t>
      </w:r>
    </w:p>
  </w:footnote>
  <w:footnote w:id="50">
    <w:p w:rsidR="00283840" w14:paraId="532E7133" w14:textId="7190B8D0">
      <w:pPr>
        <w:pStyle w:val="FootnoteText"/>
      </w:pPr>
      <w:r>
        <w:rPr>
          <w:rStyle w:val="FootnoteReference"/>
        </w:rPr>
        <w:footnoteRef/>
      </w:r>
      <w:r>
        <w:t xml:space="preserve"> </w:t>
      </w:r>
      <w:r>
        <w:t>FWCC Comments at 9-10.</w:t>
      </w:r>
    </w:p>
  </w:footnote>
  <w:footnote w:id="51">
    <w:p w:rsidR="00534037" w14:paraId="0C2DFA80" w14:textId="3168A0BC">
      <w:pPr>
        <w:pStyle w:val="FootnoteText"/>
      </w:pPr>
      <w:r>
        <w:rPr>
          <w:rStyle w:val="FootnoteReference"/>
        </w:rPr>
        <w:footnoteRef/>
      </w:r>
      <w:r>
        <w:t xml:space="preserve"> </w:t>
      </w:r>
      <w:r>
        <w:rPr>
          <w:i/>
          <w:iCs/>
        </w:rPr>
        <w:t>6 GHz Report and Order</w:t>
      </w:r>
      <w:r>
        <w:t xml:space="preserve">, 35 FCC </w:t>
      </w:r>
      <w:r>
        <w:t>Rcd</w:t>
      </w:r>
      <w:r>
        <w:t xml:space="preserve"> at 3871, para. 49.</w:t>
      </w:r>
    </w:p>
  </w:footnote>
  <w:footnote w:id="52">
    <w:p w:rsidR="00574947" w14:paraId="1EBC121E" w14:textId="768B409D">
      <w:pPr>
        <w:pStyle w:val="FootnoteText"/>
      </w:pPr>
      <w:r>
        <w:rPr>
          <w:rStyle w:val="FootnoteReference"/>
        </w:rPr>
        <w:footnoteRef/>
      </w:r>
      <w:r>
        <w:t xml:space="preserve"> </w:t>
      </w:r>
      <w:r w:rsidR="0026228F">
        <w:t>T</w:t>
      </w:r>
      <w:r w:rsidR="00E025E2">
        <w:t xml:space="preserve">he Wi-Fi Alliance has </w:t>
      </w:r>
      <w:r w:rsidR="00344C3D">
        <w:t xml:space="preserve">informed OET that they are working on a revision of their </w:t>
      </w:r>
      <w:r w:rsidR="00C311E4">
        <w:t>AFC System (SUT) Compliance Test Plan</w:t>
      </w:r>
      <w:r w:rsidR="00EE32A6">
        <w:t>.  The</w:t>
      </w:r>
      <w:r w:rsidR="001C7537">
        <w:t xml:space="preserve">y published the most recent version of the test plan on April 14, 2021.  </w:t>
      </w:r>
      <w:r w:rsidRPr="00426135" w:rsidR="00EE32A6">
        <w:rPr>
          <w:i/>
          <w:iCs/>
        </w:rPr>
        <w:t>Wi-Fi Alliance AFC System (SUT) Compliance Test Plan Version 1.</w:t>
      </w:r>
      <w:r w:rsidR="00EE32A6">
        <w:rPr>
          <w:i/>
          <w:iCs/>
        </w:rPr>
        <w:t>1</w:t>
      </w:r>
      <w:r w:rsidRPr="00E16CA2" w:rsidR="00EE32A6">
        <w:t xml:space="preserve">, </w:t>
      </w:r>
      <w:r w:rsidR="00EE32A6">
        <w:t>April 14</w:t>
      </w:r>
      <w:r w:rsidRPr="00E16CA2" w:rsidR="00EE32A6">
        <w:t>, 2021</w:t>
      </w:r>
      <w:r w:rsidR="00263B71">
        <w:t xml:space="preserve">, </w:t>
      </w:r>
      <w:hyperlink r:id="rId4" w:history="1">
        <w:r w:rsidRPr="00E90907" w:rsidR="00917046">
          <w:rPr>
            <w:rStyle w:val="Hyperlink"/>
          </w:rPr>
          <w:t>https://www.wi-fi.org/news-events/newsroom/wi-fi-alliance-furthers-automated-frequency-coordination-specification-and</w:t>
        </w:r>
      </w:hyperlink>
      <w:r w:rsidR="00643DA7">
        <w:t xml:space="preserve">. </w:t>
      </w:r>
      <w:r w:rsidR="00AE5909">
        <w:t xml:space="preserve"> </w:t>
      </w:r>
      <w:r w:rsidR="00E025E2">
        <w:t xml:space="preserve">The </w:t>
      </w:r>
      <w:r w:rsidR="00E025E2">
        <w:t>WinnForum</w:t>
      </w:r>
      <w:r w:rsidR="00E025E2">
        <w:t xml:space="preserve"> </w:t>
      </w:r>
      <w:r w:rsidR="004B416E">
        <w:t>submitted a draft lab approval process into the docket</w:t>
      </w:r>
      <w:r w:rsidR="007A70B0">
        <w:t xml:space="preserve"> </w:t>
      </w:r>
      <w:r w:rsidR="00917046">
        <w:t>of this proceeding</w:t>
      </w:r>
      <w:r w:rsidR="00A175C9">
        <w:t xml:space="preserve"> that they</w:t>
      </w:r>
      <w:r w:rsidR="00A956FD">
        <w:t xml:space="preserve"> indicate is being balloted by </w:t>
      </w:r>
      <w:r w:rsidR="006368F6">
        <w:t>their</w:t>
      </w:r>
      <w:r w:rsidR="00A956FD">
        <w:t xml:space="preserve"> members</w:t>
      </w:r>
      <w:r w:rsidR="00CF5B29">
        <w:t xml:space="preserve">.  </w:t>
      </w:r>
      <w:r w:rsidRPr="001C5B12" w:rsidR="004D68D6">
        <w:rPr>
          <w:i/>
          <w:iCs/>
        </w:rPr>
        <w:t>Wi</w:t>
      </w:r>
      <w:r w:rsidRPr="001C5B12" w:rsidR="006740DE">
        <w:rPr>
          <w:i/>
          <w:iCs/>
        </w:rPr>
        <w:t>reless Innovation Forum Authorized AFC System Test Lab Requirements</w:t>
      </w:r>
      <w:r w:rsidR="006740DE">
        <w:t xml:space="preserve">, </w:t>
      </w:r>
      <w:r w:rsidR="006740DE">
        <w:t>WinnForum</w:t>
      </w:r>
      <w:r w:rsidR="006740DE">
        <w:t xml:space="preserve">, </w:t>
      </w:r>
      <w:r w:rsidR="00F52921">
        <w:t xml:space="preserve">ET Docket 21-352, filed </w:t>
      </w:r>
      <w:r w:rsidR="001C5B12">
        <w:t>April 22, 2022</w:t>
      </w:r>
      <w:r w:rsidR="007A70B0">
        <w:t>.</w:t>
      </w:r>
    </w:p>
  </w:footnote>
  <w:footnote w:id="53">
    <w:p w:rsidR="007B6874" w14:paraId="6FD732C1" w14:textId="196A55E2">
      <w:pPr>
        <w:pStyle w:val="FootnoteText"/>
      </w:pPr>
      <w:r>
        <w:rPr>
          <w:rStyle w:val="FootnoteReference"/>
        </w:rPr>
        <w:footnoteRef/>
      </w:r>
      <w:r>
        <w:t xml:space="preserve"> </w:t>
      </w:r>
      <w:r>
        <w:t xml:space="preserve">APCO Comments at 4; APCO International May 31, 2022 </w:t>
      </w:r>
      <w:r w:rsidRPr="007C3FC4">
        <w:rPr>
          <w:i/>
          <w:iCs/>
        </w:rPr>
        <w:t xml:space="preserve">Ex </w:t>
      </w:r>
      <w:r w:rsidRPr="007C3FC4">
        <w:rPr>
          <w:i/>
          <w:iCs/>
        </w:rPr>
        <w:t>Parte</w:t>
      </w:r>
      <w:r>
        <w:t xml:space="preserve"> ET Docket 18-295, at 4.</w:t>
      </w:r>
    </w:p>
  </w:footnote>
  <w:footnote w:id="54">
    <w:p w:rsidR="009D598A" w14:paraId="5689731F" w14:textId="2F9E7FEC">
      <w:pPr>
        <w:pStyle w:val="FootnoteText"/>
      </w:pPr>
      <w:r>
        <w:rPr>
          <w:rStyle w:val="FootnoteReference"/>
        </w:rPr>
        <w:footnoteRef/>
      </w:r>
      <w:r>
        <w:t xml:space="preserve"> </w:t>
      </w:r>
      <w:r w:rsidR="00EC0E05">
        <w:t>APCO Comments at 4.</w:t>
      </w:r>
    </w:p>
  </w:footnote>
  <w:footnote w:id="55">
    <w:p w:rsidR="00B16EDC" w:rsidP="00B16EDC" w14:paraId="3B75F293" w14:textId="6E9E5507">
      <w:pPr>
        <w:pStyle w:val="FootnoteText"/>
      </w:pPr>
      <w:r>
        <w:rPr>
          <w:rStyle w:val="FootnoteReference"/>
        </w:rPr>
        <w:footnoteRef/>
      </w:r>
      <w:r>
        <w:t xml:space="preserve"> </w:t>
      </w:r>
      <w:r w:rsidRPr="00C570AF" w:rsidR="007426FD">
        <w:rPr>
          <w:i/>
          <w:iCs/>
        </w:rPr>
        <w:t>Id</w:t>
      </w:r>
      <w:r>
        <w:t>.</w:t>
      </w:r>
    </w:p>
  </w:footnote>
  <w:footnote w:id="56">
    <w:p w:rsidR="00FE0C18" w14:paraId="1902CC4B" w14:textId="3DF55589">
      <w:pPr>
        <w:pStyle w:val="FootnoteText"/>
      </w:pPr>
      <w:r>
        <w:rPr>
          <w:rStyle w:val="FootnoteReference"/>
        </w:rPr>
        <w:footnoteRef/>
      </w:r>
      <w:r>
        <w:t xml:space="preserve"> </w:t>
      </w:r>
      <w:r w:rsidR="00C0793C">
        <w:t>Pe</w:t>
      </w:r>
      <w:r w:rsidR="008E2304">
        <w:t>tition for Rulemaking</w:t>
      </w:r>
      <w:r w:rsidR="00C60009">
        <w:t xml:space="preserve"> of Utilities Technology Council</w:t>
      </w:r>
      <w:r w:rsidR="00CF3BAD">
        <w:t xml:space="preserve">, Edison Electric Institute, </w:t>
      </w:r>
      <w:r w:rsidR="00226EBE">
        <w:t>et al.</w:t>
      </w:r>
      <w:r w:rsidR="00FF3657">
        <w:t>, ET Docket No. 18-295</w:t>
      </w:r>
      <w:r w:rsidR="006B76CD">
        <w:t>, at 4-5</w:t>
      </w:r>
      <w:r w:rsidR="00FF3657">
        <w:t xml:space="preserve"> (filed Dec. 7, 2021)</w:t>
      </w:r>
      <w:r w:rsidR="00B01F46">
        <w:t xml:space="preserve"> (</w:t>
      </w:r>
      <w:r w:rsidRPr="00C570AF" w:rsidR="00CD0ECA">
        <w:t>citing</w:t>
      </w:r>
      <w:r w:rsidR="00CD0ECA">
        <w:rPr>
          <w:i/>
          <w:iCs/>
        </w:rPr>
        <w:t xml:space="preserve"> </w:t>
      </w:r>
      <w:r w:rsidR="00CD0ECA">
        <w:t xml:space="preserve">Letter from Larry Butts, Manager, Telecom Engineering, Southern Company Services, Inc. to Marlene H. Dortch, Secretary, Federal Communications Commission in ET Docket No. 18-295 and GN Docket No. 17-183 (filed June 23, 2021) </w:t>
      </w:r>
      <w:r w:rsidRPr="00C570AF" w:rsidR="00CD0ECA">
        <w:t>and</w:t>
      </w:r>
      <w:r w:rsidR="00CD0ECA">
        <w:rPr>
          <w:i/>
          <w:iCs/>
        </w:rPr>
        <w:t xml:space="preserve"> </w:t>
      </w:r>
      <w:r w:rsidR="00CD0ECA">
        <w:t>Attachment A: Test Report on the Effects of 6 GHz Unlicensed RLAN Units on Fortson to Columbus Microwave Link June 21, 2021</w:t>
      </w:r>
      <w:r w:rsidR="00C2402D">
        <w:t>)</w:t>
      </w:r>
      <w:r w:rsidR="00D445E8">
        <w:t xml:space="preserve">; Request for Stay of Utilities Technology Council, Edison Electric Institute, et al., ET Docket No. 18-295, </w:t>
      </w:r>
      <w:r w:rsidR="002013E7">
        <w:t xml:space="preserve">at 2 </w:t>
      </w:r>
      <w:r w:rsidR="004741B8">
        <w:t>(filed Dec. 7, 2021)</w:t>
      </w:r>
      <w:r>
        <w:t xml:space="preserve">.  </w:t>
      </w:r>
    </w:p>
  </w:footnote>
  <w:footnote w:id="57">
    <w:p w:rsidR="007D5FF3" w:rsidP="007D5FF3" w14:paraId="470ECBF1" w14:textId="0967BDF8">
      <w:pPr>
        <w:pStyle w:val="FootnoteText"/>
      </w:pPr>
      <w:r>
        <w:rPr>
          <w:rStyle w:val="FootnoteReference"/>
        </w:rPr>
        <w:footnoteRef/>
      </w:r>
      <w:r>
        <w:t xml:space="preserve"> </w:t>
      </w:r>
      <w:bookmarkStart w:id="4" w:name="_Hlk101366690"/>
      <w:r>
        <w:t>47 CFR §</w:t>
      </w:r>
      <w:r w:rsidR="00FD3A19">
        <w:t xml:space="preserve"> </w:t>
      </w:r>
      <w:r>
        <w:t>15.407(k)(8)(v).</w:t>
      </w:r>
      <w:bookmarkEnd w:id="4"/>
    </w:p>
  </w:footnote>
  <w:footnote w:id="58">
    <w:p w:rsidR="007D5FF3" w:rsidP="007D5FF3" w14:paraId="1DB2B92A" w14:textId="0CD7839C">
      <w:pPr>
        <w:pStyle w:val="FootnoteText"/>
      </w:pPr>
      <w:r>
        <w:rPr>
          <w:rStyle w:val="FootnoteReference"/>
        </w:rPr>
        <w:footnoteRef/>
      </w:r>
      <w:r>
        <w:t xml:space="preserve"> </w:t>
      </w:r>
      <w:r>
        <w:t xml:space="preserve">AT&amp;T </w:t>
      </w:r>
      <w:r w:rsidR="00967BCC">
        <w:t>C</w:t>
      </w:r>
      <w:r>
        <w:t>omments at 10</w:t>
      </w:r>
      <w:r w:rsidR="00106A02">
        <w:t xml:space="preserve">; AT&amp;T Services April 26, 2022 </w:t>
      </w:r>
      <w:r w:rsidRPr="0056073C" w:rsidR="00106A02">
        <w:rPr>
          <w:i/>
          <w:iCs/>
        </w:rPr>
        <w:t xml:space="preserve">Ex </w:t>
      </w:r>
      <w:r w:rsidRPr="0056073C" w:rsidR="00106A02">
        <w:rPr>
          <w:i/>
          <w:iCs/>
        </w:rPr>
        <w:t>Parte</w:t>
      </w:r>
      <w:r w:rsidR="00106A02">
        <w:t>, ET Docket No. 18-295, at 14-15.</w:t>
      </w:r>
    </w:p>
  </w:footnote>
  <w:footnote w:id="59">
    <w:p w:rsidR="00424A7D" w:rsidP="00424A7D" w14:paraId="30BD85C7" w14:textId="1B307DC5">
      <w:pPr>
        <w:pStyle w:val="FootnoteText"/>
      </w:pPr>
      <w:r>
        <w:rPr>
          <w:rStyle w:val="FootnoteReference"/>
        </w:rPr>
        <w:footnoteRef/>
      </w:r>
      <w:r>
        <w:t xml:space="preserve"> </w:t>
      </w:r>
      <w:r>
        <w:t xml:space="preserve">AT&amp;T </w:t>
      </w:r>
      <w:r w:rsidR="00967BCC">
        <w:t>C</w:t>
      </w:r>
      <w:r>
        <w:t xml:space="preserve">omments at 11 (discussing the </w:t>
      </w:r>
      <w:r w:rsidRPr="00C13CA9">
        <w:rPr>
          <w:i/>
          <w:iCs/>
        </w:rPr>
        <w:t>AFC DUT (AFC DUT) Compliance Test Plan</w:t>
      </w:r>
      <w:r>
        <w:t>, Draft Version 1.0.6, Wi-Fi Alliance, at 6 (dated Nov. 22, 2021)).</w:t>
      </w:r>
    </w:p>
  </w:footnote>
  <w:footnote w:id="60">
    <w:p w:rsidR="00FD3A19" w:rsidP="00FD3A19" w14:paraId="77000CA4" w14:textId="2ECD0DC2">
      <w:pPr>
        <w:pStyle w:val="FootnoteText"/>
      </w:pPr>
      <w:r>
        <w:rPr>
          <w:rStyle w:val="FootnoteReference"/>
        </w:rPr>
        <w:footnoteRef/>
      </w:r>
      <w:r>
        <w:t xml:space="preserve"> </w:t>
      </w:r>
      <w:r>
        <w:t>[</w:t>
      </w:r>
      <w:r w:rsidRPr="00C570AF" w:rsidR="00D717C1">
        <w:rPr>
          <w:i/>
          <w:iCs/>
        </w:rPr>
        <w:t>Id</w:t>
      </w:r>
      <w:r>
        <w:t>.</w:t>
      </w:r>
    </w:p>
  </w:footnote>
  <w:footnote w:id="61">
    <w:p w:rsidR="00C9180C" w14:paraId="3EB73B88" w14:textId="284A19BF">
      <w:pPr>
        <w:pStyle w:val="FootnoteText"/>
      </w:pPr>
      <w:r>
        <w:rPr>
          <w:rStyle w:val="FootnoteReference"/>
        </w:rPr>
        <w:footnoteRef/>
      </w:r>
      <w:r>
        <w:t xml:space="preserve"> </w:t>
      </w:r>
      <w:r w:rsidR="003F6903">
        <w:t xml:space="preserve">AT&amp;T </w:t>
      </w:r>
      <w:r w:rsidR="00967BCC">
        <w:t>C</w:t>
      </w:r>
      <w:r w:rsidR="003F6903">
        <w:t>omments at 11</w:t>
      </w:r>
      <w:r w:rsidR="00687EE2">
        <w:t xml:space="preserve"> (discussing the </w:t>
      </w:r>
      <w:r w:rsidRPr="001D1A87" w:rsidR="000E6B72">
        <w:rPr>
          <w:i/>
          <w:iCs/>
        </w:rPr>
        <w:t>AFC System to AFC Device Interface Specification</w:t>
      </w:r>
      <w:r w:rsidR="000E6B72">
        <w:t>, Version 1.1, Wi-Fi Alliance, at 10 (dated Nov. 29, 2021))</w:t>
      </w:r>
      <w:r w:rsidR="003F6903">
        <w:t>.</w:t>
      </w:r>
    </w:p>
  </w:footnote>
  <w:footnote w:id="62">
    <w:p w:rsidR="00606E91" w:rsidP="00606E91" w14:paraId="235F8500" w14:textId="0E23C2C3">
      <w:pPr>
        <w:pStyle w:val="FootnoteText"/>
      </w:pPr>
      <w:r>
        <w:rPr>
          <w:rStyle w:val="FootnoteReference"/>
        </w:rPr>
        <w:footnoteRef/>
      </w:r>
      <w:r>
        <w:t xml:space="preserve"> </w:t>
      </w:r>
      <w:r>
        <w:t xml:space="preserve">Verizon </w:t>
      </w:r>
      <w:r w:rsidR="00967BCC">
        <w:t>C</w:t>
      </w:r>
      <w:r>
        <w:t>omments at 11</w:t>
      </w:r>
      <w:r w:rsidR="005776B3">
        <w:t>.</w:t>
      </w:r>
    </w:p>
  </w:footnote>
  <w:footnote w:id="63">
    <w:p w:rsidR="00606E91" w:rsidP="00606E91" w14:paraId="227E035B" w14:textId="77777777">
      <w:pPr>
        <w:pStyle w:val="FootnoteText"/>
      </w:pPr>
      <w:r>
        <w:rPr>
          <w:rStyle w:val="FootnoteReference"/>
        </w:rPr>
        <w:footnoteRef/>
      </w:r>
      <w:r>
        <w:t xml:space="preserve"> </w:t>
      </w:r>
      <w:r w:rsidRPr="00080527">
        <w:rPr>
          <w:i/>
          <w:iCs/>
        </w:rPr>
        <w:t>Id</w:t>
      </w:r>
      <w:r>
        <w:t>.</w:t>
      </w:r>
    </w:p>
  </w:footnote>
  <w:footnote w:id="64">
    <w:p w:rsidR="00606E91" w:rsidP="00606E91" w14:paraId="57536FEE" w14:textId="0239BC8C">
      <w:pPr>
        <w:pStyle w:val="FootnoteText"/>
      </w:pPr>
      <w:r>
        <w:rPr>
          <w:rStyle w:val="FootnoteReference"/>
        </w:rPr>
        <w:footnoteRef/>
      </w:r>
      <w:r>
        <w:t xml:space="preserve"> </w:t>
      </w:r>
      <w:r w:rsidRPr="006E2A0D">
        <w:rPr>
          <w:i/>
          <w:iCs/>
        </w:rPr>
        <w:t>Id</w:t>
      </w:r>
      <w:r>
        <w:t xml:space="preserve">. </w:t>
      </w:r>
      <w:r w:rsidR="00080527">
        <w:t xml:space="preserve">at </w:t>
      </w:r>
      <w:r>
        <w:t xml:space="preserve">12 </w:t>
      </w:r>
      <w:r w:rsidR="005776B3">
        <w:t>(</w:t>
      </w:r>
      <w:r>
        <w:t xml:space="preserve">citing </w:t>
      </w:r>
      <w:r w:rsidRPr="002F6A11">
        <w:rPr>
          <w:i/>
          <w:iCs/>
        </w:rPr>
        <w:t xml:space="preserve">Revision of Part 15 of the Commission’s Rules to Permit Unlicensed National Information Infrastructure (U-NII) Devices </w:t>
      </w:r>
      <w:r w:rsidR="007F5BBE">
        <w:rPr>
          <w:i/>
          <w:iCs/>
        </w:rPr>
        <w:t>in</w:t>
      </w:r>
      <w:r w:rsidRPr="002F6A11">
        <w:rPr>
          <w:i/>
          <w:iCs/>
        </w:rPr>
        <w:t xml:space="preserve"> the 5 GHz Band</w:t>
      </w:r>
      <w:r w:rsidRPr="002F6A11">
        <w:t xml:space="preserve">, First Report and Order, 29 FCC </w:t>
      </w:r>
      <w:r w:rsidRPr="002F6A11">
        <w:t>Rcd</w:t>
      </w:r>
      <w:r w:rsidRPr="002F6A11">
        <w:t xml:space="preserve"> 4127, 4130-31 ¶¶ 11-12 (2014)</w:t>
      </w:r>
      <w:r w:rsidR="005776B3">
        <w:t>)</w:t>
      </w:r>
      <w:r w:rsidR="003F41D6">
        <w:t xml:space="preserve">; </w:t>
      </w:r>
      <w:r w:rsidR="006E2911">
        <w:rPr>
          <w:i/>
          <w:iCs/>
        </w:rPr>
        <w:t>s</w:t>
      </w:r>
      <w:r w:rsidRPr="00F20923" w:rsidR="006E2911">
        <w:rPr>
          <w:i/>
          <w:iCs/>
        </w:rPr>
        <w:t xml:space="preserve">ee </w:t>
      </w:r>
      <w:r w:rsidRPr="00F20923" w:rsidR="003F41D6">
        <w:rPr>
          <w:i/>
          <w:iCs/>
        </w:rPr>
        <w:t>also</w:t>
      </w:r>
      <w:r w:rsidR="003F41D6">
        <w:t xml:space="preserve"> AT&amp;T Services April 26, 2022 </w:t>
      </w:r>
      <w:r w:rsidRPr="0056073C" w:rsidR="003F41D6">
        <w:rPr>
          <w:i/>
          <w:iCs/>
        </w:rPr>
        <w:t xml:space="preserve">Ex </w:t>
      </w:r>
      <w:r w:rsidRPr="0056073C" w:rsidR="003F41D6">
        <w:rPr>
          <w:i/>
          <w:iCs/>
        </w:rPr>
        <w:t>Parte</w:t>
      </w:r>
      <w:r w:rsidR="003F41D6">
        <w:t>, ET Docket No. 18-295, at</w:t>
      </w:r>
      <w:r w:rsidR="00F20923">
        <w:t xml:space="preserve"> 15 (incorrectly claiming that Verizon observed </w:t>
      </w:r>
      <w:r w:rsidR="00895FDE">
        <w:t>White Space Devices were hacked causing interference to Doppler Weather Radar)</w:t>
      </w:r>
      <w:r w:rsidR="005776B3">
        <w:t>.</w:t>
      </w:r>
    </w:p>
  </w:footnote>
  <w:footnote w:id="65">
    <w:p w:rsidR="007D5FF3" w:rsidP="007D5FF3" w14:paraId="1096E359" w14:textId="1A7341EE">
      <w:pPr>
        <w:pStyle w:val="FootnoteText"/>
      </w:pPr>
      <w:r>
        <w:rPr>
          <w:rStyle w:val="FootnoteReference"/>
        </w:rPr>
        <w:footnoteRef/>
      </w:r>
      <w:r>
        <w:t xml:space="preserve"> </w:t>
      </w:r>
      <w:r w:rsidR="002B7591">
        <w:t>Verizon C</w:t>
      </w:r>
      <w:r>
        <w:t>omments at 11.</w:t>
      </w:r>
    </w:p>
  </w:footnote>
  <w:footnote w:id="66">
    <w:p w:rsidR="005C0826" w14:paraId="5E82BA1A" w14:textId="4143A694">
      <w:pPr>
        <w:pStyle w:val="FootnoteText"/>
      </w:pPr>
      <w:r>
        <w:rPr>
          <w:rStyle w:val="FootnoteReference"/>
        </w:rPr>
        <w:footnoteRef/>
      </w:r>
      <w:r>
        <w:t xml:space="preserve"> </w:t>
      </w:r>
      <w:r>
        <w:t xml:space="preserve">Verizon Comments at </w:t>
      </w:r>
      <w:r w:rsidR="002B7591">
        <w:t>13.</w:t>
      </w:r>
    </w:p>
  </w:footnote>
  <w:footnote w:id="67">
    <w:p w:rsidR="00840FB8" w14:paraId="203C2572" w14:textId="1F5A466B">
      <w:pPr>
        <w:pStyle w:val="FootnoteText"/>
      </w:pPr>
      <w:r>
        <w:rPr>
          <w:rStyle w:val="FootnoteReference"/>
        </w:rPr>
        <w:footnoteRef/>
      </w:r>
      <w:r>
        <w:t xml:space="preserve"> </w:t>
      </w:r>
      <w:r>
        <w:t xml:space="preserve">Verizon May 16, 2022 </w:t>
      </w:r>
      <w:r w:rsidRPr="00840FB8">
        <w:rPr>
          <w:i/>
          <w:iCs/>
        </w:rPr>
        <w:t xml:space="preserve">Ex </w:t>
      </w:r>
      <w:r w:rsidRPr="00840FB8">
        <w:rPr>
          <w:i/>
          <w:iCs/>
        </w:rPr>
        <w:t>Parte</w:t>
      </w:r>
      <w:r>
        <w:t>, ET Docket No. 21-352, at 3.</w:t>
      </w:r>
    </w:p>
  </w:footnote>
  <w:footnote w:id="68">
    <w:p w:rsidR="009D6D28" w14:paraId="0BA0C75F" w14:textId="60DDE2A9">
      <w:pPr>
        <w:pStyle w:val="FootnoteText"/>
      </w:pPr>
      <w:r>
        <w:rPr>
          <w:rStyle w:val="FootnoteReference"/>
        </w:rPr>
        <w:footnoteRef/>
      </w:r>
      <w:r>
        <w:t xml:space="preserve"> </w:t>
      </w:r>
      <w:r>
        <w:t>FWCC Comments at 6.</w:t>
      </w:r>
    </w:p>
  </w:footnote>
  <w:footnote w:id="69">
    <w:p w:rsidR="009D6D28" w14:paraId="1FC3AE2F" w14:textId="5AB8F4D0">
      <w:pPr>
        <w:pStyle w:val="FootnoteText"/>
      </w:pPr>
      <w:r>
        <w:rPr>
          <w:rStyle w:val="FootnoteReference"/>
        </w:rPr>
        <w:footnoteRef/>
      </w:r>
      <w:r>
        <w:t xml:space="preserve"> </w:t>
      </w:r>
      <w:r>
        <w:t>FWCC Comments at 6.</w:t>
      </w:r>
    </w:p>
  </w:footnote>
  <w:footnote w:id="70">
    <w:p w:rsidR="006537D0" w:rsidP="006537D0" w14:paraId="6E48A305" w14:textId="77777777">
      <w:pPr>
        <w:pStyle w:val="FootnoteText"/>
      </w:pPr>
      <w:r>
        <w:rPr>
          <w:rStyle w:val="FootnoteReference"/>
        </w:rPr>
        <w:footnoteRef/>
      </w:r>
      <w:r>
        <w:t xml:space="preserve"> </w:t>
      </w:r>
      <w:r>
        <w:t xml:space="preserve">APCO comments at 3. </w:t>
      </w:r>
    </w:p>
  </w:footnote>
  <w:footnote w:id="71">
    <w:p w:rsidR="00F659B6" w14:paraId="1BC4DE79" w14:textId="64A89C40">
      <w:pPr>
        <w:pStyle w:val="FootnoteText"/>
      </w:pPr>
      <w:r>
        <w:rPr>
          <w:rStyle w:val="FootnoteReference"/>
        </w:rPr>
        <w:footnoteRef/>
      </w:r>
      <w:r w:rsidR="00DC5EE0">
        <w:t xml:space="preserve"> </w:t>
      </w:r>
      <w:r w:rsidR="00DC5EE0">
        <w:t xml:space="preserve">Broadcom Inc. Proposal to be Approved at an Automated Frequency Coordination System Operator at </w:t>
      </w:r>
      <w:r w:rsidR="002C5A2B">
        <w:t xml:space="preserve">12; </w:t>
      </w:r>
      <w:r w:rsidR="002C5A2B">
        <w:t>Comsearch</w:t>
      </w:r>
      <w:r w:rsidR="002C5A2B">
        <w:t xml:space="preserve"> Proposal </w:t>
      </w:r>
      <w:r w:rsidR="007C5EDF">
        <w:t xml:space="preserve">to be Designated as a 6 GHz Automated Frequency Coordination System Operator at 7; </w:t>
      </w:r>
      <w:r w:rsidR="008772CA">
        <w:t>Proposal</w:t>
      </w:r>
      <w:r w:rsidR="00311EB3">
        <w:t xml:space="preserve"> by RED Technol</w:t>
      </w:r>
      <w:r w:rsidR="00764BE9">
        <w:t>o</w:t>
      </w:r>
      <w:r w:rsidR="00311EB3">
        <w:t xml:space="preserve">gies for Operating an AFC System </w:t>
      </w:r>
      <w:r w:rsidR="00764BE9">
        <w:t>at 14; Proposal of Sony Group Corporation to Serve as an Automated Frequency Coordinat</w:t>
      </w:r>
      <w:r w:rsidR="004749E6">
        <w:t xml:space="preserve">ion System Operator at 6; </w:t>
      </w:r>
      <w:r w:rsidR="00E73649">
        <w:t>Kyrio</w:t>
      </w:r>
      <w:r w:rsidR="00E73649">
        <w:t xml:space="preserve"> Proposal to Serve as an Automated Frequency Coordination System Operator </w:t>
      </w:r>
      <w:r w:rsidR="008450A7">
        <w:t xml:space="preserve">at 11-12; </w:t>
      </w:r>
      <w:r w:rsidR="007F3B24">
        <w:t xml:space="preserve">Key Bridge Wireless </w:t>
      </w:r>
      <w:r w:rsidR="00642893">
        <w:t>Proposal to Administer an Automated Frequency Coordination System</w:t>
      </w:r>
      <w:r w:rsidR="00D945FB">
        <w:t xml:space="preserve"> at 9-10; Proposal of Wi-Fi Alliance</w:t>
      </w:r>
      <w:r w:rsidR="001660E8">
        <w:t xml:space="preserve"> at 9; Qualcomm Incorporated Application to be Authorized as 6 GHz Band Automated Frequency Coordination System Operator at</w:t>
      </w:r>
      <w:r w:rsidR="005C12FA">
        <w:t xml:space="preserve"> 7; Plume Design Inc. (</w:t>
      </w:r>
      <w:r w:rsidR="007C3943">
        <w:t xml:space="preserve">“Plume”) Proposal for Approval as an Automated Frequency Coordination System Operator at </w:t>
      </w:r>
      <w:r w:rsidR="00D07A71">
        <w:t>9</w:t>
      </w:r>
      <w:r w:rsidR="00912FE0">
        <w:t xml:space="preserve">; Proposal by Federated Wireless, Inc. to Serve as an Automated </w:t>
      </w:r>
      <w:r w:rsidR="008772CA">
        <w:t>Frequency</w:t>
      </w:r>
      <w:r w:rsidR="00912FE0">
        <w:t xml:space="preserve"> Coordination System Operator in the 6 GHz Band at 14-15.</w:t>
      </w:r>
    </w:p>
  </w:footnote>
  <w:footnote w:id="72">
    <w:p w:rsidR="009821ED" w14:paraId="644B2F6A" w14:textId="1FD47701">
      <w:pPr>
        <w:pStyle w:val="FootnoteText"/>
      </w:pPr>
      <w:r>
        <w:rPr>
          <w:rStyle w:val="FootnoteReference"/>
        </w:rPr>
        <w:footnoteRef/>
      </w:r>
      <w:r>
        <w:t xml:space="preserve"> </w:t>
      </w:r>
      <w:r>
        <w:t>Google Proposal to be Approved as an Automated Frequency Coordination System Operator</w:t>
      </w:r>
      <w:r w:rsidR="00F5266F">
        <w:t xml:space="preserve"> at 8-9; </w:t>
      </w:r>
      <w:r w:rsidR="00C82248">
        <w:t xml:space="preserve">Proposal of </w:t>
      </w:r>
      <w:r w:rsidR="00CF6C0F">
        <w:t xml:space="preserve">Nokia to be Approved as an Automated Frequency Coordination System Operator at </w:t>
      </w:r>
      <w:r w:rsidR="00E8794B">
        <w:t>7-8</w:t>
      </w:r>
      <w:r w:rsidR="00213BF3">
        <w:t>; Wireless Broadband Alliance Ltd. Application to Become an Automated Frequency Coordination (AFC) System Operator at</w:t>
      </w:r>
      <w:r w:rsidR="00F83582">
        <w:t xml:space="preserve"> 16.  </w:t>
      </w:r>
    </w:p>
  </w:footnote>
  <w:footnote w:id="73">
    <w:p w:rsidR="00602547" w14:paraId="12F25D45" w14:textId="400E8483">
      <w:pPr>
        <w:pStyle w:val="FootnoteText"/>
      </w:pPr>
      <w:r>
        <w:rPr>
          <w:rStyle w:val="FootnoteReference"/>
        </w:rPr>
        <w:footnoteRef/>
      </w:r>
      <w:r>
        <w:t xml:space="preserve"> </w:t>
      </w:r>
      <w:bookmarkStart w:id="6" w:name="_Hlk106271374"/>
      <w:r>
        <w:t xml:space="preserve">Broadcom Inc. Proposal to be Approved at an Automated Frequency Coordination System Operator at 12; </w:t>
      </w:r>
      <w:r>
        <w:t>Comsearch</w:t>
      </w:r>
      <w:r>
        <w:t xml:space="preserve"> Proposal to be Designated as a 6 GHz Automated Frequency Coordination System Operator at </w:t>
      </w:r>
      <w:r w:rsidR="00E63452">
        <w:t>8</w:t>
      </w:r>
      <w:r>
        <w:t xml:space="preserve">; </w:t>
      </w:r>
      <w:r w:rsidR="003E71D8">
        <w:t>Proposal</w:t>
      </w:r>
      <w:r>
        <w:t xml:space="preserve"> by RED Technologies for Operating an AFC System at </w:t>
      </w:r>
      <w:r w:rsidR="00E63452">
        <w:t>7</w:t>
      </w:r>
      <w:r>
        <w:t xml:space="preserve">; Proposal of Sony Group Corporation to Serve as an Automated Frequency Coordination System Operator at </w:t>
      </w:r>
      <w:r w:rsidR="00E63452">
        <w:t>5-6</w:t>
      </w:r>
      <w:r>
        <w:t xml:space="preserve">; </w:t>
      </w:r>
      <w:r>
        <w:t>Kyrio</w:t>
      </w:r>
      <w:r>
        <w:t xml:space="preserve"> Proposal to Serve as an Automated Frequency Coordination System Operator at </w:t>
      </w:r>
      <w:r w:rsidR="002C71AC">
        <w:t>5</w:t>
      </w:r>
      <w:r>
        <w:t xml:space="preserve">; </w:t>
      </w:r>
      <w:r w:rsidR="00A7322B">
        <w:t xml:space="preserve">Key Bridge Wireless </w:t>
      </w:r>
      <w:r>
        <w:t>Proposal to Administer an Automated Frequency Coordination System at</w:t>
      </w:r>
      <w:r w:rsidR="00ED4F64">
        <w:t xml:space="preserve"> </w:t>
      </w:r>
      <w:r w:rsidR="00A7322B">
        <w:t>6</w:t>
      </w:r>
      <w:r>
        <w:t xml:space="preserve">; Proposal of Wi-Fi Alliance at </w:t>
      </w:r>
      <w:r w:rsidR="00E279C5">
        <w:t>10</w:t>
      </w:r>
      <w:r>
        <w:t xml:space="preserve">; Qualcomm Incorporated Application to be Authorized as 6 GHz Band Automated Frequency Coordination System Operator at </w:t>
      </w:r>
      <w:r w:rsidR="00C51ACF">
        <w:t>2</w:t>
      </w:r>
      <w:r>
        <w:t xml:space="preserve">; Plume Design Inc. (“Plume”) Proposal for Approval as an Automated Frequency Coordination System Operator at </w:t>
      </w:r>
      <w:r w:rsidR="00E279C5">
        <w:t>4</w:t>
      </w:r>
      <w:r>
        <w:t xml:space="preserve">; Proposal by Federated Wireless, Inc. to Serve as an Automated </w:t>
      </w:r>
      <w:r w:rsidR="003E71D8">
        <w:t>Frequency</w:t>
      </w:r>
      <w:r>
        <w:t xml:space="preserve"> Coordination System Operator in the 6 GHz Band at </w:t>
      </w:r>
      <w:r w:rsidR="00A42217">
        <w:t>8,</w:t>
      </w:r>
      <w:r w:rsidR="00B127C7">
        <w:t xml:space="preserve"> </w:t>
      </w:r>
      <w:r>
        <w:t xml:space="preserve">15; Google Proposal to be Approved as an Automated Frequency Coordination System Operator at </w:t>
      </w:r>
      <w:r w:rsidR="00B127C7">
        <w:t>10</w:t>
      </w:r>
      <w:r>
        <w:t xml:space="preserve">; Proposal of Nokia to be Approved as an Automated Frequency Coordination System Operator at </w:t>
      </w:r>
      <w:r w:rsidR="00CA3238">
        <w:t>4</w:t>
      </w:r>
      <w:r>
        <w:t xml:space="preserve">; Wireless Broadband Alliance Ltd. Application to Become an Automated Frequency Coordination (AFC) System Operator at </w:t>
      </w:r>
      <w:r w:rsidR="00CA3238">
        <w:t>8</w:t>
      </w:r>
      <w:r>
        <w:t xml:space="preserve">.  </w:t>
      </w:r>
      <w:bookmarkEnd w:id="6"/>
    </w:p>
  </w:footnote>
  <w:footnote w:id="74">
    <w:p w:rsidR="00E56188" w:rsidP="00E56188" w14:paraId="2F1274BD" w14:textId="1E03FA76">
      <w:pPr>
        <w:pStyle w:val="FootnoteText"/>
      </w:pPr>
      <w:r>
        <w:rPr>
          <w:rStyle w:val="FootnoteReference"/>
        </w:rPr>
        <w:footnoteRef/>
      </w:r>
      <w:r>
        <w:t xml:space="preserve"> </w:t>
      </w:r>
      <w:r>
        <w:t xml:space="preserve">Wi-Fi Alliance Supplemental filing at 3, </w:t>
      </w:r>
      <w:r w:rsidR="00F82E73">
        <w:t>(</w:t>
      </w:r>
      <w:r>
        <w:t>February, 22 2022</w:t>
      </w:r>
      <w:r w:rsidR="001D0C11">
        <w:t>)</w:t>
      </w:r>
      <w:r w:rsidR="00CA0B92">
        <w:t xml:space="preserve">; </w:t>
      </w:r>
      <w:r w:rsidRPr="004C4320" w:rsidR="00CA0B92">
        <w:rPr>
          <w:i/>
          <w:iCs/>
        </w:rPr>
        <w:t>AFC System to AFC Device Interface Specification</w:t>
      </w:r>
      <w:r w:rsidR="00CA0B92">
        <w:t xml:space="preserve">, </w:t>
      </w:r>
      <w:r w:rsidR="002C4F04">
        <w:t>Version 1.0, Wi-Fi Alliance, at 10</w:t>
      </w:r>
      <w:r w:rsidR="004C4320">
        <w:t>;</w:t>
      </w:r>
      <w:r>
        <w:t xml:space="preserve"> </w:t>
      </w:r>
      <w:r w:rsidR="00CA0B92">
        <w:t xml:space="preserve"> </w:t>
      </w:r>
      <w:r w:rsidR="00B63A18">
        <w:rPr>
          <w:i/>
          <w:iCs/>
        </w:rPr>
        <w:t>The Transport Layer Security (TLS) Protocol Version 1.2</w:t>
      </w:r>
      <w:r w:rsidRPr="00573A24" w:rsidR="00B63A18">
        <w:rPr>
          <w:i/>
          <w:iCs/>
        </w:rPr>
        <w:t xml:space="preserve"> ,</w:t>
      </w:r>
      <w:r w:rsidRPr="00573A24" w:rsidR="00B63A18">
        <w:t>Internet Engineering Task Force</w:t>
      </w:r>
      <w:r w:rsidR="00B63A18">
        <w:t>(IETF)</w:t>
      </w:r>
      <w:r w:rsidRPr="00573A24" w:rsidR="00B63A18">
        <w:t>, Network Working Group , Request for Comments :</w:t>
      </w:r>
      <w:r w:rsidR="00B63A18">
        <w:t>5246</w:t>
      </w:r>
      <w:r w:rsidRPr="00573A24" w:rsidR="00B63A18">
        <w:t xml:space="preserve">( </w:t>
      </w:r>
      <w:r w:rsidR="00B63A18">
        <w:t>August</w:t>
      </w:r>
      <w:r w:rsidRPr="00573A24" w:rsidR="00B63A18">
        <w:t xml:space="preserve"> 200</w:t>
      </w:r>
      <w:r w:rsidR="00B63A18">
        <w:t>8</w:t>
      </w:r>
      <w:r w:rsidRPr="00573A24" w:rsidR="00B63A18">
        <w:t>)</w:t>
      </w:r>
      <w:r w:rsidRPr="00573A24" w:rsidR="00B63A18">
        <w:rPr>
          <w:i/>
          <w:iCs/>
        </w:rPr>
        <w:t xml:space="preserve"> </w:t>
      </w:r>
      <w:hyperlink r:id="rId8" w:history="1">
        <w:r w:rsidRPr="00A96F52" w:rsidR="00B63A18">
          <w:rPr>
            <w:rStyle w:val="Hyperlink"/>
          </w:rPr>
          <w:t>https://tools.ietf.org/html/rfc5246</w:t>
        </w:r>
      </w:hyperlink>
      <w:r w:rsidR="00B63A18">
        <w:t xml:space="preserve"> .  </w:t>
      </w:r>
      <w:r w:rsidRPr="00030272" w:rsidR="00B63A18">
        <w:rPr>
          <w:i/>
          <w:iCs/>
        </w:rPr>
        <w:t>See also</w:t>
      </w:r>
      <w:r w:rsidR="00B63A18">
        <w:rPr>
          <w:i/>
          <w:iCs/>
        </w:rPr>
        <w:t>,</w:t>
      </w:r>
      <w:r w:rsidRPr="00573A24" w:rsidR="00B63A18">
        <w:t xml:space="preserve"> </w:t>
      </w:r>
      <w:r w:rsidR="00B63A18">
        <w:rPr>
          <w:i/>
          <w:iCs/>
        </w:rPr>
        <w:t>The Transport Layer Security (TLS) Protocol Version 1.3</w:t>
      </w:r>
      <w:r w:rsidRPr="00573A24" w:rsidR="00B63A18">
        <w:rPr>
          <w:i/>
          <w:iCs/>
        </w:rPr>
        <w:t xml:space="preserve"> ,</w:t>
      </w:r>
      <w:r w:rsidRPr="00573A24" w:rsidR="00B63A18">
        <w:t>Internet Engineering Task Force, Network Working Group , Request for Comments :</w:t>
      </w:r>
      <w:r w:rsidR="00B63A18">
        <w:t>8446</w:t>
      </w:r>
      <w:r w:rsidRPr="00573A24" w:rsidR="00B63A18">
        <w:t xml:space="preserve">( </w:t>
      </w:r>
      <w:r w:rsidR="00B63A18">
        <w:t>August</w:t>
      </w:r>
      <w:r w:rsidRPr="00573A24" w:rsidR="00B63A18">
        <w:t xml:space="preserve"> 20</w:t>
      </w:r>
      <w:r w:rsidR="00B63A18">
        <w:t>18</w:t>
      </w:r>
      <w:r w:rsidRPr="00573A24" w:rsidR="00B63A18">
        <w:t>)</w:t>
      </w:r>
      <w:r w:rsidR="00B63A18">
        <w:t xml:space="preserve"> </w:t>
      </w:r>
      <w:hyperlink r:id="rId9" w:history="1">
        <w:r w:rsidRPr="00A96F52" w:rsidR="00B63A18">
          <w:rPr>
            <w:rStyle w:val="Hyperlink"/>
          </w:rPr>
          <w:t>https://tools.ietf.org/html/rfc8446</w:t>
        </w:r>
      </w:hyperlink>
      <w:r w:rsidR="00B63A18">
        <w:t xml:space="preserve"> .</w:t>
      </w:r>
    </w:p>
  </w:footnote>
  <w:footnote w:id="75">
    <w:p w:rsidR="00E276F5" w14:paraId="769D30C7" w14:textId="0C963252">
      <w:pPr>
        <w:pStyle w:val="FootnoteText"/>
      </w:pPr>
      <w:r>
        <w:rPr>
          <w:rStyle w:val="FootnoteReference"/>
        </w:rPr>
        <w:footnoteRef/>
      </w:r>
      <w:r>
        <w:t xml:space="preserve"> </w:t>
      </w:r>
      <w:r w:rsidR="00E35D88">
        <w:t xml:space="preserve">Transport Layer Security, </w:t>
      </w:r>
      <w:hyperlink r:id="rId10" w:history="1">
        <w:r w:rsidRPr="009D2CC0" w:rsidR="002B5E45">
          <w:rPr>
            <w:rStyle w:val="Hyperlink"/>
          </w:rPr>
          <w:t>https://en.wikipedia.org/wiki/Transport_Layer_Security</w:t>
        </w:r>
      </w:hyperlink>
      <w:r w:rsidR="002B5E45">
        <w:t xml:space="preserve">. </w:t>
      </w:r>
    </w:p>
  </w:footnote>
  <w:footnote w:id="76">
    <w:p w:rsidR="00F158F4" w:rsidP="00F158F4" w14:paraId="1E9A984E" w14:textId="7C030280">
      <w:pPr>
        <w:pStyle w:val="FootnoteText"/>
      </w:pPr>
      <w:r>
        <w:rPr>
          <w:rStyle w:val="FootnoteReference"/>
        </w:rPr>
        <w:footnoteRef/>
      </w:r>
      <w:r>
        <w:t xml:space="preserve"> </w:t>
      </w:r>
      <w:r w:rsidRPr="004C2ED1">
        <w:t xml:space="preserve">47 CFR § </w:t>
      </w:r>
      <w:r>
        <w:t>15.407(</w:t>
      </w:r>
      <w:r>
        <w:t>i</w:t>
      </w:r>
      <w:r>
        <w:t xml:space="preserve">)(1); </w:t>
      </w:r>
      <w:r w:rsidRPr="00173AE3">
        <w:rPr>
          <w:i/>
          <w:iCs/>
        </w:rPr>
        <w:t>Revision of Part 15 of the Commission’s Rules to Permit Unlicensed National Information Infrastructure (U-NII) Devices in the 5 GHz Band</w:t>
      </w:r>
      <w:r>
        <w:t xml:space="preserve">, ET Docket No. 13-49, </w:t>
      </w:r>
      <w:r w:rsidR="00205FC7">
        <w:t xml:space="preserve">First Report and Order, </w:t>
      </w:r>
      <w:r>
        <w:t xml:space="preserve">29 FCC </w:t>
      </w:r>
      <w:r>
        <w:t>Rcd</w:t>
      </w:r>
      <w:r>
        <w:t xml:space="preserve"> 4127, 4143-44, paras. 54-57 (</w:t>
      </w:r>
      <w:r w:rsidR="00205FC7">
        <w:t>2014</w:t>
      </w:r>
      <w:r>
        <w:t>).</w:t>
      </w:r>
    </w:p>
  </w:footnote>
  <w:footnote w:id="77">
    <w:p w:rsidR="00F158F4" w:rsidP="00F158F4" w14:paraId="2BD1BCB5" w14:textId="0D730DB7">
      <w:pPr>
        <w:pStyle w:val="FootnoteText"/>
      </w:pPr>
      <w:r>
        <w:rPr>
          <w:rStyle w:val="FootnoteReference"/>
        </w:rPr>
        <w:footnoteRef/>
      </w:r>
      <w:r>
        <w:t xml:space="preserve"> </w:t>
      </w:r>
      <w:r w:rsidRPr="00F830A1">
        <w:rPr>
          <w:i/>
          <w:iCs/>
        </w:rPr>
        <w:t>Software Security Requirements for U-NII Devices</w:t>
      </w:r>
      <w:r>
        <w:t>, Office of Engineering and Technology KDB Publication 594280 D02 (Nov. 12, 2015)</w:t>
      </w:r>
      <w:r w:rsidR="005B69A5">
        <w:t xml:space="preserve">, </w:t>
      </w:r>
      <w:hyperlink r:id="rId11" w:history="1">
        <w:r w:rsidRPr="00187B4D" w:rsidR="0030711E">
          <w:rPr>
            <w:rStyle w:val="Hyperlink"/>
          </w:rPr>
          <w:t>https://apps.fcc.gov/kdb/GetAttachment.html?id=zXtrctoj6zH7oNEOO6De6g%3D%3D&amp;desc=594280%20D02%20U-NII%20Device%20Security%20v01r03&amp;tracking_number=39498</w:t>
        </w:r>
      </w:hyperlink>
      <w:r>
        <w:t>.</w:t>
      </w:r>
    </w:p>
  </w:footnote>
  <w:footnote w:id="78">
    <w:p w:rsidR="000D3F76" w14:paraId="5DEF60F5" w14:textId="6A37B1F7">
      <w:pPr>
        <w:pStyle w:val="FootnoteText"/>
      </w:pPr>
      <w:r>
        <w:rPr>
          <w:rStyle w:val="FootnoteReference"/>
        </w:rPr>
        <w:footnoteRef/>
      </w:r>
      <w:r>
        <w:t xml:space="preserve"> </w:t>
      </w:r>
      <w:r>
        <w:t xml:space="preserve">AT&amp;T </w:t>
      </w:r>
      <w:r w:rsidR="00642F83">
        <w:t xml:space="preserve">Services </w:t>
      </w:r>
      <w:r w:rsidR="00626E34">
        <w:t>C</w:t>
      </w:r>
      <w:r>
        <w:t xml:space="preserve">omments at 24.  </w:t>
      </w:r>
    </w:p>
  </w:footnote>
  <w:footnote w:id="79">
    <w:p w:rsidR="00CC636B" w14:paraId="678C3D25" w14:textId="1FAEFF96">
      <w:pPr>
        <w:pStyle w:val="FootnoteText"/>
      </w:pPr>
      <w:r>
        <w:rPr>
          <w:rStyle w:val="FootnoteReference"/>
        </w:rPr>
        <w:footnoteRef/>
      </w:r>
      <w:r>
        <w:t xml:space="preserve"> </w:t>
      </w:r>
      <w:r w:rsidRPr="00413F35">
        <w:rPr>
          <w:i/>
          <w:iCs/>
        </w:rPr>
        <w:t>Id</w:t>
      </w:r>
      <w:r>
        <w:t xml:space="preserve">. at 24-25.  </w:t>
      </w:r>
    </w:p>
  </w:footnote>
  <w:footnote w:id="80">
    <w:p w:rsidR="00890BDB" w:rsidP="00890BDB" w14:paraId="72D60210" w14:textId="1A83D8D3">
      <w:pPr>
        <w:pStyle w:val="FootnoteText"/>
      </w:pPr>
      <w:r>
        <w:rPr>
          <w:rStyle w:val="FootnoteReference"/>
        </w:rPr>
        <w:footnoteRef/>
      </w:r>
      <w:r>
        <w:t xml:space="preserve"> </w:t>
      </w:r>
      <w:r w:rsidRPr="00C570AF" w:rsidR="00527944">
        <w:rPr>
          <w:i/>
          <w:iCs/>
        </w:rPr>
        <w:t>Id</w:t>
      </w:r>
      <w:r>
        <w:t>.</w:t>
      </w:r>
      <w:r w:rsidR="00527944">
        <w:t xml:space="preserve"> at 25.</w:t>
      </w:r>
    </w:p>
  </w:footnote>
  <w:footnote w:id="81">
    <w:p w:rsidR="0082528E" w14:paraId="64BD7E8D" w14:textId="69F06CA7">
      <w:pPr>
        <w:pStyle w:val="FootnoteText"/>
      </w:pPr>
      <w:r>
        <w:rPr>
          <w:rStyle w:val="FootnoteReference"/>
        </w:rPr>
        <w:footnoteRef/>
      </w:r>
      <w:r>
        <w:t xml:space="preserve"> </w:t>
      </w:r>
      <w:r>
        <w:t xml:space="preserve">Verizon </w:t>
      </w:r>
      <w:r w:rsidR="00626E34">
        <w:t>C</w:t>
      </w:r>
      <w:r>
        <w:t>omments at 8</w:t>
      </w:r>
      <w:r w:rsidR="00890BDB">
        <w:t>.</w:t>
      </w:r>
    </w:p>
  </w:footnote>
  <w:footnote w:id="82">
    <w:p w:rsidR="00890BDB" w:rsidP="00890BDB" w14:paraId="103C243A" w14:textId="4F21C57B">
      <w:pPr>
        <w:pStyle w:val="FootnoteText"/>
      </w:pPr>
      <w:r>
        <w:rPr>
          <w:rStyle w:val="FootnoteReference"/>
        </w:rPr>
        <w:footnoteRef/>
      </w:r>
      <w:r>
        <w:t xml:space="preserve"> </w:t>
      </w:r>
      <w:r w:rsidRPr="00C570AF" w:rsidR="0078075E">
        <w:rPr>
          <w:i/>
          <w:iCs/>
        </w:rPr>
        <w:t>Id</w:t>
      </w:r>
      <w:r>
        <w:t>.</w:t>
      </w:r>
    </w:p>
  </w:footnote>
  <w:footnote w:id="83">
    <w:p w:rsidR="00890BDB" w:rsidP="00890BDB" w14:paraId="40A8A3DF" w14:textId="5DA1EDAD">
      <w:pPr>
        <w:pStyle w:val="FootnoteText"/>
      </w:pPr>
      <w:r>
        <w:rPr>
          <w:rStyle w:val="FootnoteReference"/>
        </w:rPr>
        <w:footnoteRef/>
      </w:r>
      <w:r>
        <w:t xml:space="preserve"> </w:t>
      </w:r>
      <w:r w:rsidRPr="00C570AF" w:rsidR="00D8477B">
        <w:rPr>
          <w:i/>
          <w:iCs/>
        </w:rPr>
        <w:t>Id</w:t>
      </w:r>
      <w:r>
        <w:t>.</w:t>
      </w:r>
    </w:p>
  </w:footnote>
  <w:footnote w:id="84">
    <w:p w:rsidR="000D01EC" w14:paraId="1FFF36E4" w14:textId="7E771BE3">
      <w:pPr>
        <w:pStyle w:val="FootnoteText"/>
      </w:pPr>
      <w:r>
        <w:rPr>
          <w:rStyle w:val="FootnoteReference"/>
        </w:rPr>
        <w:footnoteRef/>
      </w:r>
      <w:r>
        <w:t xml:space="preserve"> </w:t>
      </w:r>
      <w:r>
        <w:t xml:space="preserve">Verizon </w:t>
      </w:r>
      <w:r w:rsidR="004D6C27">
        <w:t xml:space="preserve">May 16, 2022 </w:t>
      </w:r>
      <w:r w:rsidRPr="004D6C27" w:rsidR="004D6C27">
        <w:rPr>
          <w:i/>
          <w:iCs/>
        </w:rPr>
        <w:t xml:space="preserve">Ex </w:t>
      </w:r>
      <w:r w:rsidRPr="004D6C27" w:rsidR="004D6C27">
        <w:rPr>
          <w:i/>
          <w:iCs/>
        </w:rPr>
        <w:t>Parte</w:t>
      </w:r>
      <w:r w:rsidR="004D6C27">
        <w:t>, ET Docket No. 21-352, at 3.</w:t>
      </w:r>
    </w:p>
  </w:footnote>
  <w:footnote w:id="85">
    <w:p w:rsidR="00846874" w14:paraId="08F51DE5" w14:textId="456B13B6">
      <w:pPr>
        <w:pStyle w:val="FootnoteText"/>
      </w:pPr>
      <w:r>
        <w:rPr>
          <w:rStyle w:val="FootnoteReference"/>
        </w:rPr>
        <w:footnoteRef/>
      </w:r>
      <w:r>
        <w:t xml:space="preserve"> </w:t>
      </w:r>
      <w:r>
        <w:t xml:space="preserve">FWCC </w:t>
      </w:r>
      <w:r w:rsidR="00626E34">
        <w:t>C</w:t>
      </w:r>
      <w:r>
        <w:t xml:space="preserve">omments at </w:t>
      </w:r>
      <w:r w:rsidR="007D479A">
        <w:t>8</w:t>
      </w:r>
      <w:r w:rsidR="00890BDB">
        <w:t xml:space="preserve"> (</w:t>
      </w:r>
      <w:r w:rsidR="00432222">
        <w:t>quoting</w:t>
      </w:r>
      <w:r w:rsidR="00890BDB">
        <w:t xml:space="preserve"> 47 CFR § 15.407(k)(15)(vi) (internal quotation marks omitted)</w:t>
      </w:r>
      <w:r w:rsidR="00432222">
        <w:t>)</w:t>
      </w:r>
      <w:r w:rsidR="00890BDB">
        <w:t>.</w:t>
      </w:r>
    </w:p>
  </w:footnote>
  <w:footnote w:id="86">
    <w:p w:rsidR="00432222" w:rsidP="00432222" w14:paraId="06A2178A" w14:textId="2827F891">
      <w:pPr>
        <w:pStyle w:val="FootnoteText"/>
      </w:pPr>
      <w:r>
        <w:rPr>
          <w:rStyle w:val="FootnoteReference"/>
        </w:rPr>
        <w:footnoteRef/>
      </w:r>
      <w:r>
        <w:t xml:space="preserve"> </w:t>
      </w:r>
      <w:r w:rsidRPr="00C570AF" w:rsidR="00C45720">
        <w:rPr>
          <w:i/>
          <w:iCs/>
        </w:rPr>
        <w:t>Id</w:t>
      </w:r>
      <w:r>
        <w:t>.</w:t>
      </w:r>
    </w:p>
  </w:footnote>
  <w:footnote w:id="87">
    <w:p w:rsidR="00EB4816" w14:paraId="17DD3F5A" w14:textId="2C52E06F">
      <w:pPr>
        <w:pStyle w:val="FootnoteText"/>
      </w:pPr>
      <w:r>
        <w:rPr>
          <w:rStyle w:val="FootnoteReference"/>
        </w:rPr>
        <w:footnoteRef/>
      </w:r>
      <w:r>
        <w:t xml:space="preserve"> </w:t>
      </w:r>
      <w:r w:rsidRPr="00413F35">
        <w:rPr>
          <w:i/>
          <w:iCs/>
        </w:rPr>
        <w:t>Id</w:t>
      </w:r>
      <w:r>
        <w:t>. at 9</w:t>
      </w:r>
      <w:r w:rsidR="007B29E0">
        <w:t>.</w:t>
      </w:r>
    </w:p>
  </w:footnote>
  <w:footnote w:id="88">
    <w:p w:rsidR="007B29E0" w14:paraId="7218E3A0" w14:textId="7D364662">
      <w:pPr>
        <w:pStyle w:val="FootnoteText"/>
      </w:pPr>
      <w:r>
        <w:rPr>
          <w:rStyle w:val="FootnoteReference"/>
        </w:rPr>
        <w:footnoteRef/>
      </w:r>
      <w:r>
        <w:t xml:space="preserve"> </w:t>
      </w:r>
      <w:r w:rsidRPr="00413F35">
        <w:rPr>
          <w:i/>
          <w:iCs/>
        </w:rPr>
        <w:t>Id</w:t>
      </w:r>
      <w:r>
        <w:t>. at 8-9.</w:t>
      </w:r>
    </w:p>
  </w:footnote>
  <w:footnote w:id="89">
    <w:p w:rsidR="00432222" w:rsidP="00432222" w14:paraId="56CE6CBB" w14:textId="207789AD">
      <w:pPr>
        <w:pStyle w:val="FootnoteText"/>
      </w:pPr>
      <w:r>
        <w:rPr>
          <w:rStyle w:val="FootnoteReference"/>
        </w:rPr>
        <w:footnoteRef/>
      </w:r>
      <w:r>
        <w:t xml:space="preserve"> </w:t>
      </w:r>
      <w:r w:rsidRPr="00C570AF" w:rsidR="00CA7FEA">
        <w:rPr>
          <w:i/>
          <w:iCs/>
        </w:rPr>
        <w:t>Id</w:t>
      </w:r>
      <w:r>
        <w:t>.</w:t>
      </w:r>
      <w:r w:rsidR="00CA7FEA">
        <w:t xml:space="preserve"> at 9.</w:t>
      </w:r>
    </w:p>
  </w:footnote>
  <w:footnote w:id="90">
    <w:p w:rsidR="00C76CC6" w14:paraId="73139014" w14:textId="2ABE1D5C">
      <w:pPr>
        <w:pStyle w:val="FootnoteText"/>
      </w:pPr>
      <w:r>
        <w:rPr>
          <w:rStyle w:val="FootnoteReference"/>
        </w:rPr>
        <w:footnoteRef/>
      </w:r>
      <w:r>
        <w:t xml:space="preserve"> </w:t>
      </w:r>
      <w:r>
        <w:t xml:space="preserve">APCO </w:t>
      </w:r>
      <w:r w:rsidR="002270DC">
        <w:t xml:space="preserve">International </w:t>
      </w:r>
      <w:r w:rsidR="00626E34">
        <w:t>C</w:t>
      </w:r>
      <w:r>
        <w:t xml:space="preserve">omments at </w:t>
      </w:r>
      <w:r w:rsidR="008B0AD7">
        <w:t>2</w:t>
      </w:r>
      <w:r w:rsidR="006B7A3D">
        <w:t xml:space="preserve">; </w:t>
      </w:r>
      <w:r w:rsidR="00432222">
        <w:rPr>
          <w:i/>
          <w:iCs/>
        </w:rPr>
        <w:t>s</w:t>
      </w:r>
      <w:r w:rsidRPr="007C3FC4" w:rsidR="00432222">
        <w:rPr>
          <w:i/>
          <w:iCs/>
        </w:rPr>
        <w:t xml:space="preserve">ee </w:t>
      </w:r>
      <w:r w:rsidRPr="007C3FC4" w:rsidR="006B7A3D">
        <w:rPr>
          <w:i/>
          <w:iCs/>
        </w:rPr>
        <w:t>also</w:t>
      </w:r>
      <w:r w:rsidR="006B7A3D">
        <w:t xml:space="preserve"> APCO International May 31, 2022 </w:t>
      </w:r>
      <w:r w:rsidRPr="007C3FC4" w:rsidR="006B7A3D">
        <w:rPr>
          <w:i/>
          <w:iCs/>
        </w:rPr>
        <w:t xml:space="preserve">Ex </w:t>
      </w:r>
      <w:r w:rsidRPr="007C3FC4" w:rsidR="006B7A3D">
        <w:rPr>
          <w:i/>
          <w:iCs/>
        </w:rPr>
        <w:t>Parte</w:t>
      </w:r>
      <w:r w:rsidR="006B7A3D">
        <w:t xml:space="preserve"> at 2 (</w:t>
      </w:r>
      <w:r w:rsidR="00432222">
        <w:t xml:space="preserve">stating that </w:t>
      </w:r>
      <w:r w:rsidR="006B7A3D">
        <w:t>applicants</w:t>
      </w:r>
      <w:r w:rsidR="00432222">
        <w:t>’</w:t>
      </w:r>
      <w:r w:rsidR="006B7A3D">
        <w:t xml:space="preserve"> responses to supplemental questions regarding interference complaints “fail to provide a clear answer”)</w:t>
      </w:r>
      <w:r w:rsidR="008B0AD7">
        <w:t>.</w:t>
      </w:r>
    </w:p>
  </w:footnote>
  <w:footnote w:id="91">
    <w:p w:rsidR="006B7A3D" w:rsidP="006B7A3D" w14:paraId="7626185E" w14:textId="77777777">
      <w:pPr>
        <w:pStyle w:val="FootnoteText"/>
      </w:pPr>
      <w:r>
        <w:rPr>
          <w:rStyle w:val="FootnoteReference"/>
        </w:rPr>
        <w:footnoteRef/>
      </w:r>
      <w:r>
        <w:t xml:space="preserve"> </w:t>
      </w:r>
      <w:r>
        <w:t xml:space="preserve">APCO International May 31, 2022 </w:t>
      </w:r>
      <w:r w:rsidRPr="007C3FC4">
        <w:rPr>
          <w:i/>
          <w:iCs/>
        </w:rPr>
        <w:t xml:space="preserve">Ex </w:t>
      </w:r>
      <w:r w:rsidRPr="007C3FC4">
        <w:rPr>
          <w:i/>
          <w:iCs/>
        </w:rPr>
        <w:t>Parte</w:t>
      </w:r>
      <w:r>
        <w:t>, at 2-3.</w:t>
      </w:r>
    </w:p>
  </w:footnote>
  <w:footnote w:id="92">
    <w:p w:rsidR="003C22A4" w14:paraId="1CB8B70A" w14:textId="485530A6">
      <w:pPr>
        <w:pStyle w:val="FootnoteText"/>
      </w:pPr>
      <w:r>
        <w:rPr>
          <w:rStyle w:val="FootnoteReference"/>
        </w:rPr>
        <w:footnoteRef/>
      </w:r>
      <w:r>
        <w:t xml:space="preserve"> </w:t>
      </w:r>
      <w:r w:rsidR="004F05FB">
        <w:t xml:space="preserve">APCO </w:t>
      </w:r>
      <w:r w:rsidR="002270DC">
        <w:t xml:space="preserve">International </w:t>
      </w:r>
      <w:r w:rsidR="004F05FB">
        <w:t>Comments at 3.</w:t>
      </w:r>
    </w:p>
  </w:footnote>
  <w:footnote w:id="93">
    <w:p w:rsidR="00B12F0F" w14:paraId="054CDD1A" w14:textId="54992F33">
      <w:pPr>
        <w:pStyle w:val="FootnoteText"/>
      </w:pPr>
      <w:r>
        <w:rPr>
          <w:rStyle w:val="FootnoteReference"/>
        </w:rPr>
        <w:footnoteRef/>
      </w:r>
      <w:r>
        <w:t xml:space="preserve"> </w:t>
      </w:r>
      <w:r w:rsidRPr="004C2ED1" w:rsidR="00BC5B43">
        <w:t xml:space="preserve">47 CFR § </w:t>
      </w:r>
      <w:r w:rsidR="00BC5B43">
        <w:t>15.407(</w:t>
      </w:r>
      <w:r w:rsidR="00B8468A">
        <w:t>k)(15)(</w:t>
      </w:r>
      <w:r w:rsidR="004C06A9">
        <w:t>vi)</w:t>
      </w:r>
      <w:r w:rsidR="0049309D">
        <w:t xml:space="preserve">.  </w:t>
      </w:r>
    </w:p>
  </w:footnote>
  <w:footnote w:id="94">
    <w:p w:rsidR="006107EF" w:rsidP="006107EF" w14:paraId="47F8F27E" w14:textId="5A790BE4">
      <w:pPr>
        <w:pStyle w:val="FootnoteText"/>
      </w:pPr>
      <w:r>
        <w:rPr>
          <w:rStyle w:val="FootnoteReference"/>
        </w:rPr>
        <w:footnoteRef/>
      </w:r>
      <w:r>
        <w:t xml:space="preserve"> </w:t>
      </w:r>
      <w:r w:rsidR="000C756A">
        <w:t>Broadcom Inc. Proposal to be Approved at an Automated Frequency Coordination System Operator at 1</w:t>
      </w:r>
      <w:r w:rsidR="00A06ACB">
        <w:t>4</w:t>
      </w:r>
      <w:r w:rsidR="000C756A">
        <w:t xml:space="preserve">; </w:t>
      </w:r>
      <w:r w:rsidR="000C756A">
        <w:t>Comsearch</w:t>
      </w:r>
      <w:r w:rsidR="000C756A">
        <w:t xml:space="preserve"> Proposal to be Designated as a 6 GHz Automated Frequency Coordination System Operator at </w:t>
      </w:r>
      <w:r w:rsidR="004F546F">
        <w:t>9</w:t>
      </w:r>
      <w:r w:rsidR="000C756A">
        <w:t xml:space="preserve">; </w:t>
      </w:r>
      <w:r w:rsidR="000C756A">
        <w:t>Propoasl</w:t>
      </w:r>
      <w:r w:rsidR="000C756A">
        <w:t xml:space="preserve"> by RED Technologies for Operating an AFC System at 7</w:t>
      </w:r>
      <w:r w:rsidR="00633194">
        <w:t>, 11</w:t>
      </w:r>
      <w:r w:rsidR="000C756A">
        <w:t xml:space="preserve">; Proposal of Sony Group Corporation to Serve as an Automated Frequency Coordination System Operator at 5; </w:t>
      </w:r>
      <w:r w:rsidR="000C756A">
        <w:t>Kyrio</w:t>
      </w:r>
      <w:r w:rsidR="000C756A">
        <w:t xml:space="preserve"> Proposal to Serve as an Automated Frequency Coordination System Operator at </w:t>
      </w:r>
      <w:r w:rsidR="00AF7EE2">
        <w:t>14</w:t>
      </w:r>
      <w:r w:rsidR="000C756A">
        <w:t xml:space="preserve">; Key Bridge Wireless Proposal to Administer an Automated Frequency Coordination System at </w:t>
      </w:r>
      <w:r w:rsidR="00F21175">
        <w:t>10</w:t>
      </w:r>
      <w:r w:rsidR="000C756A">
        <w:t xml:space="preserve">; Proposal of Wi-Fi Alliance at 10; Qualcomm Incorporated Application to be Authorized as 6 GHz Band Automated Frequency Coordination System Operator at </w:t>
      </w:r>
      <w:r w:rsidR="00866319">
        <w:t>5, 10, 12</w:t>
      </w:r>
      <w:r w:rsidR="000C756A">
        <w:t xml:space="preserve">; Plume Design Inc. (“Plume”) Proposal for Approval as an Automated Frequency Coordination System Operator at </w:t>
      </w:r>
      <w:r w:rsidR="0043265D">
        <w:t>11-12</w:t>
      </w:r>
      <w:r w:rsidR="000C756A">
        <w:t xml:space="preserve">; Proposal by Federated Wireless, Inc. to Serve as an Automated </w:t>
      </w:r>
      <w:r w:rsidR="000C756A">
        <w:t>Freqeuncy</w:t>
      </w:r>
      <w:r w:rsidR="000C756A">
        <w:t xml:space="preserve"> Coordination System Operator in the 6 GHz Band at 15; Google Proposal to be Approved as an Automated Frequency Coordination System Operator at 10; Proposal of Nokia to be Approved as an Automated Frequency Coordination System Operator at 4; Wireless Broadband Alliance Ltd. Application to Become an Automated Frequency Coordination (AFC) System Operator at </w:t>
      </w:r>
      <w:r w:rsidR="00C83FDC">
        <w:t>9</w:t>
      </w:r>
      <w:r w:rsidR="009D59C0">
        <w:t>;</w:t>
      </w:r>
      <w:r w:rsidR="00AC3C68">
        <w:t xml:space="preserve"> </w:t>
      </w:r>
      <w:r w:rsidR="00B9047A">
        <w:t xml:space="preserve">Qualcomm Automated Frequency Coordination System Operator Application: Responses to Supplemental Questions, ET Docket No. 21-352, at 4 (filed Feb. 28, 2022); Supplement to the Proposal by RED Technologies SAS to Serve as an Automated Frequency Coordination System Operator in the 6 GHz Band, ET Docket </w:t>
      </w:r>
      <w:r w:rsidR="00222143">
        <w:t xml:space="preserve">No. </w:t>
      </w:r>
      <w:r w:rsidR="00B9047A">
        <w:t xml:space="preserve">21-352, at </w:t>
      </w:r>
      <w:r w:rsidR="006E617B">
        <w:t>3</w:t>
      </w:r>
      <w:r w:rsidR="00B9047A">
        <w:t xml:space="preserve"> (filed Nov. 26, 2021)</w:t>
      </w:r>
      <w:r w:rsidR="0051017D">
        <w:t>; Supplement to Proposal from Sony Group Corporation to Serve as an Automated Frequency Coordination System Operator, ET Docket No. 21-352, at 4 (filed Feb. 24, 2022);</w:t>
      </w:r>
      <w:r w:rsidR="00DD14EB">
        <w:t xml:space="preserve"> Wi-Fi Alliance Supplemental filing at 6, (February, 22 2022)</w:t>
      </w:r>
      <w:r w:rsidR="00167EDD">
        <w:t xml:space="preserve">; Response to Commission Questions Regarding Nokia’s Proposal to be Approved as an Automated Frequency Coordination (AFC) System Operator, ET Docket </w:t>
      </w:r>
      <w:r w:rsidR="00222143">
        <w:t xml:space="preserve">No. </w:t>
      </w:r>
      <w:r w:rsidR="00167EDD">
        <w:t xml:space="preserve">21-352, at </w:t>
      </w:r>
      <w:r w:rsidR="007F10B1">
        <w:t>4</w:t>
      </w:r>
      <w:r w:rsidR="00167EDD">
        <w:t xml:space="preserve"> (filed April 14, 2022)</w:t>
      </w:r>
      <w:r w:rsidR="00B7194E">
        <w:t xml:space="preserve">; </w:t>
      </w:r>
      <w:r w:rsidR="00CD65EA">
        <w:t xml:space="preserve">Google Feb. 28, 2022 </w:t>
      </w:r>
      <w:r w:rsidRPr="008C2DD4" w:rsidR="00CD65EA">
        <w:rPr>
          <w:i/>
          <w:iCs/>
        </w:rPr>
        <w:t xml:space="preserve">Ex </w:t>
      </w:r>
      <w:r w:rsidRPr="008C2DD4" w:rsidR="00CD65EA">
        <w:rPr>
          <w:i/>
          <w:iCs/>
        </w:rPr>
        <w:t>Parte</w:t>
      </w:r>
      <w:r w:rsidR="00CD65EA">
        <w:t xml:space="preserve"> ET Docket No. 21-352, at 2</w:t>
      </w:r>
      <w:r w:rsidR="00222143">
        <w:t>;</w:t>
      </w:r>
      <w:r w:rsidR="00124A39">
        <w:t xml:space="preserve"> Supplement of Plume Design Inc. to Proposal for Approval as an Automated Frequency Coordination System Operator, ET Docket No. 21-352, at 9 (filed Feb. 28, 2022); </w:t>
      </w:r>
      <w:r w:rsidR="00F7444A">
        <w:t xml:space="preserve">Broadcom Feb. 24, 2022 </w:t>
      </w:r>
      <w:r w:rsidRPr="00402862" w:rsidR="00F7444A">
        <w:rPr>
          <w:i/>
          <w:iCs/>
        </w:rPr>
        <w:t xml:space="preserve">Ex </w:t>
      </w:r>
      <w:r w:rsidRPr="00402862" w:rsidR="00F7444A">
        <w:rPr>
          <w:i/>
          <w:iCs/>
        </w:rPr>
        <w:t>Parte</w:t>
      </w:r>
      <w:r w:rsidR="00F7444A">
        <w:t xml:space="preserve"> ET Docket No. 21-352, at 3; </w:t>
      </w:r>
      <w:r w:rsidR="00F7444A">
        <w:t>Kyrio</w:t>
      </w:r>
      <w:r w:rsidR="00F7444A">
        <w:t xml:space="preserve"> Feb. 25, 2022 </w:t>
      </w:r>
      <w:r w:rsidRPr="00A51A67" w:rsidR="00F7444A">
        <w:rPr>
          <w:i/>
          <w:iCs/>
        </w:rPr>
        <w:t xml:space="preserve">Ex </w:t>
      </w:r>
      <w:r w:rsidRPr="00A51A67" w:rsidR="00F7444A">
        <w:rPr>
          <w:i/>
          <w:iCs/>
        </w:rPr>
        <w:t>Parte</w:t>
      </w:r>
      <w:r w:rsidR="00F7444A">
        <w:t xml:space="preserve"> ET Docket No. 21-352, at 3</w:t>
      </w:r>
      <w:r w:rsidR="00ED13E5">
        <w:t xml:space="preserve">.  </w:t>
      </w:r>
    </w:p>
  </w:footnote>
  <w:footnote w:id="95">
    <w:p w:rsidR="00EB5A1B" w:rsidRPr="008A1595" w14:paraId="43E0880F" w14:textId="1A18F9F1">
      <w:pPr>
        <w:pStyle w:val="FootnoteText"/>
      </w:pPr>
      <w:r>
        <w:rPr>
          <w:rStyle w:val="FootnoteReference"/>
        </w:rPr>
        <w:footnoteRef/>
      </w:r>
      <w:r>
        <w:t xml:space="preserve"> </w:t>
      </w:r>
      <w:r w:rsidRPr="00D0545A" w:rsidR="008A1595">
        <w:rPr>
          <w:i/>
          <w:iCs/>
          <w:spacing w:val="-2"/>
        </w:rPr>
        <w:t>6 GHz R</w:t>
      </w:r>
      <w:r w:rsidR="008A1595">
        <w:rPr>
          <w:i/>
          <w:iCs/>
          <w:spacing w:val="-2"/>
        </w:rPr>
        <w:t xml:space="preserve">eport and Order, </w:t>
      </w:r>
      <w:bookmarkStart w:id="7" w:name="_Hlk100922130"/>
      <w:r w:rsidR="008A1595">
        <w:rPr>
          <w:spacing w:val="-2"/>
        </w:rPr>
        <w:t xml:space="preserve">35 FCC </w:t>
      </w:r>
      <w:r w:rsidR="008A1595">
        <w:rPr>
          <w:spacing w:val="-2"/>
        </w:rPr>
        <w:t>Rcd</w:t>
      </w:r>
      <w:r w:rsidR="008A1595">
        <w:rPr>
          <w:spacing w:val="-2"/>
        </w:rPr>
        <w:t xml:space="preserve"> </w:t>
      </w:r>
      <w:bookmarkEnd w:id="7"/>
      <w:r w:rsidR="008A1595">
        <w:rPr>
          <w:spacing w:val="-2"/>
        </w:rPr>
        <w:t xml:space="preserve">at </w:t>
      </w:r>
      <w:r w:rsidR="00CB5C45">
        <w:rPr>
          <w:spacing w:val="-2"/>
        </w:rPr>
        <w:t>39</w:t>
      </w:r>
      <w:r w:rsidR="00C63476">
        <w:rPr>
          <w:spacing w:val="-2"/>
        </w:rPr>
        <w:t>17-18, para. 174.</w:t>
      </w:r>
    </w:p>
  </w:footnote>
  <w:footnote w:id="96">
    <w:p w:rsidR="00C63476" w14:paraId="706E1EA2" w14:textId="35AEE9C4">
      <w:pPr>
        <w:pStyle w:val="FootnoteText"/>
      </w:pPr>
      <w:r>
        <w:rPr>
          <w:rStyle w:val="FootnoteReference"/>
        </w:rPr>
        <w:footnoteRef/>
      </w:r>
      <w:r>
        <w:t xml:space="preserve"> </w:t>
      </w:r>
      <w:r w:rsidRPr="00D0545A">
        <w:rPr>
          <w:i/>
          <w:iCs/>
          <w:spacing w:val="-2"/>
        </w:rPr>
        <w:t>6 GHz R</w:t>
      </w:r>
      <w:r>
        <w:rPr>
          <w:i/>
          <w:iCs/>
          <w:spacing w:val="-2"/>
        </w:rPr>
        <w:t xml:space="preserve">eport and Order, </w:t>
      </w:r>
      <w:r>
        <w:rPr>
          <w:spacing w:val="-2"/>
        </w:rPr>
        <w:t xml:space="preserve">35 FCC </w:t>
      </w:r>
      <w:r>
        <w:rPr>
          <w:spacing w:val="-2"/>
        </w:rPr>
        <w:t>Rcd</w:t>
      </w:r>
      <w:r>
        <w:rPr>
          <w:spacing w:val="-2"/>
        </w:rPr>
        <w:t xml:space="preserve"> at 3918, para. 17</w:t>
      </w:r>
      <w:r w:rsidR="00444D01">
        <w:rPr>
          <w:spacing w:val="-2"/>
        </w:rPr>
        <w:t>6.</w:t>
      </w:r>
    </w:p>
  </w:footnote>
  <w:footnote w:id="97">
    <w:p w:rsidR="003443DE" w:rsidP="003443DE" w14:paraId="14DFED88" w14:textId="77777777">
      <w:pPr>
        <w:pStyle w:val="FootnoteText"/>
      </w:pPr>
      <w:r>
        <w:rPr>
          <w:rStyle w:val="FootnoteReference"/>
        </w:rPr>
        <w:footnoteRef/>
      </w:r>
      <w:r>
        <w:t xml:space="preserve"> </w:t>
      </w:r>
      <w:r w:rsidRPr="0069402D">
        <w:rPr>
          <w:i/>
          <w:iCs/>
        </w:rPr>
        <w:t>Best Practices and Recommended Procedures for Interference Detection, Reporting, and Resolution to Protect Fixed Microwave service Receivers in the 6 GHz Band</w:t>
      </w:r>
      <w:r>
        <w:t xml:space="preserve">, 6 GHz Multi-stakeholder Group, July 11, 2022, filed in ET Docket No. 18-295 (July 11, 2022).  </w:t>
      </w:r>
    </w:p>
  </w:footnote>
  <w:footnote w:id="98">
    <w:p w:rsidR="003443DE" w:rsidP="003443DE" w14:paraId="6DA83692" w14:textId="77777777">
      <w:pPr>
        <w:pStyle w:val="FootnoteText"/>
      </w:pPr>
      <w:r>
        <w:rPr>
          <w:rStyle w:val="FootnoteReference"/>
        </w:rPr>
        <w:footnoteRef/>
      </w:r>
      <w:r>
        <w:t xml:space="preserve"> </w:t>
      </w:r>
      <w:r w:rsidRPr="0069402D">
        <w:rPr>
          <w:i/>
          <w:iCs/>
        </w:rPr>
        <w:t>Id</w:t>
      </w:r>
      <w:r>
        <w:t>. at 28-34.</w:t>
      </w:r>
    </w:p>
  </w:footnote>
  <w:footnote w:id="99">
    <w:p w:rsidR="00DD0D11" w14:paraId="231B3759" w14:textId="70CA0FE1">
      <w:pPr>
        <w:pStyle w:val="FootnoteText"/>
      </w:pPr>
      <w:r>
        <w:rPr>
          <w:rStyle w:val="FootnoteReference"/>
        </w:rPr>
        <w:footnoteRef/>
      </w:r>
      <w:r>
        <w:t xml:space="preserve"> </w:t>
      </w:r>
      <w:r w:rsidRPr="003B096B">
        <w:rPr>
          <w:i/>
          <w:iCs/>
        </w:rPr>
        <w:t>See e.g</w:t>
      </w:r>
      <w:r w:rsidRPr="00C570AF">
        <w:rPr>
          <w:i/>
          <w:iCs/>
        </w:rPr>
        <w:t>.</w:t>
      </w:r>
      <w:r w:rsidR="004640DB">
        <w:t>,</w:t>
      </w:r>
      <w:r>
        <w:t xml:space="preserve"> </w:t>
      </w:r>
      <w:r w:rsidR="00F7178B">
        <w:t xml:space="preserve">Broadcom Feb. 24, 2022 </w:t>
      </w:r>
      <w:r w:rsidRPr="00402862" w:rsidR="00F7178B">
        <w:rPr>
          <w:i/>
          <w:iCs/>
        </w:rPr>
        <w:t xml:space="preserve">Ex </w:t>
      </w:r>
      <w:r w:rsidRPr="00402862" w:rsidR="00F7178B">
        <w:rPr>
          <w:i/>
          <w:iCs/>
        </w:rPr>
        <w:t>Parte</w:t>
      </w:r>
      <w:r w:rsidR="00823E5E">
        <w:t xml:space="preserve"> ET Docket No. 21-352</w:t>
      </w:r>
      <w:r w:rsidR="00402862">
        <w:t xml:space="preserve">, </w:t>
      </w:r>
      <w:r>
        <w:t xml:space="preserve">at </w:t>
      </w:r>
      <w:r w:rsidR="00F7178B">
        <w:t>3</w:t>
      </w:r>
      <w:r w:rsidR="00402862">
        <w:t xml:space="preserve">; </w:t>
      </w:r>
      <w:r w:rsidR="0038172B">
        <w:t>Kyrio</w:t>
      </w:r>
      <w:r w:rsidR="00C219E0">
        <w:t xml:space="preserve"> Feb. 25, 2022 </w:t>
      </w:r>
      <w:r w:rsidRPr="00A51A67" w:rsidR="00C219E0">
        <w:rPr>
          <w:i/>
          <w:iCs/>
        </w:rPr>
        <w:t xml:space="preserve">Ex </w:t>
      </w:r>
      <w:r w:rsidRPr="00A51A67" w:rsidR="00C219E0">
        <w:rPr>
          <w:i/>
          <w:iCs/>
        </w:rPr>
        <w:t>Parte</w:t>
      </w:r>
      <w:r w:rsidR="00C219E0">
        <w:t xml:space="preserve"> ET Docket No. 21-352</w:t>
      </w:r>
      <w:r w:rsidR="009F168E">
        <w:t xml:space="preserve">, </w:t>
      </w:r>
      <w:r w:rsidR="00C219E0">
        <w:t xml:space="preserve">at 3; </w:t>
      </w:r>
      <w:r w:rsidR="004301A3">
        <w:t xml:space="preserve">Qualcomm Automated Frequency Coordination System Operator Application: Responses to Supplemental Questions, ET Docket </w:t>
      </w:r>
      <w:r w:rsidR="003B096B">
        <w:t xml:space="preserve">No. </w:t>
      </w:r>
      <w:r w:rsidR="004301A3">
        <w:t>21-352, at 4 (filed Feb. 28, 2022)</w:t>
      </w:r>
      <w:r w:rsidR="005E0EA6">
        <w:t xml:space="preserve">; Supplement to Proposal from Sony Group Corporation to Serve as an Automated Frequency Coordination System Operator, ET Docket </w:t>
      </w:r>
      <w:r w:rsidR="003B096B">
        <w:t xml:space="preserve">No. </w:t>
      </w:r>
      <w:r w:rsidR="005E0EA6">
        <w:t>21-352, at 4-5 (filed Feb. 24, 2022)</w:t>
      </w:r>
      <w:r w:rsidR="00260D5C">
        <w:t>; Wi-Fi Alliance</w:t>
      </w:r>
      <w:r w:rsidR="005C5968">
        <w:t xml:space="preserve"> Feb. 22, 2022 </w:t>
      </w:r>
      <w:r w:rsidRPr="005C5968" w:rsidR="005C5968">
        <w:rPr>
          <w:i/>
          <w:iCs/>
        </w:rPr>
        <w:t xml:space="preserve">Ex </w:t>
      </w:r>
      <w:r w:rsidRPr="005C5968" w:rsidR="005C5968">
        <w:rPr>
          <w:i/>
          <w:iCs/>
        </w:rPr>
        <w:t>Parte</w:t>
      </w:r>
      <w:r w:rsidR="005C5968">
        <w:t xml:space="preserve"> ET Docket No. 21-352,</w:t>
      </w:r>
      <w:r w:rsidR="00260D5C">
        <w:t xml:space="preserve"> </w:t>
      </w:r>
      <w:r w:rsidR="00D91EAB">
        <w:t>at 6</w:t>
      </w:r>
      <w:r w:rsidR="008E0364">
        <w:t xml:space="preserve">; </w:t>
      </w:r>
      <w:r w:rsidR="004218D1">
        <w:t>Supplement to the Proposal by Federated Wireless to Serve as an Automated Frequency Coordin</w:t>
      </w:r>
      <w:r w:rsidR="00DE690B">
        <w:t xml:space="preserve">ation System Operator in the 6 GHz Band, ET Docket </w:t>
      </w:r>
      <w:r w:rsidR="003B096B">
        <w:t xml:space="preserve">No. </w:t>
      </w:r>
      <w:r w:rsidR="00DE690B">
        <w:t>21-352</w:t>
      </w:r>
      <w:r w:rsidR="003B096B">
        <w:t>,</w:t>
      </w:r>
      <w:r w:rsidR="008E0364">
        <w:t xml:space="preserve"> at </w:t>
      </w:r>
      <w:r w:rsidR="004218D1">
        <w:t>9</w:t>
      </w:r>
      <w:r w:rsidR="003B096B">
        <w:t xml:space="preserve"> (filed Feb. 9, 2022)</w:t>
      </w:r>
      <w:r w:rsidR="00A4761A">
        <w:t>;</w:t>
      </w:r>
      <w:r w:rsidR="00F2372C">
        <w:t xml:space="preserve"> </w:t>
      </w:r>
      <w:r w:rsidR="00503142">
        <w:t xml:space="preserve">Supplement to </w:t>
      </w:r>
      <w:r w:rsidR="00F2372C">
        <w:t>Comsearch</w:t>
      </w:r>
      <w:r w:rsidR="00503142">
        <w:t xml:space="preserve"> Proposal to be Approved as an Automated Frequency Coordination Operator</w:t>
      </w:r>
      <w:r w:rsidR="00AE6DE5">
        <w:t xml:space="preserve">, ET Docket No. 31-352, at </w:t>
      </w:r>
      <w:r w:rsidR="00F2372C">
        <w:t xml:space="preserve"> 9-10</w:t>
      </w:r>
      <w:r w:rsidR="00AE6DE5">
        <w:t xml:space="preserve"> (filed </w:t>
      </w:r>
      <w:r w:rsidR="004640DB">
        <w:t xml:space="preserve">Mar. </w:t>
      </w:r>
      <w:r w:rsidR="00AE6DE5">
        <w:t>1, 2022)</w:t>
      </w:r>
      <w:r w:rsidR="002D3C14">
        <w:t xml:space="preserve">. </w:t>
      </w:r>
    </w:p>
  </w:footnote>
  <w:footnote w:id="100">
    <w:p w:rsidR="00987223" w:rsidP="00987223" w14:paraId="0EA0921E" w14:textId="0087D6DE">
      <w:pPr>
        <w:pStyle w:val="FootnoteText"/>
      </w:pPr>
      <w:r>
        <w:rPr>
          <w:rStyle w:val="FootnoteReference"/>
        </w:rPr>
        <w:footnoteRef/>
      </w:r>
      <w:r>
        <w:t xml:space="preserve"> </w:t>
      </w:r>
      <w:r w:rsidR="00E72C60">
        <w:t>47 CFR § 15.407(</w:t>
      </w:r>
      <w:r w:rsidRPr="00683A03" w:rsidR="00E72C60">
        <w:rPr>
          <w:i/>
          <w:iCs/>
        </w:rPr>
        <w:t>l</w:t>
      </w:r>
      <w:r w:rsidR="00E72C60">
        <w:t>)(1)(</w:t>
      </w:r>
      <w:r w:rsidR="00E72C60">
        <w:t>i</w:t>
      </w:r>
      <w:r w:rsidR="00E72C60">
        <w:t xml:space="preserve">); </w:t>
      </w:r>
      <w:r w:rsidRPr="00D0545A">
        <w:rPr>
          <w:i/>
          <w:iCs/>
          <w:spacing w:val="-2"/>
        </w:rPr>
        <w:t>6 GHz Report and Order</w:t>
      </w:r>
      <w:r>
        <w:t xml:space="preserve">, 35 FCC </w:t>
      </w:r>
      <w:r>
        <w:t>Rcd</w:t>
      </w:r>
      <w:r>
        <w:t xml:space="preserve"> at 3875, para. 64.</w:t>
      </w:r>
    </w:p>
  </w:footnote>
  <w:footnote w:id="101">
    <w:p w:rsidR="00987223" w:rsidP="00987223" w14:paraId="41124D75" w14:textId="64D3456D">
      <w:pPr>
        <w:pStyle w:val="FootnoteText"/>
      </w:pPr>
      <w:r>
        <w:rPr>
          <w:rStyle w:val="FootnoteReference"/>
        </w:rPr>
        <w:footnoteRef/>
      </w:r>
      <w:r>
        <w:t xml:space="preserve"> </w:t>
      </w:r>
      <w:r w:rsidR="00E72C60">
        <w:t>47 CFR § 15.407(</w:t>
      </w:r>
      <w:r w:rsidRPr="00E72C60" w:rsidR="00E72C60">
        <w:rPr>
          <w:i/>
          <w:iCs/>
        </w:rPr>
        <w:t>l</w:t>
      </w:r>
      <w:r w:rsidR="00E72C60">
        <w:t xml:space="preserve">)(1)(ii); </w:t>
      </w:r>
      <w:r w:rsidRPr="00D0545A">
        <w:rPr>
          <w:i/>
          <w:iCs/>
          <w:spacing w:val="-2"/>
        </w:rPr>
        <w:t>6 GHz Report and Order</w:t>
      </w:r>
      <w:r>
        <w:t xml:space="preserve">, 35 FCC </w:t>
      </w:r>
      <w:r>
        <w:t>Rcd</w:t>
      </w:r>
      <w:r>
        <w:t xml:space="preserve"> at 3875-76, para. 65.</w:t>
      </w:r>
    </w:p>
  </w:footnote>
  <w:footnote w:id="102">
    <w:p w:rsidR="00987223" w:rsidRPr="000F6B31" w:rsidP="00987223" w14:paraId="7632630F" w14:textId="77777777">
      <w:pPr>
        <w:pStyle w:val="FootnoteText"/>
      </w:pPr>
      <w:r w:rsidRPr="00132FB9">
        <w:rPr>
          <w:rStyle w:val="FootnoteReference"/>
        </w:rPr>
        <w:footnoteRef/>
      </w:r>
      <w:r w:rsidRPr="00132FB9">
        <w:t xml:space="preserve"> </w:t>
      </w:r>
      <w:r w:rsidRPr="00132FB9">
        <w:t xml:space="preserve">Patrick </w:t>
      </w:r>
      <w:r w:rsidRPr="00132FB9">
        <w:t>Marsch</w:t>
      </w:r>
      <w:r w:rsidRPr="00132FB9">
        <w:t xml:space="preserve"> et al., “</w:t>
      </w:r>
      <w:r w:rsidRPr="00CE2F6C">
        <w:t>5G System Design: Architectural and Functional Considerations and Long-Term Research</w:t>
      </w:r>
      <w:r w:rsidRPr="000F6B31">
        <w:t>”, 2018, at 57.</w:t>
      </w:r>
    </w:p>
  </w:footnote>
  <w:footnote w:id="103">
    <w:p w:rsidR="00987223" w:rsidRPr="000F6B31" w:rsidP="00987223" w14:paraId="060F2353" w14:textId="77777777">
      <w:pPr>
        <w:pStyle w:val="FootnoteText"/>
      </w:pPr>
      <w:r w:rsidRPr="00132FB9">
        <w:rPr>
          <w:rStyle w:val="FootnoteReference"/>
        </w:rPr>
        <w:footnoteRef/>
      </w:r>
      <w:r w:rsidRPr="00132FB9">
        <w:t xml:space="preserve"> </w:t>
      </w:r>
      <w:r w:rsidRPr="00132FB9">
        <w:t xml:space="preserve">Martin </w:t>
      </w:r>
      <w:r w:rsidRPr="00132FB9">
        <w:t>Döttling</w:t>
      </w:r>
      <w:r w:rsidRPr="00132FB9">
        <w:t> et al., “Radio Technologies and Concepts</w:t>
      </w:r>
      <w:r w:rsidRPr="00CE2F6C">
        <w:t xml:space="preserve"> for IMT-Advanced</w:t>
      </w:r>
      <w:r>
        <w:t>,</w:t>
      </w:r>
      <w:r w:rsidRPr="00CE2F6C">
        <w:t>” 201</w:t>
      </w:r>
      <w:r w:rsidRPr="000F6B31">
        <w:t>0, at 75.</w:t>
      </w:r>
    </w:p>
  </w:footnote>
  <w:footnote w:id="104">
    <w:p w:rsidR="00987223" w:rsidRPr="00132FB9" w:rsidP="00987223" w14:paraId="0DCAD7C9" w14:textId="77777777">
      <w:pPr>
        <w:pStyle w:val="FootnoteText"/>
      </w:pPr>
      <w:r w:rsidRPr="00132FB9">
        <w:rPr>
          <w:rStyle w:val="FootnoteReference"/>
        </w:rPr>
        <w:footnoteRef/>
      </w:r>
      <w:r w:rsidRPr="00132FB9">
        <w:t xml:space="preserve"> </w:t>
      </w:r>
      <w:r w:rsidRPr="00DC349C">
        <w:rPr>
          <w:i/>
        </w:rPr>
        <w:t xml:space="preserve">See, </w:t>
      </w:r>
      <w:r w:rsidRPr="00224388">
        <w:rPr>
          <w:i/>
        </w:rPr>
        <w:t>e</w:t>
      </w:r>
      <w:r>
        <w:rPr>
          <w:i/>
          <w:iCs/>
        </w:rPr>
        <w:t>.g.,</w:t>
      </w:r>
      <w:r w:rsidRPr="00132FB9">
        <w:t xml:space="preserve"> OS</w:t>
      </w:r>
      <w:r w:rsidRPr="00CE2F6C">
        <w:t xml:space="preserve">M building data. </w:t>
      </w:r>
      <w:hyperlink r:id="rId12" w:history="1">
        <w:r w:rsidRPr="00CE2F6C">
          <w:rPr>
            <w:rStyle w:val="Hyperlink"/>
          </w:rPr>
          <w:t>https://osmbuildings.org/data/</w:t>
        </w:r>
      </w:hyperlink>
      <w:r>
        <w:rPr>
          <w:rStyle w:val="Hyperlink"/>
        </w:rPr>
        <w:t>.</w:t>
      </w:r>
    </w:p>
  </w:footnote>
  <w:footnote w:id="105">
    <w:p w:rsidR="00E72C60" w14:paraId="47A946AB" w14:textId="73303EC6">
      <w:pPr>
        <w:pStyle w:val="FootnoteText"/>
      </w:pPr>
      <w:r>
        <w:rPr>
          <w:rStyle w:val="FootnoteReference"/>
        </w:rPr>
        <w:footnoteRef/>
      </w:r>
      <w:r>
        <w:t xml:space="preserve"> </w:t>
      </w:r>
      <w:r>
        <w:t>47 CFR § 15.407(</w:t>
      </w:r>
      <w:r w:rsidRPr="00E72C60">
        <w:rPr>
          <w:i/>
          <w:iCs/>
        </w:rPr>
        <w:t>l</w:t>
      </w:r>
      <w:r>
        <w:t>)(1)(ii).</w:t>
      </w:r>
    </w:p>
  </w:footnote>
  <w:footnote w:id="106">
    <w:p w:rsidR="00987223" w:rsidRPr="000F6B31" w:rsidP="00987223" w14:paraId="39C4E913" w14:textId="28B5D845">
      <w:pPr>
        <w:pStyle w:val="FootnoteText"/>
      </w:pPr>
      <w:r w:rsidRPr="00132FB9">
        <w:rPr>
          <w:rStyle w:val="FootnoteReference"/>
        </w:rPr>
        <w:footnoteRef/>
      </w:r>
      <w:r w:rsidRPr="00132FB9">
        <w:t xml:space="preserve"> </w:t>
      </w:r>
      <w:r w:rsidR="00E72C60">
        <w:t>47 CFR § 15.407(</w:t>
      </w:r>
      <w:r w:rsidRPr="00E72C60" w:rsidR="00E72C60">
        <w:rPr>
          <w:i/>
          <w:iCs/>
        </w:rPr>
        <w:t>l</w:t>
      </w:r>
      <w:r w:rsidR="00E72C60">
        <w:t xml:space="preserve">)(1)(ii).  </w:t>
      </w:r>
      <w:r w:rsidRPr="00132FB9">
        <w:t>When site-specific information regarding line-of-sight/non-line-of-sight is not available</w:t>
      </w:r>
      <w:r w:rsidR="00A63C14">
        <w:t>, the AFC system must use a probabilistic model combining the</w:t>
      </w:r>
      <w:r w:rsidRPr="00132FB9">
        <w:t xml:space="preserve"> line-of-sight</w:t>
      </w:r>
      <w:r w:rsidR="00A63C14">
        <w:t xml:space="preserve"> </w:t>
      </w:r>
      <w:r w:rsidRPr="00132FB9">
        <w:t xml:space="preserve">(LOS) </w:t>
      </w:r>
      <w:r w:rsidR="00A63C14">
        <w:t>path</w:t>
      </w:r>
      <w:r w:rsidR="00F43DFC">
        <w:t xml:space="preserve"> </w:t>
      </w:r>
      <w:r w:rsidRPr="00132FB9">
        <w:t>and non-line-of-sight</w:t>
      </w:r>
      <w:r w:rsidR="00F43DFC">
        <w:t xml:space="preserve"> </w:t>
      </w:r>
      <w:r w:rsidRPr="00132FB9">
        <w:t>(NLOS) pa</w:t>
      </w:r>
      <w:r w:rsidRPr="00CE2F6C">
        <w:t xml:space="preserve">th into a single </w:t>
      </w:r>
      <w:r w:rsidR="00F43DFC">
        <w:t>path-</w:t>
      </w:r>
      <w:r w:rsidRPr="00CE2F6C">
        <w:t xml:space="preserve">loss using the following formula:  </w:t>
      </w:r>
      <w:r>
        <w:rPr>
          <w:szCs w:val="22"/>
        </w:rPr>
        <w:t xml:space="preserve">Path-loss (L) = </w:t>
      </w:r>
      <w:r>
        <w:rPr>
          <w:rFonts w:ascii="Symbol" w:eastAsia="Symbol" w:hAnsi="Symbol" w:cs="Symbol"/>
          <w:szCs w:val="22"/>
        </w:rPr>
        <w:t>S</w:t>
      </w:r>
      <w:r>
        <w:rPr>
          <w:szCs w:val="22"/>
          <w:vertAlign w:val="subscript"/>
        </w:rPr>
        <w:t>i</w:t>
      </w:r>
      <w:r>
        <w:rPr>
          <w:szCs w:val="22"/>
        </w:rPr>
        <w:t xml:space="preserve"> P(</w:t>
      </w:r>
      <w:r>
        <w:rPr>
          <w:szCs w:val="22"/>
        </w:rPr>
        <w:t>i</w:t>
      </w:r>
      <w:r>
        <w:rPr>
          <w:szCs w:val="22"/>
        </w:rPr>
        <w:t>) * L</w:t>
      </w:r>
      <w:r w:rsidRPr="005D72FA">
        <w:rPr>
          <w:szCs w:val="22"/>
          <w:vertAlign w:val="subscript"/>
        </w:rPr>
        <w:t>i</w:t>
      </w:r>
      <w:r>
        <w:rPr>
          <w:szCs w:val="22"/>
        </w:rPr>
        <w:t xml:space="preserve"> = P</w:t>
      </w:r>
      <w:r w:rsidRPr="005D72FA">
        <w:rPr>
          <w:szCs w:val="22"/>
          <w:vertAlign w:val="subscript"/>
        </w:rPr>
        <w:t>LOS</w:t>
      </w:r>
      <w:r>
        <w:rPr>
          <w:szCs w:val="22"/>
        </w:rPr>
        <w:t xml:space="preserve"> * L</w:t>
      </w:r>
      <w:r w:rsidRPr="005D72FA">
        <w:rPr>
          <w:szCs w:val="22"/>
          <w:vertAlign w:val="subscript"/>
        </w:rPr>
        <w:t>LOS</w:t>
      </w:r>
      <w:r>
        <w:rPr>
          <w:szCs w:val="22"/>
        </w:rPr>
        <w:t xml:space="preserve"> + P</w:t>
      </w:r>
      <w:r w:rsidRPr="005D72FA">
        <w:rPr>
          <w:szCs w:val="22"/>
          <w:vertAlign w:val="subscript"/>
        </w:rPr>
        <w:t>NLOS</w:t>
      </w:r>
      <w:r>
        <w:rPr>
          <w:szCs w:val="22"/>
        </w:rPr>
        <w:t xml:space="preserve"> * </w:t>
      </w:r>
      <w:r w:rsidRPr="00D273A3">
        <w:rPr>
          <w:szCs w:val="22"/>
        </w:rPr>
        <w:t>L</w:t>
      </w:r>
      <w:r w:rsidRPr="00D273A3">
        <w:rPr>
          <w:szCs w:val="22"/>
          <w:vertAlign w:val="subscript"/>
        </w:rPr>
        <w:t>NLOS</w:t>
      </w:r>
      <w:r>
        <w:rPr>
          <w:szCs w:val="22"/>
        </w:rPr>
        <w:t>, where P</w:t>
      </w:r>
      <w:r w:rsidRPr="005D72FA">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5D72FA">
        <w:rPr>
          <w:vertAlign w:val="subscript"/>
        </w:rPr>
        <w:t>LOS</w:t>
      </w:r>
      <w:r w:rsidRPr="00132FB9">
        <w:t xml:space="preserve"> </w:t>
      </w:r>
      <w:r>
        <w:t>is the line-of-sight</w:t>
      </w:r>
      <w:r w:rsidRPr="00132FB9">
        <w:t xml:space="preserve"> path loss,</w:t>
      </w:r>
      <w:r>
        <w:t xml:space="preserve"> P</w:t>
      </w:r>
      <w:r w:rsidRPr="005D72FA">
        <w:rPr>
          <w:vertAlign w:val="subscript"/>
        </w:rPr>
        <w:t>NLOS</w:t>
      </w:r>
      <w:r w:rsidRPr="00132FB9">
        <w:t xml:space="preserve"> is </w:t>
      </w:r>
      <w:r>
        <w:t xml:space="preserve">the </w:t>
      </w:r>
      <w:r w:rsidRPr="00132FB9">
        <w:t xml:space="preserve">probability of </w:t>
      </w:r>
      <w:r>
        <w:t>non-line-of sight, L</w:t>
      </w:r>
      <w:r w:rsidRPr="005D72FA">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w:t>
      </w:r>
      <w:r w:rsidRPr="00F43DFC" w:rsidR="00F43DFC">
        <w:rPr>
          <w:i/>
          <w:iCs/>
        </w:rPr>
        <w:t>Id.</w:t>
      </w:r>
      <w:r w:rsidR="00F43DFC">
        <w:t xml:space="preserve">  </w:t>
      </w:r>
      <w:r>
        <w:t xml:space="preserve">The </w:t>
      </w:r>
      <w:r>
        <w:rPr>
          <w:snapToGrid w:val="0"/>
        </w:rPr>
        <w:t>WINNER II path loss models include a formula to determine</w:t>
      </w:r>
      <w:r>
        <w:t xml:space="preserve"> P</w:t>
      </w:r>
      <w:r w:rsidRPr="005D72FA">
        <w:rPr>
          <w:vertAlign w:val="subscript"/>
        </w:rPr>
        <w:t>LOS</w:t>
      </w:r>
      <w:r>
        <w:rPr>
          <w:snapToGrid w:val="0"/>
        </w:rPr>
        <w:t xml:space="preserve"> as a function of antenna heights and distance.  </w:t>
      </w:r>
      <w:r>
        <w:t>P</w:t>
      </w:r>
      <w:r w:rsidRPr="005D72FA">
        <w:rPr>
          <w:vertAlign w:val="subscript"/>
        </w:rPr>
        <w:t>NLOS</w:t>
      </w:r>
      <w:r>
        <w:t xml:space="preserve"> is equal to (1-P</w:t>
      </w:r>
      <w:r w:rsidRPr="005D72FA">
        <w:rPr>
          <w:vertAlign w:val="subscript"/>
        </w:rPr>
        <w:t>LOS</w:t>
      </w:r>
      <w:r>
        <w:t>).</w:t>
      </w:r>
      <w:r w:rsidR="00F43DFC">
        <w:t xml:space="preserve">  </w:t>
      </w:r>
      <w:r w:rsidRPr="00F43DFC" w:rsidR="00F43DFC">
        <w:rPr>
          <w:i/>
          <w:iCs/>
        </w:rPr>
        <w:t>Id.</w:t>
      </w:r>
    </w:p>
  </w:footnote>
  <w:footnote w:id="107">
    <w:p w:rsidR="00987223" w:rsidP="00987223" w14:paraId="522E5A70" w14:textId="63369007">
      <w:pPr>
        <w:pStyle w:val="FootnoteText"/>
      </w:pPr>
      <w:r>
        <w:rPr>
          <w:rStyle w:val="FootnoteReference"/>
        </w:rPr>
        <w:footnoteRef/>
      </w:r>
      <w:r>
        <w:t xml:space="preserve"> </w:t>
      </w:r>
      <w:r w:rsidR="00F43DFC">
        <w:t>47 CFR § 15.407(</w:t>
      </w:r>
      <w:r w:rsidRPr="00F43DFC" w:rsidR="00F43DFC">
        <w:rPr>
          <w:i/>
          <w:iCs/>
        </w:rPr>
        <w:t>l</w:t>
      </w:r>
      <w:r w:rsidR="00F43DFC">
        <w:t xml:space="preserve">)(1)(iii); </w:t>
      </w:r>
      <w:r w:rsidRPr="00D0545A">
        <w:rPr>
          <w:i/>
          <w:iCs/>
          <w:spacing w:val="-2"/>
        </w:rPr>
        <w:t>6 GHz Report and Order</w:t>
      </w:r>
      <w:r>
        <w:t xml:space="preserve">, 35 FCC </w:t>
      </w:r>
      <w:r>
        <w:t>Rcd</w:t>
      </w:r>
      <w:r>
        <w:t xml:space="preserve"> at 3876-77, para. 66.</w:t>
      </w:r>
    </w:p>
  </w:footnote>
  <w:footnote w:id="108">
    <w:p w:rsidR="00987223" w:rsidRPr="00CE2F6C" w:rsidP="00987223" w14:paraId="5750610A" w14:textId="3D3BFCD0">
      <w:pPr>
        <w:pStyle w:val="FootnoteText"/>
      </w:pPr>
      <w:r w:rsidRPr="00132FB9">
        <w:rPr>
          <w:rStyle w:val="FootnoteReference"/>
        </w:rPr>
        <w:footnoteRef/>
      </w:r>
      <w:r w:rsidRPr="00132FB9">
        <w:t xml:space="preserve"> </w:t>
      </w:r>
      <w:r w:rsidRPr="00CE2F6C">
        <w:rPr>
          <w:i/>
        </w:rPr>
        <w:t>Expanding the Economic and Innovation Opportunities of Spectrum Through Incentive Auctions</w:t>
      </w:r>
      <w:r w:rsidRPr="000F6B31">
        <w:t xml:space="preserve">, </w:t>
      </w:r>
      <w:r>
        <w:t xml:space="preserve">GN Docket No. 12-268, </w:t>
      </w:r>
      <w:r w:rsidRPr="000F6B31">
        <w:t xml:space="preserve">Third Report and Order and First Order on Reconsideration, 30 FCC </w:t>
      </w:r>
      <w:r w:rsidRPr="000F6B31">
        <w:t>Rcd</w:t>
      </w:r>
      <w:r w:rsidRPr="000F6B31">
        <w:t xml:space="preserve"> 12049, 12103, Appendix C n.1 (2015);  </w:t>
      </w:r>
      <w:r w:rsidRPr="000F6B31">
        <w:rPr>
          <w:i/>
        </w:rPr>
        <w:t>Longley-Rice Methodology for Evaluating TV Coverage and Interference</w:t>
      </w:r>
      <w:r w:rsidRPr="000F6B31">
        <w:t>, OET Bulletin No. 69 (Feb. 4, 2004)</w:t>
      </w:r>
      <w:r>
        <w:t>,</w:t>
      </w:r>
      <w:r w:rsidRPr="000F6B31">
        <w:t xml:space="preserve"> </w:t>
      </w:r>
      <w:hyperlink r:id="rId13" w:history="1">
        <w:r w:rsidRPr="00CE2F6C">
          <w:rPr>
            <w:snapToGrid w:val="0"/>
            <w:color w:val="0000FF"/>
            <w:kern w:val="28"/>
            <w:u w:val="single"/>
          </w:rPr>
          <w:t>https://transition.fcc.go</w:t>
        </w:r>
        <w:r w:rsidRPr="000F6B31">
          <w:rPr>
            <w:snapToGrid w:val="0"/>
            <w:color w:val="0000FF"/>
            <w:kern w:val="28"/>
            <w:u w:val="single"/>
          </w:rPr>
          <w:t>v/bureaus/oet/info/documents/bulletins/oet69/oet69.pdf</w:t>
        </w:r>
      </w:hyperlink>
      <w:r>
        <w:t xml:space="preserve">; </w:t>
      </w:r>
      <w:r w:rsidRPr="00CE2F6C">
        <w:rPr>
          <w:i/>
        </w:rPr>
        <w:t>Requirements for Commercial Operation in the U.S. 3550-3700 MHz Citizens Broadband Radio Service Band</w:t>
      </w:r>
      <w:r w:rsidRPr="000F6B31">
        <w:t>, Wireless Innovation Forum, Document WINNF-TS-0112, at 11 (June 25, 2019)</w:t>
      </w:r>
      <w:r>
        <w:t>,</w:t>
      </w:r>
      <w:r w:rsidRPr="000F6B31">
        <w:t xml:space="preserve"> </w:t>
      </w:r>
      <w:hyperlink r:id="rId14" w:history="1">
        <w:r w:rsidRPr="00CE2F6C">
          <w:rPr>
            <w:snapToGrid w:val="0"/>
            <w:color w:val="0000FF"/>
            <w:kern w:val="28"/>
            <w:u w:val="single"/>
          </w:rPr>
          <w:t>https://winnf.memberclicks.net/assets/CBRS/WINNF-TS-0112.pdf</w:t>
        </w:r>
      </w:hyperlink>
      <w:r>
        <w:rPr>
          <w:snapToGrid w:val="0"/>
          <w:color w:val="0000FF"/>
          <w:kern w:val="28"/>
          <w:u w:val="single"/>
        </w:rPr>
        <w:t xml:space="preserve"> </w:t>
      </w:r>
      <w:r w:rsidRPr="00DC349C">
        <w:rPr>
          <w:snapToGrid w:val="0"/>
          <w:color w:val="0000FF"/>
          <w:kern w:val="28"/>
        </w:rPr>
        <w:t>.</w:t>
      </w:r>
    </w:p>
  </w:footnote>
  <w:footnote w:id="109">
    <w:p w:rsidR="00987223" w:rsidRPr="00CE2F6C" w:rsidP="00987223" w14:paraId="41A79B1E" w14:textId="5EFE5046">
      <w:pPr>
        <w:pStyle w:val="FootnoteText"/>
      </w:pPr>
      <w:r w:rsidRPr="00132FB9">
        <w:rPr>
          <w:rStyle w:val="FootnoteReference"/>
        </w:rPr>
        <w:footnoteRef/>
      </w:r>
      <w:r w:rsidRPr="00132FB9">
        <w:t xml:space="preserve"> </w:t>
      </w:r>
      <w:r w:rsidR="005B436B">
        <w:t>47 CFR § 15.407(</w:t>
      </w:r>
      <w:r w:rsidRPr="00F43DFC" w:rsidR="005B436B">
        <w:rPr>
          <w:i/>
          <w:iCs/>
        </w:rPr>
        <w:t>l</w:t>
      </w:r>
      <w:r w:rsidR="005B436B">
        <w:t xml:space="preserve">)(1)(iii).  </w:t>
      </w:r>
      <w:r w:rsidRPr="00132FB9">
        <w:t>“</w:t>
      </w:r>
      <w:r w:rsidRPr="00CE2F6C">
        <w:t>The 1 arc-second NED layer provi</w:t>
      </w:r>
      <w:r w:rsidRPr="000F6B31">
        <w:t xml:space="preserve">des seamless coverage of the conterminous United States, Hawaii, Mexico, Canada, Puerto Rico, other territorial islands, and in limited areas of Alaska.” </w:t>
      </w:r>
      <w:hyperlink r:id="rId15" w:history="1">
        <w:r w:rsidRPr="00CE2F6C">
          <w:rPr>
            <w:rStyle w:val="Hyperlink"/>
          </w:rPr>
          <w:t>https://www.sciencebase</w:t>
        </w:r>
        <w:r w:rsidRPr="000F6B31">
          <w:rPr>
            <w:rStyle w:val="Hyperlink"/>
          </w:rPr>
          <w:t>.gov/catalog/item/5825a0c3e4b01fad86db66dc</w:t>
        </w:r>
      </w:hyperlink>
      <w:r>
        <w:t>.</w:t>
      </w:r>
    </w:p>
  </w:footnote>
  <w:footnote w:id="110">
    <w:p w:rsidR="00987223" w:rsidRPr="00132FB9" w:rsidP="00987223" w14:paraId="55F6A99C" w14:textId="2F8E8CED">
      <w:pPr>
        <w:pStyle w:val="FootnoteText"/>
      </w:pPr>
      <w:r w:rsidRPr="00132FB9">
        <w:rPr>
          <w:rStyle w:val="FootnoteReference"/>
        </w:rPr>
        <w:footnoteRef/>
      </w:r>
      <w:r w:rsidRPr="00132FB9">
        <w:t xml:space="preserve"> </w:t>
      </w:r>
      <w:r w:rsidR="005B436B">
        <w:t>47 CFR § 15.407(</w:t>
      </w:r>
      <w:r w:rsidRPr="00F43DFC" w:rsidR="005B436B">
        <w:rPr>
          <w:i/>
          <w:iCs/>
        </w:rPr>
        <w:t>l</w:t>
      </w:r>
      <w:r w:rsidR="005B436B">
        <w:t xml:space="preserve">)(1)(iii).  </w:t>
      </w:r>
      <w:r w:rsidRPr="00CE2F6C">
        <w:t>Alaska 2 Arc-second Digital Elevation Models</w:t>
      </w:r>
      <w:r w:rsidRPr="000F6B31">
        <w:t xml:space="preserve">. </w:t>
      </w:r>
      <w:hyperlink r:id="rId16" w:history="1">
        <w:r w:rsidRPr="00CE2F6C">
          <w:rPr>
            <w:rStyle w:val="Hyperlink"/>
          </w:rPr>
          <w:t>https://catalog.data</w:t>
        </w:r>
        <w:r w:rsidRPr="000F6B31">
          <w:rPr>
            <w:rStyle w:val="Hyperlink"/>
          </w:rPr>
          <w:t>.gov/dataset/national-elevation-dataset-ned-alaska-2-arc-second-downloadable-data-collection-national-geosp</w:t>
        </w:r>
      </w:hyperlink>
      <w:r w:rsidRPr="00722211">
        <w:rPr>
          <w:rStyle w:val="Hyperlink"/>
        </w:rPr>
        <w:t>.</w:t>
      </w:r>
      <w:r>
        <w:rPr>
          <w:snapToGrid w:val="0"/>
        </w:rPr>
        <w:t xml:space="preserve">  Digital Elevation Model (DEM) terrain files are available for areas in the United States at </w:t>
      </w:r>
      <w:hyperlink r:id="rId17" w:history="1">
        <w:r w:rsidRPr="0086281E">
          <w:rPr>
            <w:rStyle w:val="Hyperlink"/>
            <w:snapToGrid w:val="0"/>
          </w:rPr>
          <w:t>https://viewer.nationalmap.gov/basic/</w:t>
        </w:r>
      </w:hyperlink>
      <w:r>
        <w:rPr>
          <w:snapToGrid w:val="0"/>
        </w:rPr>
        <w:t>.</w:t>
      </w:r>
    </w:p>
  </w:footnote>
  <w:footnote w:id="111">
    <w:p w:rsidR="00987223" w:rsidP="00987223" w14:paraId="72D5AC19" w14:textId="77777777">
      <w:pPr>
        <w:pStyle w:val="FootnoteText"/>
      </w:pPr>
      <w:r>
        <w:rPr>
          <w:rStyle w:val="FootnoteReference"/>
        </w:rPr>
        <w:footnoteRef/>
      </w:r>
      <w:r>
        <w:t xml:space="preserve"> </w:t>
      </w:r>
      <w:r>
        <w:rPr>
          <w:snapToGrid w:val="0"/>
        </w:rPr>
        <w:t xml:space="preserve">ITU Recommendation P.2108 § 3.2 provides a statistical model for clutter loss distributions for urban and suburban environments.  </w:t>
      </w:r>
      <w:r w:rsidRPr="00DC349C">
        <w:rPr>
          <w:i/>
          <w:iCs/>
          <w:snapToGrid w:val="0"/>
        </w:rPr>
        <w:t>Prediction of Clutter Loss</w:t>
      </w:r>
      <w:r>
        <w:rPr>
          <w:snapToGrid w:val="0"/>
        </w:rPr>
        <w:t xml:space="preserve">, Recommendation ITU-R P.2108-0, </w:t>
      </w:r>
      <w:hyperlink r:id="rId18" w:history="1">
        <w:r w:rsidRPr="00034910">
          <w:rPr>
            <w:rStyle w:val="Hyperlink"/>
            <w:snapToGrid w:val="0"/>
          </w:rPr>
          <w:t>https://www.itu.int/rec/R-REC-P.2108/en</w:t>
        </w:r>
      </w:hyperlink>
      <w:r>
        <w:rPr>
          <w:snapToGrid w:val="0"/>
        </w:rPr>
        <w:t>.</w:t>
      </w:r>
    </w:p>
  </w:footnote>
  <w:footnote w:id="112">
    <w:p w:rsidR="00987223" w:rsidP="00987223" w14:paraId="0A38208A" w14:textId="20391F55">
      <w:pPr>
        <w:pStyle w:val="FootnoteText"/>
      </w:pPr>
      <w:r>
        <w:rPr>
          <w:rStyle w:val="FootnoteReference"/>
        </w:rPr>
        <w:footnoteRef/>
      </w:r>
      <w:r>
        <w:t xml:space="preserve"> </w:t>
      </w:r>
      <w:r w:rsidR="005B436B">
        <w:t>47 CFR § 15.407(</w:t>
      </w:r>
      <w:r w:rsidRPr="00F43DFC" w:rsidR="005B436B">
        <w:rPr>
          <w:i/>
          <w:iCs/>
        </w:rPr>
        <w:t>l</w:t>
      </w:r>
      <w:r w:rsidR="005B436B">
        <w:t xml:space="preserve">)(1)(iii).  </w:t>
      </w:r>
      <w:r w:rsidRPr="00DC349C">
        <w:rPr>
          <w:i/>
          <w:iCs/>
        </w:rPr>
        <w:t>Prediction procedure for the evaluation  of interference between stations on the surface of the Earth at frequencies above about 0.1 GHz</w:t>
      </w:r>
      <w:r>
        <w:t xml:space="preserve">, Recommendation ITU-R P.452-16,  </w:t>
      </w:r>
      <w:hyperlink r:id="rId19" w:history="1">
        <w:r w:rsidRPr="00034910">
          <w:rPr>
            <w:rStyle w:val="Hyperlink"/>
          </w:rPr>
          <w:t>https://www.itu.int/dms_pubrec/itu-r/rec/p/R-REC-P.452-16-201507-I!!PDF-E.pdf</w:t>
        </w:r>
      </w:hyperlink>
      <w:r>
        <w:t xml:space="preserve">.  The AFC system should use the most appropriate clutter category for the local morphology when using </w:t>
      </w:r>
      <w:r w:rsidRPr="00C16716">
        <w:rPr>
          <w:szCs w:val="22"/>
        </w:rPr>
        <w:t>ITU-R P.452</w:t>
      </w:r>
      <w:r>
        <w:rPr>
          <w:szCs w:val="22"/>
        </w:rPr>
        <w:t xml:space="preserve">-16.  </w:t>
      </w:r>
      <w:r w:rsidR="005B436B">
        <w:t>47 CFR § 15.407(</w:t>
      </w:r>
      <w:r w:rsidRPr="00F43DFC" w:rsidR="005B436B">
        <w:rPr>
          <w:i/>
          <w:iCs/>
        </w:rPr>
        <w:t>l</w:t>
      </w:r>
      <w:r w:rsidR="005B436B">
        <w:t xml:space="preserve">)(1)(iii).  </w:t>
      </w:r>
      <w:r>
        <w:rPr>
          <w:szCs w:val="22"/>
        </w:rPr>
        <w:t xml:space="preserve">However, if detailed local information is not available, the “Village Centre” clutter category should be used. </w:t>
      </w:r>
      <w:r w:rsidRPr="00C16716">
        <w:rPr>
          <w:szCs w:val="22"/>
        </w:rPr>
        <w:t xml:space="preserve"> </w:t>
      </w:r>
      <w:r w:rsidRPr="005B436B" w:rsidR="005B436B">
        <w:rPr>
          <w:i/>
          <w:iCs/>
        </w:rPr>
        <w:t>Id.</w:t>
      </w:r>
    </w:p>
  </w:footnote>
  <w:footnote w:id="113">
    <w:p w:rsidR="006D67A1" w14:paraId="1C83FB64" w14:textId="4A73C4D0">
      <w:pPr>
        <w:pStyle w:val="FootnoteText"/>
      </w:pPr>
      <w:r>
        <w:rPr>
          <w:rStyle w:val="FootnoteReference"/>
        </w:rPr>
        <w:footnoteRef/>
      </w:r>
      <w:r>
        <w:t xml:space="preserve"> </w:t>
      </w:r>
      <w:r>
        <w:t xml:space="preserve">AT&amp;T </w:t>
      </w:r>
      <w:r w:rsidR="00642F83">
        <w:t xml:space="preserve">Services </w:t>
      </w:r>
      <w:r w:rsidR="003A5201">
        <w:t>C</w:t>
      </w:r>
      <w:r>
        <w:t>omments at 7-9</w:t>
      </w:r>
      <w:r w:rsidR="00A8173A">
        <w:t xml:space="preserve">; Verizon </w:t>
      </w:r>
      <w:r w:rsidR="003A5201">
        <w:t>C</w:t>
      </w:r>
      <w:r w:rsidR="00A8173A">
        <w:t>omments at 3-4</w:t>
      </w:r>
      <w:r w:rsidR="006B4093">
        <w:t xml:space="preserve">; </w:t>
      </w:r>
      <w:r w:rsidR="005B436B">
        <w:rPr>
          <w:i/>
          <w:iCs/>
        </w:rPr>
        <w:t>s</w:t>
      </w:r>
      <w:r w:rsidRPr="00697AF6" w:rsidR="005B436B">
        <w:rPr>
          <w:i/>
          <w:iCs/>
        </w:rPr>
        <w:t xml:space="preserve">ee </w:t>
      </w:r>
      <w:r w:rsidRPr="00697AF6" w:rsidR="006B4093">
        <w:rPr>
          <w:i/>
          <w:iCs/>
        </w:rPr>
        <w:t>also</w:t>
      </w:r>
      <w:r w:rsidR="006B4093">
        <w:t xml:space="preserve"> Utilities Technology Council and the Edison Electric Institute Comments at </w:t>
      </w:r>
      <w:r w:rsidR="00D41E82">
        <w:t xml:space="preserve">5-6; </w:t>
      </w:r>
      <w:r>
        <w:t>FWCC</w:t>
      </w:r>
      <w:r w:rsidR="00B90BA5">
        <w:t xml:space="preserve"> Comments at </w:t>
      </w:r>
      <w:r w:rsidR="00925FEB">
        <w:t>7-8</w:t>
      </w:r>
      <w:r w:rsidR="00445F7E">
        <w:t xml:space="preserve">; AT&amp;T Services April 26, 2022 </w:t>
      </w:r>
      <w:r w:rsidRPr="0056073C" w:rsidR="00445F7E">
        <w:rPr>
          <w:i/>
          <w:iCs/>
        </w:rPr>
        <w:t xml:space="preserve">Ex </w:t>
      </w:r>
      <w:r w:rsidRPr="0056073C" w:rsidR="00445F7E">
        <w:rPr>
          <w:i/>
          <w:iCs/>
        </w:rPr>
        <w:t>Parte</w:t>
      </w:r>
      <w:r w:rsidR="00445F7E">
        <w:t xml:space="preserve">, ET Docket No. 18-295, at </w:t>
      </w:r>
      <w:r w:rsidR="00C638CF">
        <w:t>9-11</w:t>
      </w:r>
      <w:r w:rsidR="006B7A3D">
        <w:t xml:space="preserve">; APCO International May 31, 2022 </w:t>
      </w:r>
      <w:r w:rsidRPr="007C3FC4" w:rsidR="006B7A3D">
        <w:rPr>
          <w:i/>
          <w:iCs/>
        </w:rPr>
        <w:t xml:space="preserve">Ex </w:t>
      </w:r>
      <w:r w:rsidRPr="007C3FC4" w:rsidR="006B7A3D">
        <w:rPr>
          <w:i/>
          <w:iCs/>
        </w:rPr>
        <w:t>Parte</w:t>
      </w:r>
      <w:r w:rsidR="006B7A3D">
        <w:t>, ET Docket 18-295, at 2</w:t>
      </w:r>
      <w:r w:rsidR="00C638CF">
        <w:t>.</w:t>
      </w:r>
    </w:p>
  </w:footnote>
  <w:footnote w:id="114">
    <w:p w:rsidR="006D67A1" w14:paraId="518D5F2D" w14:textId="2E1877F9">
      <w:pPr>
        <w:pStyle w:val="FootnoteText"/>
      </w:pPr>
      <w:r>
        <w:rPr>
          <w:rStyle w:val="FootnoteReference"/>
        </w:rPr>
        <w:footnoteRef/>
      </w:r>
      <w:r>
        <w:t xml:space="preserve"> </w:t>
      </w:r>
      <w:r>
        <w:t>AT&amp;T</w:t>
      </w:r>
      <w:r w:rsidR="00AC3833">
        <w:t xml:space="preserve"> Services</w:t>
      </w:r>
      <w:r w:rsidR="008C2626">
        <w:t xml:space="preserve"> Oct. 14, 2021 </w:t>
      </w:r>
      <w:r w:rsidRPr="0056073C" w:rsidR="008C2626">
        <w:rPr>
          <w:i/>
          <w:iCs/>
        </w:rPr>
        <w:t xml:space="preserve">Ex </w:t>
      </w:r>
      <w:r w:rsidRPr="0056073C" w:rsidR="008C2626">
        <w:rPr>
          <w:i/>
          <w:iCs/>
        </w:rPr>
        <w:t>Parte</w:t>
      </w:r>
      <w:r w:rsidR="008C2626">
        <w:t xml:space="preserve">, </w:t>
      </w:r>
      <w:r w:rsidR="00FC4CFC">
        <w:t xml:space="preserve">ET Docket No. 18-295, </w:t>
      </w:r>
      <w:r w:rsidR="008C2626">
        <w:t>slide presentation at 3, 6-7</w:t>
      </w:r>
      <w:r w:rsidR="00331208">
        <w:t>.</w:t>
      </w:r>
    </w:p>
  </w:footnote>
  <w:footnote w:id="115">
    <w:p w:rsidR="006D67A1" w14:paraId="4090A028" w14:textId="1A86B75B">
      <w:pPr>
        <w:pStyle w:val="FootnoteText"/>
      </w:pPr>
      <w:r>
        <w:rPr>
          <w:rStyle w:val="FootnoteReference"/>
        </w:rPr>
        <w:footnoteRef/>
      </w:r>
      <w:r>
        <w:t xml:space="preserve"> </w:t>
      </w:r>
      <w:r w:rsidRPr="00925FEB">
        <w:rPr>
          <w:i/>
          <w:iCs/>
        </w:rPr>
        <w:t>Id</w:t>
      </w:r>
      <w:r>
        <w:t xml:space="preserve">. at 6-7.  </w:t>
      </w:r>
    </w:p>
  </w:footnote>
  <w:footnote w:id="116">
    <w:p w:rsidR="00F85925" w14:paraId="6E7FBA82" w14:textId="2C11EED9">
      <w:pPr>
        <w:pStyle w:val="FootnoteText"/>
      </w:pPr>
      <w:r>
        <w:rPr>
          <w:rStyle w:val="FootnoteReference"/>
        </w:rPr>
        <w:footnoteRef/>
      </w:r>
      <w:r>
        <w:t xml:space="preserve"> </w:t>
      </w:r>
      <w:r w:rsidRPr="00C570AF" w:rsidR="003031F8">
        <w:rPr>
          <w:i/>
          <w:iCs/>
        </w:rPr>
        <w:t>Id</w:t>
      </w:r>
      <w:r>
        <w:t>.</w:t>
      </w:r>
      <w:r w:rsidR="003031F8">
        <w:t xml:space="preserve"> at 4.</w:t>
      </w:r>
    </w:p>
  </w:footnote>
  <w:footnote w:id="117">
    <w:p w:rsidR="00FA571C" w14:paraId="787FD20C" w14:textId="4A4BB2B8">
      <w:pPr>
        <w:pStyle w:val="FootnoteText"/>
      </w:pPr>
      <w:r>
        <w:rPr>
          <w:rStyle w:val="FootnoteReference"/>
        </w:rPr>
        <w:footnoteRef/>
      </w:r>
      <w:r>
        <w:t xml:space="preserve"> </w:t>
      </w:r>
      <w:r>
        <w:t xml:space="preserve">AT&amp;T Services April 26, 2022 </w:t>
      </w:r>
      <w:r w:rsidRPr="0056073C">
        <w:rPr>
          <w:i/>
          <w:iCs/>
        </w:rPr>
        <w:t xml:space="preserve">Ex </w:t>
      </w:r>
      <w:r w:rsidRPr="0056073C">
        <w:rPr>
          <w:i/>
          <w:iCs/>
        </w:rPr>
        <w:t>Parte</w:t>
      </w:r>
      <w:r>
        <w:t>, ET Docket No. 18-295, at 11.</w:t>
      </w:r>
    </w:p>
  </w:footnote>
  <w:footnote w:id="118">
    <w:p w:rsidR="00421EAA" w14:paraId="046B53CC" w14:textId="0CA80A49">
      <w:pPr>
        <w:pStyle w:val="FootnoteText"/>
      </w:pPr>
      <w:r>
        <w:rPr>
          <w:rStyle w:val="FootnoteReference"/>
        </w:rPr>
        <w:footnoteRef/>
      </w:r>
      <w:r>
        <w:t xml:space="preserve"> </w:t>
      </w:r>
      <w:r w:rsidR="001A4C39">
        <w:t xml:space="preserve">Verizon May 16, 2022 </w:t>
      </w:r>
      <w:r w:rsidRPr="00287884" w:rsidR="001A4C39">
        <w:rPr>
          <w:i/>
          <w:iCs/>
        </w:rPr>
        <w:t xml:space="preserve">Ex </w:t>
      </w:r>
      <w:r w:rsidRPr="00287884" w:rsidR="001A4C39">
        <w:rPr>
          <w:i/>
          <w:iCs/>
        </w:rPr>
        <w:t>Parte</w:t>
      </w:r>
      <w:r w:rsidR="001A4C39">
        <w:t xml:space="preserve">, ET Docket No. 21-352, at </w:t>
      </w:r>
      <w:r w:rsidR="00287884">
        <w:t xml:space="preserve">2; </w:t>
      </w:r>
      <w:r>
        <w:t xml:space="preserve">Verizon </w:t>
      </w:r>
      <w:r w:rsidR="00925FEB">
        <w:t>C</w:t>
      </w:r>
      <w:r>
        <w:t>omments at 8.</w:t>
      </w:r>
    </w:p>
  </w:footnote>
  <w:footnote w:id="119">
    <w:p w:rsidR="00147368" w14:paraId="12ED47D4" w14:textId="25720EAD">
      <w:pPr>
        <w:pStyle w:val="FootnoteText"/>
      </w:pPr>
      <w:r>
        <w:rPr>
          <w:rStyle w:val="FootnoteReference"/>
        </w:rPr>
        <w:footnoteRef/>
      </w:r>
      <w:r>
        <w:t xml:space="preserve"> </w:t>
      </w:r>
      <w:r>
        <w:t xml:space="preserve">Apple, Broadcom et al. </w:t>
      </w:r>
      <w:r w:rsidR="00331208">
        <w:t xml:space="preserve">Nov. 11, 2021 </w:t>
      </w:r>
      <w:r w:rsidRPr="0056073C" w:rsidR="00331208">
        <w:rPr>
          <w:i/>
          <w:iCs/>
        </w:rPr>
        <w:t xml:space="preserve">Ex </w:t>
      </w:r>
      <w:r w:rsidRPr="0056073C" w:rsidR="00331208">
        <w:rPr>
          <w:i/>
          <w:iCs/>
        </w:rPr>
        <w:t>Parte</w:t>
      </w:r>
      <w:r w:rsidR="0056073C">
        <w:t>,</w:t>
      </w:r>
      <w:r w:rsidR="00331208">
        <w:t xml:space="preserve"> at 2</w:t>
      </w:r>
      <w:r>
        <w:t>.</w:t>
      </w:r>
    </w:p>
  </w:footnote>
  <w:footnote w:id="120">
    <w:p w:rsidR="00680FAB" w14:paraId="7937731D" w14:textId="03804010">
      <w:pPr>
        <w:pStyle w:val="FootnoteText"/>
      </w:pPr>
      <w:r>
        <w:rPr>
          <w:rStyle w:val="FootnoteReference"/>
        </w:rPr>
        <w:footnoteRef/>
      </w:r>
      <w:r>
        <w:t xml:space="preserve"> </w:t>
      </w:r>
      <w:r w:rsidRPr="0027126F">
        <w:rPr>
          <w:i/>
          <w:iCs/>
        </w:rPr>
        <w:t>Id</w:t>
      </w:r>
      <w:r>
        <w:t>. at 2.</w:t>
      </w:r>
    </w:p>
  </w:footnote>
  <w:footnote w:id="121">
    <w:p w:rsidR="00147368" w14:paraId="1A402E66" w14:textId="63B2C482">
      <w:pPr>
        <w:pStyle w:val="FootnoteText"/>
      </w:pPr>
      <w:r>
        <w:rPr>
          <w:rStyle w:val="FootnoteReference"/>
        </w:rPr>
        <w:footnoteRef/>
      </w:r>
      <w:r>
        <w:t xml:space="preserve"> </w:t>
      </w:r>
      <w:r w:rsidRPr="0027126F">
        <w:rPr>
          <w:i/>
          <w:iCs/>
        </w:rPr>
        <w:t>Id</w:t>
      </w:r>
      <w:r>
        <w:t>. at 4</w:t>
      </w:r>
      <w:r w:rsidR="0027126F">
        <w:t>.</w:t>
      </w:r>
    </w:p>
  </w:footnote>
  <w:footnote w:id="122">
    <w:p w:rsidR="003B2721" w14:paraId="65762B8E" w14:textId="6DC96EF6">
      <w:pPr>
        <w:pStyle w:val="FootnoteText"/>
      </w:pPr>
      <w:r>
        <w:rPr>
          <w:rStyle w:val="FootnoteReference"/>
        </w:rPr>
        <w:footnoteRef/>
      </w:r>
      <w:r>
        <w:t xml:space="preserve"> </w:t>
      </w:r>
      <w:r w:rsidRPr="0027126F">
        <w:rPr>
          <w:i/>
          <w:iCs/>
        </w:rPr>
        <w:t>Id</w:t>
      </w:r>
      <w:r>
        <w:t>. at 5-</w:t>
      </w:r>
      <w:r w:rsidR="0027126F">
        <w:t>7.</w:t>
      </w:r>
    </w:p>
  </w:footnote>
  <w:footnote w:id="123">
    <w:p w:rsidR="00EC3601" w14:paraId="0C1BB4BD" w14:textId="1A769B49">
      <w:pPr>
        <w:pStyle w:val="FootnoteText"/>
      </w:pPr>
      <w:r>
        <w:rPr>
          <w:rStyle w:val="FootnoteReference"/>
        </w:rPr>
        <w:footnoteRef/>
      </w:r>
      <w:r>
        <w:t xml:space="preserve"> </w:t>
      </w:r>
      <w:r w:rsidR="00FD7055">
        <w:t xml:space="preserve">Proposal by RED Technologies for </w:t>
      </w:r>
      <w:r w:rsidR="00705E0A">
        <w:t>O</w:t>
      </w:r>
      <w:r w:rsidR="00FD7055">
        <w:t>perating an AFC System</w:t>
      </w:r>
      <w:r w:rsidR="00CE0D78">
        <w:t>, ET Docket 21-352,</w:t>
      </w:r>
      <w:r w:rsidR="00FD7055">
        <w:t xml:space="preserve"> at 10</w:t>
      </w:r>
      <w:r w:rsidR="00CE0D78">
        <w:t xml:space="preserve"> (filed </w:t>
      </w:r>
      <w:r w:rsidR="00C36D88">
        <w:t>Nov. 26, 2021)</w:t>
      </w:r>
      <w:r w:rsidR="00FD7055">
        <w:t>.</w:t>
      </w:r>
    </w:p>
  </w:footnote>
  <w:footnote w:id="124">
    <w:p w:rsidR="00FD7055" w14:paraId="10D7E34B" w14:textId="1A185263">
      <w:pPr>
        <w:pStyle w:val="FootnoteText"/>
      </w:pPr>
      <w:r>
        <w:rPr>
          <w:rStyle w:val="FootnoteReference"/>
        </w:rPr>
        <w:footnoteRef/>
      </w:r>
      <w:r>
        <w:t xml:space="preserve"> </w:t>
      </w:r>
      <w:bookmarkStart w:id="8" w:name="_Hlk101163650"/>
      <w:r>
        <w:t>Supplement to Proposal from Sony Group Corporation to Serve as an Automated Frequency Coordination System Operator</w:t>
      </w:r>
      <w:r w:rsidR="002F3509">
        <w:t>, ET Docket 21-352,</w:t>
      </w:r>
      <w:r>
        <w:t xml:space="preserve"> at 2</w:t>
      </w:r>
      <w:r w:rsidR="002F3509">
        <w:t xml:space="preserve"> (filed </w:t>
      </w:r>
      <w:r w:rsidR="0014281D">
        <w:t>Feb. 24, 2022)</w:t>
      </w:r>
      <w:bookmarkEnd w:id="8"/>
      <w:r>
        <w:t>; Qualcomm</w:t>
      </w:r>
      <w:r w:rsidR="00C45DF4">
        <w:t xml:space="preserve"> Automated Frequency Coordination System Operator Application: Responses to Supplemental Questions, ET Docket 21-3</w:t>
      </w:r>
      <w:r w:rsidR="00413F35">
        <w:t>52,</w:t>
      </w:r>
      <w:r w:rsidR="00335F28">
        <w:t xml:space="preserve"> at </w:t>
      </w:r>
      <w:r w:rsidR="00714DB2">
        <w:t>6</w:t>
      </w:r>
      <w:r w:rsidR="00C45DF4">
        <w:t xml:space="preserve"> </w:t>
      </w:r>
      <w:r w:rsidR="009554E4">
        <w:t>(filed Feb</w:t>
      </w:r>
      <w:r w:rsidR="0014281D">
        <w:t>. 28, 2022)</w:t>
      </w:r>
      <w:r w:rsidR="00335F28">
        <w:t>;</w:t>
      </w:r>
      <w:r w:rsidR="001643A4">
        <w:t xml:space="preserve"> </w:t>
      </w:r>
      <w:r w:rsidR="00EA2F10">
        <w:t>Response to Commission Questions Regarding Nokia’s Proposal to be Approved as an Automated Frequency Coordination (AFC) System Operator</w:t>
      </w:r>
      <w:r w:rsidR="00505FD1">
        <w:t xml:space="preserve">, ET Docket </w:t>
      </w:r>
      <w:r w:rsidR="006C219D">
        <w:t>21-352,</w:t>
      </w:r>
      <w:r w:rsidR="00505FD1">
        <w:t xml:space="preserve"> at 1 (</w:t>
      </w:r>
      <w:r w:rsidR="0014281D">
        <w:t xml:space="preserve">filed </w:t>
      </w:r>
      <w:r w:rsidR="00505FD1">
        <w:t>April 14, 2022)</w:t>
      </w:r>
      <w:r w:rsidR="00335F28">
        <w:t>.</w:t>
      </w:r>
      <w:r>
        <w:t xml:space="preserve"> </w:t>
      </w:r>
    </w:p>
  </w:footnote>
  <w:footnote w:id="125">
    <w:p w:rsidR="002E3794" w14:paraId="5C389808" w14:textId="2B03601F">
      <w:pPr>
        <w:pStyle w:val="FootnoteText"/>
      </w:pPr>
      <w:r>
        <w:rPr>
          <w:rStyle w:val="FootnoteReference"/>
        </w:rPr>
        <w:footnoteRef/>
      </w:r>
      <w:r>
        <w:t xml:space="preserve"> </w:t>
      </w:r>
      <w:r w:rsidRPr="004C2ED1">
        <w:t>47 CFR § 0.241(</w:t>
      </w:r>
      <w:r>
        <w:t>k</w:t>
      </w:r>
      <w:r w:rsidRPr="004C2ED1">
        <w:t>)</w:t>
      </w:r>
      <w:r w:rsidR="004C3225">
        <w:t xml:space="preserve">; </w:t>
      </w:r>
      <w:r w:rsidR="00DC7171">
        <w:rPr>
          <w:i/>
          <w:iCs/>
        </w:rPr>
        <w:t>s</w:t>
      </w:r>
      <w:r w:rsidRPr="00B757B8" w:rsidR="00DC7171">
        <w:rPr>
          <w:i/>
          <w:iCs/>
        </w:rPr>
        <w:t>ee</w:t>
      </w:r>
      <w:r w:rsidR="00DC7171">
        <w:t xml:space="preserve"> </w:t>
      </w:r>
      <w:r w:rsidR="004C3225">
        <w:t xml:space="preserve">AT&amp;T Services </w:t>
      </w:r>
      <w:r w:rsidR="00C638CF">
        <w:t>April</w:t>
      </w:r>
      <w:r w:rsidR="004C3225">
        <w:t xml:space="preserve"> </w:t>
      </w:r>
      <w:r w:rsidR="00B757B8">
        <w:t>26</w:t>
      </w:r>
      <w:r w:rsidR="004C3225">
        <w:t>, 202</w:t>
      </w:r>
      <w:r w:rsidR="00B757B8">
        <w:t>2</w:t>
      </w:r>
      <w:r w:rsidR="004C3225">
        <w:t xml:space="preserve"> </w:t>
      </w:r>
      <w:r w:rsidRPr="0056073C" w:rsidR="004C3225">
        <w:rPr>
          <w:i/>
          <w:iCs/>
        </w:rPr>
        <w:t xml:space="preserve">Ex </w:t>
      </w:r>
      <w:r w:rsidRPr="0056073C" w:rsidR="004C3225">
        <w:rPr>
          <w:i/>
          <w:iCs/>
        </w:rPr>
        <w:t>Parte</w:t>
      </w:r>
      <w:r w:rsidR="004C3225">
        <w:t>, ET Docket No. 18-295,</w:t>
      </w:r>
      <w:r w:rsidR="00594131">
        <w:t xml:space="preserve"> at 11 (</w:t>
      </w:r>
      <w:r w:rsidR="00B757B8">
        <w:t>“</w:t>
      </w:r>
      <w:r w:rsidR="00DC7171">
        <w:t xml:space="preserve">[I]t </w:t>
      </w:r>
      <w:r w:rsidR="00594131">
        <w:t>is clear</w:t>
      </w:r>
      <w:r w:rsidR="00B757B8">
        <w:t xml:space="preserve"> that the Commission intended </w:t>
      </w:r>
      <w:r w:rsidR="00DC7171">
        <w:t xml:space="preserve">that </w:t>
      </w:r>
      <w:r w:rsidR="00B757B8">
        <w:t xml:space="preserve">OET could define parameters </w:t>
      </w:r>
      <w:r w:rsidR="00DC7171">
        <w:t xml:space="preserve">for </w:t>
      </w:r>
      <w:r w:rsidR="00B757B8">
        <w:t>AFC system operation.”).</w:t>
      </w:r>
    </w:p>
  </w:footnote>
  <w:footnote w:id="126">
    <w:p w:rsidR="002E3794" w14:paraId="49C9B1F0" w14:textId="6C537F8C">
      <w:pPr>
        <w:pStyle w:val="FootnoteText"/>
      </w:pPr>
      <w:r>
        <w:rPr>
          <w:rStyle w:val="FootnoteReference"/>
        </w:rPr>
        <w:footnoteRef/>
      </w:r>
      <w:r>
        <w:t xml:space="preserve"> </w:t>
      </w:r>
      <w:r w:rsidRPr="004C2ED1" w:rsidR="00671749">
        <w:t>47 CFR § 0.241(</w:t>
      </w:r>
      <w:r w:rsidR="00671749">
        <w:t>k).</w:t>
      </w:r>
      <w:r>
        <w:t xml:space="preserve"> </w:t>
      </w:r>
    </w:p>
  </w:footnote>
  <w:footnote w:id="127">
    <w:p w:rsidR="007521C9" w:rsidP="007521C9" w14:paraId="11126C7C" w14:textId="77777777">
      <w:pPr>
        <w:pStyle w:val="FootnoteText"/>
      </w:pPr>
      <w:r>
        <w:rPr>
          <w:rStyle w:val="FootnoteReference"/>
        </w:rPr>
        <w:footnoteRef/>
      </w:r>
      <w:r>
        <w:t xml:space="preserve"> </w:t>
      </w:r>
      <w:r w:rsidRPr="004A2D91">
        <w:rPr>
          <w:i/>
          <w:iCs/>
          <w:szCs w:val="22"/>
        </w:rPr>
        <w:t>6 GHz Report and Order</w:t>
      </w:r>
      <w:r>
        <w:rPr>
          <w:szCs w:val="22"/>
        </w:rPr>
        <w:t xml:space="preserve">, </w:t>
      </w:r>
      <w:r>
        <w:rPr>
          <w:spacing w:val="-2"/>
        </w:rPr>
        <w:t xml:space="preserve">35 FCC </w:t>
      </w:r>
      <w:r>
        <w:rPr>
          <w:spacing w:val="-2"/>
        </w:rPr>
        <w:t>Rcd</w:t>
      </w:r>
      <w:r>
        <w:rPr>
          <w:i/>
          <w:iCs/>
          <w:szCs w:val="22"/>
        </w:rPr>
        <w:t xml:space="preserve"> </w:t>
      </w:r>
      <w:r>
        <w:rPr>
          <w:szCs w:val="22"/>
        </w:rPr>
        <w:t>at 3898-3902, paras. 127-131.</w:t>
      </w:r>
    </w:p>
  </w:footnote>
  <w:footnote w:id="128">
    <w:p w:rsidR="007521C9" w:rsidP="007521C9" w14:paraId="0AD894EF" w14:textId="77777777">
      <w:pPr>
        <w:pStyle w:val="FootnoteText"/>
      </w:pPr>
      <w:r>
        <w:rPr>
          <w:rStyle w:val="FootnoteReference"/>
        </w:rPr>
        <w:footnoteRef/>
      </w:r>
      <w:r>
        <w:t xml:space="preserve"> </w:t>
      </w:r>
      <w:r>
        <w:t xml:space="preserve">We note that the Commission has precedent for using </w:t>
      </w:r>
      <w:r w:rsidRPr="00095608">
        <w:t xml:space="preserve">50% confidence and reliability </w:t>
      </w:r>
      <w:r>
        <w:t xml:space="preserve">levels in specifying how to evaluate propagation loss. These same levels are </w:t>
      </w:r>
      <w:r w:rsidRPr="00095608">
        <w:t xml:space="preserve">used </w:t>
      </w:r>
      <w:r>
        <w:t xml:space="preserve">by the </w:t>
      </w:r>
      <w:r w:rsidRPr="00095608">
        <w:t xml:space="preserve">Citizens Broadband Radio Service (CBRS) spectrum access systems (SAS) </w:t>
      </w:r>
      <w:r>
        <w:t xml:space="preserve">in their ITM implementation to </w:t>
      </w:r>
      <w:r w:rsidRPr="00095608">
        <w:t xml:space="preserve">control access in the 3.55-3.7 GHz band.  </w:t>
      </w:r>
      <w:r>
        <w:t xml:space="preserve">These </w:t>
      </w:r>
      <w:r w:rsidRPr="00095608">
        <w:t>SAS</w:t>
      </w:r>
      <w:r>
        <w:t>’s</w:t>
      </w:r>
      <w:r w:rsidRPr="00095608">
        <w:t xml:space="preserve"> </w:t>
      </w:r>
      <w:r>
        <w:t xml:space="preserve">are </w:t>
      </w:r>
      <w:r w:rsidRPr="00095608">
        <w:t>successfully prevent</w:t>
      </w:r>
      <w:r>
        <w:t>ing</w:t>
      </w:r>
      <w:r w:rsidRPr="00095608">
        <w:t xml:space="preserve"> harmful interference </w:t>
      </w:r>
      <w:r>
        <w:t xml:space="preserve">from occurring </w:t>
      </w:r>
      <w:r w:rsidRPr="00095608">
        <w:t xml:space="preserve">in the 3.55-3.7 GHz band, </w:t>
      </w:r>
      <w:r>
        <w:t xml:space="preserve">which </w:t>
      </w:r>
      <w:r w:rsidRPr="00095608">
        <w:t>provides further indication that these parameters are appropriate.</w:t>
      </w:r>
    </w:p>
  </w:footnote>
  <w:footnote w:id="129">
    <w:p w:rsidR="007521C9" w:rsidP="007521C9" w14:paraId="31D65E08" w14:textId="77777777">
      <w:pPr>
        <w:pStyle w:val="FootnoteText"/>
      </w:pPr>
      <w:r>
        <w:rPr>
          <w:rStyle w:val="FootnoteReference"/>
        </w:rPr>
        <w:footnoteRef/>
      </w:r>
      <w:r>
        <w:t xml:space="preserve"> </w:t>
      </w:r>
      <w:r>
        <w:t xml:space="preserve">Verizon also claims that there is a need to standardize other parameters such as how AFC systems will determine line-of-sign conditions, application of site specific information where available, implementation of clutter models, antenna patterns when the actual microwave antenna pattern isn’t available, and microwave system noise figure.  Verizon May 16, 2022 </w:t>
      </w:r>
      <w:r w:rsidRPr="000C5B1A">
        <w:rPr>
          <w:i/>
          <w:iCs/>
        </w:rPr>
        <w:t xml:space="preserve">Ex </w:t>
      </w:r>
      <w:r w:rsidRPr="000C5B1A">
        <w:rPr>
          <w:i/>
          <w:iCs/>
        </w:rPr>
        <w:t>Parte</w:t>
      </w:r>
      <w:r>
        <w:t xml:space="preserve">, ET Docket 21-352, at 3-4.  Industry should continue to work toward consensus on these issues.  </w:t>
      </w:r>
    </w:p>
  </w:footnote>
  <w:footnote w:id="130">
    <w:p w:rsidR="007521C9" w:rsidP="007521C9" w14:paraId="07E21E25" w14:textId="77777777">
      <w:pPr>
        <w:pStyle w:val="FootnoteText"/>
      </w:pPr>
      <w:r>
        <w:rPr>
          <w:rStyle w:val="FootnoteReference"/>
        </w:rPr>
        <w:footnoteRef/>
      </w:r>
      <w:r>
        <w:t xml:space="preserve"> </w:t>
      </w:r>
      <w:r>
        <w:t xml:space="preserve">If industry does not reach a consensus to use more stringent confidence and reliability levels, </w:t>
      </w:r>
      <w:bookmarkStart w:id="10" w:name="_Hlk110327908"/>
      <w:r>
        <w:t>individual AFC operators have the option of adopting such levels on their own initiative</w:t>
      </w:r>
      <w:bookmarkEnd w:id="10"/>
      <w:r>
        <w:t xml:space="preserve">.   </w:t>
      </w:r>
    </w:p>
  </w:footnote>
  <w:footnote w:id="131">
    <w:p w:rsidR="002933AD" w:rsidP="002933AD" w14:paraId="7CB7C92D" w14:textId="77777777">
      <w:pPr>
        <w:pStyle w:val="FootnoteText"/>
      </w:pPr>
      <w:r>
        <w:rPr>
          <w:rStyle w:val="FootnoteReference"/>
        </w:rPr>
        <w:footnoteRef/>
      </w:r>
      <w:r>
        <w:t xml:space="preserve"> </w:t>
      </w:r>
      <w:r>
        <w:t>Verizon Comments at 8.</w:t>
      </w:r>
    </w:p>
  </w:footnote>
  <w:footnote w:id="132">
    <w:p w:rsidR="002933AD" w:rsidP="002933AD" w14:paraId="31ADC653" w14:textId="77777777">
      <w:pPr>
        <w:pStyle w:val="FootnoteText"/>
      </w:pPr>
      <w:r>
        <w:rPr>
          <w:rStyle w:val="FootnoteReference"/>
        </w:rPr>
        <w:footnoteRef/>
      </w:r>
      <w:r>
        <w:t xml:space="preserve"> </w:t>
      </w:r>
      <w:r>
        <w:t xml:space="preserve">AT&amp;T Services April 26, 2022 </w:t>
      </w:r>
      <w:r w:rsidRPr="0056073C">
        <w:rPr>
          <w:i/>
          <w:iCs/>
        </w:rPr>
        <w:t xml:space="preserve">Ex </w:t>
      </w:r>
      <w:r w:rsidRPr="0056073C">
        <w:rPr>
          <w:i/>
          <w:iCs/>
        </w:rPr>
        <w:t>Parte</w:t>
      </w:r>
      <w:r>
        <w:t>, ET Docket No. 18-295, at 11.</w:t>
      </w:r>
    </w:p>
  </w:footnote>
  <w:footnote w:id="133">
    <w:p w:rsidR="002933AD" w:rsidP="002933AD" w14:paraId="729E251B" w14:textId="77777777">
      <w:pPr>
        <w:pStyle w:val="FootnoteText"/>
      </w:pPr>
      <w:r>
        <w:rPr>
          <w:rStyle w:val="FootnoteReference"/>
        </w:rPr>
        <w:footnoteRef/>
      </w:r>
      <w:r>
        <w:t xml:space="preserve"> </w:t>
      </w:r>
      <w:r w:rsidRPr="009B6551">
        <w:rPr>
          <w:i/>
          <w:iCs/>
          <w:spacing w:val="-2"/>
        </w:rPr>
        <w:t xml:space="preserve"> </w:t>
      </w:r>
      <w:r w:rsidRPr="00D0545A">
        <w:rPr>
          <w:i/>
          <w:iCs/>
          <w:spacing w:val="-2"/>
        </w:rPr>
        <w:t>6 GHz Report and Order</w:t>
      </w:r>
      <w:r>
        <w:t xml:space="preserve">, 35 FCC </w:t>
      </w:r>
      <w:r>
        <w:t>Rcd</w:t>
      </w:r>
      <w:r>
        <w:t xml:space="preserve"> at 3889, 3899-900, paras. 100, 128, footnote 297, Table 4.</w:t>
      </w:r>
    </w:p>
  </w:footnote>
  <w:footnote w:id="134">
    <w:p w:rsidR="002933AD" w:rsidP="002933AD" w14:paraId="38027D89" w14:textId="77777777">
      <w:pPr>
        <w:pStyle w:val="FootnoteText"/>
      </w:pPr>
      <w:r>
        <w:rPr>
          <w:rStyle w:val="FootnoteReference"/>
        </w:rPr>
        <w:footnoteRef/>
      </w:r>
      <w:r>
        <w:t xml:space="preserve"> </w:t>
      </w:r>
      <w:r>
        <w:t>Supplement to the Proposal by RED Technologies SAS to Serve as an Automated Frequency Coordination System Operator in the 6 GHz Band, ET Docket 21-352, at 3 (filed Nov. 26, 2021).</w:t>
      </w:r>
    </w:p>
  </w:footnote>
  <w:footnote w:id="135">
    <w:p w:rsidR="002933AD" w:rsidP="002933AD" w14:paraId="5296CD01" w14:textId="77777777">
      <w:pPr>
        <w:pStyle w:val="FootnoteText"/>
      </w:pPr>
      <w:r>
        <w:rPr>
          <w:rStyle w:val="FootnoteReference"/>
        </w:rPr>
        <w:footnoteRef/>
      </w:r>
      <w:r>
        <w:t xml:space="preserve"> </w:t>
      </w:r>
      <w:r>
        <w:t xml:space="preserve">Broadcom Feb. 24, 2022 </w:t>
      </w:r>
      <w:r w:rsidRPr="007117B1">
        <w:rPr>
          <w:i/>
          <w:iCs/>
        </w:rPr>
        <w:t xml:space="preserve">Ex </w:t>
      </w:r>
      <w:r w:rsidRPr="007117B1">
        <w:rPr>
          <w:i/>
          <w:iCs/>
        </w:rPr>
        <w:t>Parte</w:t>
      </w:r>
      <w:r>
        <w:t xml:space="preserve"> ET Docket No. 21-352, at 2.</w:t>
      </w:r>
    </w:p>
  </w:footnote>
  <w:footnote w:id="136">
    <w:p w:rsidR="002933AD" w:rsidRPr="00F13686" w:rsidP="002933AD" w14:paraId="7E439034" w14:textId="77777777">
      <w:pPr>
        <w:pStyle w:val="FootnoteText"/>
      </w:pPr>
      <w:r>
        <w:rPr>
          <w:rStyle w:val="FootnoteReference"/>
        </w:rPr>
        <w:footnoteRef/>
      </w:r>
      <w:r>
        <w:t xml:space="preserve"> </w:t>
      </w:r>
      <w:r w:rsidRPr="004A2D91">
        <w:rPr>
          <w:i/>
          <w:iCs/>
          <w:szCs w:val="22"/>
        </w:rPr>
        <w:t>6 GHz Report and Order</w:t>
      </w:r>
      <w:r>
        <w:rPr>
          <w:i/>
          <w:iCs/>
          <w:szCs w:val="22"/>
        </w:rPr>
        <w:t xml:space="preserve">, </w:t>
      </w:r>
      <w:r>
        <w:rPr>
          <w:spacing w:val="-2"/>
        </w:rPr>
        <w:t xml:space="preserve">35 FCC </w:t>
      </w:r>
      <w:r>
        <w:rPr>
          <w:spacing w:val="-2"/>
        </w:rPr>
        <w:t>Rcd</w:t>
      </w:r>
      <w:r>
        <w:rPr>
          <w:i/>
          <w:iCs/>
          <w:szCs w:val="22"/>
        </w:rPr>
        <w:t xml:space="preserve"> </w:t>
      </w:r>
      <w:r>
        <w:rPr>
          <w:szCs w:val="22"/>
        </w:rPr>
        <w:t xml:space="preserve">at 3862, para. 22.  </w:t>
      </w:r>
    </w:p>
  </w:footnote>
  <w:footnote w:id="137">
    <w:p w:rsidR="008B0697" w:rsidRPr="00CC1A6C" w14:paraId="144EB09E" w14:textId="490F4069">
      <w:pPr>
        <w:pStyle w:val="FootnoteText"/>
      </w:pPr>
      <w:r>
        <w:rPr>
          <w:rStyle w:val="FootnoteReference"/>
        </w:rPr>
        <w:footnoteRef/>
      </w:r>
      <w:r>
        <w:t xml:space="preserve"> </w:t>
      </w:r>
      <w:r>
        <w:rPr>
          <w:i/>
          <w:iCs/>
        </w:rPr>
        <w:t xml:space="preserve">See, e.g., </w:t>
      </w:r>
      <w:r>
        <w:t xml:space="preserve">Hewlett Packard Enterprise Jul. 29, 2022 </w:t>
      </w:r>
      <w:r>
        <w:rPr>
          <w:i/>
          <w:iCs/>
        </w:rPr>
        <w:t xml:space="preserve">Ex </w:t>
      </w:r>
      <w:r>
        <w:rPr>
          <w:i/>
          <w:iCs/>
        </w:rPr>
        <w:t>Parte</w:t>
      </w:r>
      <w:r w:rsidR="00CC1A6C">
        <w:rPr>
          <w:i/>
          <w:iCs/>
        </w:rPr>
        <w:t xml:space="preserve"> </w:t>
      </w:r>
      <w:r w:rsidR="00CC1A6C">
        <w:t>ET Docket No. 18-295.</w:t>
      </w:r>
    </w:p>
  </w:footnote>
  <w:footnote w:id="138">
    <w:p w:rsidR="00AC49BE" w:rsidRPr="00AC49BE" w14:paraId="233E1696" w14:textId="56BB9351">
      <w:pPr>
        <w:pStyle w:val="FootnoteText"/>
      </w:pPr>
      <w:r>
        <w:rPr>
          <w:rStyle w:val="FootnoteReference"/>
        </w:rPr>
        <w:footnoteRef/>
      </w:r>
      <w:r>
        <w:t xml:space="preserve"> </w:t>
      </w:r>
      <w:r>
        <w:rPr>
          <w:i/>
          <w:iCs/>
        </w:rPr>
        <w:t xml:space="preserve">6 GHz Report and Order, </w:t>
      </w:r>
      <w:r>
        <w:t xml:space="preserve">35 FCC </w:t>
      </w:r>
      <w:r>
        <w:t>Rcd</w:t>
      </w:r>
      <w:r>
        <w:t xml:space="preserve"> at</w:t>
      </w:r>
      <w:r w:rsidR="00A47589">
        <w:t xml:space="preserve"> 3869, para. 43.</w:t>
      </w:r>
    </w:p>
  </w:footnote>
  <w:footnote w:id="139">
    <w:p w:rsidR="00C16351" w14:paraId="7B492179" w14:textId="2C20FB3E">
      <w:pPr>
        <w:pStyle w:val="FootnoteText"/>
      </w:pPr>
      <w:r>
        <w:rPr>
          <w:rStyle w:val="FootnoteReference"/>
        </w:rPr>
        <w:footnoteRef/>
      </w:r>
      <w:r>
        <w:t xml:space="preserve"> </w:t>
      </w:r>
      <w:r w:rsidRPr="004A2D91" w:rsidR="0052747E">
        <w:rPr>
          <w:i/>
          <w:iCs/>
          <w:szCs w:val="22"/>
        </w:rPr>
        <w:t>6 GHz Report and Order</w:t>
      </w:r>
      <w:r w:rsidR="0052747E">
        <w:rPr>
          <w:i/>
          <w:iCs/>
          <w:szCs w:val="22"/>
        </w:rPr>
        <w:t xml:space="preserve">, </w:t>
      </w:r>
      <w:bookmarkStart w:id="13" w:name="_Hlk111729520"/>
      <w:r w:rsidR="0052747E">
        <w:rPr>
          <w:spacing w:val="-2"/>
        </w:rPr>
        <w:t xml:space="preserve">35 FCC </w:t>
      </w:r>
      <w:r w:rsidR="0052747E">
        <w:rPr>
          <w:spacing w:val="-2"/>
        </w:rPr>
        <w:t>Rcd</w:t>
      </w:r>
      <w:r w:rsidR="0052747E">
        <w:rPr>
          <w:i/>
          <w:iCs/>
          <w:szCs w:val="22"/>
        </w:rPr>
        <w:t xml:space="preserve"> </w:t>
      </w:r>
      <w:r w:rsidR="0052747E">
        <w:rPr>
          <w:szCs w:val="22"/>
        </w:rPr>
        <w:t xml:space="preserve">at </w:t>
      </w:r>
      <w:bookmarkEnd w:id="13"/>
      <w:r w:rsidR="00631B5E">
        <w:rPr>
          <w:szCs w:val="22"/>
        </w:rPr>
        <w:t>3871</w:t>
      </w:r>
      <w:r w:rsidR="0052747E">
        <w:rPr>
          <w:szCs w:val="22"/>
        </w:rPr>
        <w:t xml:space="preserve">, para. </w:t>
      </w:r>
      <w:r w:rsidR="00631B5E">
        <w:rPr>
          <w:szCs w:val="22"/>
        </w:rPr>
        <w:t>49</w:t>
      </w:r>
      <w:r w:rsidR="00E70D3A">
        <w:rPr>
          <w:szCs w:val="22"/>
        </w:rPr>
        <w:t>.</w:t>
      </w:r>
    </w:p>
  </w:footnote>
  <w:footnote w:id="140">
    <w:p w:rsidR="00631B5E" w14:paraId="2278D0C2" w14:textId="64BB9538">
      <w:pPr>
        <w:pStyle w:val="FootnoteText"/>
      </w:pPr>
      <w:r>
        <w:rPr>
          <w:rStyle w:val="FootnoteReference"/>
        </w:rPr>
        <w:footnoteRef/>
      </w:r>
      <w:r>
        <w:t xml:space="preserve"> </w:t>
      </w:r>
      <w:r w:rsidRPr="00631B5E">
        <w:rPr>
          <w:i/>
          <w:iCs/>
        </w:rPr>
        <w:t>See</w:t>
      </w:r>
      <w:r>
        <w:t xml:space="preserve"> </w:t>
      </w:r>
      <w:r w:rsidRPr="00631B5E">
        <w:rPr>
          <w:i/>
          <w:iCs/>
        </w:rPr>
        <w:t>id.</w:t>
      </w:r>
    </w:p>
  </w:footnote>
  <w:footnote w:id="141">
    <w:p w:rsidR="00631B5E" w:rsidP="00631B5E" w14:paraId="31E89CD7" w14:textId="77777777">
      <w:pPr>
        <w:pStyle w:val="FootnoteText"/>
      </w:pPr>
      <w:r>
        <w:rPr>
          <w:rStyle w:val="FootnoteReference"/>
        </w:rPr>
        <w:footnoteRef/>
      </w:r>
      <w:r>
        <w:t xml:space="preserve"> </w:t>
      </w:r>
      <w:r w:rsidRPr="00AF3A15">
        <w:rPr>
          <w:i/>
          <w:iCs/>
        </w:rPr>
        <w:t>See</w:t>
      </w:r>
      <w:r>
        <w:t xml:space="preserve"> </w:t>
      </w:r>
      <w:r w:rsidRPr="00AF3A15">
        <w:rPr>
          <w:i/>
          <w:iCs/>
        </w:rPr>
        <w:t>id.</w:t>
      </w:r>
    </w:p>
  </w:footnote>
  <w:footnote w:id="142">
    <w:p w:rsidR="00A07123" w14:paraId="36060F01" w14:textId="5B25AAC0">
      <w:pPr>
        <w:pStyle w:val="FootnoteText"/>
      </w:pPr>
      <w:r>
        <w:rPr>
          <w:rStyle w:val="FootnoteReference"/>
        </w:rPr>
        <w:footnoteRef/>
      </w:r>
      <w:r>
        <w:t xml:space="preserve"> </w:t>
      </w:r>
      <w:r w:rsidRPr="00426135" w:rsidR="00730D50">
        <w:rPr>
          <w:i/>
          <w:iCs/>
        </w:rPr>
        <w:t>Wi-Fi Alliance AFC System (SUT) Compliance Test Plan Version 1.</w:t>
      </w:r>
      <w:r w:rsidR="003443DE">
        <w:rPr>
          <w:i/>
          <w:iCs/>
        </w:rPr>
        <w:t>2.</w:t>
      </w:r>
      <w:r w:rsidR="00730D50">
        <w:rPr>
          <w:i/>
          <w:iCs/>
        </w:rPr>
        <w:t>1</w:t>
      </w:r>
      <w:r w:rsidRPr="00E16CA2" w:rsidR="00730D50">
        <w:t xml:space="preserve">, </w:t>
      </w:r>
      <w:r w:rsidR="003443DE">
        <w:t>September 26,</w:t>
      </w:r>
      <w:r w:rsidRPr="00E16CA2" w:rsidR="00730D50">
        <w:t>, 202</w:t>
      </w:r>
      <w:r w:rsidR="003443DE">
        <w:t>2</w:t>
      </w:r>
      <w:r w:rsidR="00730D50">
        <w:t xml:space="preserve">, </w:t>
      </w:r>
      <w:hyperlink r:id="rId4" w:history="1">
        <w:r w:rsidRPr="00E90907" w:rsidR="00730D50">
          <w:rPr>
            <w:rStyle w:val="Hyperlink"/>
          </w:rPr>
          <w:t>https://www.wi-fi.org/news-events/newsroom/wi-fi-alliance-furthers-automated-frequency-coordination-specification-and</w:t>
        </w:r>
      </w:hyperlink>
      <w:r w:rsidR="00730D50">
        <w:t xml:space="preserve">.  </w:t>
      </w:r>
    </w:p>
  </w:footnote>
  <w:footnote w:id="143">
    <w:p w:rsidR="005503CF" w14:paraId="3D702D98" w14:textId="6F0B1385">
      <w:pPr>
        <w:pStyle w:val="FootnoteText"/>
      </w:pPr>
      <w:r>
        <w:rPr>
          <w:rStyle w:val="FootnoteReference"/>
        </w:rPr>
        <w:footnoteRef/>
      </w:r>
      <w:r>
        <w:t xml:space="preserve"> </w:t>
      </w:r>
      <w:r w:rsidR="008A70A5">
        <w:t xml:space="preserve">Wi-Fi Alliance and Wireless Innovation Forum July 27, 2022 </w:t>
      </w:r>
      <w:r w:rsidRPr="003A21DC" w:rsidR="008A70A5">
        <w:rPr>
          <w:i/>
          <w:iCs/>
        </w:rPr>
        <w:t xml:space="preserve">Ex </w:t>
      </w:r>
      <w:r w:rsidRPr="003A21DC" w:rsidR="008A70A5">
        <w:rPr>
          <w:i/>
          <w:iCs/>
        </w:rPr>
        <w:t>Parte</w:t>
      </w:r>
      <w:r w:rsidR="008A70A5">
        <w:rPr>
          <w:i/>
          <w:iCs/>
        </w:rPr>
        <w:t xml:space="preserve">, </w:t>
      </w:r>
      <w:r w:rsidR="008A70A5">
        <w:t>ET Docket No. 18-295, at 6-7</w:t>
      </w:r>
      <w:r w:rsidR="003443DE">
        <w:t xml:space="preserve">; Wi-Fi Alliance and Wireless Innovation Forum Oct. 20, 2022 </w:t>
      </w:r>
      <w:r w:rsidRPr="003A21DC" w:rsidR="003443DE">
        <w:rPr>
          <w:i/>
          <w:iCs/>
        </w:rPr>
        <w:t xml:space="preserve">Ex </w:t>
      </w:r>
      <w:r w:rsidRPr="003A21DC" w:rsidR="003443DE">
        <w:rPr>
          <w:i/>
          <w:iCs/>
        </w:rPr>
        <w:t>Parte</w:t>
      </w:r>
      <w:r w:rsidR="003443DE">
        <w:rPr>
          <w:i/>
          <w:iCs/>
        </w:rPr>
        <w:t xml:space="preserve">, </w:t>
      </w:r>
      <w:r w:rsidR="003443DE">
        <w:t>ET Docket No. 18-295, at 6</w:t>
      </w:r>
      <w:r w:rsidR="008A70A5">
        <w:t>.</w:t>
      </w:r>
    </w:p>
  </w:footnote>
  <w:footnote w:id="144">
    <w:p w:rsidR="003D6E36" w:rsidP="003D6E36" w14:paraId="79DB56D0" w14:textId="00172352">
      <w:pPr>
        <w:pStyle w:val="FootnoteText"/>
      </w:pPr>
      <w:r>
        <w:rPr>
          <w:rStyle w:val="FootnoteReference"/>
        </w:rPr>
        <w:footnoteRef/>
      </w:r>
      <w:r>
        <w:t xml:space="preserve"> </w:t>
      </w:r>
      <w:r w:rsidRPr="00436A39" w:rsidR="00436A39">
        <w:rPr>
          <w:i/>
          <w:iCs/>
        </w:rPr>
        <w:t>See</w:t>
      </w:r>
      <w:r w:rsidR="00436A39">
        <w:t xml:space="preserve"> </w:t>
      </w:r>
      <w:r w:rsidRPr="00FC7121">
        <w:t xml:space="preserve">47 CFR § 15.407(k)(8)(ii); </w:t>
      </w:r>
      <w:r w:rsidRPr="00426135" w:rsidR="00800FE0">
        <w:rPr>
          <w:i/>
          <w:iCs/>
        </w:rPr>
        <w:t>Wi-Fi Alliance AFC System (SUT) Compliance Test Plan Version 1.</w:t>
      </w:r>
      <w:r w:rsidR="00800FE0">
        <w:rPr>
          <w:i/>
          <w:iCs/>
        </w:rPr>
        <w:t>1</w:t>
      </w:r>
      <w:r w:rsidRPr="00E16CA2" w:rsidR="00800FE0">
        <w:t xml:space="preserve">, </w:t>
      </w:r>
      <w:r w:rsidR="00800FE0">
        <w:t>April 14</w:t>
      </w:r>
      <w:r w:rsidRPr="00E16CA2" w:rsidR="00800FE0">
        <w:t>, 2021</w:t>
      </w:r>
      <w:r w:rsidRPr="001C5845" w:rsidR="00355127">
        <w:t>,</w:t>
      </w:r>
      <w:r w:rsidRPr="003A21DC">
        <w:t xml:space="preserve"> </w:t>
      </w:r>
      <w:r w:rsidRPr="001C5845">
        <w:t>at</w:t>
      </w:r>
      <w:r w:rsidRPr="00355127">
        <w:t xml:space="preserve"> Section 3.1.3.</w:t>
      </w:r>
    </w:p>
  </w:footnote>
  <w:footnote w:id="145">
    <w:p w:rsidR="003D6E36" w:rsidP="003D6E36" w14:paraId="4F912743" w14:textId="2A0B785B">
      <w:pPr>
        <w:pStyle w:val="FootnoteText"/>
      </w:pPr>
      <w:r>
        <w:rPr>
          <w:rStyle w:val="FootnoteReference"/>
        </w:rPr>
        <w:footnoteRef/>
      </w:r>
      <w:r>
        <w:t xml:space="preserve"> </w:t>
      </w:r>
      <w:r w:rsidRPr="00042BBC">
        <w:t xml:space="preserve">47 CFR § </w:t>
      </w:r>
      <w:r w:rsidR="00BA4085">
        <w:t>15.407(k)(14),</w:t>
      </w:r>
      <w:r w:rsidR="0074216A">
        <w:t xml:space="preserve"> </w:t>
      </w:r>
      <w:r>
        <w:t>(m).</w:t>
      </w:r>
    </w:p>
  </w:footnote>
  <w:footnote w:id="146">
    <w:p w:rsidR="005C23A4" w:rsidP="00EA52CF" w14:paraId="709C68C8" w14:textId="07FE7A72">
      <w:pPr>
        <w:pStyle w:val="FootnoteText"/>
      </w:pPr>
      <w:r>
        <w:rPr>
          <w:rStyle w:val="FootnoteReference"/>
        </w:rPr>
        <w:footnoteRef/>
      </w:r>
      <w:r>
        <w:t xml:space="preserve"> </w:t>
      </w:r>
      <w:r w:rsidRPr="00C570AF" w:rsidR="00EA52CF">
        <w:rPr>
          <w:i/>
          <w:iCs/>
        </w:rPr>
        <w:t xml:space="preserve">Wireless </w:t>
      </w:r>
      <w:r w:rsidRPr="00C570AF" w:rsidR="003E71D8">
        <w:rPr>
          <w:i/>
          <w:iCs/>
        </w:rPr>
        <w:t>Telecommunications</w:t>
      </w:r>
      <w:r w:rsidRPr="00C570AF" w:rsidR="00EA52CF">
        <w:rPr>
          <w:i/>
          <w:iCs/>
        </w:rPr>
        <w:t xml:space="preserve"> Bureau and Office of Engineering and Technology Approve Four Spectrum Access System Administrators for Full Scale Commercial Deployments in the 3.5 GHz Band and Emphasize Licensee Compliance Obligations </w:t>
      </w:r>
      <w:r w:rsidRPr="00C570AF" w:rsidR="001108D6">
        <w:rPr>
          <w:i/>
          <w:iCs/>
        </w:rPr>
        <w:t xml:space="preserve">in the </w:t>
      </w:r>
      <w:r w:rsidRPr="00C570AF" w:rsidR="00EA52CF">
        <w:rPr>
          <w:i/>
          <w:iCs/>
        </w:rPr>
        <w:t>3650-3700 MH</w:t>
      </w:r>
      <w:r w:rsidRPr="00C570AF" w:rsidR="001108D6">
        <w:rPr>
          <w:i/>
          <w:iCs/>
        </w:rPr>
        <w:t>z</w:t>
      </w:r>
      <w:r w:rsidRPr="00C570AF" w:rsidR="00EA52CF">
        <w:rPr>
          <w:i/>
          <w:iCs/>
        </w:rPr>
        <w:t xml:space="preserve"> </w:t>
      </w:r>
      <w:r w:rsidRPr="00C570AF" w:rsidR="001108D6">
        <w:rPr>
          <w:i/>
          <w:iCs/>
        </w:rPr>
        <w:t>Band under Part 96</w:t>
      </w:r>
      <w:r w:rsidR="001108D6">
        <w:t xml:space="preserve">, Public Notice, GN Docket No. 15-319, </w:t>
      </w:r>
      <w:r w:rsidRPr="00602C91" w:rsidR="00602C91">
        <w:t xml:space="preserve">35 FCC </w:t>
      </w:r>
      <w:r w:rsidRPr="00602C91" w:rsidR="00602C91">
        <w:t>Rcd</w:t>
      </w:r>
      <w:r w:rsidRPr="00602C91" w:rsidR="00602C91">
        <w:t xml:space="preserve"> 117</w:t>
      </w:r>
      <w:r w:rsidR="00602C91">
        <w:t xml:space="preserve">, </w:t>
      </w:r>
      <w:r w:rsidR="00E77823">
        <w:t xml:space="preserve">118, </w:t>
      </w:r>
      <w:r w:rsidR="001108D6">
        <w:t xml:space="preserve"> para. 3 (2020);</w:t>
      </w:r>
      <w:r w:rsidR="00B5320A">
        <w:t xml:space="preserve"> </w:t>
      </w:r>
      <w:r w:rsidRPr="00C570AF" w:rsidR="00B5320A">
        <w:rPr>
          <w:i/>
          <w:iCs/>
        </w:rPr>
        <w:t>Certification and Test Procedures for Citizen Broadband Radio Service Devices Authorized Under Part 96</w:t>
      </w:r>
      <w:r w:rsidR="00B5320A">
        <w:t xml:space="preserve">, Office of Engineering and Technology KDB Publication </w:t>
      </w:r>
      <w:r w:rsidR="0033059C">
        <w:t>940660 D01</w:t>
      </w:r>
      <w:r w:rsidR="00B5320A">
        <w:t xml:space="preserve"> (</w:t>
      </w:r>
      <w:r w:rsidR="0033059C">
        <w:t>Oct</w:t>
      </w:r>
      <w:r w:rsidR="00B5320A">
        <w:t xml:space="preserve">. </w:t>
      </w:r>
      <w:r w:rsidR="0033059C">
        <w:t>29</w:t>
      </w:r>
      <w:r w:rsidR="00B5320A">
        <w:t>, 20</w:t>
      </w:r>
      <w:r w:rsidR="0033059C">
        <w:t>20</w:t>
      </w:r>
      <w:r w:rsidR="00B5320A">
        <w:t>)</w:t>
      </w:r>
      <w:r w:rsidR="00150F52">
        <w:t xml:space="preserve">, </w:t>
      </w:r>
      <w:r w:rsidRPr="00582DBE" w:rsidR="00582DBE">
        <w:t>https://apps.fcc.gov/kdb/GetAttachment.html?id=oXoQ1f1y7fj8yxgm424g0w%3D%3D&amp;desc=940660%20D01%20Part%2096%20CBRS%20v03&amp;tracking_number=229297</w:t>
      </w:r>
      <w:r w:rsidR="00582DBE">
        <w:t>.</w:t>
      </w:r>
      <w:r w:rsidR="005F549E">
        <w:t xml:space="preserve">.  </w:t>
      </w:r>
      <w:r>
        <w:t xml:space="preserve">FCC recognized accredited testing laboratories are organizations which conduct the testing required for devices to obtain certification under the Commission’s equipment authorization program.  </w:t>
      </w:r>
      <w:r w:rsidRPr="004C2ED1">
        <w:t xml:space="preserve">47 CFR §§ </w:t>
      </w:r>
      <w:r>
        <w:t xml:space="preserve">2.907, 2.948; </w:t>
      </w:r>
      <w:r w:rsidRPr="00C2661E">
        <w:rPr>
          <w:i/>
          <w:iCs/>
        </w:rPr>
        <w:t>Accredited Testing Laboratory Program Roles and Responsibilities</w:t>
      </w:r>
      <w:r>
        <w:t>, Office of Engineering and Technology, KDB Publication 974614 D01 (Apr</w:t>
      </w:r>
      <w:r w:rsidR="005F549E">
        <w:t>.</w:t>
      </w:r>
      <w:r>
        <w:t xml:space="preserve"> 2, 2019), </w:t>
      </w:r>
      <w:hyperlink r:id="rId7" w:history="1">
        <w:r w:rsidRPr="00187B4D">
          <w:rPr>
            <w:rStyle w:val="Hyperlink"/>
          </w:rPr>
          <w:t>https://apps.fcc.gov/kdb/GetAttachment.html?id=koP7QuHnAbqrT0URaUjRBw%3D%3D&amp;desc=974614%20D01%20Accredited%20Test%20Lab%20Roles%20and%20Resp%20v05r01&amp;tracking_number=44684</w:t>
        </w:r>
      </w:hyperlink>
      <w:r>
        <w:t>.</w:t>
      </w:r>
    </w:p>
  </w:footnote>
  <w:footnote w:id="147">
    <w:p w:rsidR="007E3063" w14:paraId="42823C4A" w14:textId="48AC2D9F">
      <w:pPr>
        <w:pStyle w:val="FootnoteText"/>
      </w:pPr>
      <w:r>
        <w:rPr>
          <w:rStyle w:val="FootnoteReference"/>
        </w:rPr>
        <w:footnoteRef/>
      </w:r>
      <w:r>
        <w:t xml:space="preserve"> </w:t>
      </w:r>
      <w:r>
        <w:t xml:space="preserve">For example, </w:t>
      </w:r>
      <w:r w:rsidR="00315780">
        <w:t xml:space="preserve">KDB </w:t>
      </w:r>
      <w:r w:rsidRPr="00737D9D" w:rsidR="00737D9D">
        <w:t xml:space="preserve">940660 D01 </w:t>
      </w:r>
      <w:r w:rsidR="00CD6AA8">
        <w:t>detailing test procedures for</w:t>
      </w:r>
      <w:r w:rsidRPr="00737D9D" w:rsidR="00737D9D">
        <w:t xml:space="preserve"> CBRS Eq</w:t>
      </w:r>
      <w:r w:rsidR="00CD6AA8">
        <w:t xml:space="preserve">uipment </w:t>
      </w:r>
      <w:r w:rsidR="00DA46F1">
        <w:t>specifies</w:t>
      </w:r>
      <w:r w:rsidR="00983611">
        <w:t xml:space="preserve"> in footnote </w:t>
      </w:r>
      <w:r w:rsidR="00C9702B">
        <w:t>6</w:t>
      </w:r>
      <w:r w:rsidR="00DA46F1">
        <w:t xml:space="preserve"> that </w:t>
      </w:r>
      <w:r w:rsidR="00BF662C">
        <w:t>test laborator</w:t>
      </w:r>
      <w:r w:rsidR="0070772F">
        <w:t>ies</w:t>
      </w:r>
      <w:r w:rsidR="00BF662C">
        <w:t xml:space="preserve"> submitting data using the </w:t>
      </w:r>
      <w:r w:rsidR="003E71D8">
        <w:t>WinnForum</w:t>
      </w:r>
      <w:r w:rsidR="003E71D8">
        <w:t xml:space="preserve"> </w:t>
      </w:r>
      <w:r w:rsidR="000B7383">
        <w:t xml:space="preserve">publicly available </w:t>
      </w:r>
      <w:r w:rsidR="00BF662C">
        <w:t xml:space="preserve">test software </w:t>
      </w:r>
      <w:r w:rsidR="001B7D69">
        <w:t xml:space="preserve">and test harness </w:t>
      </w:r>
      <w:r w:rsidR="00BF662C">
        <w:t>must be</w:t>
      </w:r>
      <w:r w:rsidR="0070772F">
        <w:t xml:space="preserve"> </w:t>
      </w:r>
      <w:r w:rsidR="00BF662C">
        <w:t xml:space="preserve">recognized by </w:t>
      </w:r>
      <w:r w:rsidR="00BF662C">
        <w:t>W</w:t>
      </w:r>
      <w:r w:rsidR="0070772F">
        <w:t>i</w:t>
      </w:r>
      <w:r w:rsidR="00BF662C">
        <w:t>nnForum</w:t>
      </w:r>
      <w:r w:rsidR="00BF662C">
        <w:t xml:space="preserve"> as an entity to perform such tests. </w:t>
      </w:r>
      <w:r w:rsidR="007E41D5">
        <w:t xml:space="preserve"> The </w:t>
      </w:r>
      <w:r w:rsidR="0077625D">
        <w:t xml:space="preserve">KDB is available at </w:t>
      </w:r>
      <w:hyperlink r:id="rId20" w:history="1">
        <w:r w:rsidRPr="001A1D5B" w:rsidR="0077625D">
          <w:rPr>
            <w:rStyle w:val="Hyperlink"/>
          </w:rPr>
          <w:t>https://apps.fcc.gov/oetcf/kdb/forms/FTSSearchResultPage.cfm?switch=P&amp;id=229297</w:t>
        </w:r>
      </w:hyperlink>
      <w:r w:rsidR="0077625D">
        <w:t xml:space="preserve">. </w:t>
      </w:r>
    </w:p>
  </w:footnote>
  <w:footnote w:id="148">
    <w:p w:rsidR="00BA1C11" w:rsidP="00BA1C11" w14:paraId="7F40218D" w14:textId="225C7705">
      <w:pPr>
        <w:pStyle w:val="FootnoteText"/>
      </w:pPr>
      <w:r>
        <w:rPr>
          <w:rStyle w:val="FootnoteReference"/>
        </w:rPr>
        <w:footnoteRef/>
      </w:r>
      <w:r>
        <w:t xml:space="preserve"> </w:t>
      </w:r>
      <w:r>
        <w:t xml:space="preserve">A list of FCC recognized accredited testing laboratories can be found at </w:t>
      </w:r>
      <w:hyperlink r:id="rId21" w:history="1">
        <w:r w:rsidRPr="00F22448">
          <w:rPr>
            <w:rStyle w:val="Hyperlink"/>
          </w:rPr>
          <w:t>https://apps.fcc.gov/oetcf/eas/reports/TestFirmSearch.cfm</w:t>
        </w:r>
      </w:hyperlink>
      <w:r>
        <w:t xml:space="preserve">.  As of May </w:t>
      </w:r>
      <w:r w:rsidR="00FF4849">
        <w:t>20</w:t>
      </w:r>
      <w:r>
        <w:t>, 2022</w:t>
      </w:r>
      <w:r w:rsidR="008F396A">
        <w:t>,</w:t>
      </w:r>
      <w:r>
        <w:t xml:space="preserve"> there are </w:t>
      </w:r>
      <w:r w:rsidR="00FF4849">
        <w:t>569</w:t>
      </w:r>
      <w:r>
        <w:t xml:space="preserve"> FCC recognized accredited testing laboratories.  </w:t>
      </w:r>
      <w:r w:rsidR="00397B69">
        <w:t xml:space="preserve">A list of </w:t>
      </w:r>
      <w:r w:rsidR="00C232A2">
        <w:t>WinnForum</w:t>
      </w:r>
      <w:r w:rsidR="00C232A2">
        <w:t>-</w:t>
      </w:r>
      <w:r w:rsidR="0062198A">
        <w:t xml:space="preserve">approved CBSD test labs can be found at </w:t>
      </w:r>
      <w:r w:rsidRPr="004E422F" w:rsidR="004E422F">
        <w:t>https://cbrs.wirelessinnovation.org/cbsd-certification-program</w:t>
      </w:r>
      <w:r w:rsidR="004E422F">
        <w:t>.</w:t>
      </w:r>
      <w:r>
        <w:t xml:space="preserve"> </w:t>
      </w:r>
    </w:p>
  </w:footnote>
  <w:footnote w:id="149">
    <w:p w:rsidR="006726B9" w14:paraId="562ADFF4" w14:textId="763D8441">
      <w:pPr>
        <w:pStyle w:val="FootnoteText"/>
      </w:pPr>
      <w:r>
        <w:rPr>
          <w:rStyle w:val="FootnoteReference"/>
        </w:rPr>
        <w:footnoteRef/>
      </w:r>
      <w:r>
        <w:t xml:space="preserve"> </w:t>
      </w:r>
      <w:r w:rsidR="00B340F6">
        <w:t>WinnForum</w:t>
      </w:r>
      <w:r w:rsidR="00B340F6">
        <w:t xml:space="preserve"> </w:t>
      </w:r>
      <w:r w:rsidR="00BE52F0">
        <w:t>submitted a preliminary draft into the AFC proposals docket.</w:t>
      </w:r>
      <w:r w:rsidR="00552236">
        <w:t xml:space="preserve">  </w:t>
      </w:r>
      <w:r w:rsidR="00552236">
        <w:rPr>
          <w:i/>
          <w:iCs/>
        </w:rPr>
        <w:t>See</w:t>
      </w:r>
      <w:r>
        <w:rPr>
          <w:i/>
        </w:rPr>
        <w:t xml:space="preserve"> </w:t>
      </w:r>
      <w:r w:rsidRPr="001C5B12" w:rsidR="00E03F56">
        <w:rPr>
          <w:i/>
          <w:iCs/>
        </w:rPr>
        <w:t>Wireless Innovation Forum Authorized AFC System Test Lab Requirements</w:t>
      </w:r>
      <w:r w:rsidR="00E03F56">
        <w:t xml:space="preserve">, </w:t>
      </w:r>
      <w:r w:rsidR="00E03F56">
        <w:t>WinnForum</w:t>
      </w:r>
      <w:r w:rsidR="00E03F56">
        <w:t xml:space="preserve">, ET Docket 21-352, filed April 22, 2022. </w:t>
      </w:r>
      <w:r w:rsidR="003443DE">
        <w:t xml:space="preserve"> An updated version of </w:t>
      </w:r>
      <w:r w:rsidR="003443DE">
        <w:t>WinnForum’s</w:t>
      </w:r>
      <w:r w:rsidR="003443DE">
        <w:t xml:space="preserve"> recommended approval process is available on the </w:t>
      </w:r>
      <w:r w:rsidR="003443DE">
        <w:t>WinnForum</w:t>
      </w:r>
      <w:r w:rsidR="003443DE">
        <w:t xml:space="preserve"> website.  </w:t>
      </w:r>
      <w:r w:rsidRPr="0069402D" w:rsidR="003443DE">
        <w:rPr>
          <w:i/>
          <w:iCs/>
        </w:rPr>
        <w:t>Forum Work Products</w:t>
      </w:r>
      <w:r w:rsidR="003443DE">
        <w:t xml:space="preserve">, Wireless Innovation Forum, </w:t>
      </w:r>
      <w:r w:rsidRPr="00D6500D" w:rsidR="003443DE">
        <w:t>https://6ghz.wirelessinnovation.org/work-group-products</w:t>
      </w:r>
      <w:r w:rsidR="003443DE">
        <w:t xml:space="preserve"> (last visited Oct. 28, 2022).</w:t>
      </w:r>
    </w:p>
  </w:footnote>
  <w:footnote w:id="150">
    <w:p w:rsidR="00054A4B" w14:paraId="44DC4F0D" w14:textId="3C6D9A39">
      <w:pPr>
        <w:pStyle w:val="FootnoteText"/>
      </w:pPr>
      <w:r>
        <w:rPr>
          <w:rStyle w:val="FootnoteReference"/>
        </w:rPr>
        <w:footnoteRef/>
      </w:r>
      <w:r>
        <w:t xml:space="preserve"> </w:t>
      </w:r>
      <w:r w:rsidRPr="00985ECF">
        <w:rPr>
          <w:i/>
          <w:iCs/>
        </w:rPr>
        <w:t>Id</w:t>
      </w:r>
      <w:r>
        <w:t xml:space="preserve">. at </w:t>
      </w:r>
      <w:r w:rsidR="00A8738D">
        <w:t>3.</w:t>
      </w:r>
    </w:p>
  </w:footnote>
  <w:footnote w:id="151">
    <w:p w:rsidR="00054A4B" w14:paraId="69E475A4" w14:textId="5A089303">
      <w:pPr>
        <w:pStyle w:val="FootnoteText"/>
      </w:pPr>
      <w:r>
        <w:rPr>
          <w:rStyle w:val="FootnoteReference"/>
        </w:rPr>
        <w:footnoteRef/>
      </w:r>
      <w:r>
        <w:t xml:space="preserve"> </w:t>
      </w:r>
      <w:r w:rsidRPr="00054A4B">
        <w:rPr>
          <w:i/>
          <w:iCs/>
        </w:rPr>
        <w:t>Id</w:t>
      </w:r>
      <w:r>
        <w:t xml:space="preserve">. </w:t>
      </w:r>
    </w:p>
  </w:footnote>
  <w:footnote w:id="152">
    <w:p w:rsidR="009C193B" w:rsidRPr="00265F1D" w:rsidP="009C193B" w14:paraId="1A598407" w14:textId="77777777">
      <w:pPr>
        <w:pStyle w:val="FootnoteText"/>
      </w:pPr>
      <w:r>
        <w:rPr>
          <w:rStyle w:val="FootnoteReference"/>
        </w:rPr>
        <w:footnoteRef/>
      </w:r>
      <w:r>
        <w:t xml:space="preserve"> </w:t>
      </w:r>
      <w:r w:rsidRPr="001D07E7">
        <w:rPr>
          <w:i/>
          <w:iCs/>
        </w:rPr>
        <w:t>6 GHz Report and Order</w:t>
      </w:r>
      <w:r>
        <w:rPr>
          <w:i/>
          <w:iCs/>
        </w:rPr>
        <w:t>,</w:t>
      </w:r>
      <w:r>
        <w:t xml:space="preserve"> </w:t>
      </w:r>
      <w:r>
        <w:rPr>
          <w:spacing w:val="-2"/>
        </w:rPr>
        <w:t xml:space="preserve">35 FCC </w:t>
      </w:r>
      <w:r>
        <w:rPr>
          <w:spacing w:val="-2"/>
        </w:rPr>
        <w:t>Rcd</w:t>
      </w:r>
      <w:r>
        <w:rPr>
          <w:i/>
          <w:iCs/>
          <w:szCs w:val="22"/>
        </w:rPr>
        <w:t xml:space="preserve"> </w:t>
      </w:r>
      <w:r>
        <w:rPr>
          <w:szCs w:val="22"/>
        </w:rPr>
        <w:t xml:space="preserve">at 3870-71, para. 49.  </w:t>
      </w:r>
    </w:p>
  </w:footnote>
  <w:footnote w:id="153">
    <w:p w:rsidR="00100969" w14:paraId="01810043" w14:textId="4CFD1056">
      <w:pPr>
        <w:pStyle w:val="FootnoteText"/>
      </w:pPr>
      <w:r>
        <w:rPr>
          <w:rStyle w:val="FootnoteReference"/>
        </w:rPr>
        <w:footnoteRef/>
      </w:r>
      <w:r>
        <w:t xml:space="preserve"> </w:t>
      </w:r>
      <w:r>
        <w:t xml:space="preserve">The </w:t>
      </w:r>
      <w:r>
        <w:t>WinnForum</w:t>
      </w:r>
      <w:r>
        <w:t xml:space="preserve"> recently </w:t>
      </w:r>
      <w:r w:rsidR="008C4B97">
        <w:t xml:space="preserve">suggested requirements for public trials of the AFC systems.  Our </w:t>
      </w:r>
      <w:r w:rsidR="004E4551">
        <w:t xml:space="preserve">tentative </w:t>
      </w:r>
      <w:r w:rsidR="008C4B97">
        <w:t xml:space="preserve">plans for the public trial </w:t>
      </w:r>
      <w:r w:rsidR="004E4551">
        <w:t>appear to be</w:t>
      </w:r>
      <w:r w:rsidR="008C4B97">
        <w:t xml:space="preserve"> in close agreement with </w:t>
      </w:r>
      <w:r w:rsidR="008C4B97">
        <w:t>WinnForum’s</w:t>
      </w:r>
      <w:r w:rsidR="008C4B97">
        <w:t xml:space="preserve"> suggestions.  </w:t>
      </w:r>
      <w:r w:rsidRPr="003A21DC" w:rsidR="00B951FA">
        <w:rPr>
          <w:i/>
          <w:iCs/>
        </w:rPr>
        <w:t>Recommendations for AFC System Approval Process: Public Trial and Demonstration Project,</w:t>
      </w:r>
      <w:r w:rsidR="00B951FA">
        <w:t xml:space="preserve"> </w:t>
      </w:r>
      <w:r w:rsidR="00B951FA">
        <w:t>WinnForum</w:t>
      </w:r>
      <w:r w:rsidR="00B951FA">
        <w:t xml:space="preserve">, ET Docket 21-352, filed Sept. 2, 2022, at 9-12. </w:t>
      </w:r>
    </w:p>
  </w:footnote>
  <w:footnote w:id="154">
    <w:p w:rsidR="00B87141" w14:paraId="7A88427C" w14:textId="3FECCCC0">
      <w:pPr>
        <w:pStyle w:val="FootnoteText"/>
      </w:pPr>
      <w:r>
        <w:rPr>
          <w:rStyle w:val="FootnoteReference"/>
        </w:rPr>
        <w:footnoteRef/>
      </w:r>
      <w:r>
        <w:t xml:space="preserve"> </w:t>
      </w:r>
      <w:r w:rsidRPr="003A21DC" w:rsidR="00E264C8">
        <w:rPr>
          <w:i/>
          <w:iCs/>
        </w:rPr>
        <w:t>Wireless Telecommunications Bureau and Office of Engineering and Technology Establish Procedure and Deadline for Filing Spectrum Access System Initial Commercial Deployment Proposals</w:t>
      </w:r>
      <w:r w:rsidR="00E264C8">
        <w:t xml:space="preserve">, </w:t>
      </w:r>
      <w:r w:rsidR="003B3719">
        <w:t>Public Notice, GN Docket No. 53-319</w:t>
      </w:r>
      <w:bookmarkStart w:id="14" w:name="_Hlk111730484"/>
      <w:r w:rsidR="00A86DDD">
        <w:t>,</w:t>
      </w:r>
      <w:r w:rsidR="003B3719">
        <w:t xml:space="preserve"> </w:t>
      </w:r>
      <w:r w:rsidRPr="00A86DDD" w:rsidR="00A86DDD">
        <w:t xml:space="preserve">33 FCC </w:t>
      </w:r>
      <w:r w:rsidRPr="00A86DDD" w:rsidR="00A86DDD">
        <w:t>Rcd</w:t>
      </w:r>
      <w:r w:rsidRPr="00A86DDD" w:rsidR="00A86DDD">
        <w:t xml:space="preserve"> </w:t>
      </w:r>
      <w:bookmarkEnd w:id="14"/>
      <w:r w:rsidRPr="00A86DDD" w:rsidR="00A86DDD">
        <w:t xml:space="preserve">7390 </w:t>
      </w:r>
      <w:r w:rsidR="003B3719">
        <w:t xml:space="preserve">(2018).  </w:t>
      </w:r>
    </w:p>
  </w:footnote>
  <w:footnote w:id="155">
    <w:p w:rsidR="007177A3" w14:paraId="1FB16694" w14:textId="705DD228">
      <w:pPr>
        <w:pStyle w:val="FootnoteText"/>
      </w:pPr>
      <w:r>
        <w:rPr>
          <w:rStyle w:val="FootnoteReference"/>
        </w:rPr>
        <w:footnoteRef/>
      </w:r>
      <w:r>
        <w:t xml:space="preserve"> </w:t>
      </w:r>
      <w:r w:rsidRPr="003A21DC">
        <w:rPr>
          <w:i/>
          <w:iCs/>
        </w:rPr>
        <w:t>Id</w:t>
      </w:r>
      <w:r>
        <w:t xml:space="preserve">. at </w:t>
      </w:r>
      <w:r w:rsidR="00A86DDD">
        <w:t xml:space="preserve">7392-3, </w:t>
      </w:r>
      <w:r>
        <w:t>para. 7.</w:t>
      </w:r>
    </w:p>
  </w:footnote>
  <w:footnote w:id="156">
    <w:p w:rsidR="00E15486" w14:paraId="1340C131" w14:textId="52FC6230">
      <w:pPr>
        <w:pStyle w:val="FootnoteText"/>
      </w:pPr>
      <w:r>
        <w:rPr>
          <w:rStyle w:val="FootnoteReference"/>
        </w:rPr>
        <w:footnoteRef/>
      </w:r>
      <w:r>
        <w:t xml:space="preserve"> </w:t>
      </w:r>
      <w:r>
        <w:t xml:space="preserve">For example, </w:t>
      </w:r>
      <w:r w:rsidR="00BC2FCE">
        <w:t xml:space="preserve">unlike the AFC systems </w:t>
      </w:r>
      <w:r>
        <w:t xml:space="preserve">the different SAS are required to </w:t>
      </w:r>
      <w:r w:rsidR="00BC2FCE">
        <w:t xml:space="preserve">communicate with each other.  </w:t>
      </w:r>
      <w:r w:rsidR="00BB40A7">
        <w:t>47 CFR §§ 96.55(a)(2), 96.59(a)</w:t>
      </w:r>
      <w:r w:rsidR="00A4181B">
        <w:t>, 96.63(</w:t>
      </w:r>
      <w:r w:rsidR="00A4181B">
        <w:t>i</w:t>
      </w:r>
      <w:r w:rsidR="00A4181B">
        <w:t>)</w:t>
      </w:r>
      <w:r w:rsidR="00BB40A7">
        <w:t xml:space="preserve">.  </w:t>
      </w:r>
      <w:r w:rsidR="00BC2FCE">
        <w:t>In addition, t</w:t>
      </w:r>
      <w:r>
        <w:t>he SAS have the capability to shut down devices at any time unlike the AFC systems.</w:t>
      </w:r>
      <w:r w:rsidR="00A4181B">
        <w:t xml:space="preserve">  47 CFR § 96.15(a)(4).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6DBAF196" w14:textId="35F29B87">
    <w:pPr>
      <w:tabs>
        <w:tab w:val="center" w:pos="4680"/>
        <w:tab w:val="right" w:pos="9360"/>
      </w:tabs>
    </w:pPr>
    <w:r>
      <w:rPr>
        <w:b/>
      </w:rPr>
      <w:tab/>
    </w:r>
    <w:r>
      <w:rPr>
        <w:b/>
      </w:rPr>
      <w:t>Federal Communications Commission</w:t>
    </w:r>
    <w:r>
      <w:rPr>
        <w:b/>
      </w:rPr>
      <w:tab/>
    </w:r>
    <w:r w:rsidR="00753391">
      <w:rPr>
        <w:b/>
      </w:rPr>
      <w:t>DA 22-1146</w:t>
    </w:r>
  </w:p>
  <w:p w:rsidR="006D43E6" w14:paraId="37D2FDBB" w14:textId="4BDCF93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D43E6" w14:paraId="345CBAB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40FEC21B" w14:textId="2FD2F98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B82A31"/>
    <w:multiLevelType w:val="hybridMultilevel"/>
    <w:tmpl w:val="2DBE470E"/>
    <w:lvl w:ilvl="0">
      <w:start w:val="0"/>
      <w:numFmt w:val="bullet"/>
      <w:lvlText w:val=""/>
      <w:lvlJc w:val="left"/>
      <w:pPr>
        <w:ind w:left="4680" w:hanging="360"/>
      </w:pPr>
      <w:rPr>
        <w:rFonts w:ascii="Wingdings" w:eastAsia="Times New Roman" w:hAnsi="Wingdings" w:cs="Times New Roman" w:hint="default"/>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5">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A"/>
    <w:rsid w:val="00000500"/>
    <w:rsid w:val="000006D2"/>
    <w:rsid w:val="00001947"/>
    <w:rsid w:val="00005190"/>
    <w:rsid w:val="0000640E"/>
    <w:rsid w:val="00007922"/>
    <w:rsid w:val="00007A0B"/>
    <w:rsid w:val="0001035B"/>
    <w:rsid w:val="00011ED0"/>
    <w:rsid w:val="000136E4"/>
    <w:rsid w:val="00013905"/>
    <w:rsid w:val="00013A7D"/>
    <w:rsid w:val="00014F8E"/>
    <w:rsid w:val="00015345"/>
    <w:rsid w:val="000155F5"/>
    <w:rsid w:val="00016560"/>
    <w:rsid w:val="00016787"/>
    <w:rsid w:val="000173AE"/>
    <w:rsid w:val="0001747E"/>
    <w:rsid w:val="00017596"/>
    <w:rsid w:val="0002193A"/>
    <w:rsid w:val="00021E73"/>
    <w:rsid w:val="000227B6"/>
    <w:rsid w:val="000256AA"/>
    <w:rsid w:val="00025D4D"/>
    <w:rsid w:val="00025E52"/>
    <w:rsid w:val="000262F5"/>
    <w:rsid w:val="00026C14"/>
    <w:rsid w:val="00026F12"/>
    <w:rsid w:val="0002760D"/>
    <w:rsid w:val="00027A59"/>
    <w:rsid w:val="00030272"/>
    <w:rsid w:val="000306A7"/>
    <w:rsid w:val="00030C5E"/>
    <w:rsid w:val="00031527"/>
    <w:rsid w:val="00031A43"/>
    <w:rsid w:val="0003241A"/>
    <w:rsid w:val="00032895"/>
    <w:rsid w:val="00033410"/>
    <w:rsid w:val="00033C5C"/>
    <w:rsid w:val="00034573"/>
    <w:rsid w:val="00034910"/>
    <w:rsid w:val="0003572D"/>
    <w:rsid w:val="00036A61"/>
    <w:rsid w:val="00037BDD"/>
    <w:rsid w:val="00037F87"/>
    <w:rsid w:val="00040927"/>
    <w:rsid w:val="00041490"/>
    <w:rsid w:val="00041C33"/>
    <w:rsid w:val="000420AC"/>
    <w:rsid w:val="00042262"/>
    <w:rsid w:val="000426DE"/>
    <w:rsid w:val="00042926"/>
    <w:rsid w:val="00042BBC"/>
    <w:rsid w:val="00044488"/>
    <w:rsid w:val="0004460D"/>
    <w:rsid w:val="00045416"/>
    <w:rsid w:val="00046213"/>
    <w:rsid w:val="00046489"/>
    <w:rsid w:val="000469BF"/>
    <w:rsid w:val="00046C43"/>
    <w:rsid w:val="0004738A"/>
    <w:rsid w:val="000479A6"/>
    <w:rsid w:val="00047A4A"/>
    <w:rsid w:val="00050CCC"/>
    <w:rsid w:val="000515B0"/>
    <w:rsid w:val="0005169B"/>
    <w:rsid w:val="00051C0C"/>
    <w:rsid w:val="00051F8A"/>
    <w:rsid w:val="00052696"/>
    <w:rsid w:val="000531F0"/>
    <w:rsid w:val="000532B1"/>
    <w:rsid w:val="00054224"/>
    <w:rsid w:val="00054A4B"/>
    <w:rsid w:val="00055A56"/>
    <w:rsid w:val="00057590"/>
    <w:rsid w:val="00060007"/>
    <w:rsid w:val="000604FD"/>
    <w:rsid w:val="00061EEA"/>
    <w:rsid w:val="000627CF"/>
    <w:rsid w:val="00062B17"/>
    <w:rsid w:val="00063488"/>
    <w:rsid w:val="0006401A"/>
    <w:rsid w:val="00064642"/>
    <w:rsid w:val="00065744"/>
    <w:rsid w:val="000660F4"/>
    <w:rsid w:val="00067052"/>
    <w:rsid w:val="0006731F"/>
    <w:rsid w:val="0007028E"/>
    <w:rsid w:val="00073548"/>
    <w:rsid w:val="00073871"/>
    <w:rsid w:val="00074E5F"/>
    <w:rsid w:val="0007521B"/>
    <w:rsid w:val="00075C07"/>
    <w:rsid w:val="00075EC7"/>
    <w:rsid w:val="00076146"/>
    <w:rsid w:val="0007690D"/>
    <w:rsid w:val="0007774C"/>
    <w:rsid w:val="00077EDA"/>
    <w:rsid w:val="00080527"/>
    <w:rsid w:val="00080AF6"/>
    <w:rsid w:val="00082440"/>
    <w:rsid w:val="00082655"/>
    <w:rsid w:val="00082B0E"/>
    <w:rsid w:val="0008363D"/>
    <w:rsid w:val="00083D14"/>
    <w:rsid w:val="000841A0"/>
    <w:rsid w:val="00084247"/>
    <w:rsid w:val="00085A22"/>
    <w:rsid w:val="00086A11"/>
    <w:rsid w:val="00086E7C"/>
    <w:rsid w:val="000873E3"/>
    <w:rsid w:val="00087405"/>
    <w:rsid w:val="00087C89"/>
    <w:rsid w:val="000915C6"/>
    <w:rsid w:val="00091C4D"/>
    <w:rsid w:val="00091C92"/>
    <w:rsid w:val="00091E08"/>
    <w:rsid w:val="0009268A"/>
    <w:rsid w:val="00092B55"/>
    <w:rsid w:val="0009363C"/>
    <w:rsid w:val="0009546E"/>
    <w:rsid w:val="00095608"/>
    <w:rsid w:val="000959E9"/>
    <w:rsid w:val="00095CDF"/>
    <w:rsid w:val="00096174"/>
    <w:rsid w:val="000967CA"/>
    <w:rsid w:val="00096CBF"/>
    <w:rsid w:val="00096D9B"/>
    <w:rsid w:val="000970E7"/>
    <w:rsid w:val="000971D0"/>
    <w:rsid w:val="0009740F"/>
    <w:rsid w:val="00097DDC"/>
    <w:rsid w:val="00097F8B"/>
    <w:rsid w:val="000A0FF1"/>
    <w:rsid w:val="000A2737"/>
    <w:rsid w:val="000A2899"/>
    <w:rsid w:val="000A33C0"/>
    <w:rsid w:val="000A3793"/>
    <w:rsid w:val="000A3AAE"/>
    <w:rsid w:val="000A47AC"/>
    <w:rsid w:val="000A49FA"/>
    <w:rsid w:val="000A52AA"/>
    <w:rsid w:val="000A5EA8"/>
    <w:rsid w:val="000A752B"/>
    <w:rsid w:val="000A7AFE"/>
    <w:rsid w:val="000A7B9E"/>
    <w:rsid w:val="000B04C2"/>
    <w:rsid w:val="000B0557"/>
    <w:rsid w:val="000B0BA8"/>
    <w:rsid w:val="000B10EA"/>
    <w:rsid w:val="000B1AC1"/>
    <w:rsid w:val="000B24E5"/>
    <w:rsid w:val="000B2B86"/>
    <w:rsid w:val="000B35E1"/>
    <w:rsid w:val="000B46B8"/>
    <w:rsid w:val="000B4C80"/>
    <w:rsid w:val="000B4F8E"/>
    <w:rsid w:val="000B5342"/>
    <w:rsid w:val="000B59E0"/>
    <w:rsid w:val="000B5C4D"/>
    <w:rsid w:val="000B5F4D"/>
    <w:rsid w:val="000B6375"/>
    <w:rsid w:val="000B6D35"/>
    <w:rsid w:val="000B7383"/>
    <w:rsid w:val="000B79CE"/>
    <w:rsid w:val="000C053B"/>
    <w:rsid w:val="000C0F89"/>
    <w:rsid w:val="000C226F"/>
    <w:rsid w:val="000C25DC"/>
    <w:rsid w:val="000C2706"/>
    <w:rsid w:val="000C2FAD"/>
    <w:rsid w:val="000C3226"/>
    <w:rsid w:val="000C377F"/>
    <w:rsid w:val="000C3CBA"/>
    <w:rsid w:val="000C4E4B"/>
    <w:rsid w:val="000C51C2"/>
    <w:rsid w:val="000C5376"/>
    <w:rsid w:val="000C5B1A"/>
    <w:rsid w:val="000C5C77"/>
    <w:rsid w:val="000C663A"/>
    <w:rsid w:val="000C6A6E"/>
    <w:rsid w:val="000C6D25"/>
    <w:rsid w:val="000C756A"/>
    <w:rsid w:val="000C7793"/>
    <w:rsid w:val="000D002B"/>
    <w:rsid w:val="000D018E"/>
    <w:rsid w:val="000D01EC"/>
    <w:rsid w:val="000D02A2"/>
    <w:rsid w:val="000D1DCF"/>
    <w:rsid w:val="000D308B"/>
    <w:rsid w:val="000D3F76"/>
    <w:rsid w:val="000D4514"/>
    <w:rsid w:val="000D4515"/>
    <w:rsid w:val="000D4C6A"/>
    <w:rsid w:val="000D588A"/>
    <w:rsid w:val="000D6E4D"/>
    <w:rsid w:val="000D777E"/>
    <w:rsid w:val="000D7E1B"/>
    <w:rsid w:val="000E0251"/>
    <w:rsid w:val="000E032E"/>
    <w:rsid w:val="000E04CF"/>
    <w:rsid w:val="000E1862"/>
    <w:rsid w:val="000E240C"/>
    <w:rsid w:val="000E258B"/>
    <w:rsid w:val="000E366B"/>
    <w:rsid w:val="000E6428"/>
    <w:rsid w:val="000E6554"/>
    <w:rsid w:val="000E690B"/>
    <w:rsid w:val="000E6B72"/>
    <w:rsid w:val="000E6C40"/>
    <w:rsid w:val="000E7074"/>
    <w:rsid w:val="000E788E"/>
    <w:rsid w:val="000F0094"/>
    <w:rsid w:val="000F04C6"/>
    <w:rsid w:val="000F0C60"/>
    <w:rsid w:val="000F1125"/>
    <w:rsid w:val="000F1F61"/>
    <w:rsid w:val="000F23C7"/>
    <w:rsid w:val="000F255B"/>
    <w:rsid w:val="000F4C92"/>
    <w:rsid w:val="000F6118"/>
    <w:rsid w:val="000F6B31"/>
    <w:rsid w:val="000F703C"/>
    <w:rsid w:val="00100547"/>
    <w:rsid w:val="00100969"/>
    <w:rsid w:val="001023B3"/>
    <w:rsid w:val="00102BBE"/>
    <w:rsid w:val="00102DD9"/>
    <w:rsid w:val="00103328"/>
    <w:rsid w:val="00104639"/>
    <w:rsid w:val="00104B04"/>
    <w:rsid w:val="001054E0"/>
    <w:rsid w:val="00105FB7"/>
    <w:rsid w:val="001069E6"/>
    <w:rsid w:val="00106A02"/>
    <w:rsid w:val="0010779C"/>
    <w:rsid w:val="00110060"/>
    <w:rsid w:val="001108D6"/>
    <w:rsid w:val="001121CF"/>
    <w:rsid w:val="00112352"/>
    <w:rsid w:val="00112D89"/>
    <w:rsid w:val="00112E13"/>
    <w:rsid w:val="001134D3"/>
    <w:rsid w:val="001137A2"/>
    <w:rsid w:val="00113D8F"/>
    <w:rsid w:val="00114A2C"/>
    <w:rsid w:val="00114CC9"/>
    <w:rsid w:val="001152AA"/>
    <w:rsid w:val="00115B50"/>
    <w:rsid w:val="00115ED4"/>
    <w:rsid w:val="00116261"/>
    <w:rsid w:val="00116515"/>
    <w:rsid w:val="0012002F"/>
    <w:rsid w:val="001202CD"/>
    <w:rsid w:val="00121B91"/>
    <w:rsid w:val="00122A17"/>
    <w:rsid w:val="00123DE8"/>
    <w:rsid w:val="00123F6A"/>
    <w:rsid w:val="0012405E"/>
    <w:rsid w:val="001245C6"/>
    <w:rsid w:val="00124A39"/>
    <w:rsid w:val="00124ABC"/>
    <w:rsid w:val="0012626A"/>
    <w:rsid w:val="001265EC"/>
    <w:rsid w:val="00126623"/>
    <w:rsid w:val="001273B0"/>
    <w:rsid w:val="00127BD2"/>
    <w:rsid w:val="00127DF8"/>
    <w:rsid w:val="0013089B"/>
    <w:rsid w:val="00130917"/>
    <w:rsid w:val="001313C6"/>
    <w:rsid w:val="00131DD9"/>
    <w:rsid w:val="00132FB9"/>
    <w:rsid w:val="001336EA"/>
    <w:rsid w:val="00136B09"/>
    <w:rsid w:val="00136D7C"/>
    <w:rsid w:val="00136E84"/>
    <w:rsid w:val="001379CA"/>
    <w:rsid w:val="0014066E"/>
    <w:rsid w:val="00140D56"/>
    <w:rsid w:val="0014281D"/>
    <w:rsid w:val="001433D5"/>
    <w:rsid w:val="001452DD"/>
    <w:rsid w:val="00146552"/>
    <w:rsid w:val="001466AF"/>
    <w:rsid w:val="00146D4D"/>
    <w:rsid w:val="00147368"/>
    <w:rsid w:val="0014787F"/>
    <w:rsid w:val="00147938"/>
    <w:rsid w:val="00147D7D"/>
    <w:rsid w:val="00150510"/>
    <w:rsid w:val="00150AC9"/>
    <w:rsid w:val="00150EB9"/>
    <w:rsid w:val="00150F52"/>
    <w:rsid w:val="001511E1"/>
    <w:rsid w:val="00154F9F"/>
    <w:rsid w:val="00155305"/>
    <w:rsid w:val="001554C3"/>
    <w:rsid w:val="001556C2"/>
    <w:rsid w:val="00155DEC"/>
    <w:rsid w:val="00156152"/>
    <w:rsid w:val="00156A1B"/>
    <w:rsid w:val="00156F55"/>
    <w:rsid w:val="001603D9"/>
    <w:rsid w:val="00160777"/>
    <w:rsid w:val="00161433"/>
    <w:rsid w:val="0016342B"/>
    <w:rsid w:val="00163451"/>
    <w:rsid w:val="00163CD3"/>
    <w:rsid w:val="001643A4"/>
    <w:rsid w:val="0016450E"/>
    <w:rsid w:val="00165EFE"/>
    <w:rsid w:val="001660E8"/>
    <w:rsid w:val="001665A1"/>
    <w:rsid w:val="00166C29"/>
    <w:rsid w:val="00167C47"/>
    <w:rsid w:val="00167EDD"/>
    <w:rsid w:val="00170969"/>
    <w:rsid w:val="001713B4"/>
    <w:rsid w:val="00171AC0"/>
    <w:rsid w:val="00172B6D"/>
    <w:rsid w:val="001734B7"/>
    <w:rsid w:val="00173AE3"/>
    <w:rsid w:val="001740E6"/>
    <w:rsid w:val="0017454E"/>
    <w:rsid w:val="00174A09"/>
    <w:rsid w:val="00174B4A"/>
    <w:rsid w:val="00175B03"/>
    <w:rsid w:val="00176278"/>
    <w:rsid w:val="00176DB3"/>
    <w:rsid w:val="001773C5"/>
    <w:rsid w:val="00177BDB"/>
    <w:rsid w:val="001803DD"/>
    <w:rsid w:val="00182908"/>
    <w:rsid w:val="00182BA3"/>
    <w:rsid w:val="00184046"/>
    <w:rsid w:val="001842FF"/>
    <w:rsid w:val="00184BF7"/>
    <w:rsid w:val="00185AAF"/>
    <w:rsid w:val="00185C8A"/>
    <w:rsid w:val="00185FD2"/>
    <w:rsid w:val="001864D2"/>
    <w:rsid w:val="00186986"/>
    <w:rsid w:val="00186A85"/>
    <w:rsid w:val="00187028"/>
    <w:rsid w:val="0018760D"/>
    <w:rsid w:val="001876B4"/>
    <w:rsid w:val="00187B4D"/>
    <w:rsid w:val="00190BE9"/>
    <w:rsid w:val="0019181A"/>
    <w:rsid w:val="00191B85"/>
    <w:rsid w:val="001922FA"/>
    <w:rsid w:val="00192B6E"/>
    <w:rsid w:val="0019311B"/>
    <w:rsid w:val="00193AC7"/>
    <w:rsid w:val="00194653"/>
    <w:rsid w:val="00194962"/>
    <w:rsid w:val="00194C66"/>
    <w:rsid w:val="00194D93"/>
    <w:rsid w:val="001958BB"/>
    <w:rsid w:val="001967D3"/>
    <w:rsid w:val="00197504"/>
    <w:rsid w:val="001A01C9"/>
    <w:rsid w:val="001A0D9B"/>
    <w:rsid w:val="001A1085"/>
    <w:rsid w:val="001A12AC"/>
    <w:rsid w:val="001A1D5B"/>
    <w:rsid w:val="001A24E7"/>
    <w:rsid w:val="001A2527"/>
    <w:rsid w:val="001A3A74"/>
    <w:rsid w:val="001A3C66"/>
    <w:rsid w:val="001A4C39"/>
    <w:rsid w:val="001A4FE4"/>
    <w:rsid w:val="001A4FF8"/>
    <w:rsid w:val="001A577E"/>
    <w:rsid w:val="001A58D2"/>
    <w:rsid w:val="001A61F4"/>
    <w:rsid w:val="001A62F9"/>
    <w:rsid w:val="001A6994"/>
    <w:rsid w:val="001A6AAF"/>
    <w:rsid w:val="001A6F23"/>
    <w:rsid w:val="001A7BBC"/>
    <w:rsid w:val="001B0E31"/>
    <w:rsid w:val="001B156B"/>
    <w:rsid w:val="001B1595"/>
    <w:rsid w:val="001B1D0E"/>
    <w:rsid w:val="001B1D68"/>
    <w:rsid w:val="001B4C84"/>
    <w:rsid w:val="001B4D3D"/>
    <w:rsid w:val="001B5022"/>
    <w:rsid w:val="001B5B8C"/>
    <w:rsid w:val="001B5BBC"/>
    <w:rsid w:val="001B5C2D"/>
    <w:rsid w:val="001B6F5E"/>
    <w:rsid w:val="001B7857"/>
    <w:rsid w:val="001B795A"/>
    <w:rsid w:val="001B7D69"/>
    <w:rsid w:val="001C116F"/>
    <w:rsid w:val="001C1177"/>
    <w:rsid w:val="001C2631"/>
    <w:rsid w:val="001C290A"/>
    <w:rsid w:val="001C3A36"/>
    <w:rsid w:val="001C3ED0"/>
    <w:rsid w:val="001C434B"/>
    <w:rsid w:val="001C461D"/>
    <w:rsid w:val="001C4EC6"/>
    <w:rsid w:val="001C4F90"/>
    <w:rsid w:val="001C506F"/>
    <w:rsid w:val="001C5845"/>
    <w:rsid w:val="001C5B12"/>
    <w:rsid w:val="001C6D50"/>
    <w:rsid w:val="001C7018"/>
    <w:rsid w:val="001C7537"/>
    <w:rsid w:val="001C7615"/>
    <w:rsid w:val="001C78A2"/>
    <w:rsid w:val="001D07E7"/>
    <w:rsid w:val="001D0C11"/>
    <w:rsid w:val="001D0EF7"/>
    <w:rsid w:val="001D1A87"/>
    <w:rsid w:val="001D20F0"/>
    <w:rsid w:val="001D4C50"/>
    <w:rsid w:val="001D52A8"/>
    <w:rsid w:val="001D54D9"/>
    <w:rsid w:val="001D5A8C"/>
    <w:rsid w:val="001D5C42"/>
    <w:rsid w:val="001D64D2"/>
    <w:rsid w:val="001D6C3B"/>
    <w:rsid w:val="001D6CD8"/>
    <w:rsid w:val="001D7C52"/>
    <w:rsid w:val="001D7F92"/>
    <w:rsid w:val="001E0274"/>
    <w:rsid w:val="001E0479"/>
    <w:rsid w:val="001E281F"/>
    <w:rsid w:val="001E3487"/>
    <w:rsid w:val="001E39CF"/>
    <w:rsid w:val="001E43D6"/>
    <w:rsid w:val="001E4A08"/>
    <w:rsid w:val="001E4DD7"/>
    <w:rsid w:val="001E5DCD"/>
    <w:rsid w:val="001E68B3"/>
    <w:rsid w:val="001E6C95"/>
    <w:rsid w:val="001E7250"/>
    <w:rsid w:val="001F023F"/>
    <w:rsid w:val="001F056F"/>
    <w:rsid w:val="001F05BC"/>
    <w:rsid w:val="001F07E9"/>
    <w:rsid w:val="001F1B90"/>
    <w:rsid w:val="001F2078"/>
    <w:rsid w:val="001F20CC"/>
    <w:rsid w:val="001F2797"/>
    <w:rsid w:val="001F2E25"/>
    <w:rsid w:val="001F5503"/>
    <w:rsid w:val="001F65FA"/>
    <w:rsid w:val="001F7215"/>
    <w:rsid w:val="001F77C9"/>
    <w:rsid w:val="001F7ABC"/>
    <w:rsid w:val="001F7BA8"/>
    <w:rsid w:val="00200A70"/>
    <w:rsid w:val="00200E28"/>
    <w:rsid w:val="002013E7"/>
    <w:rsid w:val="002015CB"/>
    <w:rsid w:val="002021A0"/>
    <w:rsid w:val="00202C3F"/>
    <w:rsid w:val="0020483D"/>
    <w:rsid w:val="002057BC"/>
    <w:rsid w:val="00205A84"/>
    <w:rsid w:val="00205FC7"/>
    <w:rsid w:val="00206232"/>
    <w:rsid w:val="00206C37"/>
    <w:rsid w:val="0020772D"/>
    <w:rsid w:val="00207AAD"/>
    <w:rsid w:val="00210924"/>
    <w:rsid w:val="00211C30"/>
    <w:rsid w:val="00211DCC"/>
    <w:rsid w:val="002120D0"/>
    <w:rsid w:val="002121E4"/>
    <w:rsid w:val="00212AE2"/>
    <w:rsid w:val="0021317C"/>
    <w:rsid w:val="0021341B"/>
    <w:rsid w:val="00213503"/>
    <w:rsid w:val="00213920"/>
    <w:rsid w:val="00213BF3"/>
    <w:rsid w:val="0021483D"/>
    <w:rsid w:val="002151F9"/>
    <w:rsid w:val="00216698"/>
    <w:rsid w:val="00217049"/>
    <w:rsid w:val="00217112"/>
    <w:rsid w:val="002172A1"/>
    <w:rsid w:val="002172FA"/>
    <w:rsid w:val="00221400"/>
    <w:rsid w:val="00222143"/>
    <w:rsid w:val="002233D3"/>
    <w:rsid w:val="00223607"/>
    <w:rsid w:val="00224388"/>
    <w:rsid w:val="00224AEF"/>
    <w:rsid w:val="00225193"/>
    <w:rsid w:val="002257AE"/>
    <w:rsid w:val="002258D1"/>
    <w:rsid w:val="002267DD"/>
    <w:rsid w:val="00226EBE"/>
    <w:rsid w:val="002270DC"/>
    <w:rsid w:val="002273A7"/>
    <w:rsid w:val="00227B8E"/>
    <w:rsid w:val="0023101E"/>
    <w:rsid w:val="002310B9"/>
    <w:rsid w:val="002317B0"/>
    <w:rsid w:val="00231805"/>
    <w:rsid w:val="002324F2"/>
    <w:rsid w:val="002334FD"/>
    <w:rsid w:val="002335A9"/>
    <w:rsid w:val="00233A8E"/>
    <w:rsid w:val="00234582"/>
    <w:rsid w:val="00234BA4"/>
    <w:rsid w:val="00234E32"/>
    <w:rsid w:val="002353AC"/>
    <w:rsid w:val="0023547F"/>
    <w:rsid w:val="00235E9F"/>
    <w:rsid w:val="00235FF4"/>
    <w:rsid w:val="00236F20"/>
    <w:rsid w:val="00237192"/>
    <w:rsid w:val="00237CEB"/>
    <w:rsid w:val="00237CEF"/>
    <w:rsid w:val="00240290"/>
    <w:rsid w:val="002419C8"/>
    <w:rsid w:val="00241AAD"/>
    <w:rsid w:val="00241CF3"/>
    <w:rsid w:val="00242162"/>
    <w:rsid w:val="002430C7"/>
    <w:rsid w:val="0024403D"/>
    <w:rsid w:val="00244427"/>
    <w:rsid w:val="00244679"/>
    <w:rsid w:val="00245430"/>
    <w:rsid w:val="00245733"/>
    <w:rsid w:val="00245A31"/>
    <w:rsid w:val="002460DE"/>
    <w:rsid w:val="002462F1"/>
    <w:rsid w:val="00246CB7"/>
    <w:rsid w:val="002471C6"/>
    <w:rsid w:val="002506D8"/>
    <w:rsid w:val="00250C8F"/>
    <w:rsid w:val="00250F23"/>
    <w:rsid w:val="002512CA"/>
    <w:rsid w:val="0025151F"/>
    <w:rsid w:val="00251B1A"/>
    <w:rsid w:val="00251E2A"/>
    <w:rsid w:val="002524BA"/>
    <w:rsid w:val="00252600"/>
    <w:rsid w:val="00252928"/>
    <w:rsid w:val="00252FAE"/>
    <w:rsid w:val="00254412"/>
    <w:rsid w:val="002544EB"/>
    <w:rsid w:val="002559F3"/>
    <w:rsid w:val="00255FF9"/>
    <w:rsid w:val="00257DA0"/>
    <w:rsid w:val="00260157"/>
    <w:rsid w:val="0026017F"/>
    <w:rsid w:val="00260281"/>
    <w:rsid w:val="0026084F"/>
    <w:rsid w:val="00260C20"/>
    <w:rsid w:val="00260D5C"/>
    <w:rsid w:val="00261A94"/>
    <w:rsid w:val="0026205A"/>
    <w:rsid w:val="0026228F"/>
    <w:rsid w:val="002629A6"/>
    <w:rsid w:val="00262CC0"/>
    <w:rsid w:val="00263B71"/>
    <w:rsid w:val="002640F0"/>
    <w:rsid w:val="0026489A"/>
    <w:rsid w:val="00264AF6"/>
    <w:rsid w:val="00264B22"/>
    <w:rsid w:val="00265A22"/>
    <w:rsid w:val="00265EAF"/>
    <w:rsid w:val="00265F1D"/>
    <w:rsid w:val="002662B4"/>
    <w:rsid w:val="00267496"/>
    <w:rsid w:val="002677E8"/>
    <w:rsid w:val="00270697"/>
    <w:rsid w:val="00270869"/>
    <w:rsid w:val="002710E5"/>
    <w:rsid w:val="002711DB"/>
    <w:rsid w:val="0027126F"/>
    <w:rsid w:val="002712A1"/>
    <w:rsid w:val="00271593"/>
    <w:rsid w:val="002717D9"/>
    <w:rsid w:val="00271940"/>
    <w:rsid w:val="00271BD8"/>
    <w:rsid w:val="00272AF3"/>
    <w:rsid w:val="00272C48"/>
    <w:rsid w:val="00273E34"/>
    <w:rsid w:val="00273FB0"/>
    <w:rsid w:val="002742EB"/>
    <w:rsid w:val="0027466D"/>
    <w:rsid w:val="002748B1"/>
    <w:rsid w:val="00276A33"/>
    <w:rsid w:val="00277B1B"/>
    <w:rsid w:val="002806B5"/>
    <w:rsid w:val="0028092D"/>
    <w:rsid w:val="00280F69"/>
    <w:rsid w:val="00281442"/>
    <w:rsid w:val="002817BD"/>
    <w:rsid w:val="00282175"/>
    <w:rsid w:val="002821C2"/>
    <w:rsid w:val="0028286B"/>
    <w:rsid w:val="00282AF6"/>
    <w:rsid w:val="00283840"/>
    <w:rsid w:val="002842A2"/>
    <w:rsid w:val="00284504"/>
    <w:rsid w:val="00285B35"/>
    <w:rsid w:val="0028696D"/>
    <w:rsid w:val="00287390"/>
    <w:rsid w:val="00287884"/>
    <w:rsid w:val="00287D66"/>
    <w:rsid w:val="002904F4"/>
    <w:rsid w:val="00291A3B"/>
    <w:rsid w:val="0029246B"/>
    <w:rsid w:val="00292811"/>
    <w:rsid w:val="00292C89"/>
    <w:rsid w:val="002933AD"/>
    <w:rsid w:val="0029444E"/>
    <w:rsid w:val="0029465B"/>
    <w:rsid w:val="0029549A"/>
    <w:rsid w:val="002959AE"/>
    <w:rsid w:val="00296CCB"/>
    <w:rsid w:val="002A1576"/>
    <w:rsid w:val="002A2916"/>
    <w:rsid w:val="002A3084"/>
    <w:rsid w:val="002A371E"/>
    <w:rsid w:val="002A3E61"/>
    <w:rsid w:val="002A3F2D"/>
    <w:rsid w:val="002A4756"/>
    <w:rsid w:val="002A55CA"/>
    <w:rsid w:val="002A5B3C"/>
    <w:rsid w:val="002A5F54"/>
    <w:rsid w:val="002A6123"/>
    <w:rsid w:val="002A6A97"/>
    <w:rsid w:val="002A6DE1"/>
    <w:rsid w:val="002B1670"/>
    <w:rsid w:val="002B1EBC"/>
    <w:rsid w:val="002B2044"/>
    <w:rsid w:val="002B2174"/>
    <w:rsid w:val="002B22FD"/>
    <w:rsid w:val="002B23A6"/>
    <w:rsid w:val="002B407E"/>
    <w:rsid w:val="002B48FB"/>
    <w:rsid w:val="002B49A3"/>
    <w:rsid w:val="002B556F"/>
    <w:rsid w:val="002B5E45"/>
    <w:rsid w:val="002B697F"/>
    <w:rsid w:val="002B7425"/>
    <w:rsid w:val="002B7591"/>
    <w:rsid w:val="002B7D44"/>
    <w:rsid w:val="002C09AD"/>
    <w:rsid w:val="002C09B5"/>
    <w:rsid w:val="002C0D97"/>
    <w:rsid w:val="002C0E44"/>
    <w:rsid w:val="002C179E"/>
    <w:rsid w:val="002C1A77"/>
    <w:rsid w:val="002C2EE4"/>
    <w:rsid w:val="002C320A"/>
    <w:rsid w:val="002C4C1D"/>
    <w:rsid w:val="002C4F04"/>
    <w:rsid w:val="002C5A2B"/>
    <w:rsid w:val="002C62BA"/>
    <w:rsid w:val="002C6FEA"/>
    <w:rsid w:val="002C71AC"/>
    <w:rsid w:val="002C78ED"/>
    <w:rsid w:val="002D14A8"/>
    <w:rsid w:val="002D303C"/>
    <w:rsid w:val="002D3C14"/>
    <w:rsid w:val="002D3D08"/>
    <w:rsid w:val="002D43E8"/>
    <w:rsid w:val="002D454E"/>
    <w:rsid w:val="002D5002"/>
    <w:rsid w:val="002D735C"/>
    <w:rsid w:val="002D760C"/>
    <w:rsid w:val="002D7826"/>
    <w:rsid w:val="002E0273"/>
    <w:rsid w:val="002E0E06"/>
    <w:rsid w:val="002E112F"/>
    <w:rsid w:val="002E1692"/>
    <w:rsid w:val="002E304C"/>
    <w:rsid w:val="002E3743"/>
    <w:rsid w:val="002E3770"/>
    <w:rsid w:val="002E3794"/>
    <w:rsid w:val="002E40EA"/>
    <w:rsid w:val="002E5231"/>
    <w:rsid w:val="002E559A"/>
    <w:rsid w:val="002E5B83"/>
    <w:rsid w:val="002E721A"/>
    <w:rsid w:val="002E748E"/>
    <w:rsid w:val="002E74D2"/>
    <w:rsid w:val="002E76E2"/>
    <w:rsid w:val="002E7C3E"/>
    <w:rsid w:val="002F0297"/>
    <w:rsid w:val="002F13FC"/>
    <w:rsid w:val="002F1F49"/>
    <w:rsid w:val="002F256F"/>
    <w:rsid w:val="002F2855"/>
    <w:rsid w:val="002F2F9E"/>
    <w:rsid w:val="002F3509"/>
    <w:rsid w:val="002F4864"/>
    <w:rsid w:val="002F5045"/>
    <w:rsid w:val="002F689E"/>
    <w:rsid w:val="002F6A11"/>
    <w:rsid w:val="002F6E85"/>
    <w:rsid w:val="002F74C2"/>
    <w:rsid w:val="00300012"/>
    <w:rsid w:val="003007B9"/>
    <w:rsid w:val="0030180C"/>
    <w:rsid w:val="003025A3"/>
    <w:rsid w:val="00302D70"/>
    <w:rsid w:val="003030F0"/>
    <w:rsid w:val="00303143"/>
    <w:rsid w:val="003031F8"/>
    <w:rsid w:val="00303F8D"/>
    <w:rsid w:val="00304273"/>
    <w:rsid w:val="003042F6"/>
    <w:rsid w:val="00304E16"/>
    <w:rsid w:val="0030577B"/>
    <w:rsid w:val="00306952"/>
    <w:rsid w:val="00306993"/>
    <w:rsid w:val="0030711E"/>
    <w:rsid w:val="0031007F"/>
    <w:rsid w:val="00311017"/>
    <w:rsid w:val="00311E76"/>
    <w:rsid w:val="00311EB3"/>
    <w:rsid w:val="0031249B"/>
    <w:rsid w:val="00312522"/>
    <w:rsid w:val="00313407"/>
    <w:rsid w:val="003135F4"/>
    <w:rsid w:val="00313AFC"/>
    <w:rsid w:val="00314D43"/>
    <w:rsid w:val="00315780"/>
    <w:rsid w:val="003160FA"/>
    <w:rsid w:val="003162C5"/>
    <w:rsid w:val="003166B2"/>
    <w:rsid w:val="0031683B"/>
    <w:rsid w:val="0032017B"/>
    <w:rsid w:val="00320756"/>
    <w:rsid w:val="0032078C"/>
    <w:rsid w:val="003209AC"/>
    <w:rsid w:val="003222F9"/>
    <w:rsid w:val="00322983"/>
    <w:rsid w:val="00323309"/>
    <w:rsid w:val="00323EE0"/>
    <w:rsid w:val="00324B83"/>
    <w:rsid w:val="00326375"/>
    <w:rsid w:val="00326920"/>
    <w:rsid w:val="00327E82"/>
    <w:rsid w:val="00327EE0"/>
    <w:rsid w:val="00330381"/>
    <w:rsid w:val="0033059C"/>
    <w:rsid w:val="00331208"/>
    <w:rsid w:val="0033192E"/>
    <w:rsid w:val="003329F3"/>
    <w:rsid w:val="00332DE6"/>
    <w:rsid w:val="00333899"/>
    <w:rsid w:val="00333906"/>
    <w:rsid w:val="00333D9D"/>
    <w:rsid w:val="003343D7"/>
    <w:rsid w:val="0033478F"/>
    <w:rsid w:val="003348B4"/>
    <w:rsid w:val="00335368"/>
    <w:rsid w:val="00335F28"/>
    <w:rsid w:val="00337375"/>
    <w:rsid w:val="0033767D"/>
    <w:rsid w:val="00341731"/>
    <w:rsid w:val="00341CDF"/>
    <w:rsid w:val="00341F28"/>
    <w:rsid w:val="0034230F"/>
    <w:rsid w:val="003433B4"/>
    <w:rsid w:val="003443DE"/>
    <w:rsid w:val="00344C3D"/>
    <w:rsid w:val="003454FC"/>
    <w:rsid w:val="0034562D"/>
    <w:rsid w:val="00345F81"/>
    <w:rsid w:val="00346567"/>
    <w:rsid w:val="003465B9"/>
    <w:rsid w:val="00346DF6"/>
    <w:rsid w:val="003471B5"/>
    <w:rsid w:val="003504F7"/>
    <w:rsid w:val="003505AA"/>
    <w:rsid w:val="003510C6"/>
    <w:rsid w:val="00351C9F"/>
    <w:rsid w:val="00351FE0"/>
    <w:rsid w:val="003527EA"/>
    <w:rsid w:val="0035320E"/>
    <w:rsid w:val="00353D86"/>
    <w:rsid w:val="00354EA5"/>
    <w:rsid w:val="00354F14"/>
    <w:rsid w:val="00355127"/>
    <w:rsid w:val="00355866"/>
    <w:rsid w:val="00355ED0"/>
    <w:rsid w:val="0035606E"/>
    <w:rsid w:val="00356817"/>
    <w:rsid w:val="00356DAD"/>
    <w:rsid w:val="00357661"/>
    <w:rsid w:val="00357A08"/>
    <w:rsid w:val="00360A8C"/>
    <w:rsid w:val="0036118B"/>
    <w:rsid w:val="00361805"/>
    <w:rsid w:val="00361A9C"/>
    <w:rsid w:val="00361D7A"/>
    <w:rsid w:val="00362156"/>
    <w:rsid w:val="0036279B"/>
    <w:rsid w:val="00362AA2"/>
    <w:rsid w:val="00362C05"/>
    <w:rsid w:val="00362F0E"/>
    <w:rsid w:val="00363C12"/>
    <w:rsid w:val="00364076"/>
    <w:rsid w:val="00364B92"/>
    <w:rsid w:val="00365758"/>
    <w:rsid w:val="0036595B"/>
    <w:rsid w:val="00365DB1"/>
    <w:rsid w:val="003661F5"/>
    <w:rsid w:val="00371698"/>
    <w:rsid w:val="00372796"/>
    <w:rsid w:val="0037299F"/>
    <w:rsid w:val="0037392C"/>
    <w:rsid w:val="00373978"/>
    <w:rsid w:val="00374E35"/>
    <w:rsid w:val="00376FB0"/>
    <w:rsid w:val="003779CC"/>
    <w:rsid w:val="00377B56"/>
    <w:rsid w:val="00380829"/>
    <w:rsid w:val="00380B07"/>
    <w:rsid w:val="003814F8"/>
    <w:rsid w:val="0038150A"/>
    <w:rsid w:val="0038172B"/>
    <w:rsid w:val="00381F82"/>
    <w:rsid w:val="00382FC3"/>
    <w:rsid w:val="00383B4B"/>
    <w:rsid w:val="00384290"/>
    <w:rsid w:val="0038497B"/>
    <w:rsid w:val="00385A1D"/>
    <w:rsid w:val="00385D72"/>
    <w:rsid w:val="00385EF0"/>
    <w:rsid w:val="00386F46"/>
    <w:rsid w:val="003874E2"/>
    <w:rsid w:val="003908E7"/>
    <w:rsid w:val="00390D90"/>
    <w:rsid w:val="00391C08"/>
    <w:rsid w:val="00392267"/>
    <w:rsid w:val="003922C8"/>
    <w:rsid w:val="00392FE2"/>
    <w:rsid w:val="00393022"/>
    <w:rsid w:val="003949A0"/>
    <w:rsid w:val="00394D1C"/>
    <w:rsid w:val="00395272"/>
    <w:rsid w:val="00395588"/>
    <w:rsid w:val="00395E2A"/>
    <w:rsid w:val="00397B69"/>
    <w:rsid w:val="003A0D37"/>
    <w:rsid w:val="003A101E"/>
    <w:rsid w:val="003A14B5"/>
    <w:rsid w:val="003A18C8"/>
    <w:rsid w:val="003A1CB9"/>
    <w:rsid w:val="003A21DC"/>
    <w:rsid w:val="003A27E0"/>
    <w:rsid w:val="003A2E2D"/>
    <w:rsid w:val="003A3957"/>
    <w:rsid w:val="003A3A61"/>
    <w:rsid w:val="003A3D84"/>
    <w:rsid w:val="003A42B6"/>
    <w:rsid w:val="003A4BA7"/>
    <w:rsid w:val="003A4BF5"/>
    <w:rsid w:val="003A5201"/>
    <w:rsid w:val="003A5AF2"/>
    <w:rsid w:val="003A6BAF"/>
    <w:rsid w:val="003A6EC7"/>
    <w:rsid w:val="003A7BAF"/>
    <w:rsid w:val="003B0158"/>
    <w:rsid w:val="003B0280"/>
    <w:rsid w:val="003B096B"/>
    <w:rsid w:val="003B0CCC"/>
    <w:rsid w:val="003B1386"/>
    <w:rsid w:val="003B1524"/>
    <w:rsid w:val="003B16CC"/>
    <w:rsid w:val="003B2721"/>
    <w:rsid w:val="003B344C"/>
    <w:rsid w:val="003B3719"/>
    <w:rsid w:val="003B4042"/>
    <w:rsid w:val="003B4144"/>
    <w:rsid w:val="003B4692"/>
    <w:rsid w:val="003B57D2"/>
    <w:rsid w:val="003B5865"/>
    <w:rsid w:val="003B6D5F"/>
    <w:rsid w:val="003B72D5"/>
    <w:rsid w:val="003B763D"/>
    <w:rsid w:val="003C0108"/>
    <w:rsid w:val="003C03BC"/>
    <w:rsid w:val="003C07B3"/>
    <w:rsid w:val="003C07DA"/>
    <w:rsid w:val="003C10A3"/>
    <w:rsid w:val="003C22A4"/>
    <w:rsid w:val="003C254A"/>
    <w:rsid w:val="003C4355"/>
    <w:rsid w:val="003C4698"/>
    <w:rsid w:val="003C4722"/>
    <w:rsid w:val="003C6265"/>
    <w:rsid w:val="003C63A0"/>
    <w:rsid w:val="003C687D"/>
    <w:rsid w:val="003C6CA1"/>
    <w:rsid w:val="003C7230"/>
    <w:rsid w:val="003C7757"/>
    <w:rsid w:val="003D1257"/>
    <w:rsid w:val="003D13F4"/>
    <w:rsid w:val="003D159D"/>
    <w:rsid w:val="003D1FA6"/>
    <w:rsid w:val="003D1FB2"/>
    <w:rsid w:val="003D3782"/>
    <w:rsid w:val="003D460F"/>
    <w:rsid w:val="003D54F5"/>
    <w:rsid w:val="003D560D"/>
    <w:rsid w:val="003D5720"/>
    <w:rsid w:val="003D604E"/>
    <w:rsid w:val="003D68FA"/>
    <w:rsid w:val="003D6D69"/>
    <w:rsid w:val="003D6E36"/>
    <w:rsid w:val="003D6E42"/>
    <w:rsid w:val="003D7AB7"/>
    <w:rsid w:val="003E0283"/>
    <w:rsid w:val="003E19B0"/>
    <w:rsid w:val="003E284A"/>
    <w:rsid w:val="003E2932"/>
    <w:rsid w:val="003E2CDA"/>
    <w:rsid w:val="003E35DA"/>
    <w:rsid w:val="003E392C"/>
    <w:rsid w:val="003E3BED"/>
    <w:rsid w:val="003E4051"/>
    <w:rsid w:val="003E4224"/>
    <w:rsid w:val="003E6408"/>
    <w:rsid w:val="003E71D8"/>
    <w:rsid w:val="003E7A0A"/>
    <w:rsid w:val="003F04BE"/>
    <w:rsid w:val="003F071F"/>
    <w:rsid w:val="003F10AB"/>
    <w:rsid w:val="003F12C8"/>
    <w:rsid w:val="003F14C7"/>
    <w:rsid w:val="003F1B6F"/>
    <w:rsid w:val="003F1D18"/>
    <w:rsid w:val="003F23D8"/>
    <w:rsid w:val="003F3094"/>
    <w:rsid w:val="003F3501"/>
    <w:rsid w:val="003F369F"/>
    <w:rsid w:val="003F374C"/>
    <w:rsid w:val="003F41D6"/>
    <w:rsid w:val="003F44AC"/>
    <w:rsid w:val="003F46AA"/>
    <w:rsid w:val="003F471F"/>
    <w:rsid w:val="003F59E1"/>
    <w:rsid w:val="003F5AAB"/>
    <w:rsid w:val="003F5C6A"/>
    <w:rsid w:val="003F6256"/>
    <w:rsid w:val="003F63A1"/>
    <w:rsid w:val="003F6903"/>
    <w:rsid w:val="003F6B7C"/>
    <w:rsid w:val="003F7557"/>
    <w:rsid w:val="003F77EA"/>
    <w:rsid w:val="00400490"/>
    <w:rsid w:val="00400BBA"/>
    <w:rsid w:val="00402797"/>
    <w:rsid w:val="00402862"/>
    <w:rsid w:val="00403164"/>
    <w:rsid w:val="0040360F"/>
    <w:rsid w:val="00403AA1"/>
    <w:rsid w:val="00403AAB"/>
    <w:rsid w:val="00403C29"/>
    <w:rsid w:val="004045EC"/>
    <w:rsid w:val="00404DB2"/>
    <w:rsid w:val="00405C21"/>
    <w:rsid w:val="0040700E"/>
    <w:rsid w:val="0040756B"/>
    <w:rsid w:val="00411F75"/>
    <w:rsid w:val="004122F2"/>
    <w:rsid w:val="00412818"/>
    <w:rsid w:val="00412ADE"/>
    <w:rsid w:val="0041307A"/>
    <w:rsid w:val="00413334"/>
    <w:rsid w:val="00413F35"/>
    <w:rsid w:val="004145D2"/>
    <w:rsid w:val="00415998"/>
    <w:rsid w:val="0041792F"/>
    <w:rsid w:val="00417C72"/>
    <w:rsid w:val="00417F9E"/>
    <w:rsid w:val="00420A44"/>
    <w:rsid w:val="00420B34"/>
    <w:rsid w:val="00420BAD"/>
    <w:rsid w:val="00421046"/>
    <w:rsid w:val="004217FB"/>
    <w:rsid w:val="004218D1"/>
    <w:rsid w:val="00421E7D"/>
    <w:rsid w:val="00421EAA"/>
    <w:rsid w:val="00422A81"/>
    <w:rsid w:val="00422AB6"/>
    <w:rsid w:val="00422E52"/>
    <w:rsid w:val="00423A06"/>
    <w:rsid w:val="004243F4"/>
    <w:rsid w:val="0042445C"/>
    <w:rsid w:val="00424A7D"/>
    <w:rsid w:val="00424ABE"/>
    <w:rsid w:val="00425ACA"/>
    <w:rsid w:val="00425EFA"/>
    <w:rsid w:val="004260DA"/>
    <w:rsid w:val="00426135"/>
    <w:rsid w:val="00426653"/>
    <w:rsid w:val="00426B93"/>
    <w:rsid w:val="00426E78"/>
    <w:rsid w:val="00427513"/>
    <w:rsid w:val="00427A0A"/>
    <w:rsid w:val="00427CB9"/>
    <w:rsid w:val="004301A3"/>
    <w:rsid w:val="00430494"/>
    <w:rsid w:val="00430603"/>
    <w:rsid w:val="0043200A"/>
    <w:rsid w:val="00432222"/>
    <w:rsid w:val="0043265D"/>
    <w:rsid w:val="00432A32"/>
    <w:rsid w:val="0043316E"/>
    <w:rsid w:val="0043444C"/>
    <w:rsid w:val="00434A74"/>
    <w:rsid w:val="00436316"/>
    <w:rsid w:val="0043674A"/>
    <w:rsid w:val="00436957"/>
    <w:rsid w:val="00436A39"/>
    <w:rsid w:val="0043747B"/>
    <w:rsid w:val="00440101"/>
    <w:rsid w:val="0044041F"/>
    <w:rsid w:val="00441036"/>
    <w:rsid w:val="0044190F"/>
    <w:rsid w:val="00442D6F"/>
    <w:rsid w:val="0044357E"/>
    <w:rsid w:val="004435DB"/>
    <w:rsid w:val="00443F61"/>
    <w:rsid w:val="00444D01"/>
    <w:rsid w:val="0044504F"/>
    <w:rsid w:val="00445F7E"/>
    <w:rsid w:val="00446237"/>
    <w:rsid w:val="004468FF"/>
    <w:rsid w:val="00446EF3"/>
    <w:rsid w:val="00446FA6"/>
    <w:rsid w:val="00450247"/>
    <w:rsid w:val="0045113B"/>
    <w:rsid w:val="00451D63"/>
    <w:rsid w:val="00452529"/>
    <w:rsid w:val="00452BA8"/>
    <w:rsid w:val="00452BBD"/>
    <w:rsid w:val="00454065"/>
    <w:rsid w:val="00456676"/>
    <w:rsid w:val="00456A80"/>
    <w:rsid w:val="0045722C"/>
    <w:rsid w:val="004574B5"/>
    <w:rsid w:val="004603AC"/>
    <w:rsid w:val="00460486"/>
    <w:rsid w:val="00460C9C"/>
    <w:rsid w:val="0046116D"/>
    <w:rsid w:val="00461244"/>
    <w:rsid w:val="00461822"/>
    <w:rsid w:val="004618E0"/>
    <w:rsid w:val="00461CD7"/>
    <w:rsid w:val="00461DE5"/>
    <w:rsid w:val="00463ADA"/>
    <w:rsid w:val="004640DB"/>
    <w:rsid w:val="00465469"/>
    <w:rsid w:val="00465C0D"/>
    <w:rsid w:val="00465E21"/>
    <w:rsid w:val="00466623"/>
    <w:rsid w:val="00467962"/>
    <w:rsid w:val="0047073C"/>
    <w:rsid w:val="004716D9"/>
    <w:rsid w:val="0047219D"/>
    <w:rsid w:val="0047322C"/>
    <w:rsid w:val="004741B8"/>
    <w:rsid w:val="004749E6"/>
    <w:rsid w:val="00474B6B"/>
    <w:rsid w:val="00474DD5"/>
    <w:rsid w:val="00475545"/>
    <w:rsid w:val="004757AE"/>
    <w:rsid w:val="00476FFD"/>
    <w:rsid w:val="0047704E"/>
    <w:rsid w:val="004801D2"/>
    <w:rsid w:val="00480753"/>
    <w:rsid w:val="0048177A"/>
    <w:rsid w:val="00481AD8"/>
    <w:rsid w:val="004825F9"/>
    <w:rsid w:val="0048268B"/>
    <w:rsid w:val="00483167"/>
    <w:rsid w:val="004833A5"/>
    <w:rsid w:val="00483F49"/>
    <w:rsid w:val="00485057"/>
    <w:rsid w:val="00485136"/>
    <w:rsid w:val="0048677A"/>
    <w:rsid w:val="00486BF8"/>
    <w:rsid w:val="00487F65"/>
    <w:rsid w:val="00491D2E"/>
    <w:rsid w:val="004923CA"/>
    <w:rsid w:val="004926C7"/>
    <w:rsid w:val="004926E3"/>
    <w:rsid w:val="00492ABF"/>
    <w:rsid w:val="00492B9E"/>
    <w:rsid w:val="00492DB2"/>
    <w:rsid w:val="0049309D"/>
    <w:rsid w:val="004932A0"/>
    <w:rsid w:val="004948E2"/>
    <w:rsid w:val="00496191"/>
    <w:rsid w:val="00496253"/>
    <w:rsid w:val="0049649D"/>
    <w:rsid w:val="00496CE6"/>
    <w:rsid w:val="00497161"/>
    <w:rsid w:val="0049753B"/>
    <w:rsid w:val="004A1285"/>
    <w:rsid w:val="004A1D17"/>
    <w:rsid w:val="004A1F01"/>
    <w:rsid w:val="004A2204"/>
    <w:rsid w:val="004A2409"/>
    <w:rsid w:val="004A26F6"/>
    <w:rsid w:val="004A2D91"/>
    <w:rsid w:val="004A3195"/>
    <w:rsid w:val="004A356E"/>
    <w:rsid w:val="004A3AA3"/>
    <w:rsid w:val="004A3BE9"/>
    <w:rsid w:val="004A3DA3"/>
    <w:rsid w:val="004A40D8"/>
    <w:rsid w:val="004A56F5"/>
    <w:rsid w:val="004A5A0C"/>
    <w:rsid w:val="004A60DD"/>
    <w:rsid w:val="004A647E"/>
    <w:rsid w:val="004A6A44"/>
    <w:rsid w:val="004A72D6"/>
    <w:rsid w:val="004A7348"/>
    <w:rsid w:val="004B0854"/>
    <w:rsid w:val="004B10B7"/>
    <w:rsid w:val="004B13DF"/>
    <w:rsid w:val="004B13E4"/>
    <w:rsid w:val="004B16B2"/>
    <w:rsid w:val="004B20D9"/>
    <w:rsid w:val="004B2A56"/>
    <w:rsid w:val="004B36E7"/>
    <w:rsid w:val="004B3DD1"/>
    <w:rsid w:val="004B416E"/>
    <w:rsid w:val="004B437C"/>
    <w:rsid w:val="004B47F4"/>
    <w:rsid w:val="004B52F9"/>
    <w:rsid w:val="004B56B3"/>
    <w:rsid w:val="004B6517"/>
    <w:rsid w:val="004B66C1"/>
    <w:rsid w:val="004B6F5F"/>
    <w:rsid w:val="004B7AC2"/>
    <w:rsid w:val="004C0048"/>
    <w:rsid w:val="004C06A9"/>
    <w:rsid w:val="004C11E7"/>
    <w:rsid w:val="004C2871"/>
    <w:rsid w:val="004C2E6E"/>
    <w:rsid w:val="004C2E9A"/>
    <w:rsid w:val="004C2ED1"/>
    <w:rsid w:val="004C3225"/>
    <w:rsid w:val="004C4320"/>
    <w:rsid w:val="004C434C"/>
    <w:rsid w:val="004C525F"/>
    <w:rsid w:val="004C553F"/>
    <w:rsid w:val="004C5591"/>
    <w:rsid w:val="004C5630"/>
    <w:rsid w:val="004C57B7"/>
    <w:rsid w:val="004C5C6E"/>
    <w:rsid w:val="004C5DEA"/>
    <w:rsid w:val="004C6471"/>
    <w:rsid w:val="004C7D21"/>
    <w:rsid w:val="004D0006"/>
    <w:rsid w:val="004D045C"/>
    <w:rsid w:val="004D0D00"/>
    <w:rsid w:val="004D0D39"/>
    <w:rsid w:val="004D2311"/>
    <w:rsid w:val="004D31CE"/>
    <w:rsid w:val="004D39E0"/>
    <w:rsid w:val="004D513D"/>
    <w:rsid w:val="004D524D"/>
    <w:rsid w:val="004D68D6"/>
    <w:rsid w:val="004D6C27"/>
    <w:rsid w:val="004D6DB7"/>
    <w:rsid w:val="004D6EB2"/>
    <w:rsid w:val="004D6EF9"/>
    <w:rsid w:val="004E0748"/>
    <w:rsid w:val="004E0E56"/>
    <w:rsid w:val="004E104A"/>
    <w:rsid w:val="004E1DFA"/>
    <w:rsid w:val="004E2252"/>
    <w:rsid w:val="004E22C3"/>
    <w:rsid w:val="004E238D"/>
    <w:rsid w:val="004E3229"/>
    <w:rsid w:val="004E41BD"/>
    <w:rsid w:val="004E422F"/>
    <w:rsid w:val="004E4551"/>
    <w:rsid w:val="004E4FC6"/>
    <w:rsid w:val="004E54E3"/>
    <w:rsid w:val="004E569B"/>
    <w:rsid w:val="004E59F5"/>
    <w:rsid w:val="004E7312"/>
    <w:rsid w:val="004F05FB"/>
    <w:rsid w:val="004F2049"/>
    <w:rsid w:val="004F216C"/>
    <w:rsid w:val="004F2E0F"/>
    <w:rsid w:val="004F5122"/>
    <w:rsid w:val="004F546F"/>
    <w:rsid w:val="004F57F4"/>
    <w:rsid w:val="004F585F"/>
    <w:rsid w:val="004F7CB9"/>
    <w:rsid w:val="005004F2"/>
    <w:rsid w:val="00500984"/>
    <w:rsid w:val="005025A6"/>
    <w:rsid w:val="0050281C"/>
    <w:rsid w:val="00503142"/>
    <w:rsid w:val="00504737"/>
    <w:rsid w:val="00505180"/>
    <w:rsid w:val="005052BB"/>
    <w:rsid w:val="00505FD1"/>
    <w:rsid w:val="00506910"/>
    <w:rsid w:val="00506F60"/>
    <w:rsid w:val="00507ACB"/>
    <w:rsid w:val="0051017D"/>
    <w:rsid w:val="00510E40"/>
    <w:rsid w:val="005125B4"/>
    <w:rsid w:val="00512708"/>
    <w:rsid w:val="005127B2"/>
    <w:rsid w:val="00513939"/>
    <w:rsid w:val="0051410B"/>
    <w:rsid w:val="005145AF"/>
    <w:rsid w:val="00514933"/>
    <w:rsid w:val="00515280"/>
    <w:rsid w:val="00515B55"/>
    <w:rsid w:val="00516DCB"/>
    <w:rsid w:val="00516DF7"/>
    <w:rsid w:val="00517BF7"/>
    <w:rsid w:val="00520E12"/>
    <w:rsid w:val="005238B4"/>
    <w:rsid w:val="00523991"/>
    <w:rsid w:val="00523BC3"/>
    <w:rsid w:val="00523E69"/>
    <w:rsid w:val="005244D3"/>
    <w:rsid w:val="005244FB"/>
    <w:rsid w:val="00525F5A"/>
    <w:rsid w:val="0052747E"/>
    <w:rsid w:val="005274CF"/>
    <w:rsid w:val="00527944"/>
    <w:rsid w:val="005310FB"/>
    <w:rsid w:val="0053116F"/>
    <w:rsid w:val="00531708"/>
    <w:rsid w:val="0053202A"/>
    <w:rsid w:val="00534037"/>
    <w:rsid w:val="005348FE"/>
    <w:rsid w:val="00535228"/>
    <w:rsid w:val="00536E8B"/>
    <w:rsid w:val="0053759F"/>
    <w:rsid w:val="005375E8"/>
    <w:rsid w:val="00540ED1"/>
    <w:rsid w:val="00541D24"/>
    <w:rsid w:val="0054243E"/>
    <w:rsid w:val="00543E3E"/>
    <w:rsid w:val="005453B1"/>
    <w:rsid w:val="0054692E"/>
    <w:rsid w:val="00547E4E"/>
    <w:rsid w:val="005503CF"/>
    <w:rsid w:val="00550934"/>
    <w:rsid w:val="00551C76"/>
    <w:rsid w:val="00552186"/>
    <w:rsid w:val="005521B1"/>
    <w:rsid w:val="00552236"/>
    <w:rsid w:val="005528C1"/>
    <w:rsid w:val="0055449A"/>
    <w:rsid w:val="00554B4B"/>
    <w:rsid w:val="00555B26"/>
    <w:rsid w:val="00556100"/>
    <w:rsid w:val="0055640E"/>
    <w:rsid w:val="005574A1"/>
    <w:rsid w:val="00557FA1"/>
    <w:rsid w:val="0056073C"/>
    <w:rsid w:val="005619E2"/>
    <w:rsid w:val="00562B89"/>
    <w:rsid w:val="00562C14"/>
    <w:rsid w:val="00563079"/>
    <w:rsid w:val="005634DD"/>
    <w:rsid w:val="005639ED"/>
    <w:rsid w:val="00563B59"/>
    <w:rsid w:val="00565BC9"/>
    <w:rsid w:val="00566597"/>
    <w:rsid w:val="00567C48"/>
    <w:rsid w:val="00570677"/>
    <w:rsid w:val="00571452"/>
    <w:rsid w:val="00571869"/>
    <w:rsid w:val="00571C68"/>
    <w:rsid w:val="005731E2"/>
    <w:rsid w:val="005733BF"/>
    <w:rsid w:val="00573534"/>
    <w:rsid w:val="005737BF"/>
    <w:rsid w:val="005739FF"/>
    <w:rsid w:val="00573A24"/>
    <w:rsid w:val="00574844"/>
    <w:rsid w:val="00574947"/>
    <w:rsid w:val="00575D7B"/>
    <w:rsid w:val="00575F69"/>
    <w:rsid w:val="00576364"/>
    <w:rsid w:val="00576C7F"/>
    <w:rsid w:val="00576EE6"/>
    <w:rsid w:val="005771E1"/>
    <w:rsid w:val="005776B3"/>
    <w:rsid w:val="0057792B"/>
    <w:rsid w:val="00577AD6"/>
    <w:rsid w:val="00582DBE"/>
    <w:rsid w:val="00582EF5"/>
    <w:rsid w:val="00583378"/>
    <w:rsid w:val="00583643"/>
    <w:rsid w:val="00583788"/>
    <w:rsid w:val="005847DD"/>
    <w:rsid w:val="00585420"/>
    <w:rsid w:val="00585A5C"/>
    <w:rsid w:val="0058671F"/>
    <w:rsid w:val="00586AE4"/>
    <w:rsid w:val="00587FA1"/>
    <w:rsid w:val="00592107"/>
    <w:rsid w:val="00592CFC"/>
    <w:rsid w:val="00594046"/>
    <w:rsid w:val="00594131"/>
    <w:rsid w:val="0059428E"/>
    <w:rsid w:val="00595091"/>
    <w:rsid w:val="0059521B"/>
    <w:rsid w:val="005955B2"/>
    <w:rsid w:val="00595CCD"/>
    <w:rsid w:val="00596891"/>
    <w:rsid w:val="00597616"/>
    <w:rsid w:val="005A021C"/>
    <w:rsid w:val="005A04D7"/>
    <w:rsid w:val="005A10E7"/>
    <w:rsid w:val="005A12F0"/>
    <w:rsid w:val="005A152D"/>
    <w:rsid w:val="005A220A"/>
    <w:rsid w:val="005A2AC4"/>
    <w:rsid w:val="005A326B"/>
    <w:rsid w:val="005A3D57"/>
    <w:rsid w:val="005A59CD"/>
    <w:rsid w:val="005A5DD1"/>
    <w:rsid w:val="005A604D"/>
    <w:rsid w:val="005A6778"/>
    <w:rsid w:val="005A6E6B"/>
    <w:rsid w:val="005A749B"/>
    <w:rsid w:val="005A7BE0"/>
    <w:rsid w:val="005B0110"/>
    <w:rsid w:val="005B0114"/>
    <w:rsid w:val="005B056D"/>
    <w:rsid w:val="005B0C2D"/>
    <w:rsid w:val="005B121C"/>
    <w:rsid w:val="005B15F9"/>
    <w:rsid w:val="005B19DE"/>
    <w:rsid w:val="005B290C"/>
    <w:rsid w:val="005B3491"/>
    <w:rsid w:val="005B3642"/>
    <w:rsid w:val="005B436B"/>
    <w:rsid w:val="005B4F15"/>
    <w:rsid w:val="005B537C"/>
    <w:rsid w:val="005B6090"/>
    <w:rsid w:val="005B69A5"/>
    <w:rsid w:val="005B6AA4"/>
    <w:rsid w:val="005B6C2A"/>
    <w:rsid w:val="005B71E1"/>
    <w:rsid w:val="005C0217"/>
    <w:rsid w:val="005C056F"/>
    <w:rsid w:val="005C0826"/>
    <w:rsid w:val="005C1189"/>
    <w:rsid w:val="005C12FA"/>
    <w:rsid w:val="005C166A"/>
    <w:rsid w:val="005C1B95"/>
    <w:rsid w:val="005C2057"/>
    <w:rsid w:val="005C23A4"/>
    <w:rsid w:val="005C3358"/>
    <w:rsid w:val="005C533B"/>
    <w:rsid w:val="005C57E1"/>
    <w:rsid w:val="005C5943"/>
    <w:rsid w:val="005C5968"/>
    <w:rsid w:val="005C64E9"/>
    <w:rsid w:val="005C665B"/>
    <w:rsid w:val="005C6A57"/>
    <w:rsid w:val="005C6A95"/>
    <w:rsid w:val="005C7803"/>
    <w:rsid w:val="005C7F9A"/>
    <w:rsid w:val="005D150B"/>
    <w:rsid w:val="005D1C09"/>
    <w:rsid w:val="005D25EF"/>
    <w:rsid w:val="005D39E0"/>
    <w:rsid w:val="005D43E3"/>
    <w:rsid w:val="005D54C4"/>
    <w:rsid w:val="005D592F"/>
    <w:rsid w:val="005D5946"/>
    <w:rsid w:val="005D62CD"/>
    <w:rsid w:val="005D66D4"/>
    <w:rsid w:val="005D69E5"/>
    <w:rsid w:val="005D72FA"/>
    <w:rsid w:val="005D79EA"/>
    <w:rsid w:val="005D7E7A"/>
    <w:rsid w:val="005E03DE"/>
    <w:rsid w:val="005E0EA6"/>
    <w:rsid w:val="005E20E2"/>
    <w:rsid w:val="005E50AD"/>
    <w:rsid w:val="005E56F7"/>
    <w:rsid w:val="005E6007"/>
    <w:rsid w:val="005E6200"/>
    <w:rsid w:val="005E6978"/>
    <w:rsid w:val="005E6A84"/>
    <w:rsid w:val="005E6D89"/>
    <w:rsid w:val="005E79A5"/>
    <w:rsid w:val="005F10C3"/>
    <w:rsid w:val="005F1635"/>
    <w:rsid w:val="005F1FA9"/>
    <w:rsid w:val="005F2179"/>
    <w:rsid w:val="005F2E1C"/>
    <w:rsid w:val="005F3417"/>
    <w:rsid w:val="005F35D9"/>
    <w:rsid w:val="005F549E"/>
    <w:rsid w:val="005F54E6"/>
    <w:rsid w:val="005F56C4"/>
    <w:rsid w:val="005F6103"/>
    <w:rsid w:val="005F64D8"/>
    <w:rsid w:val="005F69C9"/>
    <w:rsid w:val="005F6A67"/>
    <w:rsid w:val="005F701A"/>
    <w:rsid w:val="00600200"/>
    <w:rsid w:val="00600DD0"/>
    <w:rsid w:val="006016B4"/>
    <w:rsid w:val="0060196E"/>
    <w:rsid w:val="00601D2C"/>
    <w:rsid w:val="00602547"/>
    <w:rsid w:val="00602947"/>
    <w:rsid w:val="00602B83"/>
    <w:rsid w:val="00602BF5"/>
    <w:rsid w:val="00602C91"/>
    <w:rsid w:val="00603286"/>
    <w:rsid w:val="00604532"/>
    <w:rsid w:val="0060501C"/>
    <w:rsid w:val="00605091"/>
    <w:rsid w:val="00605281"/>
    <w:rsid w:val="00605288"/>
    <w:rsid w:val="00605574"/>
    <w:rsid w:val="00605DA1"/>
    <w:rsid w:val="00606E91"/>
    <w:rsid w:val="00607F19"/>
    <w:rsid w:val="006105A0"/>
    <w:rsid w:val="006107EF"/>
    <w:rsid w:val="00610AF2"/>
    <w:rsid w:val="00610DDE"/>
    <w:rsid w:val="00610EAC"/>
    <w:rsid w:val="00611462"/>
    <w:rsid w:val="00611ACA"/>
    <w:rsid w:val="00611F1A"/>
    <w:rsid w:val="00612110"/>
    <w:rsid w:val="006121C9"/>
    <w:rsid w:val="006125FF"/>
    <w:rsid w:val="0061383F"/>
    <w:rsid w:val="0061386E"/>
    <w:rsid w:val="00614922"/>
    <w:rsid w:val="00614CD0"/>
    <w:rsid w:val="00614D68"/>
    <w:rsid w:val="00614DA5"/>
    <w:rsid w:val="00614DA9"/>
    <w:rsid w:val="00614E15"/>
    <w:rsid w:val="00616161"/>
    <w:rsid w:val="00616F04"/>
    <w:rsid w:val="00617280"/>
    <w:rsid w:val="00617CFA"/>
    <w:rsid w:val="0062087D"/>
    <w:rsid w:val="00620ACE"/>
    <w:rsid w:val="0062198A"/>
    <w:rsid w:val="00622B76"/>
    <w:rsid w:val="00623291"/>
    <w:rsid w:val="00623A53"/>
    <w:rsid w:val="00623FAF"/>
    <w:rsid w:val="00623FFF"/>
    <w:rsid w:val="00624490"/>
    <w:rsid w:val="00624CE7"/>
    <w:rsid w:val="00625ACA"/>
    <w:rsid w:val="00625DE6"/>
    <w:rsid w:val="00625E13"/>
    <w:rsid w:val="00626793"/>
    <w:rsid w:val="0062699B"/>
    <w:rsid w:val="00626E34"/>
    <w:rsid w:val="00627B43"/>
    <w:rsid w:val="00631B5E"/>
    <w:rsid w:val="006323CF"/>
    <w:rsid w:val="00632515"/>
    <w:rsid w:val="00633194"/>
    <w:rsid w:val="00634477"/>
    <w:rsid w:val="006347B6"/>
    <w:rsid w:val="00635233"/>
    <w:rsid w:val="00635598"/>
    <w:rsid w:val="006357BC"/>
    <w:rsid w:val="006368F6"/>
    <w:rsid w:val="00636D09"/>
    <w:rsid w:val="00637DAB"/>
    <w:rsid w:val="006400C0"/>
    <w:rsid w:val="00640EC2"/>
    <w:rsid w:val="00642893"/>
    <w:rsid w:val="00642F83"/>
    <w:rsid w:val="00643DA7"/>
    <w:rsid w:val="00643E93"/>
    <w:rsid w:val="0064457D"/>
    <w:rsid w:val="0064489A"/>
    <w:rsid w:val="00644A15"/>
    <w:rsid w:val="00644C92"/>
    <w:rsid w:val="00645A9C"/>
    <w:rsid w:val="00645FFB"/>
    <w:rsid w:val="00646A13"/>
    <w:rsid w:val="0065037D"/>
    <w:rsid w:val="00650914"/>
    <w:rsid w:val="006510A5"/>
    <w:rsid w:val="0065115E"/>
    <w:rsid w:val="006518A6"/>
    <w:rsid w:val="00651D08"/>
    <w:rsid w:val="00651FD8"/>
    <w:rsid w:val="00652312"/>
    <w:rsid w:val="006526FE"/>
    <w:rsid w:val="00652DA3"/>
    <w:rsid w:val="00652EED"/>
    <w:rsid w:val="006537D0"/>
    <w:rsid w:val="006542F7"/>
    <w:rsid w:val="006563F8"/>
    <w:rsid w:val="006565FE"/>
    <w:rsid w:val="0065694A"/>
    <w:rsid w:val="00656B46"/>
    <w:rsid w:val="00657DCB"/>
    <w:rsid w:val="0066099C"/>
    <w:rsid w:val="00660C54"/>
    <w:rsid w:val="00661669"/>
    <w:rsid w:val="00663099"/>
    <w:rsid w:val="00663C16"/>
    <w:rsid w:val="00664264"/>
    <w:rsid w:val="00665655"/>
    <w:rsid w:val="00665C5E"/>
    <w:rsid w:val="00666AEA"/>
    <w:rsid w:val="00670C16"/>
    <w:rsid w:val="00671749"/>
    <w:rsid w:val="00671996"/>
    <w:rsid w:val="0067224E"/>
    <w:rsid w:val="00672293"/>
    <w:rsid w:val="006726B9"/>
    <w:rsid w:val="00672B6B"/>
    <w:rsid w:val="00672EF9"/>
    <w:rsid w:val="00673FC6"/>
    <w:rsid w:val="006740DE"/>
    <w:rsid w:val="0067494F"/>
    <w:rsid w:val="00674FD5"/>
    <w:rsid w:val="006757EC"/>
    <w:rsid w:val="00676428"/>
    <w:rsid w:val="006767C9"/>
    <w:rsid w:val="00676830"/>
    <w:rsid w:val="00676878"/>
    <w:rsid w:val="00676CF5"/>
    <w:rsid w:val="00676F5A"/>
    <w:rsid w:val="006770EC"/>
    <w:rsid w:val="006771C4"/>
    <w:rsid w:val="00677E7B"/>
    <w:rsid w:val="00680E6A"/>
    <w:rsid w:val="00680FAB"/>
    <w:rsid w:val="00681326"/>
    <w:rsid w:val="006815C7"/>
    <w:rsid w:val="006820C4"/>
    <w:rsid w:val="0068285C"/>
    <w:rsid w:val="00682AFC"/>
    <w:rsid w:val="00682F7A"/>
    <w:rsid w:val="0068345D"/>
    <w:rsid w:val="00683A03"/>
    <w:rsid w:val="00684020"/>
    <w:rsid w:val="006841BB"/>
    <w:rsid w:val="00684678"/>
    <w:rsid w:val="00684B32"/>
    <w:rsid w:val="00684F9A"/>
    <w:rsid w:val="0068505E"/>
    <w:rsid w:val="00685AE6"/>
    <w:rsid w:val="006865E2"/>
    <w:rsid w:val="00686D4E"/>
    <w:rsid w:val="00687466"/>
    <w:rsid w:val="00687EE2"/>
    <w:rsid w:val="00690187"/>
    <w:rsid w:val="00690F52"/>
    <w:rsid w:val="00690F81"/>
    <w:rsid w:val="006911E5"/>
    <w:rsid w:val="00691735"/>
    <w:rsid w:val="0069192A"/>
    <w:rsid w:val="006919CB"/>
    <w:rsid w:val="00692697"/>
    <w:rsid w:val="00692A7A"/>
    <w:rsid w:val="0069348A"/>
    <w:rsid w:val="00694025"/>
    <w:rsid w:val="0069402D"/>
    <w:rsid w:val="0069413B"/>
    <w:rsid w:val="00695A8C"/>
    <w:rsid w:val="00695BA7"/>
    <w:rsid w:val="00695CA1"/>
    <w:rsid w:val="00695FC7"/>
    <w:rsid w:val="00696410"/>
    <w:rsid w:val="00696429"/>
    <w:rsid w:val="00696C8F"/>
    <w:rsid w:val="0069708B"/>
    <w:rsid w:val="00697136"/>
    <w:rsid w:val="00697AF6"/>
    <w:rsid w:val="006A0332"/>
    <w:rsid w:val="006A2843"/>
    <w:rsid w:val="006A4D2D"/>
    <w:rsid w:val="006A55C3"/>
    <w:rsid w:val="006A7925"/>
    <w:rsid w:val="006B0511"/>
    <w:rsid w:val="006B06CA"/>
    <w:rsid w:val="006B11D6"/>
    <w:rsid w:val="006B26CC"/>
    <w:rsid w:val="006B2B16"/>
    <w:rsid w:val="006B39F7"/>
    <w:rsid w:val="006B3EDF"/>
    <w:rsid w:val="006B4057"/>
    <w:rsid w:val="006B4093"/>
    <w:rsid w:val="006B76CD"/>
    <w:rsid w:val="006B7A3D"/>
    <w:rsid w:val="006C04FB"/>
    <w:rsid w:val="006C154C"/>
    <w:rsid w:val="006C219D"/>
    <w:rsid w:val="006C26C0"/>
    <w:rsid w:val="006C277F"/>
    <w:rsid w:val="006C2DEF"/>
    <w:rsid w:val="006C4DA3"/>
    <w:rsid w:val="006C515D"/>
    <w:rsid w:val="006C5371"/>
    <w:rsid w:val="006C5B34"/>
    <w:rsid w:val="006C5B90"/>
    <w:rsid w:val="006C6B38"/>
    <w:rsid w:val="006C7132"/>
    <w:rsid w:val="006C7FA3"/>
    <w:rsid w:val="006D0CD7"/>
    <w:rsid w:val="006D218D"/>
    <w:rsid w:val="006D22F1"/>
    <w:rsid w:val="006D34EF"/>
    <w:rsid w:val="006D43E6"/>
    <w:rsid w:val="006D4D87"/>
    <w:rsid w:val="006D4EB6"/>
    <w:rsid w:val="006D5742"/>
    <w:rsid w:val="006D636E"/>
    <w:rsid w:val="006D65EC"/>
    <w:rsid w:val="006D67A1"/>
    <w:rsid w:val="006D6ABD"/>
    <w:rsid w:val="006D76ED"/>
    <w:rsid w:val="006E0AB6"/>
    <w:rsid w:val="006E11F3"/>
    <w:rsid w:val="006E2911"/>
    <w:rsid w:val="006E2A0D"/>
    <w:rsid w:val="006E2AD9"/>
    <w:rsid w:val="006E2D1E"/>
    <w:rsid w:val="006E3000"/>
    <w:rsid w:val="006E4474"/>
    <w:rsid w:val="006E5368"/>
    <w:rsid w:val="006E548E"/>
    <w:rsid w:val="006E603B"/>
    <w:rsid w:val="006E617B"/>
    <w:rsid w:val="006E76F9"/>
    <w:rsid w:val="006E7C2B"/>
    <w:rsid w:val="006F0A55"/>
    <w:rsid w:val="006F2F77"/>
    <w:rsid w:val="006F3B55"/>
    <w:rsid w:val="006F3F9F"/>
    <w:rsid w:val="006F438C"/>
    <w:rsid w:val="006F5581"/>
    <w:rsid w:val="006F5B82"/>
    <w:rsid w:val="006F630C"/>
    <w:rsid w:val="006F65FA"/>
    <w:rsid w:val="006F694E"/>
    <w:rsid w:val="006F6EDB"/>
    <w:rsid w:val="006F7794"/>
    <w:rsid w:val="006F7E9A"/>
    <w:rsid w:val="00700048"/>
    <w:rsid w:val="00700522"/>
    <w:rsid w:val="00700544"/>
    <w:rsid w:val="007017A4"/>
    <w:rsid w:val="00701AF8"/>
    <w:rsid w:val="0070263E"/>
    <w:rsid w:val="00702DF9"/>
    <w:rsid w:val="00703C37"/>
    <w:rsid w:val="00703D4E"/>
    <w:rsid w:val="0070467A"/>
    <w:rsid w:val="0070467C"/>
    <w:rsid w:val="007048C9"/>
    <w:rsid w:val="00704B46"/>
    <w:rsid w:val="00705305"/>
    <w:rsid w:val="0070550D"/>
    <w:rsid w:val="00705E0A"/>
    <w:rsid w:val="00706FC9"/>
    <w:rsid w:val="00707077"/>
    <w:rsid w:val="00707437"/>
    <w:rsid w:val="0070772F"/>
    <w:rsid w:val="007077C1"/>
    <w:rsid w:val="0071037F"/>
    <w:rsid w:val="007117B1"/>
    <w:rsid w:val="00711852"/>
    <w:rsid w:val="00712AC4"/>
    <w:rsid w:val="00713951"/>
    <w:rsid w:val="00714DB2"/>
    <w:rsid w:val="00715C01"/>
    <w:rsid w:val="00715DF5"/>
    <w:rsid w:val="00716C56"/>
    <w:rsid w:val="0071727E"/>
    <w:rsid w:val="007173F6"/>
    <w:rsid w:val="007177A3"/>
    <w:rsid w:val="00717E75"/>
    <w:rsid w:val="00717FF9"/>
    <w:rsid w:val="00720CDF"/>
    <w:rsid w:val="00721747"/>
    <w:rsid w:val="007221D6"/>
    <w:rsid w:val="00722211"/>
    <w:rsid w:val="007224D5"/>
    <w:rsid w:val="00722516"/>
    <w:rsid w:val="0072399A"/>
    <w:rsid w:val="00724D30"/>
    <w:rsid w:val="007254DA"/>
    <w:rsid w:val="007255A5"/>
    <w:rsid w:val="00725D14"/>
    <w:rsid w:val="007264E8"/>
    <w:rsid w:val="00726F0F"/>
    <w:rsid w:val="00727503"/>
    <w:rsid w:val="00730170"/>
    <w:rsid w:val="007304C9"/>
    <w:rsid w:val="00730767"/>
    <w:rsid w:val="00730D50"/>
    <w:rsid w:val="00731C20"/>
    <w:rsid w:val="00731C45"/>
    <w:rsid w:val="00731F30"/>
    <w:rsid w:val="00732A0B"/>
    <w:rsid w:val="0073342E"/>
    <w:rsid w:val="007339FE"/>
    <w:rsid w:val="00734733"/>
    <w:rsid w:val="0073539A"/>
    <w:rsid w:val="007358ED"/>
    <w:rsid w:val="00735B8E"/>
    <w:rsid w:val="00736042"/>
    <w:rsid w:val="007363DF"/>
    <w:rsid w:val="0073644B"/>
    <w:rsid w:val="00736EF8"/>
    <w:rsid w:val="007371D7"/>
    <w:rsid w:val="007374D8"/>
    <w:rsid w:val="00737D9D"/>
    <w:rsid w:val="00740191"/>
    <w:rsid w:val="007406D7"/>
    <w:rsid w:val="007409A7"/>
    <w:rsid w:val="00740F13"/>
    <w:rsid w:val="007419A1"/>
    <w:rsid w:val="0074216A"/>
    <w:rsid w:val="007426FD"/>
    <w:rsid w:val="007429E1"/>
    <w:rsid w:val="00742D14"/>
    <w:rsid w:val="00742F90"/>
    <w:rsid w:val="007431A5"/>
    <w:rsid w:val="007434FF"/>
    <w:rsid w:val="00744B81"/>
    <w:rsid w:val="00745724"/>
    <w:rsid w:val="007504C4"/>
    <w:rsid w:val="00750992"/>
    <w:rsid w:val="007509BD"/>
    <w:rsid w:val="00750D59"/>
    <w:rsid w:val="007521C9"/>
    <w:rsid w:val="00753391"/>
    <w:rsid w:val="00754612"/>
    <w:rsid w:val="00754F54"/>
    <w:rsid w:val="00755043"/>
    <w:rsid w:val="00755102"/>
    <w:rsid w:val="0075538B"/>
    <w:rsid w:val="0075575A"/>
    <w:rsid w:val="00757C5C"/>
    <w:rsid w:val="00760B38"/>
    <w:rsid w:val="007614C6"/>
    <w:rsid w:val="00761E2D"/>
    <w:rsid w:val="0076214C"/>
    <w:rsid w:val="007621FD"/>
    <w:rsid w:val="00762C04"/>
    <w:rsid w:val="00763E93"/>
    <w:rsid w:val="007642B7"/>
    <w:rsid w:val="007644BF"/>
    <w:rsid w:val="00764BE9"/>
    <w:rsid w:val="00764CC4"/>
    <w:rsid w:val="0076609F"/>
    <w:rsid w:val="007670BF"/>
    <w:rsid w:val="00767771"/>
    <w:rsid w:val="0077040D"/>
    <w:rsid w:val="00770B1F"/>
    <w:rsid w:val="0077104F"/>
    <w:rsid w:val="0077140E"/>
    <w:rsid w:val="00772AA8"/>
    <w:rsid w:val="007740FF"/>
    <w:rsid w:val="00774C6F"/>
    <w:rsid w:val="00775024"/>
    <w:rsid w:val="0077625D"/>
    <w:rsid w:val="00777DB8"/>
    <w:rsid w:val="0078075E"/>
    <w:rsid w:val="0078150A"/>
    <w:rsid w:val="00781665"/>
    <w:rsid w:val="00781F01"/>
    <w:rsid w:val="007821E3"/>
    <w:rsid w:val="007824F5"/>
    <w:rsid w:val="007844C5"/>
    <w:rsid w:val="00784BA1"/>
    <w:rsid w:val="00784E1D"/>
    <w:rsid w:val="00786C2C"/>
    <w:rsid w:val="007873C9"/>
    <w:rsid w:val="0079170A"/>
    <w:rsid w:val="00791BD4"/>
    <w:rsid w:val="00792607"/>
    <w:rsid w:val="00792B8B"/>
    <w:rsid w:val="00793128"/>
    <w:rsid w:val="007939BA"/>
    <w:rsid w:val="00793AEE"/>
    <w:rsid w:val="007940F3"/>
    <w:rsid w:val="007942ED"/>
    <w:rsid w:val="00794518"/>
    <w:rsid w:val="00794F11"/>
    <w:rsid w:val="00795800"/>
    <w:rsid w:val="00795E9B"/>
    <w:rsid w:val="007A069A"/>
    <w:rsid w:val="007A2B3E"/>
    <w:rsid w:val="007A32A9"/>
    <w:rsid w:val="007A3926"/>
    <w:rsid w:val="007A41D1"/>
    <w:rsid w:val="007A4B1A"/>
    <w:rsid w:val="007A70B0"/>
    <w:rsid w:val="007A7679"/>
    <w:rsid w:val="007A7CDF"/>
    <w:rsid w:val="007A7FE3"/>
    <w:rsid w:val="007B0D34"/>
    <w:rsid w:val="007B1DCE"/>
    <w:rsid w:val="007B2672"/>
    <w:rsid w:val="007B29E0"/>
    <w:rsid w:val="007B2BB0"/>
    <w:rsid w:val="007B2E04"/>
    <w:rsid w:val="007B2FD7"/>
    <w:rsid w:val="007B3676"/>
    <w:rsid w:val="007B56EB"/>
    <w:rsid w:val="007B5C5D"/>
    <w:rsid w:val="007B5CF9"/>
    <w:rsid w:val="007B6312"/>
    <w:rsid w:val="007B6874"/>
    <w:rsid w:val="007B6C4C"/>
    <w:rsid w:val="007B75E8"/>
    <w:rsid w:val="007B7DD4"/>
    <w:rsid w:val="007C0900"/>
    <w:rsid w:val="007C1582"/>
    <w:rsid w:val="007C2D81"/>
    <w:rsid w:val="007C3943"/>
    <w:rsid w:val="007C3FC4"/>
    <w:rsid w:val="007C51F6"/>
    <w:rsid w:val="007C5EDF"/>
    <w:rsid w:val="007C7267"/>
    <w:rsid w:val="007D08FE"/>
    <w:rsid w:val="007D16BD"/>
    <w:rsid w:val="007D2253"/>
    <w:rsid w:val="007D2A7C"/>
    <w:rsid w:val="007D479A"/>
    <w:rsid w:val="007D5FF3"/>
    <w:rsid w:val="007D6126"/>
    <w:rsid w:val="007D77B8"/>
    <w:rsid w:val="007D7AF7"/>
    <w:rsid w:val="007E0323"/>
    <w:rsid w:val="007E0F39"/>
    <w:rsid w:val="007E1142"/>
    <w:rsid w:val="007E1AB5"/>
    <w:rsid w:val="007E2B39"/>
    <w:rsid w:val="007E3063"/>
    <w:rsid w:val="007E3963"/>
    <w:rsid w:val="007E41D5"/>
    <w:rsid w:val="007E6106"/>
    <w:rsid w:val="007E6345"/>
    <w:rsid w:val="007E6F9F"/>
    <w:rsid w:val="007E7158"/>
    <w:rsid w:val="007E7DE9"/>
    <w:rsid w:val="007F0245"/>
    <w:rsid w:val="007F0871"/>
    <w:rsid w:val="007F095A"/>
    <w:rsid w:val="007F0F08"/>
    <w:rsid w:val="007F10B1"/>
    <w:rsid w:val="007F1AD0"/>
    <w:rsid w:val="007F2041"/>
    <w:rsid w:val="007F2E41"/>
    <w:rsid w:val="007F379C"/>
    <w:rsid w:val="007F3B24"/>
    <w:rsid w:val="007F44DB"/>
    <w:rsid w:val="007F4CBB"/>
    <w:rsid w:val="007F5BBE"/>
    <w:rsid w:val="007F6483"/>
    <w:rsid w:val="007F6486"/>
    <w:rsid w:val="007F6CC6"/>
    <w:rsid w:val="007F713B"/>
    <w:rsid w:val="007F7374"/>
    <w:rsid w:val="008005BC"/>
    <w:rsid w:val="008008FD"/>
    <w:rsid w:val="00800BF8"/>
    <w:rsid w:val="00800FE0"/>
    <w:rsid w:val="00801C6E"/>
    <w:rsid w:val="00801D47"/>
    <w:rsid w:val="00801E65"/>
    <w:rsid w:val="008023B3"/>
    <w:rsid w:val="00802CC8"/>
    <w:rsid w:val="00802D51"/>
    <w:rsid w:val="00802F7A"/>
    <w:rsid w:val="00803145"/>
    <w:rsid w:val="00803B1B"/>
    <w:rsid w:val="00803E34"/>
    <w:rsid w:val="00803E6C"/>
    <w:rsid w:val="00804D98"/>
    <w:rsid w:val="00804DBC"/>
    <w:rsid w:val="008057C5"/>
    <w:rsid w:val="00805AD6"/>
    <w:rsid w:val="00805AE6"/>
    <w:rsid w:val="0080691B"/>
    <w:rsid w:val="00807C36"/>
    <w:rsid w:val="0081140A"/>
    <w:rsid w:val="0081155F"/>
    <w:rsid w:val="00812544"/>
    <w:rsid w:val="00812933"/>
    <w:rsid w:val="00812EFC"/>
    <w:rsid w:val="00813AAD"/>
    <w:rsid w:val="00813E3B"/>
    <w:rsid w:val="00814D18"/>
    <w:rsid w:val="008160A2"/>
    <w:rsid w:val="00816211"/>
    <w:rsid w:val="00817FDE"/>
    <w:rsid w:val="008200C9"/>
    <w:rsid w:val="0082020B"/>
    <w:rsid w:val="008204C3"/>
    <w:rsid w:val="0082050E"/>
    <w:rsid w:val="0082056F"/>
    <w:rsid w:val="00820B78"/>
    <w:rsid w:val="00820BB5"/>
    <w:rsid w:val="00820C43"/>
    <w:rsid w:val="0082190D"/>
    <w:rsid w:val="008224D5"/>
    <w:rsid w:val="0082253F"/>
    <w:rsid w:val="00822941"/>
    <w:rsid w:val="0082352B"/>
    <w:rsid w:val="0082386A"/>
    <w:rsid w:val="00823E5E"/>
    <w:rsid w:val="0082528E"/>
    <w:rsid w:val="0082591C"/>
    <w:rsid w:val="00825B60"/>
    <w:rsid w:val="00825C83"/>
    <w:rsid w:val="008271E5"/>
    <w:rsid w:val="008300B7"/>
    <w:rsid w:val="00830A34"/>
    <w:rsid w:val="00830A48"/>
    <w:rsid w:val="00830B93"/>
    <w:rsid w:val="00830DF3"/>
    <w:rsid w:val="008312AC"/>
    <w:rsid w:val="008319DC"/>
    <w:rsid w:val="00831D7C"/>
    <w:rsid w:val="00831F98"/>
    <w:rsid w:val="0083249C"/>
    <w:rsid w:val="008328E4"/>
    <w:rsid w:val="00832ADB"/>
    <w:rsid w:val="00832F14"/>
    <w:rsid w:val="00833C89"/>
    <w:rsid w:val="0083417A"/>
    <w:rsid w:val="008351F2"/>
    <w:rsid w:val="00835447"/>
    <w:rsid w:val="00835FBC"/>
    <w:rsid w:val="0083630E"/>
    <w:rsid w:val="00836613"/>
    <w:rsid w:val="008369F3"/>
    <w:rsid w:val="00836C48"/>
    <w:rsid w:val="00836CD7"/>
    <w:rsid w:val="0083735A"/>
    <w:rsid w:val="00840261"/>
    <w:rsid w:val="00840987"/>
    <w:rsid w:val="00840FB8"/>
    <w:rsid w:val="008413BD"/>
    <w:rsid w:val="0084220F"/>
    <w:rsid w:val="00842F50"/>
    <w:rsid w:val="008439AC"/>
    <w:rsid w:val="0084507A"/>
    <w:rsid w:val="008450A7"/>
    <w:rsid w:val="008458E9"/>
    <w:rsid w:val="00845E9C"/>
    <w:rsid w:val="00846874"/>
    <w:rsid w:val="00846FBE"/>
    <w:rsid w:val="0084731B"/>
    <w:rsid w:val="00847862"/>
    <w:rsid w:val="00847A95"/>
    <w:rsid w:val="008505DF"/>
    <w:rsid w:val="008506C6"/>
    <w:rsid w:val="00850B5A"/>
    <w:rsid w:val="00851D68"/>
    <w:rsid w:val="0085201A"/>
    <w:rsid w:val="00852563"/>
    <w:rsid w:val="00852A8C"/>
    <w:rsid w:val="00852F48"/>
    <w:rsid w:val="00853B91"/>
    <w:rsid w:val="00855376"/>
    <w:rsid w:val="00855611"/>
    <w:rsid w:val="00860CD8"/>
    <w:rsid w:val="0086189E"/>
    <w:rsid w:val="008622C1"/>
    <w:rsid w:val="0086281E"/>
    <w:rsid w:val="00862E9E"/>
    <w:rsid w:val="00863BAC"/>
    <w:rsid w:val="0086429D"/>
    <w:rsid w:val="00866319"/>
    <w:rsid w:val="00866A92"/>
    <w:rsid w:val="00871BED"/>
    <w:rsid w:val="00872D45"/>
    <w:rsid w:val="0087338D"/>
    <w:rsid w:val="00873CD1"/>
    <w:rsid w:val="00874793"/>
    <w:rsid w:val="00874950"/>
    <w:rsid w:val="00875648"/>
    <w:rsid w:val="00875689"/>
    <w:rsid w:val="0087675A"/>
    <w:rsid w:val="008772CA"/>
    <w:rsid w:val="00877695"/>
    <w:rsid w:val="00877E60"/>
    <w:rsid w:val="00877EE4"/>
    <w:rsid w:val="008804D7"/>
    <w:rsid w:val="00880548"/>
    <w:rsid w:val="008815D9"/>
    <w:rsid w:val="00883604"/>
    <w:rsid w:val="00883AD6"/>
    <w:rsid w:val="00883D8C"/>
    <w:rsid w:val="008844A2"/>
    <w:rsid w:val="008844E7"/>
    <w:rsid w:val="008859E7"/>
    <w:rsid w:val="0088619C"/>
    <w:rsid w:val="00887A2D"/>
    <w:rsid w:val="0089086D"/>
    <w:rsid w:val="00890980"/>
    <w:rsid w:val="00890AA5"/>
    <w:rsid w:val="00890BDB"/>
    <w:rsid w:val="00890D25"/>
    <w:rsid w:val="00890EAD"/>
    <w:rsid w:val="00891DC5"/>
    <w:rsid w:val="008930D9"/>
    <w:rsid w:val="00893610"/>
    <w:rsid w:val="00893671"/>
    <w:rsid w:val="008938DD"/>
    <w:rsid w:val="00894498"/>
    <w:rsid w:val="00894BD4"/>
    <w:rsid w:val="00895B01"/>
    <w:rsid w:val="00895FDE"/>
    <w:rsid w:val="008976CC"/>
    <w:rsid w:val="008976F2"/>
    <w:rsid w:val="00897CD7"/>
    <w:rsid w:val="00897F69"/>
    <w:rsid w:val="008A0CC5"/>
    <w:rsid w:val="008A0EC7"/>
    <w:rsid w:val="008A1081"/>
    <w:rsid w:val="008A1595"/>
    <w:rsid w:val="008A1820"/>
    <w:rsid w:val="008A1A94"/>
    <w:rsid w:val="008A1B15"/>
    <w:rsid w:val="008A2971"/>
    <w:rsid w:val="008A3069"/>
    <w:rsid w:val="008A4A1B"/>
    <w:rsid w:val="008A6C46"/>
    <w:rsid w:val="008A70A5"/>
    <w:rsid w:val="008A7146"/>
    <w:rsid w:val="008A79EB"/>
    <w:rsid w:val="008A7A8D"/>
    <w:rsid w:val="008B00CD"/>
    <w:rsid w:val="008B0697"/>
    <w:rsid w:val="008B0AD7"/>
    <w:rsid w:val="008B18ED"/>
    <w:rsid w:val="008B1985"/>
    <w:rsid w:val="008B3870"/>
    <w:rsid w:val="008B537D"/>
    <w:rsid w:val="008B5B64"/>
    <w:rsid w:val="008B5C02"/>
    <w:rsid w:val="008B5DDC"/>
    <w:rsid w:val="008B65FD"/>
    <w:rsid w:val="008B6A2A"/>
    <w:rsid w:val="008B6D5A"/>
    <w:rsid w:val="008B7F15"/>
    <w:rsid w:val="008C02AD"/>
    <w:rsid w:val="008C11E6"/>
    <w:rsid w:val="008C206E"/>
    <w:rsid w:val="008C2626"/>
    <w:rsid w:val="008C2758"/>
    <w:rsid w:val="008C28AE"/>
    <w:rsid w:val="008C29EB"/>
    <w:rsid w:val="008C2DD4"/>
    <w:rsid w:val="008C333B"/>
    <w:rsid w:val="008C3639"/>
    <w:rsid w:val="008C37F2"/>
    <w:rsid w:val="008C486D"/>
    <w:rsid w:val="008C4B97"/>
    <w:rsid w:val="008C55BE"/>
    <w:rsid w:val="008C583B"/>
    <w:rsid w:val="008C659A"/>
    <w:rsid w:val="008C66FA"/>
    <w:rsid w:val="008C7CD7"/>
    <w:rsid w:val="008D031C"/>
    <w:rsid w:val="008D12B5"/>
    <w:rsid w:val="008D2603"/>
    <w:rsid w:val="008D3B0E"/>
    <w:rsid w:val="008D7C05"/>
    <w:rsid w:val="008D7C21"/>
    <w:rsid w:val="008D7EFC"/>
    <w:rsid w:val="008E01E5"/>
    <w:rsid w:val="008E0364"/>
    <w:rsid w:val="008E19A4"/>
    <w:rsid w:val="008E19D9"/>
    <w:rsid w:val="008E1D80"/>
    <w:rsid w:val="008E2304"/>
    <w:rsid w:val="008E38E6"/>
    <w:rsid w:val="008E3B8D"/>
    <w:rsid w:val="008E3C2B"/>
    <w:rsid w:val="008E4261"/>
    <w:rsid w:val="008E4747"/>
    <w:rsid w:val="008E487F"/>
    <w:rsid w:val="008E496B"/>
    <w:rsid w:val="008E4B84"/>
    <w:rsid w:val="008E58D4"/>
    <w:rsid w:val="008E5A6A"/>
    <w:rsid w:val="008E5BC8"/>
    <w:rsid w:val="008E5CEF"/>
    <w:rsid w:val="008E617F"/>
    <w:rsid w:val="008E6712"/>
    <w:rsid w:val="008E6E0D"/>
    <w:rsid w:val="008E7C04"/>
    <w:rsid w:val="008E7E0A"/>
    <w:rsid w:val="008F09DF"/>
    <w:rsid w:val="008F1B2E"/>
    <w:rsid w:val="008F23ED"/>
    <w:rsid w:val="008F286A"/>
    <w:rsid w:val="008F320F"/>
    <w:rsid w:val="008F3384"/>
    <w:rsid w:val="008F396A"/>
    <w:rsid w:val="008F478C"/>
    <w:rsid w:val="008F525E"/>
    <w:rsid w:val="008F663E"/>
    <w:rsid w:val="008F759D"/>
    <w:rsid w:val="008F75CE"/>
    <w:rsid w:val="008F7FF4"/>
    <w:rsid w:val="00900607"/>
    <w:rsid w:val="00900A37"/>
    <w:rsid w:val="0090109C"/>
    <w:rsid w:val="00901AFC"/>
    <w:rsid w:val="00902390"/>
    <w:rsid w:val="00903A65"/>
    <w:rsid w:val="00904636"/>
    <w:rsid w:val="00904F5C"/>
    <w:rsid w:val="00905501"/>
    <w:rsid w:val="00905E45"/>
    <w:rsid w:val="009060CE"/>
    <w:rsid w:val="00906381"/>
    <w:rsid w:val="0090662B"/>
    <w:rsid w:val="00906900"/>
    <w:rsid w:val="00906DB0"/>
    <w:rsid w:val="00907206"/>
    <w:rsid w:val="009102BE"/>
    <w:rsid w:val="009112F8"/>
    <w:rsid w:val="00911E55"/>
    <w:rsid w:val="00912FE0"/>
    <w:rsid w:val="0091328C"/>
    <w:rsid w:val="009133EA"/>
    <w:rsid w:val="009156C6"/>
    <w:rsid w:val="00915E33"/>
    <w:rsid w:val="00916045"/>
    <w:rsid w:val="00916923"/>
    <w:rsid w:val="00916FDE"/>
    <w:rsid w:val="00917046"/>
    <w:rsid w:val="00917BD3"/>
    <w:rsid w:val="00917FB5"/>
    <w:rsid w:val="00920377"/>
    <w:rsid w:val="00923742"/>
    <w:rsid w:val="00923B7B"/>
    <w:rsid w:val="00923FC7"/>
    <w:rsid w:val="009245B8"/>
    <w:rsid w:val="0092504C"/>
    <w:rsid w:val="0092520E"/>
    <w:rsid w:val="00925FEB"/>
    <w:rsid w:val="00926D77"/>
    <w:rsid w:val="009278E1"/>
    <w:rsid w:val="00927D15"/>
    <w:rsid w:val="00927EED"/>
    <w:rsid w:val="00930718"/>
    <w:rsid w:val="009307D4"/>
    <w:rsid w:val="00931192"/>
    <w:rsid w:val="00931A35"/>
    <w:rsid w:val="00932474"/>
    <w:rsid w:val="00932E1A"/>
    <w:rsid w:val="00932E80"/>
    <w:rsid w:val="00933294"/>
    <w:rsid w:val="0093426C"/>
    <w:rsid w:val="0093493C"/>
    <w:rsid w:val="00934AA3"/>
    <w:rsid w:val="00934EB0"/>
    <w:rsid w:val="009361AC"/>
    <w:rsid w:val="0093736E"/>
    <w:rsid w:val="00937851"/>
    <w:rsid w:val="00937B94"/>
    <w:rsid w:val="009400AF"/>
    <w:rsid w:val="00940797"/>
    <w:rsid w:val="009407BF"/>
    <w:rsid w:val="00941320"/>
    <w:rsid w:val="009427F5"/>
    <w:rsid w:val="00943017"/>
    <w:rsid w:val="00944BC4"/>
    <w:rsid w:val="00944E10"/>
    <w:rsid w:val="009456F1"/>
    <w:rsid w:val="00945950"/>
    <w:rsid w:val="00946E31"/>
    <w:rsid w:val="0094751E"/>
    <w:rsid w:val="00947C99"/>
    <w:rsid w:val="00950C62"/>
    <w:rsid w:val="00951F23"/>
    <w:rsid w:val="00952504"/>
    <w:rsid w:val="009529BB"/>
    <w:rsid w:val="00952B43"/>
    <w:rsid w:val="009535BA"/>
    <w:rsid w:val="0095368D"/>
    <w:rsid w:val="00953F00"/>
    <w:rsid w:val="00954301"/>
    <w:rsid w:val="00954BB3"/>
    <w:rsid w:val="00954F37"/>
    <w:rsid w:val="009554E4"/>
    <w:rsid w:val="00955C84"/>
    <w:rsid w:val="00957C4E"/>
    <w:rsid w:val="00960712"/>
    <w:rsid w:val="00960771"/>
    <w:rsid w:val="00961029"/>
    <w:rsid w:val="0096151B"/>
    <w:rsid w:val="00962BCA"/>
    <w:rsid w:val="00963989"/>
    <w:rsid w:val="0096398A"/>
    <w:rsid w:val="00963B43"/>
    <w:rsid w:val="009647DD"/>
    <w:rsid w:val="00964D81"/>
    <w:rsid w:val="0096522E"/>
    <w:rsid w:val="0096550B"/>
    <w:rsid w:val="0096633E"/>
    <w:rsid w:val="009667A9"/>
    <w:rsid w:val="00966D76"/>
    <w:rsid w:val="009676BF"/>
    <w:rsid w:val="00967BCC"/>
    <w:rsid w:val="0097070D"/>
    <w:rsid w:val="00970D84"/>
    <w:rsid w:val="00970E2C"/>
    <w:rsid w:val="00971A45"/>
    <w:rsid w:val="00971AEC"/>
    <w:rsid w:val="0097327D"/>
    <w:rsid w:val="009753A6"/>
    <w:rsid w:val="009775EA"/>
    <w:rsid w:val="00977F98"/>
    <w:rsid w:val="009820F1"/>
    <w:rsid w:val="009821ED"/>
    <w:rsid w:val="00982D57"/>
    <w:rsid w:val="009834FA"/>
    <w:rsid w:val="00983611"/>
    <w:rsid w:val="009836A0"/>
    <w:rsid w:val="00984268"/>
    <w:rsid w:val="00984463"/>
    <w:rsid w:val="00985350"/>
    <w:rsid w:val="00985ECF"/>
    <w:rsid w:val="009860C3"/>
    <w:rsid w:val="00986DFC"/>
    <w:rsid w:val="00987223"/>
    <w:rsid w:val="0099099A"/>
    <w:rsid w:val="00990D3E"/>
    <w:rsid w:val="009910A2"/>
    <w:rsid w:val="00993A6E"/>
    <w:rsid w:val="0099413D"/>
    <w:rsid w:val="00994273"/>
    <w:rsid w:val="0099465D"/>
    <w:rsid w:val="0099494E"/>
    <w:rsid w:val="009953F6"/>
    <w:rsid w:val="009958B1"/>
    <w:rsid w:val="00995991"/>
    <w:rsid w:val="00996D62"/>
    <w:rsid w:val="00997338"/>
    <w:rsid w:val="009979ED"/>
    <w:rsid w:val="00997BBF"/>
    <w:rsid w:val="00997C17"/>
    <w:rsid w:val="00997D98"/>
    <w:rsid w:val="009A0C46"/>
    <w:rsid w:val="009A1163"/>
    <w:rsid w:val="009A1602"/>
    <w:rsid w:val="009A1F10"/>
    <w:rsid w:val="009A2063"/>
    <w:rsid w:val="009A26A8"/>
    <w:rsid w:val="009A44FB"/>
    <w:rsid w:val="009A4E56"/>
    <w:rsid w:val="009A4EBF"/>
    <w:rsid w:val="009A4F5E"/>
    <w:rsid w:val="009A5915"/>
    <w:rsid w:val="009A6A99"/>
    <w:rsid w:val="009A7BD5"/>
    <w:rsid w:val="009B0331"/>
    <w:rsid w:val="009B2397"/>
    <w:rsid w:val="009B2D82"/>
    <w:rsid w:val="009B3348"/>
    <w:rsid w:val="009B336B"/>
    <w:rsid w:val="009B358D"/>
    <w:rsid w:val="009B3AA2"/>
    <w:rsid w:val="009B406F"/>
    <w:rsid w:val="009B44A3"/>
    <w:rsid w:val="009B4AEA"/>
    <w:rsid w:val="009B4E37"/>
    <w:rsid w:val="009B5447"/>
    <w:rsid w:val="009B6551"/>
    <w:rsid w:val="009B699A"/>
    <w:rsid w:val="009C040F"/>
    <w:rsid w:val="009C0A69"/>
    <w:rsid w:val="009C193B"/>
    <w:rsid w:val="009C25EA"/>
    <w:rsid w:val="009C454A"/>
    <w:rsid w:val="009C4A2C"/>
    <w:rsid w:val="009C4BC5"/>
    <w:rsid w:val="009C5A62"/>
    <w:rsid w:val="009C5BBE"/>
    <w:rsid w:val="009C78AE"/>
    <w:rsid w:val="009D01D6"/>
    <w:rsid w:val="009D02DF"/>
    <w:rsid w:val="009D0434"/>
    <w:rsid w:val="009D10F9"/>
    <w:rsid w:val="009D15F3"/>
    <w:rsid w:val="009D18B5"/>
    <w:rsid w:val="009D19B2"/>
    <w:rsid w:val="009D24AD"/>
    <w:rsid w:val="009D2CC0"/>
    <w:rsid w:val="009D32CA"/>
    <w:rsid w:val="009D40BF"/>
    <w:rsid w:val="009D4664"/>
    <w:rsid w:val="009D4F98"/>
    <w:rsid w:val="009D574F"/>
    <w:rsid w:val="009D598A"/>
    <w:rsid w:val="009D59C0"/>
    <w:rsid w:val="009D5D0F"/>
    <w:rsid w:val="009D604D"/>
    <w:rsid w:val="009D6D28"/>
    <w:rsid w:val="009D7391"/>
    <w:rsid w:val="009E1614"/>
    <w:rsid w:val="009E1968"/>
    <w:rsid w:val="009E234D"/>
    <w:rsid w:val="009E271E"/>
    <w:rsid w:val="009E572A"/>
    <w:rsid w:val="009E60F9"/>
    <w:rsid w:val="009E61BB"/>
    <w:rsid w:val="009E63E2"/>
    <w:rsid w:val="009E6423"/>
    <w:rsid w:val="009E6AF0"/>
    <w:rsid w:val="009E6F60"/>
    <w:rsid w:val="009E7C13"/>
    <w:rsid w:val="009F00A0"/>
    <w:rsid w:val="009F168E"/>
    <w:rsid w:val="009F1845"/>
    <w:rsid w:val="009F249C"/>
    <w:rsid w:val="009F270F"/>
    <w:rsid w:val="009F2D03"/>
    <w:rsid w:val="009F4174"/>
    <w:rsid w:val="009F4249"/>
    <w:rsid w:val="009F452F"/>
    <w:rsid w:val="009F4BBB"/>
    <w:rsid w:val="009F6BF0"/>
    <w:rsid w:val="009F6C38"/>
    <w:rsid w:val="009F7639"/>
    <w:rsid w:val="009F767C"/>
    <w:rsid w:val="009F7AF8"/>
    <w:rsid w:val="00A01C08"/>
    <w:rsid w:val="00A01FBF"/>
    <w:rsid w:val="00A022BD"/>
    <w:rsid w:val="00A02449"/>
    <w:rsid w:val="00A026AA"/>
    <w:rsid w:val="00A02806"/>
    <w:rsid w:val="00A0336E"/>
    <w:rsid w:val="00A036F2"/>
    <w:rsid w:val="00A03FC4"/>
    <w:rsid w:val="00A04009"/>
    <w:rsid w:val="00A041C2"/>
    <w:rsid w:val="00A044FE"/>
    <w:rsid w:val="00A049B9"/>
    <w:rsid w:val="00A060CB"/>
    <w:rsid w:val="00A06ACB"/>
    <w:rsid w:val="00A06AF7"/>
    <w:rsid w:val="00A07123"/>
    <w:rsid w:val="00A07B7B"/>
    <w:rsid w:val="00A101F6"/>
    <w:rsid w:val="00A10E0F"/>
    <w:rsid w:val="00A1167C"/>
    <w:rsid w:val="00A1196F"/>
    <w:rsid w:val="00A121F7"/>
    <w:rsid w:val="00A124CE"/>
    <w:rsid w:val="00A12BF3"/>
    <w:rsid w:val="00A130AA"/>
    <w:rsid w:val="00A13AFF"/>
    <w:rsid w:val="00A14231"/>
    <w:rsid w:val="00A1444B"/>
    <w:rsid w:val="00A14AFA"/>
    <w:rsid w:val="00A15AE1"/>
    <w:rsid w:val="00A15DBA"/>
    <w:rsid w:val="00A161A0"/>
    <w:rsid w:val="00A16DF9"/>
    <w:rsid w:val="00A16FB7"/>
    <w:rsid w:val="00A175C9"/>
    <w:rsid w:val="00A1771A"/>
    <w:rsid w:val="00A21DE9"/>
    <w:rsid w:val="00A22183"/>
    <w:rsid w:val="00A224D7"/>
    <w:rsid w:val="00A23367"/>
    <w:rsid w:val="00A23839"/>
    <w:rsid w:val="00A23C18"/>
    <w:rsid w:val="00A241F2"/>
    <w:rsid w:val="00A24964"/>
    <w:rsid w:val="00A24DE6"/>
    <w:rsid w:val="00A25292"/>
    <w:rsid w:val="00A26206"/>
    <w:rsid w:val="00A273DE"/>
    <w:rsid w:val="00A27723"/>
    <w:rsid w:val="00A27E77"/>
    <w:rsid w:val="00A30B14"/>
    <w:rsid w:val="00A31187"/>
    <w:rsid w:val="00A316A8"/>
    <w:rsid w:val="00A31860"/>
    <w:rsid w:val="00A3225A"/>
    <w:rsid w:val="00A3294F"/>
    <w:rsid w:val="00A3496E"/>
    <w:rsid w:val="00A35477"/>
    <w:rsid w:val="00A3556B"/>
    <w:rsid w:val="00A36A09"/>
    <w:rsid w:val="00A37758"/>
    <w:rsid w:val="00A4091C"/>
    <w:rsid w:val="00A4104C"/>
    <w:rsid w:val="00A4159C"/>
    <w:rsid w:val="00A4181B"/>
    <w:rsid w:val="00A420B1"/>
    <w:rsid w:val="00A42217"/>
    <w:rsid w:val="00A42266"/>
    <w:rsid w:val="00A4272D"/>
    <w:rsid w:val="00A42E61"/>
    <w:rsid w:val="00A42EEA"/>
    <w:rsid w:val="00A4396E"/>
    <w:rsid w:val="00A4487D"/>
    <w:rsid w:val="00A44ECD"/>
    <w:rsid w:val="00A4502C"/>
    <w:rsid w:val="00A4572F"/>
    <w:rsid w:val="00A45A72"/>
    <w:rsid w:val="00A45C69"/>
    <w:rsid w:val="00A46B90"/>
    <w:rsid w:val="00A474B2"/>
    <w:rsid w:val="00A47589"/>
    <w:rsid w:val="00A4761A"/>
    <w:rsid w:val="00A476E4"/>
    <w:rsid w:val="00A47894"/>
    <w:rsid w:val="00A47BD7"/>
    <w:rsid w:val="00A47C03"/>
    <w:rsid w:val="00A50580"/>
    <w:rsid w:val="00A51A67"/>
    <w:rsid w:val="00A53422"/>
    <w:rsid w:val="00A55EA0"/>
    <w:rsid w:val="00A5612A"/>
    <w:rsid w:val="00A56EB1"/>
    <w:rsid w:val="00A575A5"/>
    <w:rsid w:val="00A606E0"/>
    <w:rsid w:val="00A61370"/>
    <w:rsid w:val="00A63A33"/>
    <w:rsid w:val="00A63C14"/>
    <w:rsid w:val="00A63DF1"/>
    <w:rsid w:val="00A64BFB"/>
    <w:rsid w:val="00A655FF"/>
    <w:rsid w:val="00A66063"/>
    <w:rsid w:val="00A66EEC"/>
    <w:rsid w:val="00A702A1"/>
    <w:rsid w:val="00A703E3"/>
    <w:rsid w:val="00A71E55"/>
    <w:rsid w:val="00A72724"/>
    <w:rsid w:val="00A72C93"/>
    <w:rsid w:val="00A7322B"/>
    <w:rsid w:val="00A7327D"/>
    <w:rsid w:val="00A755C6"/>
    <w:rsid w:val="00A75D1D"/>
    <w:rsid w:val="00A7702B"/>
    <w:rsid w:val="00A77445"/>
    <w:rsid w:val="00A77544"/>
    <w:rsid w:val="00A77C7F"/>
    <w:rsid w:val="00A80CE0"/>
    <w:rsid w:val="00A81423"/>
    <w:rsid w:val="00A8173A"/>
    <w:rsid w:val="00A8231A"/>
    <w:rsid w:val="00A83340"/>
    <w:rsid w:val="00A84109"/>
    <w:rsid w:val="00A84A72"/>
    <w:rsid w:val="00A86DDD"/>
    <w:rsid w:val="00A8721C"/>
    <w:rsid w:val="00A8738D"/>
    <w:rsid w:val="00A904A3"/>
    <w:rsid w:val="00A906DD"/>
    <w:rsid w:val="00A90ABF"/>
    <w:rsid w:val="00A90EA6"/>
    <w:rsid w:val="00A91256"/>
    <w:rsid w:val="00A914F4"/>
    <w:rsid w:val="00A93C08"/>
    <w:rsid w:val="00A93CEF"/>
    <w:rsid w:val="00A94E77"/>
    <w:rsid w:val="00A94F58"/>
    <w:rsid w:val="00A950E2"/>
    <w:rsid w:val="00A956FD"/>
    <w:rsid w:val="00A95978"/>
    <w:rsid w:val="00A95F81"/>
    <w:rsid w:val="00A964B9"/>
    <w:rsid w:val="00A96F52"/>
    <w:rsid w:val="00A973D0"/>
    <w:rsid w:val="00AA08ED"/>
    <w:rsid w:val="00AA2916"/>
    <w:rsid w:val="00AA32C2"/>
    <w:rsid w:val="00AA34D7"/>
    <w:rsid w:val="00AA3B62"/>
    <w:rsid w:val="00AA4143"/>
    <w:rsid w:val="00AA4C6A"/>
    <w:rsid w:val="00AA5F29"/>
    <w:rsid w:val="00AA6302"/>
    <w:rsid w:val="00AA6827"/>
    <w:rsid w:val="00AA6B1D"/>
    <w:rsid w:val="00AA6CA2"/>
    <w:rsid w:val="00AB02C0"/>
    <w:rsid w:val="00AB0C8C"/>
    <w:rsid w:val="00AB1B04"/>
    <w:rsid w:val="00AB2525"/>
    <w:rsid w:val="00AB2BAB"/>
    <w:rsid w:val="00AB2CA2"/>
    <w:rsid w:val="00AB2EC1"/>
    <w:rsid w:val="00AB3421"/>
    <w:rsid w:val="00AB3667"/>
    <w:rsid w:val="00AB3A0E"/>
    <w:rsid w:val="00AB493D"/>
    <w:rsid w:val="00AB4EB2"/>
    <w:rsid w:val="00AB61B0"/>
    <w:rsid w:val="00AB649C"/>
    <w:rsid w:val="00AB6811"/>
    <w:rsid w:val="00AB6C93"/>
    <w:rsid w:val="00AB6CED"/>
    <w:rsid w:val="00AB6CFF"/>
    <w:rsid w:val="00AC0C63"/>
    <w:rsid w:val="00AC0E96"/>
    <w:rsid w:val="00AC217D"/>
    <w:rsid w:val="00AC25B9"/>
    <w:rsid w:val="00AC2D6C"/>
    <w:rsid w:val="00AC3833"/>
    <w:rsid w:val="00AC3C68"/>
    <w:rsid w:val="00AC407B"/>
    <w:rsid w:val="00AC40E6"/>
    <w:rsid w:val="00AC4302"/>
    <w:rsid w:val="00AC451C"/>
    <w:rsid w:val="00AC4534"/>
    <w:rsid w:val="00AC4997"/>
    <w:rsid w:val="00AC49BE"/>
    <w:rsid w:val="00AC52F6"/>
    <w:rsid w:val="00AC5720"/>
    <w:rsid w:val="00AC5D71"/>
    <w:rsid w:val="00AC5DBF"/>
    <w:rsid w:val="00AD05EA"/>
    <w:rsid w:val="00AD218E"/>
    <w:rsid w:val="00AD26A8"/>
    <w:rsid w:val="00AD2DA2"/>
    <w:rsid w:val="00AD2DC2"/>
    <w:rsid w:val="00AD2FBD"/>
    <w:rsid w:val="00AD36E5"/>
    <w:rsid w:val="00AD4978"/>
    <w:rsid w:val="00AD4D13"/>
    <w:rsid w:val="00AD52A2"/>
    <w:rsid w:val="00AD69A8"/>
    <w:rsid w:val="00AD6A6B"/>
    <w:rsid w:val="00AD6D54"/>
    <w:rsid w:val="00AD72A2"/>
    <w:rsid w:val="00AD7339"/>
    <w:rsid w:val="00AD7BC2"/>
    <w:rsid w:val="00AD7C0D"/>
    <w:rsid w:val="00AD7E93"/>
    <w:rsid w:val="00AE0228"/>
    <w:rsid w:val="00AE2825"/>
    <w:rsid w:val="00AE295F"/>
    <w:rsid w:val="00AE3371"/>
    <w:rsid w:val="00AE451E"/>
    <w:rsid w:val="00AE4B7C"/>
    <w:rsid w:val="00AE5240"/>
    <w:rsid w:val="00AE5909"/>
    <w:rsid w:val="00AE65BE"/>
    <w:rsid w:val="00AE6DE5"/>
    <w:rsid w:val="00AE6F12"/>
    <w:rsid w:val="00AE7AF3"/>
    <w:rsid w:val="00AF05A6"/>
    <w:rsid w:val="00AF08FF"/>
    <w:rsid w:val="00AF0D8F"/>
    <w:rsid w:val="00AF1432"/>
    <w:rsid w:val="00AF14B3"/>
    <w:rsid w:val="00AF14B9"/>
    <w:rsid w:val="00AF1B25"/>
    <w:rsid w:val="00AF2162"/>
    <w:rsid w:val="00AF219E"/>
    <w:rsid w:val="00AF33A4"/>
    <w:rsid w:val="00AF3577"/>
    <w:rsid w:val="00AF3A15"/>
    <w:rsid w:val="00AF4208"/>
    <w:rsid w:val="00AF4537"/>
    <w:rsid w:val="00AF4CD2"/>
    <w:rsid w:val="00AF4E2C"/>
    <w:rsid w:val="00AF6061"/>
    <w:rsid w:val="00AF7EE2"/>
    <w:rsid w:val="00B016E4"/>
    <w:rsid w:val="00B01B0D"/>
    <w:rsid w:val="00B01B64"/>
    <w:rsid w:val="00B01F46"/>
    <w:rsid w:val="00B03509"/>
    <w:rsid w:val="00B03F79"/>
    <w:rsid w:val="00B05118"/>
    <w:rsid w:val="00B051C9"/>
    <w:rsid w:val="00B0559A"/>
    <w:rsid w:val="00B0575D"/>
    <w:rsid w:val="00B05797"/>
    <w:rsid w:val="00B059DD"/>
    <w:rsid w:val="00B05FF0"/>
    <w:rsid w:val="00B073AE"/>
    <w:rsid w:val="00B075D3"/>
    <w:rsid w:val="00B0782F"/>
    <w:rsid w:val="00B07EBC"/>
    <w:rsid w:val="00B10126"/>
    <w:rsid w:val="00B10B16"/>
    <w:rsid w:val="00B10D20"/>
    <w:rsid w:val="00B117DF"/>
    <w:rsid w:val="00B126C1"/>
    <w:rsid w:val="00B127C7"/>
    <w:rsid w:val="00B12AE4"/>
    <w:rsid w:val="00B12F0F"/>
    <w:rsid w:val="00B13988"/>
    <w:rsid w:val="00B13E21"/>
    <w:rsid w:val="00B1454B"/>
    <w:rsid w:val="00B1455A"/>
    <w:rsid w:val="00B14CC1"/>
    <w:rsid w:val="00B14DFF"/>
    <w:rsid w:val="00B14F96"/>
    <w:rsid w:val="00B159FF"/>
    <w:rsid w:val="00B15A6A"/>
    <w:rsid w:val="00B15EEE"/>
    <w:rsid w:val="00B15EF1"/>
    <w:rsid w:val="00B16EDC"/>
    <w:rsid w:val="00B17726"/>
    <w:rsid w:val="00B2072B"/>
    <w:rsid w:val="00B20B94"/>
    <w:rsid w:val="00B210C3"/>
    <w:rsid w:val="00B21397"/>
    <w:rsid w:val="00B21401"/>
    <w:rsid w:val="00B2144D"/>
    <w:rsid w:val="00B22B1D"/>
    <w:rsid w:val="00B22DAF"/>
    <w:rsid w:val="00B22E35"/>
    <w:rsid w:val="00B22E79"/>
    <w:rsid w:val="00B238B9"/>
    <w:rsid w:val="00B23AEC"/>
    <w:rsid w:val="00B23D61"/>
    <w:rsid w:val="00B25981"/>
    <w:rsid w:val="00B26F6C"/>
    <w:rsid w:val="00B27836"/>
    <w:rsid w:val="00B27D49"/>
    <w:rsid w:val="00B31BFC"/>
    <w:rsid w:val="00B32F24"/>
    <w:rsid w:val="00B33234"/>
    <w:rsid w:val="00B33279"/>
    <w:rsid w:val="00B33599"/>
    <w:rsid w:val="00B340F6"/>
    <w:rsid w:val="00B349CC"/>
    <w:rsid w:val="00B34E6B"/>
    <w:rsid w:val="00B352CD"/>
    <w:rsid w:val="00B37752"/>
    <w:rsid w:val="00B40E84"/>
    <w:rsid w:val="00B41860"/>
    <w:rsid w:val="00B41A62"/>
    <w:rsid w:val="00B42AAE"/>
    <w:rsid w:val="00B4348C"/>
    <w:rsid w:val="00B43C16"/>
    <w:rsid w:val="00B43EB6"/>
    <w:rsid w:val="00B44A80"/>
    <w:rsid w:val="00B45A07"/>
    <w:rsid w:val="00B45D1A"/>
    <w:rsid w:val="00B46673"/>
    <w:rsid w:val="00B46AFC"/>
    <w:rsid w:val="00B47549"/>
    <w:rsid w:val="00B50D4D"/>
    <w:rsid w:val="00B51B20"/>
    <w:rsid w:val="00B51C9B"/>
    <w:rsid w:val="00B51E39"/>
    <w:rsid w:val="00B5320A"/>
    <w:rsid w:val="00B53229"/>
    <w:rsid w:val="00B539A2"/>
    <w:rsid w:val="00B54A40"/>
    <w:rsid w:val="00B55323"/>
    <w:rsid w:val="00B55760"/>
    <w:rsid w:val="00B55CCD"/>
    <w:rsid w:val="00B57C90"/>
    <w:rsid w:val="00B621F3"/>
    <w:rsid w:val="00B62723"/>
    <w:rsid w:val="00B630F6"/>
    <w:rsid w:val="00B633BC"/>
    <w:rsid w:val="00B63A18"/>
    <w:rsid w:val="00B6428C"/>
    <w:rsid w:val="00B643BC"/>
    <w:rsid w:val="00B64595"/>
    <w:rsid w:val="00B648EE"/>
    <w:rsid w:val="00B65EF5"/>
    <w:rsid w:val="00B6613C"/>
    <w:rsid w:val="00B6690A"/>
    <w:rsid w:val="00B70290"/>
    <w:rsid w:val="00B70718"/>
    <w:rsid w:val="00B71659"/>
    <w:rsid w:val="00B7194E"/>
    <w:rsid w:val="00B71E0B"/>
    <w:rsid w:val="00B72202"/>
    <w:rsid w:val="00B72D91"/>
    <w:rsid w:val="00B74679"/>
    <w:rsid w:val="00B74914"/>
    <w:rsid w:val="00B74AB4"/>
    <w:rsid w:val="00B74FB5"/>
    <w:rsid w:val="00B74FD0"/>
    <w:rsid w:val="00B7514C"/>
    <w:rsid w:val="00B757B8"/>
    <w:rsid w:val="00B75BFF"/>
    <w:rsid w:val="00B76924"/>
    <w:rsid w:val="00B76F88"/>
    <w:rsid w:val="00B77CF2"/>
    <w:rsid w:val="00B77FE9"/>
    <w:rsid w:val="00B8048C"/>
    <w:rsid w:val="00B804C4"/>
    <w:rsid w:val="00B80958"/>
    <w:rsid w:val="00B80B84"/>
    <w:rsid w:val="00B80CC0"/>
    <w:rsid w:val="00B80F90"/>
    <w:rsid w:val="00B81227"/>
    <w:rsid w:val="00B81255"/>
    <w:rsid w:val="00B837B8"/>
    <w:rsid w:val="00B8468A"/>
    <w:rsid w:val="00B8477E"/>
    <w:rsid w:val="00B858FA"/>
    <w:rsid w:val="00B85D00"/>
    <w:rsid w:val="00B86068"/>
    <w:rsid w:val="00B86742"/>
    <w:rsid w:val="00B86B84"/>
    <w:rsid w:val="00B86FBF"/>
    <w:rsid w:val="00B87009"/>
    <w:rsid w:val="00B87141"/>
    <w:rsid w:val="00B875F3"/>
    <w:rsid w:val="00B9047A"/>
    <w:rsid w:val="00B904F7"/>
    <w:rsid w:val="00B9053C"/>
    <w:rsid w:val="00B907F8"/>
    <w:rsid w:val="00B90BA5"/>
    <w:rsid w:val="00B90CF8"/>
    <w:rsid w:val="00B91F98"/>
    <w:rsid w:val="00B9251A"/>
    <w:rsid w:val="00B92B8C"/>
    <w:rsid w:val="00B92DAC"/>
    <w:rsid w:val="00B9328F"/>
    <w:rsid w:val="00B951FA"/>
    <w:rsid w:val="00B953F6"/>
    <w:rsid w:val="00B9542C"/>
    <w:rsid w:val="00B9573A"/>
    <w:rsid w:val="00B95F61"/>
    <w:rsid w:val="00B9605B"/>
    <w:rsid w:val="00B96243"/>
    <w:rsid w:val="00B966BC"/>
    <w:rsid w:val="00B9671A"/>
    <w:rsid w:val="00B96765"/>
    <w:rsid w:val="00B972EF"/>
    <w:rsid w:val="00B97ACF"/>
    <w:rsid w:val="00BA0938"/>
    <w:rsid w:val="00BA1C11"/>
    <w:rsid w:val="00BA2B32"/>
    <w:rsid w:val="00BA2FA7"/>
    <w:rsid w:val="00BA3717"/>
    <w:rsid w:val="00BA38E9"/>
    <w:rsid w:val="00BA3A7A"/>
    <w:rsid w:val="00BA3B0F"/>
    <w:rsid w:val="00BA4085"/>
    <w:rsid w:val="00BA42B6"/>
    <w:rsid w:val="00BA43F4"/>
    <w:rsid w:val="00BA4797"/>
    <w:rsid w:val="00BA50F5"/>
    <w:rsid w:val="00BA547A"/>
    <w:rsid w:val="00BA55EB"/>
    <w:rsid w:val="00BA6299"/>
    <w:rsid w:val="00BA66F2"/>
    <w:rsid w:val="00BA703A"/>
    <w:rsid w:val="00BB093B"/>
    <w:rsid w:val="00BB1F87"/>
    <w:rsid w:val="00BB2184"/>
    <w:rsid w:val="00BB2750"/>
    <w:rsid w:val="00BB286B"/>
    <w:rsid w:val="00BB40A7"/>
    <w:rsid w:val="00BB42C2"/>
    <w:rsid w:val="00BB47E6"/>
    <w:rsid w:val="00BB4BFB"/>
    <w:rsid w:val="00BB4D64"/>
    <w:rsid w:val="00BB4F80"/>
    <w:rsid w:val="00BB5E8D"/>
    <w:rsid w:val="00BB65AD"/>
    <w:rsid w:val="00BB6891"/>
    <w:rsid w:val="00BB6A13"/>
    <w:rsid w:val="00BB741B"/>
    <w:rsid w:val="00BB78A9"/>
    <w:rsid w:val="00BC03B3"/>
    <w:rsid w:val="00BC1262"/>
    <w:rsid w:val="00BC2F9D"/>
    <w:rsid w:val="00BC2FCE"/>
    <w:rsid w:val="00BC3B7A"/>
    <w:rsid w:val="00BC3BA8"/>
    <w:rsid w:val="00BC3BF9"/>
    <w:rsid w:val="00BC3C93"/>
    <w:rsid w:val="00BC412D"/>
    <w:rsid w:val="00BC4B78"/>
    <w:rsid w:val="00BC5B43"/>
    <w:rsid w:val="00BC63E2"/>
    <w:rsid w:val="00BC6461"/>
    <w:rsid w:val="00BC6B1D"/>
    <w:rsid w:val="00BC6B51"/>
    <w:rsid w:val="00BC74DA"/>
    <w:rsid w:val="00BC751B"/>
    <w:rsid w:val="00BC7556"/>
    <w:rsid w:val="00BC7E8D"/>
    <w:rsid w:val="00BD011E"/>
    <w:rsid w:val="00BD09A1"/>
    <w:rsid w:val="00BD13F8"/>
    <w:rsid w:val="00BD24B3"/>
    <w:rsid w:val="00BD2AF2"/>
    <w:rsid w:val="00BD3AA7"/>
    <w:rsid w:val="00BD3C91"/>
    <w:rsid w:val="00BD3C98"/>
    <w:rsid w:val="00BD3FB6"/>
    <w:rsid w:val="00BD4859"/>
    <w:rsid w:val="00BD499B"/>
    <w:rsid w:val="00BD4AB9"/>
    <w:rsid w:val="00BD4CA4"/>
    <w:rsid w:val="00BD53C6"/>
    <w:rsid w:val="00BD5DBB"/>
    <w:rsid w:val="00BD628E"/>
    <w:rsid w:val="00BD6A12"/>
    <w:rsid w:val="00BD7248"/>
    <w:rsid w:val="00BD759B"/>
    <w:rsid w:val="00BD7EBE"/>
    <w:rsid w:val="00BE0DAE"/>
    <w:rsid w:val="00BE1C37"/>
    <w:rsid w:val="00BE1CC3"/>
    <w:rsid w:val="00BE1E05"/>
    <w:rsid w:val="00BE1E12"/>
    <w:rsid w:val="00BE20EE"/>
    <w:rsid w:val="00BE20FB"/>
    <w:rsid w:val="00BE2144"/>
    <w:rsid w:val="00BE254A"/>
    <w:rsid w:val="00BE2E44"/>
    <w:rsid w:val="00BE3B81"/>
    <w:rsid w:val="00BE3F25"/>
    <w:rsid w:val="00BE40DB"/>
    <w:rsid w:val="00BE4420"/>
    <w:rsid w:val="00BE4949"/>
    <w:rsid w:val="00BE52F0"/>
    <w:rsid w:val="00BE73DC"/>
    <w:rsid w:val="00BE7642"/>
    <w:rsid w:val="00BE7684"/>
    <w:rsid w:val="00BF08C0"/>
    <w:rsid w:val="00BF0CC8"/>
    <w:rsid w:val="00BF1361"/>
    <w:rsid w:val="00BF140A"/>
    <w:rsid w:val="00BF1685"/>
    <w:rsid w:val="00BF1A41"/>
    <w:rsid w:val="00BF2559"/>
    <w:rsid w:val="00BF2682"/>
    <w:rsid w:val="00BF26DF"/>
    <w:rsid w:val="00BF3A49"/>
    <w:rsid w:val="00BF43BC"/>
    <w:rsid w:val="00BF62BF"/>
    <w:rsid w:val="00BF662C"/>
    <w:rsid w:val="00BF680F"/>
    <w:rsid w:val="00BF787C"/>
    <w:rsid w:val="00C00832"/>
    <w:rsid w:val="00C0083F"/>
    <w:rsid w:val="00C01DAF"/>
    <w:rsid w:val="00C02250"/>
    <w:rsid w:val="00C02BAA"/>
    <w:rsid w:val="00C042AA"/>
    <w:rsid w:val="00C0500C"/>
    <w:rsid w:val="00C051C3"/>
    <w:rsid w:val="00C056F2"/>
    <w:rsid w:val="00C05DC4"/>
    <w:rsid w:val="00C0665C"/>
    <w:rsid w:val="00C06ECA"/>
    <w:rsid w:val="00C073CA"/>
    <w:rsid w:val="00C0793C"/>
    <w:rsid w:val="00C07F6E"/>
    <w:rsid w:val="00C10F1D"/>
    <w:rsid w:val="00C1193C"/>
    <w:rsid w:val="00C125C8"/>
    <w:rsid w:val="00C13CA9"/>
    <w:rsid w:val="00C1630C"/>
    <w:rsid w:val="00C16351"/>
    <w:rsid w:val="00C16716"/>
    <w:rsid w:val="00C2098E"/>
    <w:rsid w:val="00C210F4"/>
    <w:rsid w:val="00C219E0"/>
    <w:rsid w:val="00C221DD"/>
    <w:rsid w:val="00C228A4"/>
    <w:rsid w:val="00C22B57"/>
    <w:rsid w:val="00C232A2"/>
    <w:rsid w:val="00C2402D"/>
    <w:rsid w:val="00C24125"/>
    <w:rsid w:val="00C241ED"/>
    <w:rsid w:val="00C24E46"/>
    <w:rsid w:val="00C25DAF"/>
    <w:rsid w:val="00C2634D"/>
    <w:rsid w:val="00C2661E"/>
    <w:rsid w:val="00C26A95"/>
    <w:rsid w:val="00C303B6"/>
    <w:rsid w:val="00C3071F"/>
    <w:rsid w:val="00C311E4"/>
    <w:rsid w:val="00C31480"/>
    <w:rsid w:val="00C31742"/>
    <w:rsid w:val="00C32592"/>
    <w:rsid w:val="00C32972"/>
    <w:rsid w:val="00C33145"/>
    <w:rsid w:val="00C334E7"/>
    <w:rsid w:val="00C33E12"/>
    <w:rsid w:val="00C342F3"/>
    <w:rsid w:val="00C34405"/>
    <w:rsid w:val="00C34A3F"/>
    <w:rsid w:val="00C34D92"/>
    <w:rsid w:val="00C34FD7"/>
    <w:rsid w:val="00C355EC"/>
    <w:rsid w:val="00C36D88"/>
    <w:rsid w:val="00C41722"/>
    <w:rsid w:val="00C41BE0"/>
    <w:rsid w:val="00C41DAF"/>
    <w:rsid w:val="00C422BB"/>
    <w:rsid w:val="00C4341C"/>
    <w:rsid w:val="00C44866"/>
    <w:rsid w:val="00C45720"/>
    <w:rsid w:val="00C459BA"/>
    <w:rsid w:val="00C45DF4"/>
    <w:rsid w:val="00C4623B"/>
    <w:rsid w:val="00C462B5"/>
    <w:rsid w:val="00C46623"/>
    <w:rsid w:val="00C4785A"/>
    <w:rsid w:val="00C50060"/>
    <w:rsid w:val="00C50ABE"/>
    <w:rsid w:val="00C512E8"/>
    <w:rsid w:val="00C51ACF"/>
    <w:rsid w:val="00C5399C"/>
    <w:rsid w:val="00C5488D"/>
    <w:rsid w:val="00C548B4"/>
    <w:rsid w:val="00C55B42"/>
    <w:rsid w:val="00C56737"/>
    <w:rsid w:val="00C56782"/>
    <w:rsid w:val="00C570AF"/>
    <w:rsid w:val="00C572B2"/>
    <w:rsid w:val="00C575D3"/>
    <w:rsid w:val="00C57CF6"/>
    <w:rsid w:val="00C60009"/>
    <w:rsid w:val="00C60594"/>
    <w:rsid w:val="00C606EC"/>
    <w:rsid w:val="00C62160"/>
    <w:rsid w:val="00C62F74"/>
    <w:rsid w:val="00C63476"/>
    <w:rsid w:val="00C63493"/>
    <w:rsid w:val="00C6359B"/>
    <w:rsid w:val="00C638CF"/>
    <w:rsid w:val="00C63C0A"/>
    <w:rsid w:val="00C63D8F"/>
    <w:rsid w:val="00C64336"/>
    <w:rsid w:val="00C64EBC"/>
    <w:rsid w:val="00C65143"/>
    <w:rsid w:val="00C66664"/>
    <w:rsid w:val="00C71210"/>
    <w:rsid w:val="00C7160F"/>
    <w:rsid w:val="00C71E0C"/>
    <w:rsid w:val="00C727D7"/>
    <w:rsid w:val="00C729A4"/>
    <w:rsid w:val="00C72D50"/>
    <w:rsid w:val="00C72DAD"/>
    <w:rsid w:val="00C73B06"/>
    <w:rsid w:val="00C73EF0"/>
    <w:rsid w:val="00C74145"/>
    <w:rsid w:val="00C744FB"/>
    <w:rsid w:val="00C7457F"/>
    <w:rsid w:val="00C7520D"/>
    <w:rsid w:val="00C7523E"/>
    <w:rsid w:val="00C75DA1"/>
    <w:rsid w:val="00C76CC6"/>
    <w:rsid w:val="00C76E00"/>
    <w:rsid w:val="00C7707D"/>
    <w:rsid w:val="00C7730F"/>
    <w:rsid w:val="00C80BB2"/>
    <w:rsid w:val="00C8159B"/>
    <w:rsid w:val="00C82248"/>
    <w:rsid w:val="00C83EBD"/>
    <w:rsid w:val="00C83FDC"/>
    <w:rsid w:val="00C842A0"/>
    <w:rsid w:val="00C8465C"/>
    <w:rsid w:val="00C859BC"/>
    <w:rsid w:val="00C859C5"/>
    <w:rsid w:val="00C861A8"/>
    <w:rsid w:val="00C866E9"/>
    <w:rsid w:val="00C86A7D"/>
    <w:rsid w:val="00C86D62"/>
    <w:rsid w:val="00C86DC5"/>
    <w:rsid w:val="00C8797D"/>
    <w:rsid w:val="00C87D3E"/>
    <w:rsid w:val="00C905BE"/>
    <w:rsid w:val="00C90F00"/>
    <w:rsid w:val="00C912ED"/>
    <w:rsid w:val="00C9180C"/>
    <w:rsid w:val="00C926F6"/>
    <w:rsid w:val="00C92792"/>
    <w:rsid w:val="00C92A74"/>
    <w:rsid w:val="00C92F95"/>
    <w:rsid w:val="00C93313"/>
    <w:rsid w:val="00C9344E"/>
    <w:rsid w:val="00C941CD"/>
    <w:rsid w:val="00C94D65"/>
    <w:rsid w:val="00C95683"/>
    <w:rsid w:val="00C95900"/>
    <w:rsid w:val="00C95AA2"/>
    <w:rsid w:val="00C96720"/>
    <w:rsid w:val="00C96841"/>
    <w:rsid w:val="00C9702B"/>
    <w:rsid w:val="00CA003D"/>
    <w:rsid w:val="00CA0B92"/>
    <w:rsid w:val="00CA185B"/>
    <w:rsid w:val="00CA2605"/>
    <w:rsid w:val="00CA2B1A"/>
    <w:rsid w:val="00CA3238"/>
    <w:rsid w:val="00CA4A5A"/>
    <w:rsid w:val="00CA4E6D"/>
    <w:rsid w:val="00CA4E74"/>
    <w:rsid w:val="00CA520A"/>
    <w:rsid w:val="00CA55A5"/>
    <w:rsid w:val="00CA5ABA"/>
    <w:rsid w:val="00CA626D"/>
    <w:rsid w:val="00CA7823"/>
    <w:rsid w:val="00CA7CF0"/>
    <w:rsid w:val="00CA7FEA"/>
    <w:rsid w:val="00CB021D"/>
    <w:rsid w:val="00CB027F"/>
    <w:rsid w:val="00CB05A3"/>
    <w:rsid w:val="00CB1249"/>
    <w:rsid w:val="00CB1734"/>
    <w:rsid w:val="00CB1F99"/>
    <w:rsid w:val="00CB215E"/>
    <w:rsid w:val="00CB286E"/>
    <w:rsid w:val="00CB28C1"/>
    <w:rsid w:val="00CB3C42"/>
    <w:rsid w:val="00CB3EE4"/>
    <w:rsid w:val="00CB49D9"/>
    <w:rsid w:val="00CB544E"/>
    <w:rsid w:val="00CB5C45"/>
    <w:rsid w:val="00CB6D39"/>
    <w:rsid w:val="00CB6DCD"/>
    <w:rsid w:val="00CB710A"/>
    <w:rsid w:val="00CC00F9"/>
    <w:rsid w:val="00CC08BE"/>
    <w:rsid w:val="00CC12B4"/>
    <w:rsid w:val="00CC1A6C"/>
    <w:rsid w:val="00CC359A"/>
    <w:rsid w:val="00CC3606"/>
    <w:rsid w:val="00CC42D9"/>
    <w:rsid w:val="00CC443D"/>
    <w:rsid w:val="00CC445F"/>
    <w:rsid w:val="00CC569C"/>
    <w:rsid w:val="00CC636B"/>
    <w:rsid w:val="00CC6845"/>
    <w:rsid w:val="00CC6AD2"/>
    <w:rsid w:val="00CC7073"/>
    <w:rsid w:val="00CC723E"/>
    <w:rsid w:val="00CC732B"/>
    <w:rsid w:val="00CC736C"/>
    <w:rsid w:val="00CC7943"/>
    <w:rsid w:val="00CC7CD8"/>
    <w:rsid w:val="00CC7FB7"/>
    <w:rsid w:val="00CD0ECA"/>
    <w:rsid w:val="00CD114E"/>
    <w:rsid w:val="00CD1EBE"/>
    <w:rsid w:val="00CD2711"/>
    <w:rsid w:val="00CD3A45"/>
    <w:rsid w:val="00CD3DDB"/>
    <w:rsid w:val="00CD49CF"/>
    <w:rsid w:val="00CD4AC4"/>
    <w:rsid w:val="00CD4D20"/>
    <w:rsid w:val="00CD501D"/>
    <w:rsid w:val="00CD6123"/>
    <w:rsid w:val="00CD65EA"/>
    <w:rsid w:val="00CD6AA8"/>
    <w:rsid w:val="00CD6E3D"/>
    <w:rsid w:val="00CD710E"/>
    <w:rsid w:val="00CD72D3"/>
    <w:rsid w:val="00CD7770"/>
    <w:rsid w:val="00CD7795"/>
    <w:rsid w:val="00CE0D78"/>
    <w:rsid w:val="00CE2F6C"/>
    <w:rsid w:val="00CE44DC"/>
    <w:rsid w:val="00CE4602"/>
    <w:rsid w:val="00CE4B53"/>
    <w:rsid w:val="00CE5C09"/>
    <w:rsid w:val="00CE604E"/>
    <w:rsid w:val="00CE6488"/>
    <w:rsid w:val="00CF1A83"/>
    <w:rsid w:val="00CF3597"/>
    <w:rsid w:val="00CF3BAD"/>
    <w:rsid w:val="00CF4139"/>
    <w:rsid w:val="00CF49C5"/>
    <w:rsid w:val="00CF49DD"/>
    <w:rsid w:val="00CF4E5C"/>
    <w:rsid w:val="00CF5108"/>
    <w:rsid w:val="00CF5B28"/>
    <w:rsid w:val="00CF5B29"/>
    <w:rsid w:val="00CF67E7"/>
    <w:rsid w:val="00CF6C0F"/>
    <w:rsid w:val="00CF7AD9"/>
    <w:rsid w:val="00D0084C"/>
    <w:rsid w:val="00D01979"/>
    <w:rsid w:val="00D02853"/>
    <w:rsid w:val="00D037B4"/>
    <w:rsid w:val="00D0459D"/>
    <w:rsid w:val="00D04765"/>
    <w:rsid w:val="00D04771"/>
    <w:rsid w:val="00D04817"/>
    <w:rsid w:val="00D05112"/>
    <w:rsid w:val="00D0545A"/>
    <w:rsid w:val="00D06920"/>
    <w:rsid w:val="00D06AEB"/>
    <w:rsid w:val="00D06B03"/>
    <w:rsid w:val="00D06DB8"/>
    <w:rsid w:val="00D07A71"/>
    <w:rsid w:val="00D10399"/>
    <w:rsid w:val="00D10B47"/>
    <w:rsid w:val="00D10CDD"/>
    <w:rsid w:val="00D10F3B"/>
    <w:rsid w:val="00D1111C"/>
    <w:rsid w:val="00D11D6D"/>
    <w:rsid w:val="00D12721"/>
    <w:rsid w:val="00D12C0C"/>
    <w:rsid w:val="00D1350F"/>
    <w:rsid w:val="00D1368B"/>
    <w:rsid w:val="00D13B42"/>
    <w:rsid w:val="00D14402"/>
    <w:rsid w:val="00D1564D"/>
    <w:rsid w:val="00D158BC"/>
    <w:rsid w:val="00D15BC9"/>
    <w:rsid w:val="00D16333"/>
    <w:rsid w:val="00D16B15"/>
    <w:rsid w:val="00D20EAA"/>
    <w:rsid w:val="00D21057"/>
    <w:rsid w:val="00D2206F"/>
    <w:rsid w:val="00D2274A"/>
    <w:rsid w:val="00D22D80"/>
    <w:rsid w:val="00D248B7"/>
    <w:rsid w:val="00D24F7A"/>
    <w:rsid w:val="00D26ADE"/>
    <w:rsid w:val="00D272C8"/>
    <w:rsid w:val="00D273A3"/>
    <w:rsid w:val="00D2752F"/>
    <w:rsid w:val="00D308FA"/>
    <w:rsid w:val="00D31220"/>
    <w:rsid w:val="00D31F8A"/>
    <w:rsid w:val="00D32851"/>
    <w:rsid w:val="00D32F63"/>
    <w:rsid w:val="00D335BD"/>
    <w:rsid w:val="00D34536"/>
    <w:rsid w:val="00D34EB2"/>
    <w:rsid w:val="00D34F54"/>
    <w:rsid w:val="00D3571F"/>
    <w:rsid w:val="00D35E94"/>
    <w:rsid w:val="00D40E94"/>
    <w:rsid w:val="00D4198E"/>
    <w:rsid w:val="00D41E82"/>
    <w:rsid w:val="00D4246A"/>
    <w:rsid w:val="00D4347D"/>
    <w:rsid w:val="00D434A0"/>
    <w:rsid w:val="00D445E8"/>
    <w:rsid w:val="00D46BA5"/>
    <w:rsid w:val="00D47AC7"/>
    <w:rsid w:val="00D5069F"/>
    <w:rsid w:val="00D52B6E"/>
    <w:rsid w:val="00D531C7"/>
    <w:rsid w:val="00D542F4"/>
    <w:rsid w:val="00D5625D"/>
    <w:rsid w:val="00D56DD5"/>
    <w:rsid w:val="00D57187"/>
    <w:rsid w:val="00D57A55"/>
    <w:rsid w:val="00D60CF6"/>
    <w:rsid w:val="00D60F01"/>
    <w:rsid w:val="00D61D9A"/>
    <w:rsid w:val="00D62653"/>
    <w:rsid w:val="00D626C8"/>
    <w:rsid w:val="00D62A24"/>
    <w:rsid w:val="00D62CE3"/>
    <w:rsid w:val="00D64761"/>
    <w:rsid w:val="00D6500D"/>
    <w:rsid w:val="00D652ED"/>
    <w:rsid w:val="00D660CE"/>
    <w:rsid w:val="00D668FB"/>
    <w:rsid w:val="00D670CA"/>
    <w:rsid w:val="00D67590"/>
    <w:rsid w:val="00D709C7"/>
    <w:rsid w:val="00D709E5"/>
    <w:rsid w:val="00D717C1"/>
    <w:rsid w:val="00D71F41"/>
    <w:rsid w:val="00D72218"/>
    <w:rsid w:val="00D72EAF"/>
    <w:rsid w:val="00D7300B"/>
    <w:rsid w:val="00D749E1"/>
    <w:rsid w:val="00D74EB4"/>
    <w:rsid w:val="00D75167"/>
    <w:rsid w:val="00D75A2F"/>
    <w:rsid w:val="00D76C5D"/>
    <w:rsid w:val="00D77964"/>
    <w:rsid w:val="00D77E8A"/>
    <w:rsid w:val="00D80B2E"/>
    <w:rsid w:val="00D80B83"/>
    <w:rsid w:val="00D81039"/>
    <w:rsid w:val="00D81304"/>
    <w:rsid w:val="00D8208B"/>
    <w:rsid w:val="00D827AC"/>
    <w:rsid w:val="00D830E4"/>
    <w:rsid w:val="00D838D5"/>
    <w:rsid w:val="00D84449"/>
    <w:rsid w:val="00D8470B"/>
    <w:rsid w:val="00D8477B"/>
    <w:rsid w:val="00D85C83"/>
    <w:rsid w:val="00D87258"/>
    <w:rsid w:val="00D900B9"/>
    <w:rsid w:val="00D906FF"/>
    <w:rsid w:val="00D90798"/>
    <w:rsid w:val="00D90BD7"/>
    <w:rsid w:val="00D91542"/>
    <w:rsid w:val="00D91EAB"/>
    <w:rsid w:val="00D9223B"/>
    <w:rsid w:val="00D929C3"/>
    <w:rsid w:val="00D93668"/>
    <w:rsid w:val="00D945FB"/>
    <w:rsid w:val="00D94E54"/>
    <w:rsid w:val="00D95FB6"/>
    <w:rsid w:val="00D96A2B"/>
    <w:rsid w:val="00D96DE3"/>
    <w:rsid w:val="00DA1289"/>
    <w:rsid w:val="00DA20FD"/>
    <w:rsid w:val="00DA230E"/>
    <w:rsid w:val="00DA2985"/>
    <w:rsid w:val="00DA2F44"/>
    <w:rsid w:val="00DA38A7"/>
    <w:rsid w:val="00DA3902"/>
    <w:rsid w:val="00DA3AEC"/>
    <w:rsid w:val="00DA3CE8"/>
    <w:rsid w:val="00DA3D39"/>
    <w:rsid w:val="00DA4332"/>
    <w:rsid w:val="00DA46F1"/>
    <w:rsid w:val="00DA490D"/>
    <w:rsid w:val="00DA66AD"/>
    <w:rsid w:val="00DA735B"/>
    <w:rsid w:val="00DA79DB"/>
    <w:rsid w:val="00DB0D31"/>
    <w:rsid w:val="00DB0E6A"/>
    <w:rsid w:val="00DB14CA"/>
    <w:rsid w:val="00DB19DA"/>
    <w:rsid w:val="00DB1F11"/>
    <w:rsid w:val="00DB2A1A"/>
    <w:rsid w:val="00DB3439"/>
    <w:rsid w:val="00DB444E"/>
    <w:rsid w:val="00DB44AA"/>
    <w:rsid w:val="00DB4969"/>
    <w:rsid w:val="00DB4B0A"/>
    <w:rsid w:val="00DB5C22"/>
    <w:rsid w:val="00DB789A"/>
    <w:rsid w:val="00DC02CA"/>
    <w:rsid w:val="00DC142C"/>
    <w:rsid w:val="00DC17E1"/>
    <w:rsid w:val="00DC280E"/>
    <w:rsid w:val="00DC349C"/>
    <w:rsid w:val="00DC5EE0"/>
    <w:rsid w:val="00DC6ED2"/>
    <w:rsid w:val="00DC7171"/>
    <w:rsid w:val="00DC746D"/>
    <w:rsid w:val="00DC748F"/>
    <w:rsid w:val="00DC78D8"/>
    <w:rsid w:val="00DD0409"/>
    <w:rsid w:val="00DD0866"/>
    <w:rsid w:val="00DD0D11"/>
    <w:rsid w:val="00DD0FFF"/>
    <w:rsid w:val="00DD10A4"/>
    <w:rsid w:val="00DD14EB"/>
    <w:rsid w:val="00DD15C8"/>
    <w:rsid w:val="00DD1F6D"/>
    <w:rsid w:val="00DD2127"/>
    <w:rsid w:val="00DD361C"/>
    <w:rsid w:val="00DD4343"/>
    <w:rsid w:val="00DD4930"/>
    <w:rsid w:val="00DD495D"/>
    <w:rsid w:val="00DD57DE"/>
    <w:rsid w:val="00DD65F7"/>
    <w:rsid w:val="00DD6C34"/>
    <w:rsid w:val="00DD7E16"/>
    <w:rsid w:val="00DE0D58"/>
    <w:rsid w:val="00DE16D4"/>
    <w:rsid w:val="00DE1AEA"/>
    <w:rsid w:val="00DE352B"/>
    <w:rsid w:val="00DE3CCD"/>
    <w:rsid w:val="00DE448C"/>
    <w:rsid w:val="00DE4E0D"/>
    <w:rsid w:val="00DE550A"/>
    <w:rsid w:val="00DE5BDB"/>
    <w:rsid w:val="00DE6020"/>
    <w:rsid w:val="00DE690B"/>
    <w:rsid w:val="00DF0133"/>
    <w:rsid w:val="00DF06AA"/>
    <w:rsid w:val="00DF0CB9"/>
    <w:rsid w:val="00DF0ED6"/>
    <w:rsid w:val="00DF100B"/>
    <w:rsid w:val="00DF1205"/>
    <w:rsid w:val="00DF2159"/>
    <w:rsid w:val="00DF33C8"/>
    <w:rsid w:val="00DF3C5A"/>
    <w:rsid w:val="00DF4828"/>
    <w:rsid w:val="00DF48A3"/>
    <w:rsid w:val="00DF4FB0"/>
    <w:rsid w:val="00DF6390"/>
    <w:rsid w:val="00DF6747"/>
    <w:rsid w:val="00DF6AF7"/>
    <w:rsid w:val="00DF6D76"/>
    <w:rsid w:val="00DF7426"/>
    <w:rsid w:val="00DF77EB"/>
    <w:rsid w:val="00E017DB"/>
    <w:rsid w:val="00E025E2"/>
    <w:rsid w:val="00E03A7A"/>
    <w:rsid w:val="00E03F56"/>
    <w:rsid w:val="00E04437"/>
    <w:rsid w:val="00E04C75"/>
    <w:rsid w:val="00E04D72"/>
    <w:rsid w:val="00E05BF3"/>
    <w:rsid w:val="00E05DD5"/>
    <w:rsid w:val="00E06E07"/>
    <w:rsid w:val="00E07339"/>
    <w:rsid w:val="00E10593"/>
    <w:rsid w:val="00E12BA1"/>
    <w:rsid w:val="00E12C4C"/>
    <w:rsid w:val="00E132B8"/>
    <w:rsid w:val="00E13E2D"/>
    <w:rsid w:val="00E140C7"/>
    <w:rsid w:val="00E152AD"/>
    <w:rsid w:val="00E15486"/>
    <w:rsid w:val="00E158B5"/>
    <w:rsid w:val="00E15962"/>
    <w:rsid w:val="00E16220"/>
    <w:rsid w:val="00E165EF"/>
    <w:rsid w:val="00E16CA2"/>
    <w:rsid w:val="00E171DE"/>
    <w:rsid w:val="00E1743F"/>
    <w:rsid w:val="00E17602"/>
    <w:rsid w:val="00E1765C"/>
    <w:rsid w:val="00E17887"/>
    <w:rsid w:val="00E20105"/>
    <w:rsid w:val="00E207C0"/>
    <w:rsid w:val="00E2196C"/>
    <w:rsid w:val="00E21BDE"/>
    <w:rsid w:val="00E220A9"/>
    <w:rsid w:val="00E235E1"/>
    <w:rsid w:val="00E24374"/>
    <w:rsid w:val="00E259E8"/>
    <w:rsid w:val="00E25CEF"/>
    <w:rsid w:val="00E264C8"/>
    <w:rsid w:val="00E2706B"/>
    <w:rsid w:val="00E276F5"/>
    <w:rsid w:val="00E2777E"/>
    <w:rsid w:val="00E279C5"/>
    <w:rsid w:val="00E30BCE"/>
    <w:rsid w:val="00E30D3B"/>
    <w:rsid w:val="00E31376"/>
    <w:rsid w:val="00E31734"/>
    <w:rsid w:val="00E31FB1"/>
    <w:rsid w:val="00E323D4"/>
    <w:rsid w:val="00E328B6"/>
    <w:rsid w:val="00E3306D"/>
    <w:rsid w:val="00E34D87"/>
    <w:rsid w:val="00E35D88"/>
    <w:rsid w:val="00E36CD6"/>
    <w:rsid w:val="00E37190"/>
    <w:rsid w:val="00E3722A"/>
    <w:rsid w:val="00E37C0F"/>
    <w:rsid w:val="00E4013D"/>
    <w:rsid w:val="00E410D1"/>
    <w:rsid w:val="00E42242"/>
    <w:rsid w:val="00E427C6"/>
    <w:rsid w:val="00E4365B"/>
    <w:rsid w:val="00E43986"/>
    <w:rsid w:val="00E439C7"/>
    <w:rsid w:val="00E43B73"/>
    <w:rsid w:val="00E4534E"/>
    <w:rsid w:val="00E453C0"/>
    <w:rsid w:val="00E4556A"/>
    <w:rsid w:val="00E46B3B"/>
    <w:rsid w:val="00E47204"/>
    <w:rsid w:val="00E473E6"/>
    <w:rsid w:val="00E5089C"/>
    <w:rsid w:val="00E50E7C"/>
    <w:rsid w:val="00E510F0"/>
    <w:rsid w:val="00E51431"/>
    <w:rsid w:val="00E5144A"/>
    <w:rsid w:val="00E51D40"/>
    <w:rsid w:val="00E5211C"/>
    <w:rsid w:val="00E529D6"/>
    <w:rsid w:val="00E52B6B"/>
    <w:rsid w:val="00E536B9"/>
    <w:rsid w:val="00E53C40"/>
    <w:rsid w:val="00E54D5C"/>
    <w:rsid w:val="00E54F1A"/>
    <w:rsid w:val="00E55319"/>
    <w:rsid w:val="00E560F3"/>
    <w:rsid w:val="00E56188"/>
    <w:rsid w:val="00E56492"/>
    <w:rsid w:val="00E5670C"/>
    <w:rsid w:val="00E56A21"/>
    <w:rsid w:val="00E56FEB"/>
    <w:rsid w:val="00E57C72"/>
    <w:rsid w:val="00E60739"/>
    <w:rsid w:val="00E608DC"/>
    <w:rsid w:val="00E616F8"/>
    <w:rsid w:val="00E62177"/>
    <w:rsid w:val="00E62912"/>
    <w:rsid w:val="00E62A9C"/>
    <w:rsid w:val="00E63017"/>
    <w:rsid w:val="00E63452"/>
    <w:rsid w:val="00E640D0"/>
    <w:rsid w:val="00E6516F"/>
    <w:rsid w:val="00E65747"/>
    <w:rsid w:val="00E6663D"/>
    <w:rsid w:val="00E66660"/>
    <w:rsid w:val="00E66ACB"/>
    <w:rsid w:val="00E66DD4"/>
    <w:rsid w:val="00E677CC"/>
    <w:rsid w:val="00E67AA2"/>
    <w:rsid w:val="00E705E7"/>
    <w:rsid w:val="00E70D3A"/>
    <w:rsid w:val="00E71EAB"/>
    <w:rsid w:val="00E72222"/>
    <w:rsid w:val="00E724BA"/>
    <w:rsid w:val="00E72C60"/>
    <w:rsid w:val="00E72CF6"/>
    <w:rsid w:val="00E7343C"/>
    <w:rsid w:val="00E73649"/>
    <w:rsid w:val="00E74260"/>
    <w:rsid w:val="00E7427A"/>
    <w:rsid w:val="00E7450F"/>
    <w:rsid w:val="00E74570"/>
    <w:rsid w:val="00E748C2"/>
    <w:rsid w:val="00E74A2B"/>
    <w:rsid w:val="00E751EB"/>
    <w:rsid w:val="00E7600D"/>
    <w:rsid w:val="00E760FA"/>
    <w:rsid w:val="00E7711F"/>
    <w:rsid w:val="00E77823"/>
    <w:rsid w:val="00E82711"/>
    <w:rsid w:val="00E82766"/>
    <w:rsid w:val="00E82880"/>
    <w:rsid w:val="00E83C31"/>
    <w:rsid w:val="00E83C54"/>
    <w:rsid w:val="00E84425"/>
    <w:rsid w:val="00E858EB"/>
    <w:rsid w:val="00E86053"/>
    <w:rsid w:val="00E869A8"/>
    <w:rsid w:val="00E8794B"/>
    <w:rsid w:val="00E900A1"/>
    <w:rsid w:val="00E90826"/>
    <w:rsid w:val="00E90907"/>
    <w:rsid w:val="00E90C8D"/>
    <w:rsid w:val="00E92418"/>
    <w:rsid w:val="00E92CC2"/>
    <w:rsid w:val="00E92CC7"/>
    <w:rsid w:val="00E92EE7"/>
    <w:rsid w:val="00E93556"/>
    <w:rsid w:val="00E946A8"/>
    <w:rsid w:val="00E94B7E"/>
    <w:rsid w:val="00E95DF3"/>
    <w:rsid w:val="00E9696E"/>
    <w:rsid w:val="00E97078"/>
    <w:rsid w:val="00E973C1"/>
    <w:rsid w:val="00EA0280"/>
    <w:rsid w:val="00EA0380"/>
    <w:rsid w:val="00EA0467"/>
    <w:rsid w:val="00EA12BB"/>
    <w:rsid w:val="00EA1BE3"/>
    <w:rsid w:val="00EA20E0"/>
    <w:rsid w:val="00EA2F10"/>
    <w:rsid w:val="00EA3CAE"/>
    <w:rsid w:val="00EA4180"/>
    <w:rsid w:val="00EA48DB"/>
    <w:rsid w:val="00EA52CF"/>
    <w:rsid w:val="00EA5D73"/>
    <w:rsid w:val="00EA5FB4"/>
    <w:rsid w:val="00EA5FF2"/>
    <w:rsid w:val="00EA67CC"/>
    <w:rsid w:val="00EA7109"/>
    <w:rsid w:val="00EB09EA"/>
    <w:rsid w:val="00EB12C3"/>
    <w:rsid w:val="00EB1D28"/>
    <w:rsid w:val="00EB2438"/>
    <w:rsid w:val="00EB31DC"/>
    <w:rsid w:val="00EB34F7"/>
    <w:rsid w:val="00EB3BF0"/>
    <w:rsid w:val="00EB4816"/>
    <w:rsid w:val="00EB5621"/>
    <w:rsid w:val="00EB5A1B"/>
    <w:rsid w:val="00EB5DD1"/>
    <w:rsid w:val="00EB6040"/>
    <w:rsid w:val="00EB6162"/>
    <w:rsid w:val="00EB6309"/>
    <w:rsid w:val="00EB663F"/>
    <w:rsid w:val="00EB6FB8"/>
    <w:rsid w:val="00EB70F7"/>
    <w:rsid w:val="00EB78B7"/>
    <w:rsid w:val="00EC0E05"/>
    <w:rsid w:val="00EC1E68"/>
    <w:rsid w:val="00EC29EF"/>
    <w:rsid w:val="00EC3601"/>
    <w:rsid w:val="00EC4364"/>
    <w:rsid w:val="00EC478D"/>
    <w:rsid w:val="00EC5FED"/>
    <w:rsid w:val="00EC6A8E"/>
    <w:rsid w:val="00EC6D56"/>
    <w:rsid w:val="00EC6E7E"/>
    <w:rsid w:val="00ED0DC8"/>
    <w:rsid w:val="00ED13E5"/>
    <w:rsid w:val="00ED1ECF"/>
    <w:rsid w:val="00ED203D"/>
    <w:rsid w:val="00ED23A2"/>
    <w:rsid w:val="00ED2B2E"/>
    <w:rsid w:val="00ED3C62"/>
    <w:rsid w:val="00ED3DFA"/>
    <w:rsid w:val="00ED4337"/>
    <w:rsid w:val="00ED4F64"/>
    <w:rsid w:val="00ED5387"/>
    <w:rsid w:val="00EE0E9C"/>
    <w:rsid w:val="00EE0ED6"/>
    <w:rsid w:val="00EE171D"/>
    <w:rsid w:val="00EE17B0"/>
    <w:rsid w:val="00EE2911"/>
    <w:rsid w:val="00EE32A6"/>
    <w:rsid w:val="00EE391C"/>
    <w:rsid w:val="00EE4226"/>
    <w:rsid w:val="00EE4653"/>
    <w:rsid w:val="00EE4C91"/>
    <w:rsid w:val="00EE56A8"/>
    <w:rsid w:val="00EE56BF"/>
    <w:rsid w:val="00EE5B48"/>
    <w:rsid w:val="00EE5D67"/>
    <w:rsid w:val="00EF19B3"/>
    <w:rsid w:val="00EF1FDD"/>
    <w:rsid w:val="00EF22C6"/>
    <w:rsid w:val="00EF27DE"/>
    <w:rsid w:val="00EF397F"/>
    <w:rsid w:val="00EF5BD2"/>
    <w:rsid w:val="00EF7B39"/>
    <w:rsid w:val="00EF7E7D"/>
    <w:rsid w:val="00F009DA"/>
    <w:rsid w:val="00F01C14"/>
    <w:rsid w:val="00F03559"/>
    <w:rsid w:val="00F03C9D"/>
    <w:rsid w:val="00F047FE"/>
    <w:rsid w:val="00F04944"/>
    <w:rsid w:val="00F04AAF"/>
    <w:rsid w:val="00F06CB2"/>
    <w:rsid w:val="00F0735D"/>
    <w:rsid w:val="00F076A7"/>
    <w:rsid w:val="00F1045D"/>
    <w:rsid w:val="00F10713"/>
    <w:rsid w:val="00F11061"/>
    <w:rsid w:val="00F1109A"/>
    <w:rsid w:val="00F11827"/>
    <w:rsid w:val="00F11D6D"/>
    <w:rsid w:val="00F13686"/>
    <w:rsid w:val="00F13FE0"/>
    <w:rsid w:val="00F1493B"/>
    <w:rsid w:val="00F14A4B"/>
    <w:rsid w:val="00F158F4"/>
    <w:rsid w:val="00F15B8F"/>
    <w:rsid w:val="00F16264"/>
    <w:rsid w:val="00F207B3"/>
    <w:rsid w:val="00F20923"/>
    <w:rsid w:val="00F20F5F"/>
    <w:rsid w:val="00F21175"/>
    <w:rsid w:val="00F2146D"/>
    <w:rsid w:val="00F218C5"/>
    <w:rsid w:val="00F218DE"/>
    <w:rsid w:val="00F22448"/>
    <w:rsid w:val="00F22BB2"/>
    <w:rsid w:val="00F235A0"/>
    <w:rsid w:val="00F2372C"/>
    <w:rsid w:val="00F23F85"/>
    <w:rsid w:val="00F24300"/>
    <w:rsid w:val="00F24FEC"/>
    <w:rsid w:val="00F2617B"/>
    <w:rsid w:val="00F263BE"/>
    <w:rsid w:val="00F26598"/>
    <w:rsid w:val="00F26CE6"/>
    <w:rsid w:val="00F30710"/>
    <w:rsid w:val="00F30739"/>
    <w:rsid w:val="00F30E1F"/>
    <w:rsid w:val="00F310D7"/>
    <w:rsid w:val="00F312D7"/>
    <w:rsid w:val="00F32282"/>
    <w:rsid w:val="00F33999"/>
    <w:rsid w:val="00F34302"/>
    <w:rsid w:val="00F348C4"/>
    <w:rsid w:val="00F363FB"/>
    <w:rsid w:val="00F368E3"/>
    <w:rsid w:val="00F36EBA"/>
    <w:rsid w:val="00F370A3"/>
    <w:rsid w:val="00F37427"/>
    <w:rsid w:val="00F37500"/>
    <w:rsid w:val="00F40BEB"/>
    <w:rsid w:val="00F41310"/>
    <w:rsid w:val="00F41777"/>
    <w:rsid w:val="00F43DFC"/>
    <w:rsid w:val="00F45558"/>
    <w:rsid w:val="00F46388"/>
    <w:rsid w:val="00F46D1B"/>
    <w:rsid w:val="00F46DD9"/>
    <w:rsid w:val="00F4719D"/>
    <w:rsid w:val="00F47DB5"/>
    <w:rsid w:val="00F506A9"/>
    <w:rsid w:val="00F50A41"/>
    <w:rsid w:val="00F5266F"/>
    <w:rsid w:val="00F52921"/>
    <w:rsid w:val="00F52D58"/>
    <w:rsid w:val="00F52F77"/>
    <w:rsid w:val="00F54803"/>
    <w:rsid w:val="00F549FD"/>
    <w:rsid w:val="00F56ADB"/>
    <w:rsid w:val="00F5708C"/>
    <w:rsid w:val="00F60099"/>
    <w:rsid w:val="00F609A1"/>
    <w:rsid w:val="00F616C7"/>
    <w:rsid w:val="00F62047"/>
    <w:rsid w:val="00F63602"/>
    <w:rsid w:val="00F63DF8"/>
    <w:rsid w:val="00F63E77"/>
    <w:rsid w:val="00F659B6"/>
    <w:rsid w:val="00F664D1"/>
    <w:rsid w:val="00F706E5"/>
    <w:rsid w:val="00F70AD7"/>
    <w:rsid w:val="00F7178B"/>
    <w:rsid w:val="00F71970"/>
    <w:rsid w:val="00F72CFC"/>
    <w:rsid w:val="00F74350"/>
    <w:rsid w:val="00F743E2"/>
    <w:rsid w:val="00F7444A"/>
    <w:rsid w:val="00F74467"/>
    <w:rsid w:val="00F74E0B"/>
    <w:rsid w:val="00F76316"/>
    <w:rsid w:val="00F76FED"/>
    <w:rsid w:val="00F7715F"/>
    <w:rsid w:val="00F7737D"/>
    <w:rsid w:val="00F77416"/>
    <w:rsid w:val="00F812E1"/>
    <w:rsid w:val="00F8145A"/>
    <w:rsid w:val="00F822E0"/>
    <w:rsid w:val="00F82E73"/>
    <w:rsid w:val="00F830A1"/>
    <w:rsid w:val="00F83582"/>
    <w:rsid w:val="00F83A15"/>
    <w:rsid w:val="00F83C01"/>
    <w:rsid w:val="00F84765"/>
    <w:rsid w:val="00F847C7"/>
    <w:rsid w:val="00F85925"/>
    <w:rsid w:val="00F859B4"/>
    <w:rsid w:val="00F867B9"/>
    <w:rsid w:val="00F9016D"/>
    <w:rsid w:val="00F90877"/>
    <w:rsid w:val="00F909B4"/>
    <w:rsid w:val="00F911BF"/>
    <w:rsid w:val="00F93AA6"/>
    <w:rsid w:val="00F944E8"/>
    <w:rsid w:val="00F94DFF"/>
    <w:rsid w:val="00F97D6E"/>
    <w:rsid w:val="00FA17A3"/>
    <w:rsid w:val="00FA19FE"/>
    <w:rsid w:val="00FA273E"/>
    <w:rsid w:val="00FA2752"/>
    <w:rsid w:val="00FA2E6D"/>
    <w:rsid w:val="00FA3179"/>
    <w:rsid w:val="00FA3C7D"/>
    <w:rsid w:val="00FA3D89"/>
    <w:rsid w:val="00FA571C"/>
    <w:rsid w:val="00FA6272"/>
    <w:rsid w:val="00FA72BC"/>
    <w:rsid w:val="00FA72FF"/>
    <w:rsid w:val="00FB04CA"/>
    <w:rsid w:val="00FB0972"/>
    <w:rsid w:val="00FB1B4F"/>
    <w:rsid w:val="00FB20AD"/>
    <w:rsid w:val="00FB2120"/>
    <w:rsid w:val="00FB228D"/>
    <w:rsid w:val="00FB254A"/>
    <w:rsid w:val="00FB335E"/>
    <w:rsid w:val="00FB36D1"/>
    <w:rsid w:val="00FB386A"/>
    <w:rsid w:val="00FB38D4"/>
    <w:rsid w:val="00FB4123"/>
    <w:rsid w:val="00FB4391"/>
    <w:rsid w:val="00FB50DE"/>
    <w:rsid w:val="00FB52DC"/>
    <w:rsid w:val="00FB54FC"/>
    <w:rsid w:val="00FB59AA"/>
    <w:rsid w:val="00FB5D90"/>
    <w:rsid w:val="00FB5F94"/>
    <w:rsid w:val="00FB63AF"/>
    <w:rsid w:val="00FB6566"/>
    <w:rsid w:val="00FB6676"/>
    <w:rsid w:val="00FB6D0F"/>
    <w:rsid w:val="00FB740E"/>
    <w:rsid w:val="00FC1713"/>
    <w:rsid w:val="00FC378D"/>
    <w:rsid w:val="00FC3EB3"/>
    <w:rsid w:val="00FC4CFC"/>
    <w:rsid w:val="00FC53F2"/>
    <w:rsid w:val="00FC58B9"/>
    <w:rsid w:val="00FC5BD6"/>
    <w:rsid w:val="00FC634D"/>
    <w:rsid w:val="00FC6D41"/>
    <w:rsid w:val="00FC6DB5"/>
    <w:rsid w:val="00FC6F30"/>
    <w:rsid w:val="00FC7121"/>
    <w:rsid w:val="00FC7259"/>
    <w:rsid w:val="00FC7F66"/>
    <w:rsid w:val="00FD0178"/>
    <w:rsid w:val="00FD03C8"/>
    <w:rsid w:val="00FD0681"/>
    <w:rsid w:val="00FD1D64"/>
    <w:rsid w:val="00FD23CB"/>
    <w:rsid w:val="00FD249B"/>
    <w:rsid w:val="00FD32BD"/>
    <w:rsid w:val="00FD32E2"/>
    <w:rsid w:val="00FD3A10"/>
    <w:rsid w:val="00FD3A19"/>
    <w:rsid w:val="00FD45AD"/>
    <w:rsid w:val="00FD530A"/>
    <w:rsid w:val="00FD5F15"/>
    <w:rsid w:val="00FD64B8"/>
    <w:rsid w:val="00FD66E7"/>
    <w:rsid w:val="00FD683C"/>
    <w:rsid w:val="00FD7035"/>
    <w:rsid w:val="00FD7055"/>
    <w:rsid w:val="00FD716C"/>
    <w:rsid w:val="00FE03F8"/>
    <w:rsid w:val="00FE06B1"/>
    <w:rsid w:val="00FE0C18"/>
    <w:rsid w:val="00FE0DB3"/>
    <w:rsid w:val="00FE194D"/>
    <w:rsid w:val="00FE2780"/>
    <w:rsid w:val="00FE308B"/>
    <w:rsid w:val="00FE4F03"/>
    <w:rsid w:val="00FE511E"/>
    <w:rsid w:val="00FE5451"/>
    <w:rsid w:val="00FE5A09"/>
    <w:rsid w:val="00FE5EC1"/>
    <w:rsid w:val="00FE5FDE"/>
    <w:rsid w:val="00FE63D5"/>
    <w:rsid w:val="00FE7136"/>
    <w:rsid w:val="00FE7EC0"/>
    <w:rsid w:val="00FF0DDC"/>
    <w:rsid w:val="00FF28EC"/>
    <w:rsid w:val="00FF2A5F"/>
    <w:rsid w:val="00FF3657"/>
    <w:rsid w:val="00FF36FD"/>
    <w:rsid w:val="00FF3F45"/>
    <w:rsid w:val="00FF42A5"/>
    <w:rsid w:val="00FF4849"/>
    <w:rsid w:val="00FF4A7B"/>
    <w:rsid w:val="00FF554B"/>
    <w:rsid w:val="00FF5DE7"/>
    <w:rsid w:val="00FF621E"/>
    <w:rsid w:val="00FF6587"/>
    <w:rsid w:val="00FF7372"/>
    <w:rsid w:val="00FF753A"/>
    <w:rsid w:val="00FF7E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454ED5"/>
  <w15:chartTrackingRefBased/>
  <w15:docId w15:val="{2DC2BA5F-933B-4A81-91FB-9FC8B12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Appel note de bas de p,Footnote Reference1,Style 12,Style 124,Style 13,Style 3,Style 4,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ParaNumChar1">
    <w:name w:val="ParaNum Char1"/>
    <w:link w:val="ParaNum"/>
    <w:rsid w:val="00705305"/>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rsid w:val="000C3226"/>
  </w:style>
  <w:style w:type="paragraph" w:styleId="ListParagraph">
    <w:name w:val="List Paragraph"/>
    <w:basedOn w:val="Normal"/>
    <w:uiPriority w:val="34"/>
    <w:qFormat/>
    <w:rsid w:val="000C322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270869"/>
    <w:rPr>
      <w:sz w:val="16"/>
      <w:szCs w:val="16"/>
    </w:rPr>
  </w:style>
  <w:style w:type="paragraph" w:styleId="CommentText">
    <w:name w:val="annotation text"/>
    <w:basedOn w:val="Normal"/>
    <w:link w:val="CommentTextChar"/>
    <w:uiPriority w:val="99"/>
    <w:unhideWhenUsed/>
    <w:rsid w:val="00270869"/>
    <w:rPr>
      <w:sz w:val="20"/>
    </w:rPr>
  </w:style>
  <w:style w:type="character" w:customStyle="1" w:styleId="CommentTextChar">
    <w:name w:val="Comment Text Char"/>
    <w:basedOn w:val="DefaultParagraphFont"/>
    <w:link w:val="CommentText"/>
    <w:uiPriority w:val="99"/>
    <w:rsid w:val="00270869"/>
    <w:rPr>
      <w:snapToGrid w:val="0"/>
      <w:kern w:val="28"/>
    </w:rPr>
  </w:style>
  <w:style w:type="paragraph" w:styleId="CommentSubject">
    <w:name w:val="annotation subject"/>
    <w:basedOn w:val="CommentText"/>
    <w:next w:val="CommentText"/>
    <w:link w:val="CommentSubjectChar"/>
    <w:uiPriority w:val="99"/>
    <w:semiHidden/>
    <w:unhideWhenUsed/>
    <w:rsid w:val="00270869"/>
    <w:rPr>
      <w:b/>
      <w:bCs/>
    </w:rPr>
  </w:style>
  <w:style w:type="character" w:customStyle="1" w:styleId="CommentSubjectChar">
    <w:name w:val="Comment Subject Char"/>
    <w:basedOn w:val="CommentTextChar"/>
    <w:link w:val="CommentSubject"/>
    <w:uiPriority w:val="99"/>
    <w:semiHidden/>
    <w:rsid w:val="00270869"/>
    <w:rPr>
      <w:b/>
      <w:bCs/>
      <w:snapToGrid w:val="0"/>
      <w:kern w:val="28"/>
    </w:rPr>
  </w:style>
  <w:style w:type="character" w:styleId="FollowedHyperlink">
    <w:name w:val="FollowedHyperlink"/>
    <w:basedOn w:val="DefaultParagraphFont"/>
    <w:uiPriority w:val="99"/>
    <w:semiHidden/>
    <w:unhideWhenUsed/>
    <w:rsid w:val="00C31480"/>
    <w:rPr>
      <w:color w:val="954F72" w:themeColor="followedHyperlink"/>
      <w:u w:val="single"/>
    </w:rPr>
  </w:style>
  <w:style w:type="paragraph" w:styleId="Revision">
    <w:name w:val="Revision"/>
    <w:hidden/>
    <w:uiPriority w:val="99"/>
    <w:semiHidden/>
    <w:rsid w:val="00700048"/>
    <w:rPr>
      <w:snapToGrid w:val="0"/>
      <w:kern w:val="28"/>
      <w:sz w:val="22"/>
    </w:rPr>
  </w:style>
  <w:style w:type="paragraph" w:customStyle="1" w:styleId="indent-1">
    <w:name w:val="indent-1"/>
    <w:basedOn w:val="Normal"/>
    <w:rsid w:val="000420AC"/>
    <w:pPr>
      <w:widowControl/>
      <w:spacing w:before="100" w:beforeAutospacing="1" w:after="100" w:afterAutospacing="1"/>
    </w:pPr>
    <w:rPr>
      <w:snapToGrid/>
      <w:kern w:val="0"/>
      <w:sz w:val="24"/>
      <w:szCs w:val="24"/>
    </w:rPr>
  </w:style>
  <w:style w:type="paragraph" w:customStyle="1" w:styleId="indent-2">
    <w:name w:val="indent-2"/>
    <w:basedOn w:val="Normal"/>
    <w:rsid w:val="000420AC"/>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20AC"/>
  </w:style>
  <w:style w:type="character" w:customStyle="1" w:styleId="paren">
    <w:name w:val="paren"/>
    <w:basedOn w:val="DefaultParagraphFont"/>
    <w:rsid w:val="000420AC"/>
  </w:style>
  <w:style w:type="paragraph" w:styleId="NoSpacing">
    <w:name w:val="No Spacing"/>
    <w:uiPriority w:val="1"/>
    <w:qFormat/>
    <w:rsid w:val="00663C16"/>
    <w:rPr>
      <w:rFonts w:eastAsiaTheme="minorHAnsi" w:cstheme="minorBidi"/>
      <w:sz w:val="22"/>
      <w:szCs w:val="22"/>
    </w:rPr>
  </w:style>
  <w:style w:type="character" w:customStyle="1" w:styleId="Heading3Char">
    <w:name w:val="Heading 3 Char"/>
    <w:basedOn w:val="DefaultParagraphFont"/>
    <w:link w:val="Heading3"/>
    <w:rsid w:val="002933A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Oro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data/public-access-files-database-downloads" TargetMode="External" /><Relationship Id="rId10" Type="http://schemas.openxmlformats.org/officeDocument/2006/relationships/hyperlink" Target="https://en.wikipedia.org/wiki/Transport_Layer_Security" TargetMode="External" /><Relationship Id="rId11" Type="http://schemas.openxmlformats.org/officeDocument/2006/relationships/hyperlink" Target="https://apps.fcc.gov/kdb/GetAttachment.html?id=zXtrctoj6zH7oNEOO6De6g%3D%3D&amp;desc=594280%20D02%20U-NII%20Device%20Security%20v01r03&amp;tracking_number=39498" TargetMode="External" /><Relationship Id="rId12" Type="http://schemas.openxmlformats.org/officeDocument/2006/relationships/hyperlink" Target="https://osmbuildings.org/data/" TargetMode="External" /><Relationship Id="rId13" Type="http://schemas.openxmlformats.org/officeDocument/2006/relationships/hyperlink" Target="https://transition.fcc.gov/bureaus/oet/info/documents/bulletins/oet69/oet69.pdf" TargetMode="External" /><Relationship Id="rId14" Type="http://schemas.openxmlformats.org/officeDocument/2006/relationships/hyperlink" Target="https://winnf.memberclicks.net/assets/CBRS/WINNF-TS-0112.pdf" TargetMode="External" /><Relationship Id="rId15" Type="http://schemas.openxmlformats.org/officeDocument/2006/relationships/hyperlink" Target="https://www.sciencebase.gov/catalog/item/5825a0c3e4b01fad86db66dc" TargetMode="External" /><Relationship Id="rId16" Type="http://schemas.openxmlformats.org/officeDocument/2006/relationships/hyperlink" Target="https://catalog.data.gov/dataset/national-elevation-dataset-ned-alaska-2-arc-second-downloadable-data-collection-national-geosp" TargetMode="External" /><Relationship Id="rId17" Type="http://schemas.openxmlformats.org/officeDocument/2006/relationships/hyperlink" Target="https://viewer.nationalmap.gov/basic/" TargetMode="External" /><Relationship Id="rId18" Type="http://schemas.openxmlformats.org/officeDocument/2006/relationships/hyperlink" Target="https://www.itu.int/rec/R-REC-P.2108/en" TargetMode="External" /><Relationship Id="rId19" Type="http://schemas.openxmlformats.org/officeDocument/2006/relationships/hyperlink" Target="https://www.itu.int/dms_pubrec/itu-r/rec/p/R-REC-P.452-16-201507-I!!PDF-E.pdf" TargetMode="External" /><Relationship Id="rId2" Type="http://schemas.openxmlformats.org/officeDocument/2006/relationships/hyperlink" Target="https://www.wirelessinnovation.org/assets/work_products/Reports/winnf-tr-1008-v1.0.0%206%20ghz%20incumbent%20data%20technical%20report.pdf" TargetMode="External" /><Relationship Id="rId20" Type="http://schemas.openxmlformats.org/officeDocument/2006/relationships/hyperlink" Target="https://apps.fcc.gov/oetcf/kdb/forms/FTSSearchResultPage.cfm?switch=P&amp;id=229297" TargetMode="External" /><Relationship Id="rId21" Type="http://schemas.openxmlformats.org/officeDocument/2006/relationships/hyperlink" Target="https://apps.fcc.gov/oetcf/eas/reports/TestFirmSearch.cfm" TargetMode="External" /><Relationship Id="rId3" Type="http://schemas.openxmlformats.org/officeDocument/2006/relationships/hyperlink" Target="https://www.wi-fi.org/who-we-are" TargetMode="External" /><Relationship Id="rId4" Type="http://schemas.openxmlformats.org/officeDocument/2006/relationships/hyperlink" Target="https://www.wi-fi.org/news-events/newsroom/wi-fi-alliance-furthers-automated-frequency-coordination-specification-and" TargetMode="External" /><Relationship Id="rId5" Type="http://schemas.openxmlformats.org/officeDocument/2006/relationships/hyperlink" Target="https://www.wirelessinnovation.org/about_the_forum" TargetMode="External" /><Relationship Id="rId6" Type="http://schemas.openxmlformats.org/officeDocument/2006/relationships/hyperlink" Target="https://6ghz.wirelessinnovation.org/work-group-products" TargetMode="External" /><Relationship Id="rId7" Type="http://schemas.openxmlformats.org/officeDocument/2006/relationships/hyperlink" Target="https://apps.fcc.gov/kdb/GetAttachment.html?id=koP7QuHnAbqrT0URaUjRBw%3D%3D&amp;desc=974614%20D01%20Accredited%20Test%20Lab%20Roles%20and%20Resp%20v05r01&amp;tracking_number=44684" TargetMode="External" /><Relationship Id="rId8" Type="http://schemas.openxmlformats.org/officeDocument/2006/relationships/hyperlink" Target="https://tools.ietf.org/html/rfc5246" TargetMode="External" /><Relationship Id="rId9" Type="http://schemas.openxmlformats.org/officeDocument/2006/relationships/hyperlink" Target="https://tools.ietf.org/html/rfc8446"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