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P="002C54EA" w14:paraId="6814813F" w14:textId="77777777">
      <w:pPr>
        <w:keepNext/>
        <w:widowControl/>
        <w:jc w:val="center"/>
        <w:rPr>
          <w:b/>
        </w:rPr>
      </w:pPr>
      <w:r w:rsidRPr="0070224F">
        <w:rPr>
          <w:rFonts w:ascii="Times New Roman Bold" w:hAnsi="Times New Roman Bold"/>
          <w:b/>
          <w:kern w:val="0"/>
          <w:szCs w:val="22"/>
        </w:rPr>
        <w:t>Before</w:t>
      </w:r>
      <w:r>
        <w:rPr>
          <w:b/>
        </w:rPr>
        <w:t xml:space="preserve"> the</w:t>
      </w:r>
    </w:p>
    <w:p w:rsidR="00921803" w:rsidP="002C54EA" w14:paraId="75AF29F8" w14:textId="77777777">
      <w:pPr>
        <w:pStyle w:val="StyleBoldCentered"/>
        <w:keepNext/>
        <w:widowControl/>
      </w:pPr>
      <w:r>
        <w:t>F</w:t>
      </w:r>
      <w:r>
        <w:rPr>
          <w:caps w:val="0"/>
        </w:rPr>
        <w:t>ederal Communications Commission</w:t>
      </w:r>
    </w:p>
    <w:p w:rsidR="004C2EE3" w:rsidP="002C54EA" w14:paraId="5BEA185C" w14:textId="77777777">
      <w:pPr>
        <w:pStyle w:val="StyleBoldCentered"/>
        <w:keepNext/>
        <w:widowControl/>
      </w:pPr>
      <w:r>
        <w:rPr>
          <w:caps w:val="0"/>
        </w:rPr>
        <w:t>Washington, D.C. 20554</w:t>
      </w:r>
    </w:p>
    <w:p w:rsidR="004C2EE3" w:rsidP="002C54EA" w14:paraId="52E1B851" w14:textId="77777777">
      <w:pPr>
        <w:keepNext/>
        <w:widowControl/>
      </w:pPr>
    </w:p>
    <w:tbl>
      <w:tblPr>
        <w:tblW w:w="0" w:type="auto"/>
        <w:tblLayout w:type="fixed"/>
        <w:tblLook w:val="0000"/>
      </w:tblPr>
      <w:tblGrid>
        <w:gridCol w:w="4698"/>
        <w:gridCol w:w="630"/>
        <w:gridCol w:w="4248"/>
      </w:tblGrid>
      <w:tr w14:paraId="2DEAD779" w14:textId="77777777">
        <w:tblPrEx>
          <w:tblW w:w="0" w:type="auto"/>
          <w:tblLayout w:type="fixed"/>
          <w:tblLook w:val="0000"/>
        </w:tblPrEx>
        <w:tc>
          <w:tcPr>
            <w:tcW w:w="4698" w:type="dxa"/>
          </w:tcPr>
          <w:p w:rsidR="00CE2726" w:rsidP="002C54EA" w14:paraId="2B2563DE" w14:textId="013453B8">
            <w:pPr>
              <w:keepNext/>
              <w:widowControl/>
              <w:ind w:right="-18"/>
              <w:rPr>
                <w:szCs w:val="22"/>
              </w:rPr>
            </w:pPr>
            <w:r>
              <w:rPr>
                <w:szCs w:val="22"/>
              </w:rPr>
              <w:t xml:space="preserve">In re </w:t>
            </w:r>
            <w:r w:rsidR="00A32959">
              <w:rPr>
                <w:szCs w:val="22"/>
              </w:rPr>
              <w:t>Application</w:t>
            </w:r>
            <w:r>
              <w:rPr>
                <w:szCs w:val="22"/>
              </w:rPr>
              <w:t xml:space="preserve"> of  </w:t>
            </w:r>
          </w:p>
          <w:p w:rsidR="00CE2726" w:rsidP="002C54EA" w14:paraId="5475078D" w14:textId="77777777">
            <w:pPr>
              <w:keepNext/>
              <w:widowControl/>
              <w:ind w:right="-18"/>
              <w:rPr>
                <w:szCs w:val="22"/>
              </w:rPr>
            </w:pPr>
          </w:p>
          <w:p w:rsidR="00CE2726" w:rsidP="002C54EA" w14:paraId="28AF8623" w14:textId="32E1093B">
            <w:pPr>
              <w:keepNext/>
              <w:widowControl/>
              <w:ind w:right="-18"/>
              <w:rPr>
                <w:b/>
                <w:szCs w:val="22"/>
              </w:rPr>
            </w:pPr>
            <w:r>
              <w:rPr>
                <w:b/>
                <w:szCs w:val="22"/>
              </w:rPr>
              <w:t>SCARBOROUGHRADIO, LLC</w:t>
            </w:r>
          </w:p>
          <w:p w:rsidR="00CE2726" w:rsidP="002C54EA" w14:paraId="70B9C55A" w14:textId="77777777">
            <w:pPr>
              <w:keepNext/>
              <w:widowControl/>
              <w:ind w:right="-18"/>
              <w:rPr>
                <w:szCs w:val="22"/>
              </w:rPr>
            </w:pPr>
          </w:p>
          <w:p w:rsidR="00CE2726" w:rsidP="002C54EA" w14:paraId="4221E881" w14:textId="148A12CE">
            <w:pPr>
              <w:keepNext/>
              <w:widowControl/>
              <w:ind w:right="-18"/>
              <w:rPr>
                <w:szCs w:val="22"/>
              </w:rPr>
            </w:pPr>
            <w:r>
              <w:rPr>
                <w:szCs w:val="22"/>
              </w:rPr>
              <w:t>For Construction Permit for</w:t>
            </w:r>
          </w:p>
          <w:p w:rsidR="004C2EE3" w:rsidRPr="00CE2726" w:rsidP="002C54EA" w14:paraId="42458E0B" w14:textId="4C0BA4DE">
            <w:pPr>
              <w:keepNext/>
              <w:widowControl/>
              <w:ind w:right="-18"/>
              <w:rPr>
                <w:szCs w:val="22"/>
              </w:rPr>
            </w:pPr>
            <w:r>
              <w:rPr>
                <w:szCs w:val="22"/>
              </w:rPr>
              <w:t xml:space="preserve">New FM Station, </w:t>
            </w:r>
            <w:r w:rsidR="003857A4">
              <w:rPr>
                <w:szCs w:val="22"/>
              </w:rPr>
              <w:t>Hugo</w:t>
            </w:r>
            <w:r w:rsidR="002D1444">
              <w:rPr>
                <w:szCs w:val="22"/>
              </w:rPr>
              <w:t xml:space="preserve">, </w:t>
            </w:r>
            <w:r w:rsidR="003857A4">
              <w:rPr>
                <w:szCs w:val="22"/>
              </w:rPr>
              <w:t>Colorado</w:t>
            </w:r>
          </w:p>
        </w:tc>
        <w:tc>
          <w:tcPr>
            <w:tcW w:w="630" w:type="dxa"/>
          </w:tcPr>
          <w:p w:rsidR="004C2EE3" w:rsidP="002C54EA" w14:paraId="0167195C" w14:textId="77777777">
            <w:pPr>
              <w:keepNext/>
              <w:widowControl/>
              <w:tabs>
                <w:tab w:val="center" w:pos="4680"/>
              </w:tabs>
              <w:suppressAutoHyphens/>
              <w:rPr>
                <w:b/>
                <w:spacing w:val="-2"/>
              </w:rPr>
            </w:pPr>
            <w:r>
              <w:rPr>
                <w:b/>
                <w:spacing w:val="-2"/>
              </w:rPr>
              <w:t>)</w:t>
            </w:r>
          </w:p>
          <w:p w:rsidR="004C2EE3" w:rsidP="002C54EA" w14:paraId="6B449E55" w14:textId="77777777">
            <w:pPr>
              <w:keepNext/>
              <w:widowControl/>
              <w:tabs>
                <w:tab w:val="center" w:pos="4680"/>
              </w:tabs>
              <w:suppressAutoHyphens/>
              <w:rPr>
                <w:b/>
                <w:spacing w:val="-2"/>
              </w:rPr>
            </w:pPr>
            <w:r>
              <w:rPr>
                <w:b/>
                <w:spacing w:val="-2"/>
              </w:rPr>
              <w:t>)</w:t>
            </w:r>
          </w:p>
          <w:p w:rsidR="004C2EE3" w:rsidP="002C54EA" w14:paraId="427B20C3" w14:textId="77777777">
            <w:pPr>
              <w:keepNext/>
              <w:widowControl/>
              <w:tabs>
                <w:tab w:val="center" w:pos="4680"/>
              </w:tabs>
              <w:suppressAutoHyphens/>
              <w:rPr>
                <w:b/>
                <w:spacing w:val="-2"/>
              </w:rPr>
            </w:pPr>
            <w:r>
              <w:rPr>
                <w:b/>
                <w:spacing w:val="-2"/>
              </w:rPr>
              <w:t>)</w:t>
            </w:r>
          </w:p>
          <w:p w:rsidR="004C2EE3" w:rsidP="002C54EA" w14:paraId="08A49DDA" w14:textId="77777777">
            <w:pPr>
              <w:keepNext/>
              <w:widowControl/>
              <w:tabs>
                <w:tab w:val="center" w:pos="4680"/>
              </w:tabs>
              <w:suppressAutoHyphens/>
              <w:rPr>
                <w:b/>
                <w:spacing w:val="-2"/>
              </w:rPr>
            </w:pPr>
            <w:r>
              <w:rPr>
                <w:b/>
                <w:spacing w:val="-2"/>
              </w:rPr>
              <w:t>)</w:t>
            </w:r>
          </w:p>
          <w:p w:rsidR="004C2EE3" w:rsidP="002C54EA" w14:paraId="2E4872D6" w14:textId="77777777">
            <w:pPr>
              <w:keepNext/>
              <w:widowControl/>
              <w:tabs>
                <w:tab w:val="center" w:pos="4680"/>
              </w:tabs>
              <w:suppressAutoHyphens/>
              <w:rPr>
                <w:b/>
                <w:spacing w:val="-2"/>
              </w:rPr>
            </w:pPr>
            <w:r>
              <w:rPr>
                <w:b/>
                <w:spacing w:val="-2"/>
              </w:rPr>
              <w:t>)</w:t>
            </w:r>
          </w:p>
          <w:p w:rsidR="004C2EE3" w:rsidP="002C54EA" w14:paraId="2C6A4FE3" w14:textId="77777777">
            <w:pPr>
              <w:keepNext/>
              <w:widowControl/>
              <w:tabs>
                <w:tab w:val="center" w:pos="4680"/>
              </w:tabs>
              <w:suppressAutoHyphens/>
              <w:rPr>
                <w:b/>
                <w:spacing w:val="-2"/>
              </w:rPr>
            </w:pPr>
            <w:r>
              <w:rPr>
                <w:b/>
                <w:spacing w:val="-2"/>
              </w:rPr>
              <w:t>)</w:t>
            </w:r>
          </w:p>
          <w:p w:rsidR="004C2EE3" w:rsidP="002C54EA" w14:paraId="058790A2" w14:textId="77777777">
            <w:pPr>
              <w:keepNext/>
              <w:widowControl/>
              <w:tabs>
                <w:tab w:val="center" w:pos="4680"/>
              </w:tabs>
              <w:suppressAutoHyphens/>
              <w:rPr>
                <w:b/>
                <w:spacing w:val="-2"/>
              </w:rPr>
            </w:pPr>
            <w:r>
              <w:rPr>
                <w:b/>
                <w:spacing w:val="-2"/>
              </w:rPr>
              <w:t>)</w:t>
            </w:r>
          </w:p>
          <w:p w:rsidR="004C2EE3" w:rsidP="002C54EA" w14:paraId="3CC4502C" w14:textId="77777777">
            <w:pPr>
              <w:keepNext/>
              <w:widowControl/>
              <w:tabs>
                <w:tab w:val="center" w:pos="4680"/>
              </w:tabs>
              <w:suppressAutoHyphens/>
              <w:rPr>
                <w:b/>
                <w:spacing w:val="-2"/>
              </w:rPr>
            </w:pPr>
            <w:r>
              <w:rPr>
                <w:b/>
                <w:spacing w:val="-2"/>
              </w:rPr>
              <w:t>)</w:t>
            </w:r>
          </w:p>
          <w:p w:rsidR="004C2EE3" w:rsidP="002C54EA" w14:paraId="52448019" w14:textId="77777777">
            <w:pPr>
              <w:keepNext/>
              <w:widowControl/>
              <w:tabs>
                <w:tab w:val="center" w:pos="4680"/>
              </w:tabs>
              <w:suppressAutoHyphens/>
              <w:rPr>
                <w:spacing w:val="-2"/>
              </w:rPr>
            </w:pPr>
            <w:r>
              <w:rPr>
                <w:b/>
                <w:spacing w:val="-2"/>
              </w:rPr>
              <w:t>)</w:t>
            </w:r>
          </w:p>
        </w:tc>
        <w:tc>
          <w:tcPr>
            <w:tcW w:w="4248" w:type="dxa"/>
          </w:tcPr>
          <w:p w:rsidR="004C2EE3" w:rsidP="002C54EA" w14:paraId="28F3304D" w14:textId="77777777">
            <w:pPr>
              <w:keepNext/>
              <w:widowControl/>
              <w:tabs>
                <w:tab w:val="center" w:pos="4680"/>
              </w:tabs>
              <w:suppressAutoHyphens/>
              <w:rPr>
                <w:spacing w:val="-2"/>
              </w:rPr>
            </w:pPr>
          </w:p>
          <w:p w:rsidR="004C2EE3" w:rsidP="002C54EA" w14:paraId="1490BF0F" w14:textId="77777777">
            <w:pPr>
              <w:pStyle w:val="TOAHeading"/>
              <w:keepNext/>
              <w:widowControl/>
              <w:tabs>
                <w:tab w:val="center" w:pos="4680"/>
                <w:tab w:val="clear" w:pos="9360"/>
              </w:tabs>
              <w:rPr>
                <w:spacing w:val="-2"/>
              </w:rPr>
            </w:pPr>
          </w:p>
          <w:p w:rsidR="00CE2726" w:rsidP="002C54EA" w14:paraId="34FA1C2A" w14:textId="6A5041DB">
            <w:pPr>
              <w:keepNext/>
              <w:widowControl/>
              <w:rPr>
                <w:b/>
                <w:szCs w:val="22"/>
              </w:rPr>
            </w:pPr>
            <w:r>
              <w:rPr>
                <w:szCs w:val="22"/>
              </w:rPr>
              <w:t>Facility I.D. No</w:t>
            </w:r>
            <w:r>
              <w:rPr>
                <w:b/>
                <w:szCs w:val="22"/>
              </w:rPr>
              <w:t xml:space="preserve">.  </w:t>
            </w:r>
            <w:r>
              <w:rPr>
                <w:szCs w:val="22"/>
              </w:rPr>
              <w:t>762</w:t>
            </w:r>
            <w:r w:rsidR="003857A4">
              <w:rPr>
                <w:szCs w:val="22"/>
              </w:rPr>
              <w:t>662</w:t>
            </w:r>
          </w:p>
          <w:p w:rsidR="00CE2726" w:rsidP="002C54EA" w14:paraId="7A174495" w14:textId="027887E4">
            <w:pPr>
              <w:keepNext/>
              <w:widowControl/>
              <w:rPr>
                <w:rFonts w:ascii="Arial" w:hAnsi="Arial" w:cs="Arial"/>
                <w:color w:val="0000FF"/>
                <w:sz w:val="20"/>
              </w:rPr>
            </w:pPr>
            <w:r>
              <w:rPr>
                <w:szCs w:val="22"/>
              </w:rPr>
              <w:t>NAL/Acct. No. MB2021</w:t>
            </w:r>
            <w:r w:rsidR="00450021">
              <w:rPr>
                <w:szCs w:val="22"/>
              </w:rPr>
              <w:t>41410061</w:t>
            </w:r>
          </w:p>
          <w:p w:rsidR="00CE2726" w:rsidP="002C54EA" w14:paraId="69AEF359" w14:textId="13B99C97">
            <w:pPr>
              <w:keepNext/>
              <w:widowControl/>
              <w:rPr>
                <w:szCs w:val="22"/>
              </w:rPr>
            </w:pPr>
            <w:r>
              <w:rPr>
                <w:szCs w:val="22"/>
              </w:rPr>
              <w:t xml:space="preserve">FRN:  </w:t>
            </w:r>
            <w:r w:rsidR="003857A4">
              <w:t>0015773476</w:t>
            </w:r>
          </w:p>
          <w:p w:rsidR="004C2EE3" w:rsidP="002C54EA" w14:paraId="0FFE6810" w14:textId="5C663772">
            <w:pPr>
              <w:keepNext/>
              <w:widowControl/>
              <w:tabs>
                <w:tab w:val="center" w:pos="4680"/>
              </w:tabs>
              <w:suppressAutoHyphens/>
              <w:rPr>
                <w:spacing w:val="-2"/>
              </w:rPr>
            </w:pPr>
            <w:r>
              <w:rPr>
                <w:szCs w:val="22"/>
              </w:rPr>
              <w:t xml:space="preserve">File No. </w:t>
            </w:r>
            <w:r w:rsidR="003857A4">
              <w:t>0000161479</w:t>
            </w:r>
          </w:p>
        </w:tc>
      </w:tr>
    </w:tbl>
    <w:p w:rsidR="004C2EE3" w:rsidP="002C54EA" w14:paraId="25591680" w14:textId="77777777">
      <w:pPr>
        <w:keepNext/>
        <w:widowControl/>
      </w:pPr>
    </w:p>
    <w:p w:rsidR="00841AB1" w:rsidRPr="00CE2726" w:rsidP="002C54EA" w14:paraId="65C0E24C" w14:textId="4B21F8CA">
      <w:pPr>
        <w:keepNext/>
        <w:widowControl/>
        <w:jc w:val="center"/>
        <w:rPr>
          <w:b/>
          <w:szCs w:val="22"/>
        </w:rPr>
      </w:pPr>
      <w:r>
        <w:rPr>
          <w:b/>
          <w:szCs w:val="22"/>
        </w:rPr>
        <w:t>FORFEITURE ORDER</w:t>
      </w:r>
    </w:p>
    <w:p w:rsidR="004C2EE3" w:rsidP="002C54EA" w14:paraId="33B6677C" w14:textId="77777777">
      <w:pPr>
        <w:keepNext/>
        <w:widowControl/>
        <w:tabs>
          <w:tab w:val="left" w:pos="-720"/>
        </w:tabs>
        <w:suppressAutoHyphens/>
        <w:spacing w:line="227" w:lineRule="auto"/>
        <w:rPr>
          <w:spacing w:val="-2"/>
        </w:rPr>
      </w:pPr>
    </w:p>
    <w:p w:rsidR="004C2EE3" w:rsidP="002C54EA" w14:paraId="77ACCCC5" w14:textId="537EF321">
      <w:pPr>
        <w:keepNext/>
        <w:widowControl/>
        <w:tabs>
          <w:tab w:val="left" w:pos="720"/>
          <w:tab w:val="right" w:pos="9360"/>
        </w:tabs>
        <w:suppressAutoHyphens/>
        <w:spacing w:line="227" w:lineRule="auto"/>
        <w:rPr>
          <w:spacing w:val="-2"/>
        </w:rPr>
      </w:pPr>
      <w:r>
        <w:rPr>
          <w:b/>
          <w:spacing w:val="-2"/>
        </w:rPr>
        <w:t xml:space="preserve">Adopted:  </w:t>
      </w:r>
      <w:r w:rsidR="000F1F8C">
        <w:rPr>
          <w:b/>
          <w:spacing w:val="-2"/>
        </w:rPr>
        <w:t>February 7,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F1F8C">
        <w:rPr>
          <w:b/>
          <w:spacing w:val="-2"/>
        </w:rPr>
        <w:t>February 7, 2022</w:t>
      </w:r>
    </w:p>
    <w:p w:rsidR="00822CE0" w:rsidP="002C54EA" w14:paraId="3B38A1C5" w14:textId="77777777">
      <w:pPr>
        <w:keepNext/>
        <w:widowControl/>
      </w:pPr>
    </w:p>
    <w:p w:rsidR="004C2EE3" w:rsidP="002C54EA" w14:paraId="06A2D451" w14:textId="5117B434">
      <w:pPr>
        <w:keepNext/>
        <w:widowControl/>
        <w:rPr>
          <w:spacing w:val="-2"/>
        </w:rPr>
      </w:pPr>
      <w:r>
        <w:t xml:space="preserve">By </w:t>
      </w:r>
      <w:r w:rsidR="004E4A22">
        <w:t>the</w:t>
      </w:r>
      <w:r w:rsidR="002A2D2E">
        <w:t xml:space="preserve"> </w:t>
      </w:r>
      <w:r w:rsidR="00CE2726">
        <w:rPr>
          <w:spacing w:val="-2"/>
        </w:rPr>
        <w:t>Chief, Audio Division</w:t>
      </w:r>
      <w:r w:rsidR="000F1F8C">
        <w:rPr>
          <w:spacing w:val="-2"/>
        </w:rPr>
        <w:t>, Media Bureau</w:t>
      </w:r>
      <w:r>
        <w:rPr>
          <w:spacing w:val="-2"/>
        </w:rPr>
        <w:t>:</w:t>
      </w:r>
    </w:p>
    <w:p w:rsidR="00822CE0" w:rsidP="002C54EA" w14:paraId="2FB7E16C" w14:textId="77777777">
      <w:pPr>
        <w:keepNext/>
        <w:widowControl/>
        <w:rPr>
          <w:spacing w:val="-2"/>
        </w:rPr>
      </w:pPr>
    </w:p>
    <w:p w:rsidR="008670F8" w:rsidP="008670F8" w14:paraId="7A665A2E" w14:textId="77777777">
      <w:pPr>
        <w:pStyle w:val="Heading1"/>
      </w:pPr>
      <w:r>
        <w:t>INTRODUCTION</w:t>
      </w:r>
    </w:p>
    <w:p w:rsidR="008670F8" w:rsidP="008670F8" w14:paraId="439E7DF6" w14:textId="26BA3098">
      <w:pPr>
        <w:pStyle w:val="ParaNum"/>
        <w:widowControl/>
      </w:pPr>
      <w:r>
        <w:t xml:space="preserve">In this Forfeiture Order, the Media Bureau (Bureau) issues a monetary forfeiture to </w:t>
      </w:r>
      <w:r>
        <w:t>ScarboroughRadio</w:t>
      </w:r>
      <w:r>
        <w:t>, LLC (Scarborough) in the amount of one thousand dollars ($1,000) for willfully violating sections 73.3573(f)(5)(</w:t>
      </w:r>
      <w:r>
        <w:t>i</w:t>
      </w:r>
      <w:r>
        <w:t>) and 73.5005(a) of the Commission’s rules by failing to timely file its post-auction Form 2100, Schedule 301 long-form application (Application).</w:t>
      </w:r>
      <w:r>
        <w:rPr>
          <w:rStyle w:val="FootnoteReference"/>
          <w:szCs w:val="22"/>
        </w:rPr>
        <w:footnoteReference w:id="3"/>
      </w:r>
    </w:p>
    <w:p w:rsidR="008670F8" w:rsidP="008670F8" w14:paraId="32532BE5" w14:textId="77777777">
      <w:pPr>
        <w:pStyle w:val="Heading1"/>
        <w:widowControl/>
      </w:pPr>
      <w:r>
        <w:t>BACKGROUND</w:t>
      </w:r>
    </w:p>
    <w:p w:rsidR="008670F8" w:rsidRPr="00627CAD" w:rsidP="008670F8" w14:paraId="3BC7CEC0" w14:textId="6E0AE7EC">
      <w:pPr>
        <w:pStyle w:val="ParaNum"/>
        <w:widowControl/>
      </w:pPr>
      <w:r>
        <w:rPr>
          <w:szCs w:val="22"/>
        </w:rPr>
        <w:t>Scarborough</w:t>
      </w:r>
      <w:r>
        <w:rPr>
          <w:szCs w:val="22"/>
        </w:rPr>
        <w:t xml:space="preserve"> timely filed an FCC Form 175 application to participate in Auction </w:t>
      </w:r>
      <w:r>
        <w:rPr>
          <w:szCs w:val="22"/>
        </w:rPr>
        <w:t>109</w:t>
      </w:r>
      <w:r>
        <w:rPr>
          <w:szCs w:val="22"/>
        </w:rPr>
        <w:t>, and was found to be a qualified bidder.</w:t>
      </w:r>
      <w:r>
        <w:rPr>
          <w:rStyle w:val="FootnoteReference"/>
          <w:szCs w:val="22"/>
        </w:rPr>
        <w:footnoteReference w:id="4"/>
      </w:r>
      <w:r>
        <w:rPr>
          <w:szCs w:val="22"/>
        </w:rPr>
        <w:t xml:space="preserve">  </w:t>
      </w:r>
      <w:r w:rsidR="00CD3A69">
        <w:t>By an August 12, 2021, Public Notice, the Bureau</w:t>
      </w:r>
      <w:r w:rsidR="00F133EF">
        <w:t>, in conjunction with the Office of Economics and Analytics,</w:t>
      </w:r>
      <w:r w:rsidR="00CD3A69">
        <w:t xml:space="preserve"> announced that Scarborough was the winning bidder in Auction 109 for the FM construction permit at Hugo, Colorado.</w:t>
      </w:r>
      <w:r>
        <w:rPr>
          <w:rStyle w:val="FootnoteReference"/>
          <w:szCs w:val="22"/>
        </w:rPr>
        <w:footnoteReference w:id="5"/>
      </w:r>
      <w:r w:rsidR="00CD3A69">
        <w:t xml:space="preserve">  Winning bidders were </w:t>
      </w:r>
      <w:r w:rsidR="00F133EF">
        <w:t xml:space="preserve">required </w:t>
      </w:r>
      <w:r w:rsidR="00CD3A69">
        <w:t>to file a post-auction FCC Form 2100, Schedule 301 long-form application by September 13, 2021.  Scarborough failed to submit a post-auction Form 2100, Schedule 301 application</w:t>
      </w:r>
      <w:r w:rsidR="00F133EF">
        <w:t xml:space="preserve"> by this deadline</w:t>
      </w:r>
      <w:r w:rsidR="00CD3A69">
        <w:t>.  It</w:t>
      </w:r>
      <w:r w:rsidR="00F133EF">
        <w:t xml:space="preserve"> submitted its</w:t>
      </w:r>
      <w:r w:rsidR="00CD3A69">
        <w:t xml:space="preserve"> Form 2100, Schedule 301 application (Application) on September 30, 2021.</w:t>
      </w:r>
      <w:r>
        <w:rPr>
          <w:rStyle w:val="FootnoteReference"/>
        </w:rPr>
        <w:footnoteReference w:id="6"/>
      </w:r>
      <w:r w:rsidR="00CD3A69">
        <w:t xml:space="preserve">  Scarborough did not request a waiver of sections 73.3573(f)(5)(</w:t>
      </w:r>
      <w:r w:rsidR="00CD3A69">
        <w:t>i</w:t>
      </w:r>
      <w:r w:rsidR="00CD3A69">
        <w:t xml:space="preserve">) and 73.5005(a) of the rules, or of the </w:t>
      </w:r>
      <w:r w:rsidR="00CD3A69">
        <w:rPr>
          <w:i/>
        </w:rPr>
        <w:t>Auction 109 Closing Public Notice</w:t>
      </w:r>
      <w:r w:rsidR="00CD3A69">
        <w:t>.</w:t>
      </w:r>
      <w:r>
        <w:rPr>
          <w:rStyle w:val="FootnoteReference"/>
          <w:szCs w:val="22"/>
        </w:rPr>
        <w:footnoteReference w:id="7"/>
      </w:r>
    </w:p>
    <w:p w:rsidR="008670F8" w:rsidRPr="00627CAD" w:rsidP="008670F8" w14:paraId="7B537E6D" w14:textId="0655F2C1">
      <w:pPr>
        <w:pStyle w:val="ParaNum"/>
        <w:widowControl/>
      </w:pPr>
      <w:r>
        <w:t xml:space="preserve">The </w:t>
      </w:r>
      <w:r>
        <w:rPr>
          <w:i/>
        </w:rPr>
        <w:t>Auction 109 Closing Public Notice</w:t>
      </w:r>
      <w:r>
        <w:t xml:space="preserve"> cautioned that “[a] </w:t>
      </w:r>
      <w:r w:rsidRPr="009D2C5A">
        <w:t xml:space="preserve">winning bidder that fails to submit the required long-form application before the specified </w:t>
      </w:r>
      <w:r w:rsidRPr="009D2C5A">
        <w:rPr>
          <w:rStyle w:val="highlight"/>
          <w:szCs w:val="22"/>
        </w:rPr>
        <w:t>deadline</w:t>
      </w:r>
      <w:r w:rsidRPr="009D2C5A">
        <w:t xml:space="preserve">, and fails to establish good cause </w:t>
      </w:r>
      <w:r w:rsidRPr="009D2C5A">
        <w:t>for any late-filed submission, shall be deemed to have defaulted and shall be subject to the payments set forth in section 1.2104(g) of the Commission’s rules.</w:t>
      </w:r>
      <w:r>
        <w:t>”</w:t>
      </w:r>
      <w:r>
        <w:rPr>
          <w:rStyle w:val="FootnoteReference"/>
          <w:szCs w:val="22"/>
        </w:rPr>
        <w:footnoteReference w:id="8"/>
      </w:r>
      <w:r>
        <w:t xml:space="preserve">  </w:t>
      </w:r>
      <w:r>
        <w:rPr>
          <w:szCs w:val="22"/>
        </w:rPr>
        <w:t>An applicant establishes good cause if minor, inadvertent, post-auction delinquencies neither disrupted the auction process, nor undermined the Commission’s policy of facilitating rapid implementation of service to the public.</w:t>
      </w:r>
      <w:r>
        <w:rPr>
          <w:rStyle w:val="FootnoteReference"/>
          <w:szCs w:val="22"/>
        </w:rPr>
        <w:footnoteReference w:id="9"/>
      </w:r>
      <w:r>
        <w:rPr>
          <w:szCs w:val="22"/>
        </w:rPr>
        <w:t xml:space="preserve">  </w:t>
      </w:r>
      <w:r w:rsidR="00F133EF">
        <w:rPr>
          <w:szCs w:val="22"/>
        </w:rPr>
        <w:t>On Dec</w:t>
      </w:r>
      <w:r w:rsidR="00CF47A3">
        <w:rPr>
          <w:szCs w:val="22"/>
        </w:rPr>
        <w:t>ember</w:t>
      </w:r>
      <w:r w:rsidR="00F133EF">
        <w:rPr>
          <w:szCs w:val="22"/>
        </w:rPr>
        <w:t xml:space="preserve"> 2, 2021, the Bureau issued to Scarborough a Notice of Apparent Liability proposing a forfeiture of $3,000 for its failure to submit a timely long-form application.</w:t>
      </w:r>
      <w:r>
        <w:rPr>
          <w:rStyle w:val="FootnoteReference"/>
          <w:szCs w:val="22"/>
        </w:rPr>
        <w:footnoteReference w:id="10"/>
      </w:r>
      <w:r w:rsidR="00F133EF">
        <w:rPr>
          <w:szCs w:val="22"/>
        </w:rPr>
        <w:t xml:space="preserve">  </w:t>
      </w:r>
      <w:r>
        <w:rPr>
          <w:szCs w:val="22"/>
        </w:rPr>
        <w:t xml:space="preserve">In the </w:t>
      </w:r>
      <w:r>
        <w:rPr>
          <w:i/>
          <w:szCs w:val="22"/>
        </w:rPr>
        <w:t>NAL</w:t>
      </w:r>
      <w:r>
        <w:rPr>
          <w:szCs w:val="22"/>
        </w:rPr>
        <w:t xml:space="preserve">, the Bureau </w:t>
      </w:r>
      <w:r w:rsidR="00451535">
        <w:rPr>
          <w:szCs w:val="22"/>
        </w:rPr>
        <w:t>on its own motion waived</w:t>
      </w:r>
      <w:r>
        <w:rPr>
          <w:szCs w:val="22"/>
        </w:rPr>
        <w:t xml:space="preserve"> the filing deadline.</w:t>
      </w:r>
      <w:r>
        <w:rPr>
          <w:rStyle w:val="FootnoteReference"/>
          <w:szCs w:val="22"/>
        </w:rPr>
        <w:footnoteReference w:id="11"/>
      </w:r>
      <w:r>
        <w:rPr>
          <w:szCs w:val="22"/>
        </w:rPr>
        <w:t xml:space="preserve">  The Bureau found good cause because:  (1) </w:t>
      </w:r>
      <w:r w:rsidR="00451535">
        <w:rPr>
          <w:szCs w:val="22"/>
        </w:rPr>
        <w:t>Scarborough</w:t>
      </w:r>
      <w:r>
        <w:rPr>
          <w:szCs w:val="22"/>
        </w:rPr>
        <w:t xml:space="preserve"> had previously complied with all Auction </w:t>
      </w:r>
      <w:r w:rsidR="00451535">
        <w:rPr>
          <w:szCs w:val="22"/>
        </w:rPr>
        <w:t>109</w:t>
      </w:r>
      <w:r>
        <w:rPr>
          <w:szCs w:val="22"/>
        </w:rPr>
        <w:t xml:space="preserve"> filing and payment obligations and was initially found to be a qualified bidder; (2) there was no indication of bad faith; (3) </w:t>
      </w:r>
      <w:r w:rsidR="00451535">
        <w:rPr>
          <w:szCs w:val="22"/>
        </w:rPr>
        <w:t>Scarborough’s</w:t>
      </w:r>
      <w:r>
        <w:rPr>
          <w:szCs w:val="22"/>
        </w:rPr>
        <w:t xml:space="preserve"> untimely filing of the Application was only a minor violation, and accepting the application would not undermine the Commission’s auction policies; and (4) it would be in the public interest to allow </w:t>
      </w:r>
      <w:r w:rsidR="00451535">
        <w:rPr>
          <w:szCs w:val="22"/>
        </w:rPr>
        <w:t>Scarborough</w:t>
      </w:r>
      <w:r>
        <w:rPr>
          <w:szCs w:val="22"/>
        </w:rPr>
        <w:t xml:space="preserve"> to retain </w:t>
      </w:r>
      <w:r w:rsidR="00451535">
        <w:rPr>
          <w:szCs w:val="22"/>
        </w:rPr>
        <w:t>its</w:t>
      </w:r>
      <w:r>
        <w:rPr>
          <w:szCs w:val="22"/>
        </w:rPr>
        <w:t xml:space="preserve"> FM construction permit and to proceed with the implementation of a new radio service at </w:t>
      </w:r>
      <w:r w:rsidR="00451535">
        <w:rPr>
          <w:szCs w:val="22"/>
        </w:rPr>
        <w:t>Hugo, Colorado</w:t>
      </w:r>
      <w:r>
        <w:rPr>
          <w:szCs w:val="22"/>
        </w:rPr>
        <w:t>.</w:t>
      </w:r>
      <w:r>
        <w:rPr>
          <w:rStyle w:val="FootnoteReference"/>
          <w:szCs w:val="22"/>
        </w:rPr>
        <w:footnoteReference w:id="12"/>
      </w:r>
      <w:r>
        <w:rPr>
          <w:szCs w:val="22"/>
        </w:rPr>
        <w:t xml:space="preserve">  The waiver allowed </w:t>
      </w:r>
      <w:r w:rsidR="00CE5ECF">
        <w:rPr>
          <w:szCs w:val="22"/>
        </w:rPr>
        <w:t>Scarborough’s</w:t>
      </w:r>
      <w:r>
        <w:rPr>
          <w:szCs w:val="22"/>
        </w:rPr>
        <w:t xml:space="preserve"> late Application to be accepted for filing and relieved </w:t>
      </w:r>
      <w:r w:rsidR="00CE5ECF">
        <w:rPr>
          <w:szCs w:val="22"/>
        </w:rPr>
        <w:t>it</w:t>
      </w:r>
      <w:r>
        <w:rPr>
          <w:szCs w:val="22"/>
        </w:rPr>
        <w:t xml:space="preserve"> from the default payment obligation specified in the Rules.</w:t>
      </w:r>
      <w:r>
        <w:rPr>
          <w:rStyle w:val="FootnoteReference"/>
          <w:szCs w:val="22"/>
        </w:rPr>
        <w:footnoteReference w:id="13"/>
      </w:r>
    </w:p>
    <w:p w:rsidR="008670F8" w:rsidRPr="00627CAD" w:rsidP="008670F8" w14:paraId="4D262444" w14:textId="3217F664">
      <w:pPr>
        <w:pStyle w:val="ParaNum"/>
        <w:widowControl/>
      </w:pPr>
      <w:r>
        <w:rPr>
          <w:szCs w:val="22"/>
        </w:rPr>
        <w:t xml:space="preserve">Despite granting </w:t>
      </w:r>
      <w:r w:rsidR="0047030E">
        <w:rPr>
          <w:szCs w:val="22"/>
        </w:rPr>
        <w:t>Scarborough a waiver of the long-form filing deadline</w:t>
      </w:r>
      <w:r>
        <w:rPr>
          <w:szCs w:val="22"/>
        </w:rPr>
        <w:t xml:space="preserve">, the Bureau nonetheless held that </w:t>
      </w:r>
      <w:r w:rsidR="0047030E">
        <w:rPr>
          <w:szCs w:val="22"/>
        </w:rPr>
        <w:t>Scarborough</w:t>
      </w:r>
      <w:r>
        <w:rPr>
          <w:szCs w:val="22"/>
        </w:rPr>
        <w:t xml:space="preserve"> violated </w:t>
      </w:r>
      <w:r w:rsidR="0047030E">
        <w:rPr>
          <w:szCs w:val="22"/>
        </w:rPr>
        <w:t>s</w:t>
      </w:r>
      <w:r>
        <w:rPr>
          <w:szCs w:val="22"/>
        </w:rPr>
        <w:t>ections 73.3573(f)(5)(</w:t>
      </w:r>
      <w:r>
        <w:rPr>
          <w:szCs w:val="22"/>
        </w:rPr>
        <w:t>i</w:t>
      </w:r>
      <w:r>
        <w:rPr>
          <w:szCs w:val="22"/>
        </w:rPr>
        <w:t>) and 73.5005(a) of the rules, which require winning bidders who have met their down payment obligations to file the appropriate long-form application within thirty (30) days following the closing of bidding and notification of the winners, for each construction permit won.</w:t>
      </w:r>
      <w:r>
        <w:rPr>
          <w:rStyle w:val="FootnoteReference"/>
          <w:szCs w:val="22"/>
        </w:rPr>
        <w:footnoteReference w:id="14"/>
      </w:r>
      <w:r>
        <w:rPr>
          <w:szCs w:val="22"/>
        </w:rPr>
        <w:t xml:space="preserve">  In accordance with the Commission’s </w:t>
      </w:r>
      <w:r>
        <w:rPr>
          <w:i/>
          <w:szCs w:val="22"/>
        </w:rPr>
        <w:t>Forfeiture Policy Statement</w:t>
      </w:r>
      <w:r>
        <w:rPr>
          <w:szCs w:val="22"/>
        </w:rPr>
        <w:t>,</w:t>
      </w:r>
      <w:r>
        <w:rPr>
          <w:i/>
          <w:szCs w:val="22"/>
        </w:rPr>
        <w:t xml:space="preserve"> </w:t>
      </w:r>
      <w:r w:rsidR="000110B0">
        <w:rPr>
          <w:szCs w:val="22"/>
        </w:rPr>
        <w:t>s</w:t>
      </w:r>
      <w:r>
        <w:rPr>
          <w:szCs w:val="22"/>
        </w:rPr>
        <w:t xml:space="preserve">ection 503(b)(2)(E) of the Communications Act of 1934 (Act), and </w:t>
      </w:r>
      <w:r w:rsidR="000110B0">
        <w:rPr>
          <w:szCs w:val="22"/>
        </w:rPr>
        <w:t>s</w:t>
      </w:r>
      <w:r>
        <w:rPr>
          <w:szCs w:val="22"/>
        </w:rPr>
        <w:t>ection 1.80(b)(6) of the rules,</w:t>
      </w:r>
      <w:r>
        <w:rPr>
          <w:i/>
          <w:szCs w:val="22"/>
        </w:rPr>
        <w:t xml:space="preserve"> </w:t>
      </w:r>
      <w:r>
        <w:rPr>
          <w:szCs w:val="22"/>
        </w:rPr>
        <w:t xml:space="preserve">the Bureau proposed the full statutory base amount of $3,000 for </w:t>
      </w:r>
      <w:r w:rsidR="000110B0">
        <w:rPr>
          <w:szCs w:val="22"/>
        </w:rPr>
        <w:t>Scarborough’s</w:t>
      </w:r>
      <w:r>
        <w:rPr>
          <w:szCs w:val="22"/>
        </w:rPr>
        <w:t xml:space="preserve"> violations.</w:t>
      </w:r>
      <w:r>
        <w:rPr>
          <w:rStyle w:val="FootnoteReference"/>
          <w:szCs w:val="22"/>
        </w:rPr>
        <w:footnoteReference w:id="15"/>
      </w:r>
      <w:r>
        <w:rPr>
          <w:szCs w:val="22"/>
        </w:rPr>
        <w:t xml:space="preserve">  The Bureau stated that it would not depart from this amount because </w:t>
      </w:r>
      <w:r w:rsidR="000110B0">
        <w:rPr>
          <w:color w:val="000000"/>
          <w:szCs w:val="22"/>
        </w:rPr>
        <w:t>Scarborough</w:t>
      </w:r>
      <w:r>
        <w:rPr>
          <w:color w:val="000000"/>
          <w:szCs w:val="22"/>
        </w:rPr>
        <w:t xml:space="preserve"> </w:t>
      </w:r>
      <w:r>
        <w:rPr>
          <w:szCs w:val="22"/>
        </w:rPr>
        <w:t xml:space="preserve">was on notice that </w:t>
      </w:r>
      <w:r w:rsidR="000110B0">
        <w:rPr>
          <w:szCs w:val="22"/>
        </w:rPr>
        <w:t>it</w:t>
      </w:r>
      <w:r>
        <w:rPr>
          <w:szCs w:val="22"/>
        </w:rPr>
        <w:t xml:space="preserve"> was responsible for timely submitting </w:t>
      </w:r>
      <w:r w:rsidR="000110B0">
        <w:rPr>
          <w:szCs w:val="22"/>
        </w:rPr>
        <w:t>its</w:t>
      </w:r>
      <w:r>
        <w:rPr>
          <w:szCs w:val="22"/>
        </w:rPr>
        <w:t xml:space="preserve"> Application</w:t>
      </w:r>
      <w:r>
        <w:rPr>
          <w:color w:val="000000"/>
          <w:szCs w:val="22"/>
        </w:rPr>
        <w:t xml:space="preserve">, but </w:t>
      </w:r>
      <w:r w:rsidR="009F7655">
        <w:rPr>
          <w:color w:val="000000"/>
          <w:szCs w:val="22"/>
        </w:rPr>
        <w:t>it</w:t>
      </w:r>
      <w:r>
        <w:rPr>
          <w:color w:val="000000"/>
          <w:szCs w:val="22"/>
        </w:rPr>
        <w:t xml:space="preserve"> failed to do so.</w:t>
      </w:r>
      <w:r>
        <w:rPr>
          <w:rStyle w:val="FootnoteReference"/>
          <w:color w:val="000000"/>
          <w:szCs w:val="22"/>
        </w:rPr>
        <w:footnoteReference w:id="16"/>
      </w:r>
    </w:p>
    <w:p w:rsidR="008670F8" w:rsidRPr="00627CAD" w:rsidP="008670F8" w14:paraId="4B4A2A88" w14:textId="16930505">
      <w:pPr>
        <w:pStyle w:val="ParaNum"/>
        <w:widowControl/>
      </w:pPr>
      <w:r>
        <w:rPr>
          <w:szCs w:val="22"/>
        </w:rPr>
        <w:t xml:space="preserve">On </w:t>
      </w:r>
      <w:r w:rsidR="002E0B32">
        <w:rPr>
          <w:szCs w:val="22"/>
        </w:rPr>
        <w:t>December 7, 2021</w:t>
      </w:r>
      <w:r>
        <w:rPr>
          <w:szCs w:val="22"/>
        </w:rPr>
        <w:t xml:space="preserve">, </w:t>
      </w:r>
      <w:r w:rsidR="002E0B32">
        <w:rPr>
          <w:szCs w:val="22"/>
        </w:rPr>
        <w:t>Scarborough</w:t>
      </w:r>
      <w:r>
        <w:rPr>
          <w:szCs w:val="22"/>
        </w:rPr>
        <w:t xml:space="preserve"> filed a response to the </w:t>
      </w:r>
      <w:r>
        <w:rPr>
          <w:i/>
          <w:szCs w:val="22"/>
        </w:rPr>
        <w:t xml:space="preserve">NAL </w:t>
      </w:r>
      <w:r>
        <w:rPr>
          <w:szCs w:val="22"/>
        </w:rPr>
        <w:t>(Response).</w:t>
      </w:r>
      <w:r>
        <w:rPr>
          <w:rStyle w:val="FootnoteReference"/>
          <w:szCs w:val="22"/>
        </w:rPr>
        <w:footnoteReference w:id="17"/>
      </w:r>
      <w:r>
        <w:rPr>
          <w:szCs w:val="22"/>
        </w:rPr>
        <w:t xml:space="preserve">  In the Response</w:t>
      </w:r>
      <w:r w:rsidR="00BF7F69">
        <w:rPr>
          <w:szCs w:val="22"/>
        </w:rPr>
        <w:t xml:space="preserve"> </w:t>
      </w:r>
      <w:r w:rsidR="00FA43EE">
        <w:rPr>
          <w:szCs w:val="22"/>
        </w:rPr>
        <w:t>Scarborough’s principal, Scott Scarborough,</w:t>
      </w:r>
      <w:r>
        <w:rPr>
          <w:szCs w:val="22"/>
        </w:rPr>
        <w:t xml:space="preserve"> asserts that </w:t>
      </w:r>
      <w:r w:rsidR="00291005">
        <w:rPr>
          <w:szCs w:val="22"/>
        </w:rPr>
        <w:t xml:space="preserve">he is a first-time auction participant, and that after working with Bureau staff on preparation of the long-form Application </w:t>
      </w:r>
      <w:r w:rsidR="00A2207F">
        <w:rPr>
          <w:szCs w:val="22"/>
        </w:rPr>
        <w:t>it was his understanding</w:t>
      </w:r>
      <w:r w:rsidR="00291005">
        <w:rPr>
          <w:szCs w:val="22"/>
        </w:rPr>
        <w:t xml:space="preserve"> that there was no more to be done, that </w:t>
      </w:r>
      <w:r>
        <w:rPr>
          <w:szCs w:val="22"/>
        </w:rPr>
        <w:t xml:space="preserve">the </w:t>
      </w:r>
      <w:r w:rsidR="00291005">
        <w:rPr>
          <w:szCs w:val="22"/>
        </w:rPr>
        <w:t>filing was complete and that there were no issues regarding late filing</w:t>
      </w:r>
      <w:r>
        <w:rPr>
          <w:szCs w:val="22"/>
        </w:rPr>
        <w:t>.</w:t>
      </w:r>
      <w:r>
        <w:rPr>
          <w:rStyle w:val="FootnoteReference"/>
          <w:szCs w:val="22"/>
        </w:rPr>
        <w:footnoteReference w:id="18"/>
      </w:r>
    </w:p>
    <w:p w:rsidR="008670F8" w:rsidP="008670F8" w14:paraId="774E7779" w14:textId="77777777">
      <w:pPr>
        <w:pStyle w:val="Heading1"/>
        <w:widowControl/>
      </w:pPr>
      <w:r>
        <w:t>DISCUSSION</w:t>
      </w:r>
    </w:p>
    <w:p w:rsidR="008670F8" w:rsidRPr="0011186F" w:rsidP="00C756D4" w14:paraId="2D8AA617" w14:textId="380CB06E">
      <w:pPr>
        <w:pStyle w:val="ParaNum"/>
        <w:widowControl/>
      </w:pPr>
      <w:r>
        <w:rPr>
          <w:szCs w:val="22"/>
        </w:rPr>
        <w:t>Bidders</w:t>
      </w:r>
      <w:r w:rsidR="00C756D4">
        <w:rPr>
          <w:szCs w:val="22"/>
        </w:rPr>
        <w:t xml:space="preserve"> were informed, through various means, such as the online bidding tutorial and various public notices, of the need timely to file the post-auction long-form application (FCC Form 2100, Schedule 301).</w:t>
      </w:r>
      <w:r>
        <w:rPr>
          <w:rStyle w:val="FootnoteReference"/>
          <w:szCs w:val="22"/>
        </w:rPr>
        <w:footnoteReference w:id="19"/>
      </w:r>
      <w:r w:rsidR="00C756D4">
        <w:rPr>
          <w:szCs w:val="22"/>
        </w:rPr>
        <w:t xml:space="preserve">  </w:t>
      </w:r>
      <w:r>
        <w:rPr>
          <w:szCs w:val="22"/>
        </w:rPr>
        <w:t>Even though Scarborough submitted an untimely long-form Application, we note that</w:t>
      </w:r>
      <w:r w:rsidR="00C756D4">
        <w:rPr>
          <w:szCs w:val="22"/>
        </w:rPr>
        <w:t xml:space="preserve"> Scarborough’s</w:t>
      </w:r>
      <w:r w:rsidRPr="00FF7C34">
        <w:rPr>
          <w:szCs w:val="22"/>
        </w:rPr>
        <w:t xml:space="preserve"> Response was </w:t>
      </w:r>
      <w:r w:rsidRPr="00FF7C34" w:rsidR="00A75569">
        <w:rPr>
          <w:szCs w:val="22"/>
        </w:rPr>
        <w:t xml:space="preserve">timely filed, as it was received by Bureau staff within 30 days of the </w:t>
      </w:r>
      <w:r w:rsidRPr="00FF7C34" w:rsidR="00A75569">
        <w:rPr>
          <w:i/>
          <w:iCs/>
          <w:szCs w:val="22"/>
        </w:rPr>
        <w:t>NAL</w:t>
      </w:r>
      <w:r w:rsidRPr="00FF7C34" w:rsidR="00A75569">
        <w:rPr>
          <w:szCs w:val="22"/>
        </w:rPr>
        <w:t xml:space="preserve"> release date</w:t>
      </w:r>
      <w:r w:rsidRPr="00FF7C34">
        <w:rPr>
          <w:szCs w:val="22"/>
        </w:rPr>
        <w:t>.</w:t>
      </w:r>
      <w:r>
        <w:rPr>
          <w:rStyle w:val="FootnoteReference"/>
          <w:szCs w:val="22"/>
        </w:rPr>
        <w:footnoteReference w:id="20"/>
      </w:r>
      <w:r w:rsidRPr="00FF7C34">
        <w:rPr>
          <w:szCs w:val="22"/>
        </w:rPr>
        <w:t xml:space="preserve">  </w:t>
      </w:r>
      <w:r w:rsidR="00A232F2">
        <w:rPr>
          <w:szCs w:val="22"/>
        </w:rPr>
        <w:t>Additionally,</w:t>
      </w:r>
      <w:r w:rsidR="00FA43EE">
        <w:rPr>
          <w:szCs w:val="22"/>
        </w:rPr>
        <w:t xml:space="preserve"> Scarborough timely made its final </w:t>
      </w:r>
      <w:r w:rsidR="00EE5E80">
        <w:rPr>
          <w:szCs w:val="22"/>
        </w:rPr>
        <w:t>payment,</w:t>
      </w:r>
      <w:r>
        <w:rPr>
          <w:rStyle w:val="FootnoteReference"/>
          <w:szCs w:val="22"/>
        </w:rPr>
        <w:footnoteReference w:id="21"/>
      </w:r>
      <w:r w:rsidR="00EE5E80">
        <w:t xml:space="preserve"> and as noted above timely made all other auction payments, timely fil</w:t>
      </w:r>
      <w:r w:rsidR="00E924E9">
        <w:t>ed</w:t>
      </w:r>
      <w:r w:rsidR="00EE5E80">
        <w:t xml:space="preserve"> its short-form application</w:t>
      </w:r>
      <w:r w:rsidR="00E924E9">
        <w:t>, and was initially found to be a qualified bidder</w:t>
      </w:r>
      <w:r w:rsidR="00EE5E80">
        <w:t>.</w:t>
      </w:r>
      <w:r>
        <w:rPr>
          <w:rStyle w:val="FootnoteReference"/>
        </w:rPr>
        <w:footnoteReference w:id="22"/>
      </w:r>
      <w:r w:rsidR="00EE5E80">
        <w:t xml:space="preserve"> </w:t>
      </w:r>
      <w:r w:rsidR="00C756D4">
        <w:t xml:space="preserve"> </w:t>
      </w:r>
      <w:r w:rsidRPr="00C756D4" w:rsidR="00FA43EE">
        <w:rPr>
          <w:szCs w:val="22"/>
        </w:rPr>
        <w:t xml:space="preserve">These facts, combined with the fact that Mr. Scarborough proactively reached out to Bureau staff to complete the late-filed Application, </w:t>
      </w:r>
      <w:r w:rsidR="00C756D4">
        <w:rPr>
          <w:szCs w:val="22"/>
        </w:rPr>
        <w:t>support Scarborough’s assertion that its late</w:t>
      </w:r>
      <w:r w:rsidR="004D37B7">
        <w:rPr>
          <w:szCs w:val="22"/>
        </w:rPr>
        <w:t xml:space="preserve"> Application</w:t>
      </w:r>
      <w:r w:rsidR="00C756D4">
        <w:rPr>
          <w:szCs w:val="22"/>
        </w:rPr>
        <w:t xml:space="preserve"> filing was </w:t>
      </w:r>
      <w:r w:rsidR="004D37B7">
        <w:rPr>
          <w:szCs w:val="22"/>
        </w:rPr>
        <w:t xml:space="preserve">wholly </w:t>
      </w:r>
      <w:r w:rsidR="00C756D4">
        <w:rPr>
          <w:szCs w:val="22"/>
        </w:rPr>
        <w:t xml:space="preserve">inadvertent.  </w:t>
      </w:r>
      <w:r w:rsidR="00D15CBC">
        <w:rPr>
          <w:szCs w:val="22"/>
        </w:rPr>
        <w:t>Finally, w</w:t>
      </w:r>
      <w:r w:rsidR="00EE5E80">
        <w:rPr>
          <w:szCs w:val="22"/>
        </w:rPr>
        <w:t xml:space="preserve">e reiterate that this is a minor </w:t>
      </w:r>
      <w:r w:rsidR="00E161EF">
        <w:rPr>
          <w:szCs w:val="22"/>
        </w:rPr>
        <w:t>post-auction delinquency</w:t>
      </w:r>
      <w:r w:rsidR="00EE5E80">
        <w:rPr>
          <w:szCs w:val="22"/>
        </w:rPr>
        <w:t xml:space="preserve">, </w:t>
      </w:r>
      <w:r w:rsidR="00D15CBC">
        <w:rPr>
          <w:szCs w:val="22"/>
        </w:rPr>
        <w:t>that accepting Scarborough’s Application would not undermine our auction policies, and that the public interest is served by the prompt initiation of new FM service at Hugo, Colorado.</w:t>
      </w:r>
      <w:r>
        <w:rPr>
          <w:rStyle w:val="FootnoteReference"/>
          <w:szCs w:val="22"/>
        </w:rPr>
        <w:footnoteReference w:id="23"/>
      </w:r>
      <w:r w:rsidR="00D15CBC">
        <w:rPr>
          <w:szCs w:val="22"/>
        </w:rPr>
        <w:t xml:space="preserve">  </w:t>
      </w:r>
      <w:r w:rsidR="00203D0F">
        <w:rPr>
          <w:szCs w:val="22"/>
        </w:rPr>
        <w:t>Thus, while a forfeiture is appropriate in this case, we find good cause to reduce the amount of the forfeiture to $1,000.</w:t>
      </w:r>
      <w:r w:rsidR="00C756D4">
        <w:rPr>
          <w:szCs w:val="22"/>
        </w:rPr>
        <w:t xml:space="preserve"> </w:t>
      </w:r>
    </w:p>
    <w:p w:rsidR="008670F8" w:rsidP="008670F8" w14:paraId="515C5CBC" w14:textId="77777777">
      <w:pPr>
        <w:pStyle w:val="Heading1"/>
        <w:widowControl/>
      </w:pPr>
      <w:r>
        <w:t>ORDERING CLAUSES</w:t>
      </w:r>
    </w:p>
    <w:p w:rsidR="008670F8" w:rsidRPr="007D34F7" w:rsidP="008670F8" w14:paraId="5F5E7EDF" w14:textId="362EC4FB">
      <w:pPr>
        <w:pStyle w:val="ParaNum"/>
        <w:widowControl/>
      </w:pPr>
      <w:r>
        <w:rPr>
          <w:szCs w:val="22"/>
        </w:rPr>
        <w:t xml:space="preserve">Accordingly, IT IS ORDERED, pursuant to </w:t>
      </w:r>
      <w:r w:rsidR="00EE5E80">
        <w:rPr>
          <w:szCs w:val="22"/>
        </w:rPr>
        <w:t>s</w:t>
      </w:r>
      <w:r>
        <w:rPr>
          <w:szCs w:val="22"/>
        </w:rPr>
        <w:t xml:space="preserve">ection 503(b) of the Communications Act of 1934, as amended, and Section 1.80 of the Commission’s rules, that </w:t>
      </w:r>
      <w:r w:rsidR="00EE0CCF">
        <w:rPr>
          <w:szCs w:val="22"/>
        </w:rPr>
        <w:t>ScarboroughRadio</w:t>
      </w:r>
      <w:r w:rsidR="00EE0CCF">
        <w:rPr>
          <w:szCs w:val="22"/>
        </w:rPr>
        <w:t>, LLC,</w:t>
      </w:r>
      <w:r>
        <w:rPr>
          <w:b/>
          <w:szCs w:val="22"/>
        </w:rPr>
        <w:t xml:space="preserve"> </w:t>
      </w:r>
      <w:r>
        <w:rPr>
          <w:szCs w:val="22"/>
        </w:rPr>
        <w:t xml:space="preserve">SHALL FORFEIT to the United States the sum of </w:t>
      </w:r>
      <w:r w:rsidR="00EE0CCF">
        <w:rPr>
          <w:szCs w:val="22"/>
        </w:rPr>
        <w:t>one</w:t>
      </w:r>
      <w:r>
        <w:rPr>
          <w:szCs w:val="22"/>
        </w:rPr>
        <w:t xml:space="preserve"> thousand dollars ($</w:t>
      </w:r>
      <w:r w:rsidR="00EE0CCF">
        <w:rPr>
          <w:szCs w:val="22"/>
        </w:rPr>
        <w:t>1</w:t>
      </w:r>
      <w:r>
        <w:rPr>
          <w:szCs w:val="22"/>
        </w:rPr>
        <w:t xml:space="preserve">,000) for </w:t>
      </w:r>
      <w:r w:rsidR="00EE0CCF">
        <w:rPr>
          <w:szCs w:val="22"/>
        </w:rPr>
        <w:t>its</w:t>
      </w:r>
      <w:r>
        <w:rPr>
          <w:szCs w:val="22"/>
        </w:rPr>
        <w:t xml:space="preserve"> willful violation of </w:t>
      </w:r>
      <w:r w:rsidR="00EE0CCF">
        <w:rPr>
          <w:szCs w:val="22"/>
        </w:rPr>
        <w:t>s</w:t>
      </w:r>
      <w:r>
        <w:rPr>
          <w:szCs w:val="22"/>
        </w:rPr>
        <w:t>ections 73.3573(f)(5)(</w:t>
      </w:r>
      <w:r>
        <w:rPr>
          <w:szCs w:val="22"/>
        </w:rPr>
        <w:t>i</w:t>
      </w:r>
      <w:r>
        <w:rPr>
          <w:szCs w:val="22"/>
        </w:rPr>
        <w:t>) and 73.5005(a) of the Commission’s rules.</w:t>
      </w:r>
    </w:p>
    <w:p w:rsidR="00EE0CCF" w:rsidRPr="00BE3744" w:rsidP="00EE0CCF" w14:paraId="664BBB22" w14:textId="0CB4AC39">
      <w:pPr>
        <w:pStyle w:val="ParaNum"/>
        <w:widowControl/>
        <w:rPr>
          <w:szCs w:val="22"/>
        </w:rPr>
      </w:pPr>
      <w:r w:rsidRPr="00514C8E">
        <w:rPr>
          <w:szCs w:val="22"/>
        </w:rPr>
        <w:t xml:space="preserve">Payment of the </w:t>
      </w:r>
      <w:r>
        <w:rPr>
          <w:szCs w:val="22"/>
        </w:rPr>
        <w:t xml:space="preserve">forfeiture </w:t>
      </w:r>
      <w:r w:rsidRPr="00514C8E">
        <w:rPr>
          <w:szCs w:val="22"/>
        </w:rPr>
        <w:t xml:space="preserve">must be made by credit card, ACH (Automated Clearing House) debit from a bank account using </w:t>
      </w:r>
      <w:r>
        <w:rPr>
          <w:szCs w:val="22"/>
        </w:rPr>
        <w:t>CORES</w:t>
      </w:r>
      <w:r w:rsidRPr="00514C8E">
        <w:rPr>
          <w:szCs w:val="22"/>
        </w:rPr>
        <w:t xml:space="preserve"> (the Commission’s online payment system),</w:t>
      </w:r>
      <w:r>
        <w:rPr>
          <w:rStyle w:val="FootnoteReference"/>
          <w:szCs w:val="22"/>
        </w:rPr>
        <w:footnoteReference w:id="24"/>
      </w:r>
      <w:r w:rsidRPr="00514C8E">
        <w:rPr>
          <w:szCs w:val="22"/>
        </w:rPr>
        <w:t xml:space="preserve"> or by wire transfer.  </w:t>
      </w:r>
      <w:r>
        <w:rPr>
          <w:szCs w:val="22"/>
        </w:rPr>
        <w:t>P</w:t>
      </w:r>
      <w:r w:rsidRPr="00514C8E">
        <w:rPr>
          <w:szCs w:val="22"/>
        </w:rPr>
        <w:t>ayments by check or money order</w:t>
      </w:r>
      <w:r>
        <w:rPr>
          <w:szCs w:val="22"/>
        </w:rPr>
        <w:t xml:space="preserve"> to pay a forfeiture are no longer accepted</w:t>
      </w:r>
      <w:r w:rsidRPr="00514C8E">
        <w:rPr>
          <w:szCs w:val="22"/>
        </w:rPr>
        <w:t>.  Below are instructions that payors should follow based on the form of payment selected:</w:t>
      </w:r>
      <w:r>
        <w:rPr>
          <w:rStyle w:val="FootnoteReference"/>
          <w:szCs w:val="22"/>
        </w:rPr>
        <w:footnoteReference w:id="25"/>
      </w:r>
      <w:r w:rsidRPr="00514C8E">
        <w:rPr>
          <w:szCs w:val="22"/>
        </w:rPr>
        <w:t xml:space="preserve"> </w:t>
      </w:r>
    </w:p>
    <w:p w:rsidR="00EE0CCF" w:rsidRPr="00514C8E" w:rsidP="00EE0CCF" w14:paraId="0256EEE8" w14:textId="77777777">
      <w:pPr>
        <w:widowControl/>
        <w:numPr>
          <w:ilvl w:val="0"/>
          <w:numId w:val="9"/>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w:t>
      </w:r>
      <w:r w:rsidRPr="00514C8E">
        <w:rPr>
          <w:szCs w:val="22"/>
        </w:rPr>
        <w:t>type code), and enter in block number 11 the FRN(s) captioned above (Payor FRN).</w:t>
      </w:r>
      <w:r>
        <w:rPr>
          <w:rStyle w:val="FootnoteReference"/>
          <w:szCs w:val="22"/>
        </w:rPr>
        <w:footnoteReference w:id="26"/>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EE0CCF" w:rsidP="00EE0CCF" w14:paraId="5C17EECE" w14:textId="77777777">
      <w:pPr>
        <w:pStyle w:val="ParaNum"/>
        <w:widowControl/>
        <w:numPr>
          <w:ilvl w:val="0"/>
          <w:numId w:val="9"/>
        </w:numPr>
        <w:rPr>
          <w:szCs w:val="22"/>
        </w:rPr>
      </w:pPr>
      <w:r w:rsidRPr="00591AAC">
        <w:rPr>
          <w:szCs w:val="22"/>
        </w:rPr>
        <w:t xml:space="preserve">Payment by credit card must be made by using the Commission’s Registration System (CORES) at </w:t>
      </w:r>
      <w:hyperlink r:id="rId7" w:history="1">
        <w:r w:rsidRPr="00021174">
          <w:rPr>
            <w:rStyle w:val="Hyperlink"/>
            <w:szCs w:val="22"/>
          </w:rPr>
          <w:t>https://apps.fcc.gov/cores/userLogin.do</w:t>
        </w:r>
      </w:hyperlink>
      <w:r w:rsidRPr="00591AAC">
        <w:rPr>
          <w:szCs w:val="22"/>
        </w:rPr>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w:t>
      </w:r>
      <w:r>
        <w:rPr>
          <w:szCs w:val="22"/>
        </w:rPr>
        <w:t>NAL/</w:t>
      </w:r>
      <w:r w:rsidRPr="00591AAC">
        <w:rPr>
          <w:szCs w:val="22"/>
        </w:rPr>
        <w:t xml:space="preserve">Acct. No.  The bill number is the  </w:t>
      </w:r>
      <w:r>
        <w:rPr>
          <w:szCs w:val="22"/>
        </w:rPr>
        <w:t>NAL</w:t>
      </w:r>
      <w:r w:rsidRPr="00591AAC">
        <w:rPr>
          <w:szCs w:val="22"/>
        </w:rPr>
        <w:t xml:space="preserve"> Acct. No. (e.g., </w:t>
      </w:r>
      <w:r>
        <w:rPr>
          <w:szCs w:val="22"/>
        </w:rPr>
        <w:t>NAL/Acct. No.</w:t>
      </w:r>
      <w:r w:rsidRPr="00591AAC">
        <w:rPr>
          <w:szCs w:val="22"/>
        </w:rPr>
        <w:t xml:space="preserve"> 1912345678 would be associated with FCC Bill Number </w:t>
      </w:r>
      <w:r>
        <w:rPr>
          <w:szCs w:val="22"/>
        </w:rPr>
        <w:t>19</w:t>
      </w:r>
      <w:r w:rsidRPr="00591AAC">
        <w:rPr>
          <w:szCs w:val="22"/>
        </w:rPr>
        <w:t>12345678).  After selecting the bill for payment, choose the “Pay by Credit Card” option.  Please note that there is a $24,999.99 limit on credit card transactions.</w:t>
      </w:r>
    </w:p>
    <w:p w:rsidR="008670F8" w:rsidRPr="007D34F7" w:rsidP="00EE0CCF" w14:paraId="47362467" w14:textId="1D313B58">
      <w:pPr>
        <w:pStyle w:val="ParaNum"/>
        <w:widowControl/>
        <w:numPr>
          <w:ilvl w:val="0"/>
          <w:numId w:val="9"/>
        </w:numPr>
      </w:pPr>
      <w:r w:rsidRPr="00021174">
        <w:rPr>
          <w:szCs w:val="22"/>
        </w:rPr>
        <w:t xml:space="preserve">Payment by ACH must be made by using the Commission’s Registration System (CORES) at </w:t>
      </w:r>
      <w:hyperlink r:id="rId8" w:history="1">
        <w:r w:rsidRPr="00021174">
          <w:rPr>
            <w:rStyle w:val="Hyperlink"/>
            <w:szCs w:val="22"/>
          </w:rPr>
          <w:t>https://apps.fcc.gov/cores/paymentFrnLogin.do</w:t>
        </w:r>
      </w:hyperlink>
      <w:r w:rsidRPr="00021174">
        <w:rPr>
          <w:szCs w:val="22"/>
        </w:rPr>
        <w:t xml:space="preserve">.  </w:t>
      </w:r>
      <w:r w:rsidRPr="00514C8E">
        <w:rPr>
          <w:szCs w:val="22"/>
        </w:rPr>
        <w:t xml:space="preserve">To pay by ACH, log in using the FRN captioned above.  If payment must be split across FRNs, complete this process for each FRN.  </w:t>
      </w:r>
      <w:r w:rsidRPr="00021174">
        <w:rPr>
          <w:szCs w:val="22"/>
        </w:rPr>
        <w:t xml:space="preserve">Next, select “Manage Existing FRNs | FRN Financial | Bills &amp; Fees” on the CORES Menu, then select FRN Financial and the view/make payments option next to the FRN. </w:t>
      </w:r>
      <w:r>
        <w:rPr>
          <w:szCs w:val="22"/>
        </w:rPr>
        <w:t xml:space="preserve"> </w:t>
      </w:r>
      <w:r w:rsidRPr="00021174">
        <w:rPr>
          <w:szCs w:val="22"/>
        </w:rPr>
        <w:t xml:space="preserve">Select the “Open Bills” tab and find the bill number associated with the </w:t>
      </w:r>
      <w:r>
        <w:rPr>
          <w:szCs w:val="22"/>
        </w:rPr>
        <w:t>NAL/</w:t>
      </w:r>
      <w:r w:rsidRPr="00021174">
        <w:rPr>
          <w:szCs w:val="22"/>
        </w:rPr>
        <w:t xml:space="preserve">Acct. No.  The bill number is the </w:t>
      </w:r>
      <w:r>
        <w:rPr>
          <w:szCs w:val="22"/>
        </w:rPr>
        <w:t>NAL/</w:t>
      </w:r>
      <w:r w:rsidRPr="00021174">
        <w:rPr>
          <w:szCs w:val="22"/>
        </w:rPr>
        <w:t xml:space="preserve">Acct. No. (e.g., </w:t>
      </w:r>
      <w:r>
        <w:rPr>
          <w:szCs w:val="22"/>
        </w:rPr>
        <w:t>NAL/Acct. No.</w:t>
      </w:r>
      <w:r w:rsidRPr="00021174">
        <w:rPr>
          <w:szCs w:val="22"/>
        </w:rPr>
        <w:t xml:space="preserve"> 1912345678 would be associated with FCC Bill Number</w:t>
      </w:r>
      <w:r>
        <w:rPr>
          <w:szCs w:val="22"/>
        </w:rPr>
        <w:t xml:space="preserve"> 19</w:t>
      </w:r>
      <w:r w:rsidRPr="00021174">
        <w:rPr>
          <w:szCs w:val="22"/>
        </w:rPr>
        <w:t xml:space="preserve">12345678).  </w:t>
      </w:r>
      <w:r w:rsidRPr="00546822">
        <w:rPr>
          <w:szCs w:val="22"/>
        </w:rPr>
        <w:t xml:space="preserve">Finally, choose the “Pay from Bank Account” option.  </w:t>
      </w:r>
      <w:r w:rsidRPr="00021174">
        <w:rPr>
          <w:szCs w:val="22"/>
        </w:rPr>
        <w:t>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8670F8" w:rsidRPr="003F799E" w:rsidP="008670F8" w14:paraId="031F52C5" w14:textId="62322001">
      <w:pPr>
        <w:pStyle w:val="ParaNum"/>
        <w:widowControl/>
      </w:pPr>
      <w:r>
        <w:rPr>
          <w:szCs w:val="22"/>
        </w:rPr>
        <w:t xml:space="preserve">IT IS FURTHER ORDERED that copies of this Forfeiture Order shall be sent by First Class and Certified Mail, Return Receipt Requested, to </w:t>
      </w:r>
      <w:r w:rsidR="00EE0CCF">
        <w:rPr>
          <w:szCs w:val="22"/>
        </w:rPr>
        <w:t>ScarboroughRadio</w:t>
      </w:r>
      <w:r w:rsidR="00EE0CCF">
        <w:rPr>
          <w:szCs w:val="22"/>
        </w:rPr>
        <w:t xml:space="preserve">, LLC, </w:t>
      </w:r>
      <w:r w:rsidR="00CC1F44">
        <w:rPr>
          <w:szCs w:val="22"/>
        </w:rPr>
        <w:t>c/o Scott Scarborough</w:t>
      </w:r>
      <w:r w:rsidRPr="00CE2726" w:rsidR="00CC1F44">
        <w:rPr>
          <w:szCs w:val="22"/>
        </w:rPr>
        <w:t xml:space="preserve">, </w:t>
      </w:r>
      <w:r w:rsidR="00CC1F44">
        <w:rPr>
          <w:szCs w:val="22"/>
        </w:rPr>
        <w:t>3655 Amelia Island Street, Colorado Springs, CO  80920</w:t>
      </w:r>
      <w:r w:rsidRPr="00CE2726" w:rsidR="00CC1F44">
        <w:rPr>
          <w:szCs w:val="22"/>
        </w:rPr>
        <w:t>.</w:t>
      </w:r>
    </w:p>
    <w:p w:rsidR="008670F8" w:rsidRPr="007D34F7" w:rsidP="008670F8" w14:paraId="63B710C1" w14:textId="77777777">
      <w:pPr>
        <w:pStyle w:val="ParaNum"/>
        <w:widowControl/>
        <w:numPr>
          <w:ilvl w:val="0"/>
          <w:numId w:val="0"/>
        </w:numPr>
      </w:pPr>
    </w:p>
    <w:p w:rsidR="008670F8" w:rsidP="008670F8" w14:paraId="010A9702" w14:textId="77777777">
      <w:pPr>
        <w:widowControl/>
      </w:pPr>
      <w:r>
        <w:tab/>
      </w:r>
      <w:r>
        <w:tab/>
      </w:r>
      <w:r>
        <w:tab/>
      </w:r>
      <w:r>
        <w:tab/>
      </w:r>
      <w:r>
        <w:tab/>
      </w:r>
      <w:r>
        <w:tab/>
        <w:t>FEDERAL COMMUNICATIONS COMMISSION</w:t>
      </w:r>
    </w:p>
    <w:p w:rsidR="008670F8" w:rsidP="008670F8" w14:paraId="0E4FD882" w14:textId="77777777">
      <w:pPr>
        <w:widowControl/>
      </w:pPr>
    </w:p>
    <w:p w:rsidR="008670F8" w:rsidP="008670F8" w14:paraId="2831B039" w14:textId="77777777">
      <w:pPr>
        <w:widowControl/>
      </w:pPr>
    </w:p>
    <w:p w:rsidR="008670F8" w:rsidP="008670F8" w14:paraId="15423424" w14:textId="77777777">
      <w:pPr>
        <w:widowControl/>
      </w:pPr>
    </w:p>
    <w:p w:rsidR="008670F8" w:rsidP="008670F8" w14:paraId="27D71877" w14:textId="77777777">
      <w:pPr>
        <w:widowControl/>
      </w:pPr>
    </w:p>
    <w:p w:rsidR="008670F8" w:rsidP="008670F8" w14:paraId="01D26517" w14:textId="5C55BE89">
      <w:pPr>
        <w:widowControl/>
      </w:pPr>
      <w:r>
        <w:tab/>
      </w:r>
      <w:r>
        <w:tab/>
      </w:r>
      <w:r>
        <w:tab/>
      </w:r>
      <w:r>
        <w:tab/>
      </w:r>
      <w:r>
        <w:tab/>
      </w:r>
      <w:r>
        <w:tab/>
        <w:t>Albert Shuldiner</w:t>
      </w:r>
    </w:p>
    <w:p w:rsidR="008670F8" w:rsidP="008670F8" w14:paraId="7F7CC2A2" w14:textId="77777777">
      <w:pPr>
        <w:widowControl/>
      </w:pPr>
      <w:r>
        <w:tab/>
      </w:r>
      <w:r>
        <w:tab/>
      </w:r>
      <w:r>
        <w:tab/>
      </w:r>
      <w:r>
        <w:tab/>
      </w:r>
      <w:r>
        <w:tab/>
      </w:r>
      <w:r>
        <w:tab/>
        <w:t>Chief, Audio Division</w:t>
      </w:r>
    </w:p>
    <w:p w:rsidR="00CE2726" w:rsidRPr="00CE2726" w:rsidP="008670F8" w14:paraId="58D19BCE" w14:textId="421155E4">
      <w:pPr>
        <w:widowControl/>
      </w:pPr>
      <w:r>
        <w:tab/>
      </w:r>
      <w:r>
        <w:tab/>
      </w:r>
      <w:r>
        <w:tab/>
      </w:r>
      <w:r>
        <w:tab/>
      </w:r>
      <w:r>
        <w:tab/>
      </w:r>
      <w:r>
        <w:tab/>
        <w:t>Media Bureau</w:t>
      </w: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D6D411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36808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06CC3" w14:paraId="24991260" w14:textId="4E6B7D6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5EC80E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E37FF" w14:paraId="6E749E6B" w14:textId="77777777">
      <w:r>
        <w:separator/>
      </w:r>
    </w:p>
  </w:footnote>
  <w:footnote w:type="continuationSeparator" w:id="1">
    <w:p w:rsidR="00FE37FF" w:rsidP="00C721AC" w14:paraId="777B8568" w14:textId="77777777">
      <w:pPr>
        <w:spacing w:before="120"/>
        <w:rPr>
          <w:sz w:val="20"/>
        </w:rPr>
      </w:pPr>
      <w:r>
        <w:rPr>
          <w:sz w:val="20"/>
        </w:rPr>
        <w:t xml:space="preserve">(Continued from previous page)  </w:t>
      </w:r>
      <w:r>
        <w:rPr>
          <w:sz w:val="20"/>
        </w:rPr>
        <w:separator/>
      </w:r>
    </w:p>
  </w:footnote>
  <w:footnote w:type="continuationNotice" w:id="2">
    <w:p w:rsidR="00FE37FF" w:rsidP="00C721AC" w14:paraId="6CA8DCD8" w14:textId="77777777">
      <w:pPr>
        <w:jc w:val="right"/>
        <w:rPr>
          <w:sz w:val="20"/>
        </w:rPr>
      </w:pPr>
      <w:r>
        <w:rPr>
          <w:sz w:val="20"/>
        </w:rPr>
        <w:t>(continued….)</w:t>
      </w:r>
    </w:p>
  </w:footnote>
  <w:footnote w:id="3">
    <w:p w:rsidR="008670F8" w:rsidRPr="00467434" w:rsidP="008670F8" w14:paraId="743F189E" w14:textId="77777777">
      <w:pPr>
        <w:pStyle w:val="FootnoteText"/>
        <w:keepNext/>
        <w:widowControl w:val="0"/>
      </w:pPr>
      <w:r w:rsidRPr="00467434">
        <w:rPr>
          <w:rStyle w:val="FootnoteReference"/>
        </w:rPr>
        <w:footnoteRef/>
      </w:r>
      <w:r w:rsidRPr="00467434">
        <w:t xml:space="preserve"> </w:t>
      </w:r>
      <w:r w:rsidRPr="00467434">
        <w:rPr>
          <w:i/>
        </w:rPr>
        <w:t xml:space="preserve">See </w:t>
      </w:r>
      <w:r w:rsidRPr="00467434">
        <w:t xml:space="preserve">47 </w:t>
      </w:r>
      <w:r>
        <w:t>CFR</w:t>
      </w:r>
      <w:r w:rsidRPr="00467434">
        <w:t xml:space="preserve"> §§ 73.3573(f)(5)(</w:t>
      </w:r>
      <w:r w:rsidRPr="00467434">
        <w:t>i</w:t>
      </w:r>
      <w:r w:rsidRPr="00467434">
        <w:t>), 73.5005(a), which require a winning bidder to file its long-form application within 30 days of the release of the public notice announcing the close of the auction, unless a longer period is specified in that closing public notice.</w:t>
      </w:r>
    </w:p>
  </w:footnote>
  <w:footnote w:id="4">
    <w:p w:rsidR="008670F8" w:rsidRPr="00467434" w:rsidP="008670F8" w14:paraId="33A04F6C" w14:textId="4903844F">
      <w:pPr>
        <w:pStyle w:val="FootnoteText"/>
        <w:keepNext/>
        <w:widowControl w:val="0"/>
      </w:pPr>
      <w:r w:rsidRPr="00467434">
        <w:rPr>
          <w:rStyle w:val="FootnoteReference"/>
        </w:rPr>
        <w:footnoteRef/>
      </w:r>
      <w:r w:rsidRPr="00467434">
        <w:t xml:space="preserve"> </w:t>
      </w:r>
      <w:r w:rsidR="00D17499">
        <w:rPr>
          <w:i/>
        </w:rPr>
        <w:t>Auction of AM and FM Broadcast Construction Permits; 114 Bidders Qualified to Participate in Auction 109</w:t>
      </w:r>
      <w:r w:rsidR="00D17499">
        <w:t>, AU Docket No. 21-39, Public Notice, DA 21-780 (OEA/MB July 1, 2021).</w:t>
      </w:r>
    </w:p>
  </w:footnote>
  <w:footnote w:id="5">
    <w:p w:rsidR="00CD3A69" w:rsidP="00CD3A69" w14:paraId="64781E0E" w14:textId="77777777">
      <w:pPr>
        <w:pStyle w:val="FootnoteText"/>
      </w:pPr>
      <w:r>
        <w:rPr>
          <w:rStyle w:val="FootnoteReference"/>
        </w:rPr>
        <w:footnoteRef/>
      </w:r>
      <w:r>
        <w:rPr>
          <w:i/>
        </w:rPr>
        <w:t xml:space="preserve"> </w:t>
      </w:r>
      <w:r>
        <w:rPr>
          <w:i/>
        </w:rPr>
        <w:t>Auction of AM and FM Broadcast Construction Permits Closes; Winning Bidders Announced for Auction 109</w:t>
      </w:r>
      <w:r>
        <w:t>, AU Docket No. 21-39, Public Notice, DA 21-983 (OEA/MB Aug. 12, 2021) (</w:t>
      </w:r>
      <w:r>
        <w:rPr>
          <w:i/>
        </w:rPr>
        <w:t>Auction 109 Closing Public Notice</w:t>
      </w:r>
      <w:r>
        <w:t>).</w:t>
      </w:r>
    </w:p>
  </w:footnote>
  <w:footnote w:id="6">
    <w:p w:rsidR="00AC7D8F" w:rsidRPr="00F133EF" w14:paraId="158C44EC" w14:textId="52F371A9">
      <w:pPr>
        <w:pStyle w:val="FootnoteText"/>
      </w:pPr>
      <w:r>
        <w:rPr>
          <w:rStyle w:val="FootnoteReference"/>
        </w:rPr>
        <w:footnoteRef/>
      </w:r>
      <w:r>
        <w:t xml:space="preserve"> </w:t>
      </w:r>
      <w:r w:rsidR="00F133EF">
        <w:t>File No. 0000161479 (filed Sept. 30, 2021).</w:t>
      </w:r>
    </w:p>
  </w:footnote>
  <w:footnote w:id="7">
    <w:p w:rsidR="00CD3A69" w:rsidP="00CD3A69" w14:paraId="1BC5F957" w14:textId="02AE35F5">
      <w:pPr>
        <w:pStyle w:val="FootnoteText"/>
      </w:pPr>
      <w:r>
        <w:rPr>
          <w:rStyle w:val="FootnoteReference"/>
        </w:rPr>
        <w:footnoteRef/>
      </w:r>
      <w:r>
        <w:t xml:space="preserve"> </w:t>
      </w:r>
      <w:r>
        <w:t>47 CFR §§ 73.3573(f)(5)(</w:t>
      </w:r>
      <w:r>
        <w:t>i</w:t>
      </w:r>
      <w:r>
        <w:t xml:space="preserve">), 73.5005(a).  These </w:t>
      </w:r>
      <w:r w:rsidR="00C57930">
        <w:t>s</w:t>
      </w:r>
      <w:r>
        <w:t xml:space="preserve">ections require a winning bidder to file its long-form application within 30 days of the release of the public notice announcing the close of the auction, unless a longer period is specified in that closing public notice. </w:t>
      </w:r>
    </w:p>
  </w:footnote>
  <w:footnote w:id="8">
    <w:p w:rsidR="00B46528" w:rsidP="00B46528" w14:paraId="3ED5A48C" w14:textId="69A9B535">
      <w:pPr>
        <w:pStyle w:val="FootnoteText"/>
      </w:pPr>
      <w:r>
        <w:rPr>
          <w:rStyle w:val="FootnoteReference"/>
        </w:rPr>
        <w:footnoteRef/>
      </w:r>
      <w:r>
        <w:t xml:space="preserve"> </w:t>
      </w:r>
      <w:r w:rsidR="008E235E">
        <w:rPr>
          <w:i/>
        </w:rPr>
        <w:t>Auction 109 Closing Public Notice</w:t>
      </w:r>
      <w:r>
        <w:t xml:space="preserve"> at 8.</w:t>
      </w:r>
    </w:p>
  </w:footnote>
  <w:footnote w:id="9">
    <w:p w:rsidR="008670F8" w:rsidRPr="00467434" w:rsidP="008670F8" w14:paraId="0274297A" w14:textId="265FC9BB">
      <w:pPr>
        <w:pStyle w:val="FootnoteText"/>
        <w:keepNext/>
        <w:widowControl w:val="0"/>
      </w:pPr>
      <w:r w:rsidRPr="00467434">
        <w:rPr>
          <w:rStyle w:val="FootnoteReference"/>
        </w:rPr>
        <w:footnoteRef/>
      </w:r>
      <w:r w:rsidRPr="00467434">
        <w:t xml:space="preserve"> </w:t>
      </w:r>
      <w:r w:rsidRPr="00467434">
        <w:rPr>
          <w:i/>
          <w:iCs/>
        </w:rPr>
        <w:t xml:space="preserve">See, e.g., Joseph C. </w:t>
      </w:r>
      <w:r w:rsidRPr="00467434">
        <w:rPr>
          <w:i/>
          <w:iCs/>
        </w:rPr>
        <w:t>Tesiero</w:t>
      </w:r>
      <w:r w:rsidRPr="00467434">
        <w:t xml:space="preserve">, Memorandum Opinion and Order and Notice of Apparent Liability for Forfeiture, 27 FCC </w:t>
      </w:r>
      <w:r w:rsidRPr="00467434">
        <w:t>Rcd</w:t>
      </w:r>
      <w:r w:rsidRPr="00467434">
        <w:t xml:space="preserve"> 7195, 7196-97</w:t>
      </w:r>
      <w:r>
        <w:t xml:space="preserve"> para. 5</w:t>
      </w:r>
      <w:r w:rsidRPr="00467434">
        <w:t xml:space="preserve"> (MB 2012) (stating the standard for establishing good cause for waiver of filing deadline). </w:t>
      </w:r>
    </w:p>
  </w:footnote>
  <w:footnote w:id="10">
    <w:p w:rsidR="00F133EF" w14:paraId="687847E3" w14:textId="666E5BC9">
      <w:pPr>
        <w:pStyle w:val="FootnoteText"/>
      </w:pPr>
      <w:r>
        <w:rPr>
          <w:rStyle w:val="FootnoteReference"/>
        </w:rPr>
        <w:footnoteRef/>
      </w:r>
      <w:r>
        <w:t xml:space="preserve"> </w:t>
      </w:r>
      <w:r w:rsidRPr="00AC7D8F">
        <w:rPr>
          <w:i/>
          <w:iCs/>
        </w:rPr>
        <w:t>ScarboroughRadio</w:t>
      </w:r>
      <w:r w:rsidRPr="00AC7D8F">
        <w:rPr>
          <w:i/>
          <w:iCs/>
        </w:rPr>
        <w:t>, LLC</w:t>
      </w:r>
      <w:r>
        <w:t>, Memorandum Opinion and Order and Notice of Apparent Liability for Forfeiture, DA 21-1498, at 2 (MB Dec. 2, 2021) (</w:t>
      </w:r>
      <w:r w:rsidRPr="00451535">
        <w:rPr>
          <w:i/>
          <w:iCs/>
        </w:rPr>
        <w:t>NAL</w:t>
      </w:r>
      <w:r>
        <w:t>).</w:t>
      </w:r>
    </w:p>
  </w:footnote>
  <w:footnote w:id="11">
    <w:p w:rsidR="008670F8" w:rsidRPr="00467434" w:rsidP="008670F8" w14:paraId="3D67D81B" w14:textId="3115B444">
      <w:pPr>
        <w:pStyle w:val="FootnoteText"/>
        <w:keepNext/>
        <w:widowControl w:val="0"/>
      </w:pPr>
      <w:r w:rsidRPr="00467434">
        <w:rPr>
          <w:rStyle w:val="FootnoteReference"/>
        </w:rPr>
        <w:footnoteRef/>
      </w:r>
      <w:r w:rsidRPr="00467434">
        <w:t xml:space="preserve"> </w:t>
      </w:r>
      <w:r w:rsidR="00093728">
        <w:rPr>
          <w:i/>
        </w:rPr>
        <w:t>Id.</w:t>
      </w:r>
      <w:r>
        <w:t xml:space="preserve"> </w:t>
      </w:r>
      <w:r w:rsidR="00451535">
        <w:t>at 3</w:t>
      </w:r>
      <w:r>
        <w:t xml:space="preserve"> para. </w:t>
      </w:r>
      <w:r w:rsidR="00451535">
        <w:t>5</w:t>
      </w:r>
      <w:r w:rsidRPr="00467434">
        <w:t>.</w:t>
      </w:r>
    </w:p>
  </w:footnote>
  <w:footnote w:id="12">
    <w:p w:rsidR="008670F8" w:rsidRPr="00EE329C" w:rsidP="008670F8" w14:paraId="53DA52C9" w14:textId="042A34D6">
      <w:pPr>
        <w:pStyle w:val="FootnoteText"/>
        <w:keepNext/>
        <w:widowControl w:val="0"/>
      </w:pPr>
      <w:r w:rsidRPr="00467434">
        <w:rPr>
          <w:rStyle w:val="FootnoteReference"/>
        </w:rPr>
        <w:footnoteRef/>
      </w:r>
      <w:r w:rsidRPr="00467434">
        <w:t xml:space="preserve"> </w:t>
      </w:r>
      <w:r w:rsidRPr="00467434">
        <w:rPr>
          <w:i/>
        </w:rPr>
        <w:t>Id</w:t>
      </w:r>
      <w:r>
        <w:rPr>
          <w:i/>
        </w:rPr>
        <w:t>.</w:t>
      </w:r>
      <w:r>
        <w:t xml:space="preserve"> at </w:t>
      </w:r>
      <w:r w:rsidR="00E30D90">
        <w:t>2-3</w:t>
      </w:r>
      <w:r>
        <w:t xml:space="preserve"> para</w:t>
      </w:r>
      <w:r w:rsidR="00E30D90">
        <w:t>s</w:t>
      </w:r>
      <w:r>
        <w:t xml:space="preserve">. </w:t>
      </w:r>
      <w:r w:rsidR="00E30D90">
        <w:t>4-</w:t>
      </w:r>
      <w:r>
        <w:t>5.</w:t>
      </w:r>
    </w:p>
  </w:footnote>
  <w:footnote w:id="13">
    <w:p w:rsidR="008670F8" w:rsidRPr="00467434" w:rsidP="008670F8" w14:paraId="79A6C4BB" w14:textId="77777777">
      <w:pPr>
        <w:pStyle w:val="FootnoteText"/>
        <w:keepNext/>
        <w:widowControl w:val="0"/>
      </w:pPr>
      <w:r w:rsidRPr="00467434">
        <w:rPr>
          <w:rStyle w:val="FootnoteReference"/>
        </w:rPr>
        <w:footnoteRef/>
      </w:r>
      <w:r w:rsidRPr="00467434">
        <w:t xml:space="preserve"> </w:t>
      </w:r>
      <w:r w:rsidRPr="00467434">
        <w:t xml:space="preserve">47 </w:t>
      </w:r>
      <w:r>
        <w:t>CFR</w:t>
      </w:r>
      <w:r w:rsidRPr="00467434">
        <w:t xml:space="preserve"> § 1.2104(g).  Ordinarily, a winning bidder that fails to timely file the required FCC 301 long-form application is deemed to have defaulted, its application is dismissed, and it is subject to a default payment.</w:t>
      </w:r>
    </w:p>
  </w:footnote>
  <w:footnote w:id="14">
    <w:p w:rsidR="008670F8" w:rsidRPr="00467434" w:rsidP="008670F8" w14:paraId="0DD6205D" w14:textId="0C7D9396">
      <w:pPr>
        <w:pStyle w:val="FootnoteText"/>
        <w:keepNext/>
        <w:widowControl w:val="0"/>
      </w:pPr>
      <w:r w:rsidRPr="00467434">
        <w:rPr>
          <w:rStyle w:val="FootnoteReference"/>
        </w:rPr>
        <w:footnoteRef/>
      </w:r>
      <w:r w:rsidRPr="00467434">
        <w:t xml:space="preserve"> </w:t>
      </w:r>
      <w:r w:rsidRPr="00467434">
        <w:rPr>
          <w:i/>
        </w:rPr>
        <w:t>NAL</w:t>
      </w:r>
      <w:r>
        <w:t xml:space="preserve"> </w:t>
      </w:r>
      <w:r w:rsidRPr="00467434">
        <w:t xml:space="preserve">at </w:t>
      </w:r>
      <w:r>
        <w:t xml:space="preserve">3 paras. </w:t>
      </w:r>
      <w:r w:rsidR="0047030E">
        <w:t>6-9</w:t>
      </w:r>
      <w:r>
        <w:t xml:space="preserve">.  </w:t>
      </w:r>
      <w:r w:rsidRPr="00467434">
        <w:rPr>
          <w:i/>
        </w:rPr>
        <w:t xml:space="preserve">See </w:t>
      </w:r>
      <w:r w:rsidRPr="00467434">
        <w:t xml:space="preserve">47 </w:t>
      </w:r>
      <w:r>
        <w:t>CFR</w:t>
      </w:r>
      <w:r w:rsidRPr="00467434">
        <w:t xml:space="preserve"> §§ 73.3573(f)(5)(</w:t>
      </w:r>
      <w:r w:rsidRPr="00467434">
        <w:t>i</w:t>
      </w:r>
      <w:r w:rsidRPr="00467434">
        <w:t>), 73.5005(a).</w:t>
      </w:r>
    </w:p>
  </w:footnote>
  <w:footnote w:id="15">
    <w:p w:rsidR="008670F8" w:rsidRPr="00467434" w:rsidP="008670F8" w14:paraId="6AA44EF3" w14:textId="77777777">
      <w:pPr>
        <w:pStyle w:val="FootnoteText"/>
        <w:keepNext/>
        <w:widowControl w:val="0"/>
      </w:pPr>
      <w:r w:rsidRPr="00467434">
        <w:rPr>
          <w:rStyle w:val="FootnoteReference"/>
        </w:rPr>
        <w:footnoteRef/>
      </w:r>
      <w:r w:rsidRPr="00467434">
        <w:t xml:space="preserve"> </w:t>
      </w:r>
      <w:r w:rsidRPr="00467434">
        <w:rPr>
          <w:i/>
        </w:rPr>
        <w:t>See Forfeiture Policy Statement and Amendment of Section 1.80(b) of the Rules to Incorporate the Forfeiture Guidelines</w:t>
      </w:r>
      <w:r w:rsidRPr="00467434">
        <w:t xml:space="preserve">, Report and Order, 12 FCC </w:t>
      </w:r>
      <w:r w:rsidRPr="00467434">
        <w:t>Rcd</w:t>
      </w:r>
      <w:r w:rsidRPr="00467434">
        <w:t xml:space="preserve"> 17087, 1711</w:t>
      </w:r>
      <w:r>
        <w:t>4</w:t>
      </w:r>
      <w:r w:rsidRPr="00467434">
        <w:t xml:space="preserve"> (1997) </w:t>
      </w:r>
      <w:r>
        <w:rPr>
          <w:i/>
        </w:rPr>
        <w:t>(</w:t>
      </w:r>
      <w:r w:rsidRPr="00467434">
        <w:rPr>
          <w:i/>
        </w:rPr>
        <w:t>Forfeiture Policy Statement),</w:t>
      </w:r>
      <w:r w:rsidRPr="00467434">
        <w:t xml:space="preserve"> </w:t>
      </w:r>
      <w:r w:rsidRPr="00467434">
        <w:rPr>
          <w:i/>
        </w:rPr>
        <w:t>recon. denied</w:t>
      </w:r>
      <w:r w:rsidRPr="00467434">
        <w:t xml:space="preserve">, 15 FCC </w:t>
      </w:r>
      <w:r w:rsidRPr="00467434">
        <w:t>Rcd</w:t>
      </w:r>
      <w:r w:rsidRPr="00467434">
        <w:t xml:space="preserve"> 303 (1999); 47 U.S.C. § 503(b)(2)(E); 47 </w:t>
      </w:r>
      <w:r>
        <w:t>CFR</w:t>
      </w:r>
      <w:r w:rsidRPr="00467434">
        <w:t xml:space="preserve"> § 1.80(b)(6), Section I.</w:t>
      </w:r>
    </w:p>
  </w:footnote>
  <w:footnote w:id="16">
    <w:p w:rsidR="008670F8" w:rsidRPr="00467434" w:rsidP="008670F8" w14:paraId="3C759ED6" w14:textId="0F60FFE5">
      <w:pPr>
        <w:pStyle w:val="FootnoteText"/>
        <w:keepNext/>
        <w:widowControl w:val="0"/>
      </w:pPr>
      <w:r w:rsidRPr="00467434">
        <w:rPr>
          <w:rStyle w:val="FootnoteReference"/>
        </w:rPr>
        <w:footnoteRef/>
      </w:r>
      <w:r w:rsidRPr="00467434">
        <w:t xml:space="preserve"> </w:t>
      </w:r>
      <w:r w:rsidRPr="00467434">
        <w:rPr>
          <w:i/>
        </w:rPr>
        <w:t>NAL</w:t>
      </w:r>
      <w:r>
        <w:t xml:space="preserve"> </w:t>
      </w:r>
      <w:r w:rsidRPr="00467434">
        <w:t xml:space="preserve">at </w:t>
      </w:r>
      <w:r w:rsidR="000110B0">
        <w:t>3</w:t>
      </w:r>
      <w:r>
        <w:t xml:space="preserve"> para. </w:t>
      </w:r>
      <w:r w:rsidR="000110B0">
        <w:t>9</w:t>
      </w:r>
      <w:r w:rsidRPr="00467434">
        <w:t>.</w:t>
      </w:r>
    </w:p>
  </w:footnote>
  <w:footnote w:id="17">
    <w:p w:rsidR="008670F8" w:rsidRPr="00824F24" w:rsidP="008670F8" w14:paraId="075B5A6D" w14:textId="74A3F069">
      <w:pPr>
        <w:pStyle w:val="FootnoteText"/>
      </w:pPr>
      <w:r>
        <w:rPr>
          <w:rStyle w:val="FootnoteReference"/>
        </w:rPr>
        <w:footnoteRef/>
      </w:r>
      <w:r>
        <w:t xml:space="preserve"> </w:t>
      </w:r>
      <w:r>
        <w:t xml:space="preserve">The Response was </w:t>
      </w:r>
      <w:r w:rsidR="00CB4882">
        <w:t>emailed to Bureau staff on December 7, 2021</w:t>
      </w:r>
      <w:r>
        <w:t>.</w:t>
      </w:r>
      <w:r w:rsidR="00CB4882">
        <w:t xml:space="preserve">  Scarborough stated that it had simultaneously filed the response with the Office of the Secretary by Priority Mail.</w:t>
      </w:r>
    </w:p>
  </w:footnote>
  <w:footnote w:id="18">
    <w:p w:rsidR="008670F8" w:rsidRPr="00467434" w:rsidP="008670F8" w14:paraId="56A8C38A" w14:textId="6F0FAD30">
      <w:pPr>
        <w:pStyle w:val="FootnoteText"/>
        <w:keepNext/>
        <w:widowControl w:val="0"/>
      </w:pPr>
      <w:r w:rsidRPr="00467434">
        <w:rPr>
          <w:rStyle w:val="FootnoteReference"/>
        </w:rPr>
        <w:footnoteRef/>
      </w:r>
      <w:r w:rsidRPr="00467434">
        <w:t xml:space="preserve"> </w:t>
      </w:r>
      <w:r w:rsidRPr="00467434">
        <w:t xml:space="preserve">Response at </w:t>
      </w:r>
      <w:r w:rsidR="00BF7F69">
        <w:t>1</w:t>
      </w:r>
      <w:r w:rsidRPr="00467434">
        <w:t>.</w:t>
      </w:r>
    </w:p>
  </w:footnote>
  <w:footnote w:id="19">
    <w:p w:rsidR="00C756D4" w14:paraId="0E319999" w14:textId="32F0EE77">
      <w:pPr>
        <w:pStyle w:val="FootnoteText"/>
      </w:pPr>
      <w:r>
        <w:rPr>
          <w:rStyle w:val="FootnoteReference"/>
        </w:rPr>
        <w:footnoteRef/>
      </w:r>
      <w:r>
        <w:t xml:space="preserve"> </w:t>
      </w:r>
      <w:r w:rsidRPr="00203D0F">
        <w:rPr>
          <w:i/>
          <w:iCs/>
        </w:rPr>
        <w:t>See</w:t>
      </w:r>
      <w:r>
        <w:t xml:space="preserve">, </w:t>
      </w:r>
      <w:r w:rsidRPr="00203D0F">
        <w:rPr>
          <w:i/>
          <w:iCs/>
        </w:rPr>
        <w:t>e.g.</w:t>
      </w:r>
      <w:r>
        <w:t xml:space="preserve">, </w:t>
      </w:r>
      <w:r w:rsidRPr="00203D0F">
        <w:rPr>
          <w:i/>
          <w:iCs/>
        </w:rPr>
        <w:t>Auction 109 Closing Public Notice</w:t>
      </w:r>
      <w:r>
        <w:t xml:space="preserve"> at </w:t>
      </w:r>
      <w:r w:rsidR="009F7655">
        <w:t xml:space="preserve">7-8, </w:t>
      </w:r>
      <w:r w:rsidR="00203D0F">
        <w:t>paras. 33-37.</w:t>
      </w:r>
      <w:r>
        <w:t xml:space="preserve"> </w:t>
      </w:r>
    </w:p>
  </w:footnote>
  <w:footnote w:id="20">
    <w:p w:rsidR="00A75569" w14:paraId="6E4FAA1E" w14:textId="72EECC13">
      <w:pPr>
        <w:pStyle w:val="FootnoteText"/>
      </w:pPr>
      <w:r>
        <w:rPr>
          <w:rStyle w:val="FootnoteReference"/>
        </w:rPr>
        <w:footnoteRef/>
      </w:r>
      <w:r>
        <w:t xml:space="preserve"> </w:t>
      </w:r>
      <w:r>
        <w:t>In the NAL we stated that “</w:t>
      </w:r>
      <w:r w:rsidR="006B7A70">
        <w:t xml:space="preserve">within thirty (30) days of the release date of this </w:t>
      </w:r>
      <w:r w:rsidR="006B7A70">
        <w:rPr>
          <w:i/>
        </w:rPr>
        <w:t>NAL,</w:t>
      </w:r>
      <w:r w:rsidR="006B7A70">
        <w:t xml:space="preserve"> </w:t>
      </w:r>
      <w:r w:rsidR="006B7A70">
        <w:t>ScarboroughRadio</w:t>
      </w:r>
      <w:r w:rsidR="006B7A70">
        <w:t>, LLC</w:t>
      </w:r>
      <w:r w:rsidR="006B7A70">
        <w:rPr>
          <w:b/>
        </w:rPr>
        <w:t xml:space="preserve"> </w:t>
      </w:r>
      <w:r w:rsidR="006B7A70">
        <w:t xml:space="preserve">SHALL PAY the full amount of the proposed forfeiture or SHALL FILE a written statement seeking reduction or cancellation of the proposed forfeiture.”  </w:t>
      </w:r>
      <w:r w:rsidRPr="00FF7C34" w:rsidR="006B7A70">
        <w:rPr>
          <w:i/>
          <w:iCs/>
        </w:rPr>
        <w:t>NAL</w:t>
      </w:r>
      <w:r w:rsidR="006B7A70">
        <w:t xml:space="preserve"> at </w:t>
      </w:r>
      <w:r w:rsidR="00FF7C34">
        <w:t>4 para. 11.</w:t>
      </w:r>
    </w:p>
  </w:footnote>
  <w:footnote w:id="21">
    <w:p w:rsidR="00FA43EE" w14:paraId="1FF3821F" w14:textId="598830BB">
      <w:pPr>
        <w:pStyle w:val="FootnoteText"/>
      </w:pPr>
      <w:r>
        <w:rPr>
          <w:rStyle w:val="FootnoteReference"/>
        </w:rPr>
        <w:footnoteRef/>
      </w:r>
      <w:r>
        <w:t xml:space="preserve"> </w:t>
      </w:r>
      <w:r w:rsidRPr="00A232F2" w:rsidR="00A232F2">
        <w:rPr>
          <w:i/>
          <w:iCs/>
        </w:rPr>
        <w:t>See</w:t>
      </w:r>
      <w:r w:rsidR="00A232F2">
        <w:t xml:space="preserve"> </w:t>
      </w:r>
      <w:r>
        <w:t>47 CFR §§ 1.2109(a), 73.5003.</w:t>
      </w:r>
      <w:r w:rsidR="00A232F2">
        <w:t xml:space="preserve">  </w:t>
      </w:r>
      <w:r w:rsidR="00835ED5">
        <w:t xml:space="preserve">As set forth in the </w:t>
      </w:r>
      <w:r w:rsidRPr="00835ED5" w:rsidR="00835ED5">
        <w:rPr>
          <w:i/>
          <w:iCs/>
        </w:rPr>
        <w:t>Auction 109 Closing Public Notice</w:t>
      </w:r>
      <w:r w:rsidR="00835ED5">
        <w:t xml:space="preserve">, final payments were due by 6:00 p.m. Eastern Time on September 13, 2021, or by 6:00 p.m. Eastern Time on September 27, 2021, along with the 5% penalty set forth in 47 CFR § 1.2109(a).  </w:t>
      </w:r>
      <w:r w:rsidRPr="00835ED5" w:rsidR="00835ED5">
        <w:rPr>
          <w:i/>
          <w:iCs/>
        </w:rPr>
        <w:t>Auction 109 Closing Public Notice</w:t>
      </w:r>
      <w:r w:rsidR="00835ED5">
        <w:t xml:space="preserve"> at 3.  Scarborough timely made its payment by the September 27, 2021, deadline.</w:t>
      </w:r>
      <w:r w:rsidR="00EE5E80">
        <w:t xml:space="preserve">  There is, however, no parallel rule-based extended filing deadline for Form 2100, Schedule 301.</w:t>
      </w:r>
    </w:p>
  </w:footnote>
  <w:footnote w:id="22">
    <w:p w:rsidR="00E150DF" w:rsidRPr="00597F01" w14:paraId="5D3461E8" w14:textId="64F2E050">
      <w:pPr>
        <w:pStyle w:val="FootnoteText"/>
      </w:pPr>
      <w:r>
        <w:rPr>
          <w:rStyle w:val="FootnoteReference"/>
        </w:rPr>
        <w:footnoteRef/>
      </w:r>
      <w:r>
        <w:t xml:space="preserve"> </w:t>
      </w:r>
      <w:r w:rsidRPr="00E150DF">
        <w:rPr>
          <w:i/>
          <w:iCs/>
        </w:rPr>
        <w:t>See supra</w:t>
      </w:r>
      <w:r>
        <w:t xml:space="preserve"> para. 3.  Additionally, Scarborough timely paid the filing fee for its long-form Application</w:t>
      </w:r>
      <w:r w:rsidR="00C00B9C">
        <w:t>, which for the first time was a consolidated f</w:t>
      </w:r>
      <w:r w:rsidR="00597F01">
        <w:t xml:space="preserve">iling fee of $3,870 that included </w:t>
      </w:r>
      <w:r w:rsidRPr="00597F01" w:rsidR="00597F01">
        <w:t xml:space="preserve">an amount to recover costs for processing the </w:t>
      </w:r>
      <w:r w:rsidRPr="00597F01" w:rsidR="00597F01">
        <w:br/>
        <w:t>short-form application.</w:t>
      </w:r>
      <w:r w:rsidR="00597F01">
        <w:t xml:space="preserve">  </w:t>
      </w:r>
      <w:r w:rsidRPr="00597F01" w:rsidR="00597F01">
        <w:rPr>
          <w:i/>
          <w:iCs/>
        </w:rPr>
        <w:t>See Auction 109 Closing Public Notice</w:t>
      </w:r>
      <w:r w:rsidR="00597F01">
        <w:t xml:space="preserve"> at 7 n.24.</w:t>
      </w:r>
    </w:p>
  </w:footnote>
  <w:footnote w:id="23">
    <w:p w:rsidR="00E150DF" w14:paraId="337AD4FA" w14:textId="03A86744">
      <w:pPr>
        <w:pStyle w:val="FootnoteText"/>
      </w:pPr>
      <w:r>
        <w:rPr>
          <w:rStyle w:val="FootnoteReference"/>
        </w:rPr>
        <w:footnoteRef/>
      </w:r>
      <w:r>
        <w:t xml:space="preserve"> </w:t>
      </w:r>
      <w:r w:rsidRPr="00E150DF">
        <w:rPr>
          <w:i/>
          <w:iCs/>
        </w:rPr>
        <w:t>Id</w:t>
      </w:r>
      <w:r>
        <w:t>.</w:t>
      </w:r>
    </w:p>
  </w:footnote>
  <w:footnote w:id="24">
    <w:p w:rsidR="00EE0CCF" w:rsidRPr="00514C8E" w:rsidP="00EE0CCF" w14:paraId="04BE55AC" w14:textId="77777777">
      <w:pPr>
        <w:pStyle w:val="FootnoteText"/>
      </w:pPr>
      <w:r w:rsidRPr="00514C8E">
        <w:rPr>
          <w:rStyle w:val="FootnoteReference"/>
        </w:rPr>
        <w:footnoteRef/>
      </w:r>
      <w:r w:rsidRPr="00514C8E">
        <w:t xml:space="preserve"> </w:t>
      </w:r>
      <w:r w:rsidRPr="00514C8E">
        <w:t xml:space="preserve">Payments made using </w:t>
      </w:r>
      <w:r>
        <w:t>CORES</w:t>
      </w:r>
      <w:r w:rsidRPr="00514C8E">
        <w:t xml:space="preserve"> do not require the submission of an FCC Form 159.</w:t>
      </w:r>
    </w:p>
  </w:footnote>
  <w:footnote w:id="25">
    <w:p w:rsidR="00EE0CCF" w:rsidRPr="00514C8E" w:rsidP="00EE0CCF" w14:paraId="14E94B87" w14:textId="77777777">
      <w:pPr>
        <w:pStyle w:val="FootnoteText"/>
      </w:pPr>
      <w:r w:rsidRPr="00514C8E">
        <w:rPr>
          <w:rStyle w:val="FootnoteReference"/>
        </w:rPr>
        <w:footnoteRef/>
      </w:r>
      <w:r w:rsidRPr="00514C8E">
        <w:t xml:space="preserve"> </w:t>
      </w:r>
      <w:r w:rsidRPr="00514C8E">
        <w:t>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6">
    <w:p w:rsidR="00EE0CCF" w:rsidRPr="00514C8E" w:rsidP="00EE0CCF" w14:paraId="55033BAE" w14:textId="77777777">
      <w:pPr>
        <w:pStyle w:val="FootnoteText"/>
      </w:pPr>
      <w:r w:rsidRPr="00514C8E">
        <w:rPr>
          <w:rStyle w:val="FootnoteReference"/>
        </w:rPr>
        <w:footnoteRef/>
      </w:r>
      <w:r w:rsidRPr="00514C8E">
        <w:t xml:space="preserve"> </w:t>
      </w:r>
      <w:r w:rsidRPr="00514C8E">
        <w:t xml:space="preserve">Instructions for completing the form may be obtained at </w:t>
      </w:r>
      <w:hyperlink r:id="rId2" w:history="1">
        <w:r w:rsidRPr="00514C8E">
          <w:rPr>
            <w:rStyle w:val="Hyperlink"/>
          </w:rPr>
          <w:t>https://www.fcc.gov/Forms/Form159/159.pdf</w:t>
        </w:r>
      </w:hyperlink>
      <w:r w:rsidRPr="00514C8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1960DFD" w14:textId="39142B1B">
    <w:pPr>
      <w:pStyle w:val="Header"/>
      <w:rPr>
        <w:b w:val="0"/>
      </w:rPr>
    </w:pPr>
    <w:r>
      <w:tab/>
    </w:r>
    <w:r>
      <w:t>Federal Communications Commission</w:t>
    </w:r>
    <w:r>
      <w:tab/>
    </w:r>
    <w:r w:rsidR="00573D6C">
      <w:t>DA 2</w:t>
    </w:r>
    <w:r w:rsidR="00A54116">
      <w:t>2</w:t>
    </w:r>
    <w:r w:rsidR="00573D6C">
      <w:t>-</w:t>
    </w:r>
    <w:r w:rsidR="000F1F8C">
      <w:t>114</w:t>
    </w:r>
  </w:p>
  <w:p w:rsidR="00D25FB5" w14:paraId="14A35B6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9F67CF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B31CEDF" w14:textId="66B34C1C">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573D6C">
      <w:rPr>
        <w:spacing w:val="-2"/>
      </w:rPr>
      <w:t>DA 2</w:t>
    </w:r>
    <w:r w:rsidR="00E9410A">
      <w:rPr>
        <w:spacing w:val="-2"/>
      </w:rPr>
      <w:t>2</w:t>
    </w:r>
    <w:r w:rsidR="00573D6C">
      <w:rPr>
        <w:spacing w:val="-2"/>
      </w:rPr>
      <w:t>-</w:t>
    </w:r>
    <w:r>
      <w:rPr>
        <w:spacing w:val="-2"/>
      </w:rPr>
      <w:t>114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17C8A63C"/>
    <w:lvl w:ilvl="0">
      <w:start w:val="1"/>
      <w:numFmt w:val="decimal"/>
      <w:lvlText w:val="%1."/>
      <w:lvlJc w:val="left"/>
      <w:pPr>
        <w:tabs>
          <w:tab w:val="num" w:pos="450"/>
        </w:tabs>
        <w:ind w:left="-630" w:firstLine="720"/>
      </w:pPr>
      <w:rPr>
        <w:rFonts w:ascii="Times New Roman" w:hAnsi="Times New Roman" w:hint="default"/>
        <w:b w:val="0"/>
        <w:i w:val="0"/>
        <w:caps w:val="0"/>
        <w:strike w:val="0"/>
        <w:dstrike w:val="0"/>
        <w:vanish w:val="0"/>
        <w:sz w:val="22"/>
        <w:szCs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4"/>
  </w:num>
  <w:num w:numId="4">
    <w:abstractNumId w:val="6"/>
  </w:num>
  <w:num w:numId="5">
    <w:abstractNumId w:val="2"/>
  </w:num>
  <w:num w:numId="6">
    <w:abstractNumId w:val="0"/>
  </w:num>
  <w:num w:numId="7">
    <w:abstractNumId w:val="5"/>
  </w:num>
  <w:num w:numId="8">
    <w:abstractNumId w:val="7"/>
    <w:lvlOverride w:ilvl="0">
      <w:startOverride w:val="1"/>
    </w:lvlOverride>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110B0"/>
    <w:rsid w:val="00013743"/>
    <w:rsid w:val="00021174"/>
    <w:rsid w:val="00024DB8"/>
    <w:rsid w:val="00026C7E"/>
    <w:rsid w:val="00036039"/>
    <w:rsid w:val="00037F90"/>
    <w:rsid w:val="000830AE"/>
    <w:rsid w:val="00086548"/>
    <w:rsid w:val="000875BF"/>
    <w:rsid w:val="00090488"/>
    <w:rsid w:val="00093728"/>
    <w:rsid w:val="00096D8C"/>
    <w:rsid w:val="000C0B65"/>
    <w:rsid w:val="000E05FE"/>
    <w:rsid w:val="000E3D42"/>
    <w:rsid w:val="000F1F8C"/>
    <w:rsid w:val="00102284"/>
    <w:rsid w:val="0011186F"/>
    <w:rsid w:val="00122BD5"/>
    <w:rsid w:val="00133F79"/>
    <w:rsid w:val="00135B11"/>
    <w:rsid w:val="00183CB0"/>
    <w:rsid w:val="00194A66"/>
    <w:rsid w:val="001A64F9"/>
    <w:rsid w:val="001D6BCF"/>
    <w:rsid w:val="001E01CA"/>
    <w:rsid w:val="00203D0F"/>
    <w:rsid w:val="00211B89"/>
    <w:rsid w:val="00271189"/>
    <w:rsid w:val="00275CF5"/>
    <w:rsid w:val="0028301F"/>
    <w:rsid w:val="00285017"/>
    <w:rsid w:val="00291005"/>
    <w:rsid w:val="002A2D2E"/>
    <w:rsid w:val="002C00E8"/>
    <w:rsid w:val="002C54EA"/>
    <w:rsid w:val="002D1444"/>
    <w:rsid w:val="002E0B32"/>
    <w:rsid w:val="003022B9"/>
    <w:rsid w:val="0030633D"/>
    <w:rsid w:val="00343749"/>
    <w:rsid w:val="003660ED"/>
    <w:rsid w:val="003857A4"/>
    <w:rsid w:val="003B0550"/>
    <w:rsid w:val="003B694F"/>
    <w:rsid w:val="003F171C"/>
    <w:rsid w:val="003F517F"/>
    <w:rsid w:val="003F799E"/>
    <w:rsid w:val="00412FC5"/>
    <w:rsid w:val="00422276"/>
    <w:rsid w:val="004242F1"/>
    <w:rsid w:val="00445A00"/>
    <w:rsid w:val="00450021"/>
    <w:rsid w:val="00451535"/>
    <w:rsid w:val="00451B0F"/>
    <w:rsid w:val="00467434"/>
    <w:rsid w:val="0047030E"/>
    <w:rsid w:val="00471973"/>
    <w:rsid w:val="004B1D3B"/>
    <w:rsid w:val="004C2EE3"/>
    <w:rsid w:val="004D37B7"/>
    <w:rsid w:val="004E4A22"/>
    <w:rsid w:val="00511968"/>
    <w:rsid w:val="00514C8E"/>
    <w:rsid w:val="00515915"/>
    <w:rsid w:val="00546822"/>
    <w:rsid w:val="00547554"/>
    <w:rsid w:val="0055614C"/>
    <w:rsid w:val="00566D06"/>
    <w:rsid w:val="00573D6C"/>
    <w:rsid w:val="00591AAC"/>
    <w:rsid w:val="00597F01"/>
    <w:rsid w:val="005A3D0C"/>
    <w:rsid w:val="005E14C2"/>
    <w:rsid w:val="00607BA5"/>
    <w:rsid w:val="0061180A"/>
    <w:rsid w:val="00622E61"/>
    <w:rsid w:val="00626EB6"/>
    <w:rsid w:val="00627CAD"/>
    <w:rsid w:val="00655D03"/>
    <w:rsid w:val="00683388"/>
    <w:rsid w:val="00683F84"/>
    <w:rsid w:val="006A6A81"/>
    <w:rsid w:val="006B646E"/>
    <w:rsid w:val="006B7A70"/>
    <w:rsid w:val="006C6860"/>
    <w:rsid w:val="006D3356"/>
    <w:rsid w:val="006F7393"/>
    <w:rsid w:val="0070224F"/>
    <w:rsid w:val="00706CC3"/>
    <w:rsid w:val="007100BA"/>
    <w:rsid w:val="007115F7"/>
    <w:rsid w:val="00785689"/>
    <w:rsid w:val="00796747"/>
    <w:rsid w:val="0079754B"/>
    <w:rsid w:val="007A1E6D"/>
    <w:rsid w:val="007B0EB2"/>
    <w:rsid w:val="007D34F7"/>
    <w:rsid w:val="008104E9"/>
    <w:rsid w:val="00810B6F"/>
    <w:rsid w:val="00822CE0"/>
    <w:rsid w:val="00824F24"/>
    <w:rsid w:val="00831AA6"/>
    <w:rsid w:val="00835ED5"/>
    <w:rsid w:val="00841AB1"/>
    <w:rsid w:val="0086090D"/>
    <w:rsid w:val="008670F8"/>
    <w:rsid w:val="008C68F1"/>
    <w:rsid w:val="008E235E"/>
    <w:rsid w:val="008F1F3C"/>
    <w:rsid w:val="00906D64"/>
    <w:rsid w:val="00921803"/>
    <w:rsid w:val="00926503"/>
    <w:rsid w:val="00964742"/>
    <w:rsid w:val="009726D8"/>
    <w:rsid w:val="009D2C5A"/>
    <w:rsid w:val="009D7308"/>
    <w:rsid w:val="009F7655"/>
    <w:rsid w:val="009F76DB"/>
    <w:rsid w:val="00A14165"/>
    <w:rsid w:val="00A2207F"/>
    <w:rsid w:val="00A232F2"/>
    <w:rsid w:val="00A32959"/>
    <w:rsid w:val="00A32C3B"/>
    <w:rsid w:val="00A41798"/>
    <w:rsid w:val="00A45F4F"/>
    <w:rsid w:val="00A54116"/>
    <w:rsid w:val="00A600A9"/>
    <w:rsid w:val="00A74CE7"/>
    <w:rsid w:val="00A75569"/>
    <w:rsid w:val="00A94AA4"/>
    <w:rsid w:val="00AA55B7"/>
    <w:rsid w:val="00AA5B9E"/>
    <w:rsid w:val="00AB2407"/>
    <w:rsid w:val="00AB53DF"/>
    <w:rsid w:val="00AC7D8F"/>
    <w:rsid w:val="00AF2D1C"/>
    <w:rsid w:val="00B07E5C"/>
    <w:rsid w:val="00B46528"/>
    <w:rsid w:val="00B5236E"/>
    <w:rsid w:val="00B811F7"/>
    <w:rsid w:val="00BA5DC6"/>
    <w:rsid w:val="00BA6196"/>
    <w:rsid w:val="00BC6D8C"/>
    <w:rsid w:val="00BE3744"/>
    <w:rsid w:val="00BF7F69"/>
    <w:rsid w:val="00C00B9C"/>
    <w:rsid w:val="00C0563A"/>
    <w:rsid w:val="00C138DD"/>
    <w:rsid w:val="00C34006"/>
    <w:rsid w:val="00C36B4C"/>
    <w:rsid w:val="00C426B1"/>
    <w:rsid w:val="00C57930"/>
    <w:rsid w:val="00C66160"/>
    <w:rsid w:val="00C721AC"/>
    <w:rsid w:val="00C756D4"/>
    <w:rsid w:val="00C90D6A"/>
    <w:rsid w:val="00C9491C"/>
    <w:rsid w:val="00CA247E"/>
    <w:rsid w:val="00CA6D21"/>
    <w:rsid w:val="00CB4882"/>
    <w:rsid w:val="00CC1F44"/>
    <w:rsid w:val="00CC72B6"/>
    <w:rsid w:val="00CD13ED"/>
    <w:rsid w:val="00CD3A69"/>
    <w:rsid w:val="00CE2726"/>
    <w:rsid w:val="00CE5ECF"/>
    <w:rsid w:val="00CF47A3"/>
    <w:rsid w:val="00D0218D"/>
    <w:rsid w:val="00D070CE"/>
    <w:rsid w:val="00D15CBC"/>
    <w:rsid w:val="00D17499"/>
    <w:rsid w:val="00D25FB5"/>
    <w:rsid w:val="00D32C37"/>
    <w:rsid w:val="00D44223"/>
    <w:rsid w:val="00DA2529"/>
    <w:rsid w:val="00DB130A"/>
    <w:rsid w:val="00DB1EF1"/>
    <w:rsid w:val="00DB2EBB"/>
    <w:rsid w:val="00DC10A1"/>
    <w:rsid w:val="00DC2951"/>
    <w:rsid w:val="00DC655F"/>
    <w:rsid w:val="00DD0B59"/>
    <w:rsid w:val="00DD7EBD"/>
    <w:rsid w:val="00DF62B6"/>
    <w:rsid w:val="00E07225"/>
    <w:rsid w:val="00E150DF"/>
    <w:rsid w:val="00E161EF"/>
    <w:rsid w:val="00E30D90"/>
    <w:rsid w:val="00E5409F"/>
    <w:rsid w:val="00E924E9"/>
    <w:rsid w:val="00E9410A"/>
    <w:rsid w:val="00E96441"/>
    <w:rsid w:val="00EC1656"/>
    <w:rsid w:val="00EC6325"/>
    <w:rsid w:val="00ED7014"/>
    <w:rsid w:val="00EE0CCF"/>
    <w:rsid w:val="00EE329C"/>
    <w:rsid w:val="00EE5E80"/>
    <w:rsid w:val="00EE6488"/>
    <w:rsid w:val="00EE69D7"/>
    <w:rsid w:val="00F021FA"/>
    <w:rsid w:val="00F133EF"/>
    <w:rsid w:val="00F25C6D"/>
    <w:rsid w:val="00F62E97"/>
    <w:rsid w:val="00F64209"/>
    <w:rsid w:val="00F93BF5"/>
    <w:rsid w:val="00FA43EE"/>
    <w:rsid w:val="00FE37FF"/>
    <w:rsid w:val="00FF7C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6E1DEC"/>
  <w15:chartTrackingRefBased/>
  <w15:docId w15:val="{82E75A8E-2C5C-43EF-A233-31D56FB0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0F1F8C"/>
    <w:pPr>
      <w:widowControl w:val="0"/>
    </w:pPr>
    <w:rPr>
      <w:snapToGrid w:val="0"/>
      <w:kern w:val="28"/>
      <w:sz w:val="22"/>
    </w:rPr>
  </w:style>
  <w:style w:type="paragraph" w:styleId="Heading1">
    <w:name w:val="heading 1"/>
    <w:basedOn w:val="Normal"/>
    <w:next w:val="ParaNum"/>
    <w:qFormat/>
    <w:rsid w:val="000F1F8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F1F8C"/>
    <w:pPr>
      <w:keepNext/>
      <w:numPr>
        <w:ilvl w:val="1"/>
        <w:numId w:val="3"/>
      </w:numPr>
      <w:spacing w:after="120"/>
      <w:outlineLvl w:val="1"/>
    </w:pPr>
    <w:rPr>
      <w:b/>
    </w:rPr>
  </w:style>
  <w:style w:type="paragraph" w:styleId="Heading3">
    <w:name w:val="heading 3"/>
    <w:basedOn w:val="Normal"/>
    <w:next w:val="ParaNum"/>
    <w:qFormat/>
    <w:rsid w:val="000F1F8C"/>
    <w:pPr>
      <w:keepNext/>
      <w:numPr>
        <w:ilvl w:val="2"/>
        <w:numId w:val="3"/>
      </w:numPr>
      <w:tabs>
        <w:tab w:val="left" w:pos="2160"/>
      </w:tabs>
      <w:spacing w:after="120"/>
      <w:outlineLvl w:val="2"/>
    </w:pPr>
    <w:rPr>
      <w:b/>
    </w:rPr>
  </w:style>
  <w:style w:type="paragraph" w:styleId="Heading4">
    <w:name w:val="heading 4"/>
    <w:basedOn w:val="Normal"/>
    <w:next w:val="ParaNum"/>
    <w:qFormat/>
    <w:rsid w:val="000F1F8C"/>
    <w:pPr>
      <w:keepNext/>
      <w:numPr>
        <w:ilvl w:val="3"/>
        <w:numId w:val="3"/>
      </w:numPr>
      <w:tabs>
        <w:tab w:val="left" w:pos="2880"/>
      </w:tabs>
      <w:spacing w:after="120"/>
      <w:outlineLvl w:val="3"/>
    </w:pPr>
    <w:rPr>
      <w:b/>
    </w:rPr>
  </w:style>
  <w:style w:type="paragraph" w:styleId="Heading5">
    <w:name w:val="heading 5"/>
    <w:basedOn w:val="Normal"/>
    <w:next w:val="ParaNum"/>
    <w:qFormat/>
    <w:rsid w:val="000F1F8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F1F8C"/>
    <w:pPr>
      <w:numPr>
        <w:ilvl w:val="5"/>
        <w:numId w:val="3"/>
      </w:numPr>
      <w:tabs>
        <w:tab w:val="left" w:pos="4320"/>
      </w:tabs>
      <w:spacing w:after="120"/>
      <w:outlineLvl w:val="5"/>
    </w:pPr>
    <w:rPr>
      <w:b/>
    </w:rPr>
  </w:style>
  <w:style w:type="paragraph" w:styleId="Heading7">
    <w:name w:val="heading 7"/>
    <w:basedOn w:val="Normal"/>
    <w:next w:val="ParaNum"/>
    <w:qFormat/>
    <w:rsid w:val="000F1F8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F1F8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F1F8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F1F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1F8C"/>
  </w:style>
  <w:style w:type="paragraph" w:customStyle="1" w:styleId="ParaNum">
    <w:name w:val="ParaNum"/>
    <w:basedOn w:val="Normal"/>
    <w:link w:val="ParaNumChar"/>
    <w:rsid w:val="000F1F8C"/>
    <w:pPr>
      <w:numPr>
        <w:numId w:val="2"/>
      </w:numPr>
      <w:tabs>
        <w:tab w:val="clear" w:pos="1080"/>
        <w:tab w:val="num" w:pos="1440"/>
      </w:tabs>
      <w:spacing w:after="120"/>
    </w:pPr>
  </w:style>
  <w:style w:type="paragraph" w:styleId="EndnoteText">
    <w:name w:val="endnote text"/>
    <w:basedOn w:val="Normal"/>
    <w:semiHidden/>
    <w:rsid w:val="000F1F8C"/>
    <w:rPr>
      <w:sz w:val="20"/>
    </w:rPr>
  </w:style>
  <w:style w:type="character" w:styleId="EndnoteReference">
    <w:name w:val="endnote reference"/>
    <w:semiHidden/>
    <w:rsid w:val="000F1F8C"/>
    <w:rPr>
      <w:vertAlign w:val="superscript"/>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fn Char Char"/>
    <w:link w:val="FootnoteTextChar"/>
    <w:rsid w:val="000F1F8C"/>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0F1F8C"/>
    <w:rPr>
      <w:rFonts w:ascii="Times New Roman" w:hAnsi="Times New Roman"/>
      <w:dstrike w:val="0"/>
      <w:color w:val="auto"/>
      <w:sz w:val="20"/>
      <w:vertAlign w:val="superscript"/>
    </w:rPr>
  </w:style>
  <w:style w:type="paragraph" w:styleId="TOC1">
    <w:name w:val="toc 1"/>
    <w:basedOn w:val="Normal"/>
    <w:next w:val="Normal"/>
    <w:semiHidden/>
    <w:rsid w:val="000F1F8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F1F8C"/>
    <w:pPr>
      <w:tabs>
        <w:tab w:val="left" w:pos="720"/>
        <w:tab w:val="right" w:leader="dot" w:pos="9360"/>
      </w:tabs>
      <w:suppressAutoHyphens/>
      <w:ind w:left="720" w:right="720" w:hanging="360"/>
    </w:pPr>
    <w:rPr>
      <w:noProof/>
    </w:rPr>
  </w:style>
  <w:style w:type="paragraph" w:styleId="TOC3">
    <w:name w:val="toc 3"/>
    <w:basedOn w:val="Normal"/>
    <w:next w:val="Normal"/>
    <w:semiHidden/>
    <w:rsid w:val="000F1F8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F1F8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F1F8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F1F8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F1F8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F1F8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F1F8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F1F8C"/>
    <w:pPr>
      <w:tabs>
        <w:tab w:val="right" w:pos="9360"/>
      </w:tabs>
      <w:suppressAutoHyphens/>
    </w:pPr>
  </w:style>
  <w:style w:type="character" w:customStyle="1" w:styleId="EquationCaption">
    <w:name w:val="_Equation Caption"/>
    <w:rsid w:val="000F1F8C"/>
  </w:style>
  <w:style w:type="paragraph" w:styleId="Header">
    <w:name w:val="header"/>
    <w:basedOn w:val="Normal"/>
    <w:autoRedefine/>
    <w:rsid w:val="000F1F8C"/>
    <w:pPr>
      <w:tabs>
        <w:tab w:val="center" w:pos="4680"/>
        <w:tab w:val="right" w:pos="9360"/>
      </w:tabs>
    </w:pPr>
    <w:rPr>
      <w:b/>
    </w:rPr>
  </w:style>
  <w:style w:type="paragraph" w:styleId="Footer">
    <w:name w:val="footer"/>
    <w:basedOn w:val="Normal"/>
    <w:link w:val="FooterChar"/>
    <w:uiPriority w:val="99"/>
    <w:rsid w:val="000F1F8C"/>
    <w:pPr>
      <w:tabs>
        <w:tab w:val="center" w:pos="4320"/>
        <w:tab w:val="right" w:pos="8640"/>
      </w:tabs>
    </w:pPr>
  </w:style>
  <w:style w:type="character" w:styleId="PageNumber">
    <w:name w:val="page number"/>
    <w:basedOn w:val="DefaultParagraphFont"/>
    <w:rsid w:val="000F1F8C"/>
  </w:style>
  <w:style w:type="paragraph" w:styleId="BlockText">
    <w:name w:val="Block Text"/>
    <w:basedOn w:val="Normal"/>
    <w:rsid w:val="000F1F8C"/>
    <w:pPr>
      <w:spacing w:after="240"/>
      <w:ind w:left="1440" w:right="1440"/>
    </w:pPr>
  </w:style>
  <w:style w:type="paragraph" w:customStyle="1" w:styleId="Paratitle">
    <w:name w:val="Para title"/>
    <w:basedOn w:val="Normal"/>
    <w:rsid w:val="000F1F8C"/>
    <w:pPr>
      <w:tabs>
        <w:tab w:val="center" w:pos="9270"/>
      </w:tabs>
      <w:spacing w:after="240"/>
    </w:pPr>
    <w:rPr>
      <w:spacing w:val="-2"/>
    </w:rPr>
  </w:style>
  <w:style w:type="paragraph" w:customStyle="1" w:styleId="Bullet">
    <w:name w:val="Bullet"/>
    <w:basedOn w:val="Normal"/>
    <w:rsid w:val="000F1F8C"/>
    <w:pPr>
      <w:tabs>
        <w:tab w:val="left" w:pos="2160"/>
      </w:tabs>
      <w:spacing w:after="220"/>
      <w:ind w:left="2160" w:hanging="720"/>
    </w:pPr>
  </w:style>
  <w:style w:type="paragraph" w:customStyle="1" w:styleId="TableFormat">
    <w:name w:val="TableFormat"/>
    <w:basedOn w:val="Bullet"/>
    <w:rsid w:val="000F1F8C"/>
    <w:pPr>
      <w:tabs>
        <w:tab w:val="clear" w:pos="2160"/>
        <w:tab w:val="left" w:pos="5040"/>
      </w:tabs>
      <w:ind w:left="5040" w:hanging="3600"/>
    </w:pPr>
  </w:style>
  <w:style w:type="paragraph" w:customStyle="1" w:styleId="TOCTitle">
    <w:name w:val="TOC Title"/>
    <w:basedOn w:val="Normal"/>
    <w:rsid w:val="000F1F8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F1F8C"/>
    <w:pPr>
      <w:jc w:val="center"/>
    </w:pPr>
    <w:rPr>
      <w:rFonts w:ascii="Times New Roman Bold" w:hAnsi="Times New Roman Bold"/>
      <w:b/>
      <w:bCs/>
      <w:caps/>
      <w:szCs w:val="22"/>
    </w:rPr>
  </w:style>
  <w:style w:type="character" w:styleId="Hyperlink">
    <w:name w:val="Hyperlink"/>
    <w:rsid w:val="000F1F8C"/>
    <w:rPr>
      <w:color w:val="0000FF"/>
      <w:u w:val="single"/>
    </w:rPr>
  </w:style>
  <w:style w:type="character" w:customStyle="1" w:styleId="FooterChar">
    <w:name w:val="Footer Char"/>
    <w:link w:val="Footer"/>
    <w:uiPriority w:val="99"/>
    <w:rsid w:val="000F1F8C"/>
    <w:rPr>
      <w:snapToGrid w:val="0"/>
      <w:kern w:val="28"/>
      <w:sz w:val="22"/>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 Char"/>
    <w:link w:val="FootnoteText"/>
    <w:rsid w:val="00CE2726"/>
  </w:style>
  <w:style w:type="character" w:customStyle="1" w:styleId="ParaNumChar">
    <w:name w:val="ParaNum Char"/>
    <w:link w:val="ParaNum"/>
    <w:locked/>
    <w:rsid w:val="00CE2726"/>
    <w:rPr>
      <w:snapToGrid w:val="0"/>
      <w:kern w:val="28"/>
      <w:sz w:val="22"/>
    </w:rPr>
  </w:style>
  <w:style w:type="character" w:customStyle="1" w:styleId="FootnoteTextCharCharCharChar3CharCharChar1">
    <w:name w:val="Footnote Text Char Char Char Char3 Char Char Char1"/>
    <w:aliases w:val="Footnote Text Char Char Char Char3 Char,Footnote Text Char Char3 Char,Footnote Text Char Char4,Footnote Text Char1 Char Char3 Char,Footnote Text Char1 Char Char3 Char Char Char,Footnote Text Char3 Char1"/>
    <w:rsid w:val="00CE2726"/>
    <w:rPr>
      <w:lang w:val="en-US" w:eastAsia="en-US" w:bidi="ar-SA"/>
    </w:rPr>
  </w:style>
  <w:style w:type="character" w:customStyle="1" w:styleId="highlight">
    <w:name w:val="highlight"/>
    <w:basedOn w:val="DefaultParagraphFont"/>
    <w:rsid w:val="00CE2726"/>
  </w:style>
  <w:style w:type="character" w:styleId="CommentReference">
    <w:name w:val="annotation reference"/>
    <w:basedOn w:val="DefaultParagraphFont"/>
    <w:rsid w:val="00A2207F"/>
    <w:rPr>
      <w:sz w:val="16"/>
      <w:szCs w:val="16"/>
    </w:rPr>
  </w:style>
  <w:style w:type="paragraph" w:styleId="CommentText">
    <w:name w:val="annotation text"/>
    <w:basedOn w:val="Normal"/>
    <w:link w:val="CommentTextChar"/>
    <w:rsid w:val="00A2207F"/>
    <w:rPr>
      <w:sz w:val="20"/>
    </w:rPr>
  </w:style>
  <w:style w:type="character" w:customStyle="1" w:styleId="CommentTextChar">
    <w:name w:val="Comment Text Char"/>
    <w:basedOn w:val="DefaultParagraphFont"/>
    <w:link w:val="CommentText"/>
    <w:rsid w:val="00A2207F"/>
    <w:rPr>
      <w:snapToGrid w:val="0"/>
      <w:kern w:val="28"/>
    </w:rPr>
  </w:style>
  <w:style w:type="paragraph" w:styleId="CommentSubject">
    <w:name w:val="annotation subject"/>
    <w:basedOn w:val="CommentText"/>
    <w:next w:val="CommentText"/>
    <w:link w:val="CommentSubjectChar"/>
    <w:rsid w:val="00A2207F"/>
    <w:rPr>
      <w:b/>
      <w:bCs/>
    </w:rPr>
  </w:style>
  <w:style w:type="character" w:customStyle="1" w:styleId="CommentSubjectChar">
    <w:name w:val="Comment Subject Char"/>
    <w:basedOn w:val="CommentTextChar"/>
    <w:link w:val="CommentSubject"/>
    <w:rsid w:val="00A2207F"/>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microsoft.com/office/2006/relationships/keyMapCustomizations" Target="customizations.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cores/userLogin.do" TargetMode="External" /><Relationship Id="rId8" Type="http://schemas.openxmlformats.org/officeDocument/2006/relationships/hyperlink" Target="https://apps.fcc.gov/cores/paymentFrnLogin.do"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