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D5059" w:rsidP="00D47505" w14:paraId="361E1F6A" w14:textId="77777777">
      <w:pPr>
        <w:jc w:val="right"/>
        <w:rPr>
          <w:b/>
          <w:sz w:val="24"/>
        </w:rPr>
      </w:pPr>
    </w:p>
    <w:p w:rsidR="007D5059" w:rsidP="00D47505" w14:paraId="3CA8051E" w14:textId="77777777">
      <w:pPr>
        <w:jc w:val="right"/>
        <w:rPr>
          <w:b/>
          <w:sz w:val="24"/>
        </w:rPr>
      </w:pPr>
    </w:p>
    <w:p w:rsidR="00D47505" w:rsidRPr="00B20363" w:rsidP="09442535" w14:paraId="3BEA1EF2" w14:textId="5439B2C9">
      <w:pPr>
        <w:jc w:val="right"/>
        <w:rPr>
          <w:b/>
          <w:bCs/>
          <w:sz w:val="24"/>
          <w:szCs w:val="24"/>
        </w:rPr>
      </w:pPr>
      <w:r w:rsidRPr="20A59B84">
        <w:rPr>
          <w:b/>
          <w:bCs/>
          <w:sz w:val="24"/>
          <w:szCs w:val="24"/>
        </w:rPr>
        <w:t xml:space="preserve">DA </w:t>
      </w:r>
    </w:p>
    <w:p w:rsidR="00D47505" w:rsidRPr="00B20363" w:rsidP="09442535" w14:paraId="1FB205A1" w14:textId="6CF38B04">
      <w:pPr>
        <w:spacing w:before="60"/>
        <w:jc w:val="right"/>
        <w:rPr>
          <w:b/>
          <w:bCs/>
          <w:sz w:val="24"/>
          <w:szCs w:val="24"/>
        </w:rPr>
      </w:pPr>
      <w:r w:rsidRPr="54E644DC">
        <w:rPr>
          <w:b/>
          <w:bCs/>
          <w:sz w:val="24"/>
          <w:szCs w:val="24"/>
        </w:rPr>
        <w:t xml:space="preserve">Released:  </w:t>
      </w:r>
      <w:r w:rsidRPr="54E644DC" w:rsidR="00256430">
        <w:rPr>
          <w:b/>
          <w:bCs/>
          <w:sz w:val="24"/>
          <w:szCs w:val="24"/>
        </w:rPr>
        <w:t>November</w:t>
      </w:r>
      <w:r w:rsidRPr="54E644DC" w:rsidR="002D6A49">
        <w:rPr>
          <w:b/>
          <w:bCs/>
          <w:sz w:val="24"/>
          <w:szCs w:val="24"/>
        </w:rPr>
        <w:t xml:space="preserve"> </w:t>
      </w:r>
      <w:r w:rsidRPr="54E644DC" w:rsidR="00256430">
        <w:rPr>
          <w:b/>
          <w:bCs/>
          <w:sz w:val="24"/>
          <w:szCs w:val="24"/>
        </w:rPr>
        <w:t>4</w:t>
      </w:r>
      <w:r w:rsidRPr="54E644DC" w:rsidR="000923E2">
        <w:rPr>
          <w:b/>
          <w:bCs/>
          <w:sz w:val="24"/>
          <w:szCs w:val="24"/>
        </w:rPr>
        <w:t>,</w:t>
      </w:r>
      <w:r w:rsidRPr="54E644DC" w:rsidR="002D6A49">
        <w:rPr>
          <w:b/>
          <w:bCs/>
          <w:sz w:val="24"/>
          <w:szCs w:val="24"/>
        </w:rPr>
        <w:t xml:space="preserve"> </w:t>
      </w:r>
      <w:r w:rsidRPr="54E644DC" w:rsidR="00256430">
        <w:rPr>
          <w:b/>
          <w:bCs/>
          <w:sz w:val="24"/>
          <w:szCs w:val="24"/>
        </w:rPr>
        <w:t>2022</w:t>
      </w:r>
    </w:p>
    <w:p w:rsidR="00D47505" w:rsidP="00D47505" w14:paraId="0B8EB18E" w14:textId="77777777">
      <w:pPr>
        <w:jc w:val="right"/>
        <w:rPr>
          <w:sz w:val="24"/>
        </w:rPr>
      </w:pPr>
    </w:p>
    <w:p w:rsidR="0045172D" w:rsidP="0045172D" w14:paraId="7C3E53AC" w14:textId="77777777">
      <w:pPr>
        <w:spacing w:line="252" w:lineRule="exact"/>
        <w:ind w:right="122"/>
        <w:jc w:val="center"/>
        <w:rPr>
          <w:b/>
          <w:bCs/>
          <w:color w:val="242021"/>
        </w:rPr>
      </w:pPr>
      <w:r>
        <w:rPr>
          <w:b/>
          <w:bCs/>
          <w:color w:val="242021"/>
          <w:spacing w:val="-1"/>
        </w:rPr>
        <w:t>TH</w:t>
      </w:r>
      <w:r>
        <w:rPr>
          <w:b/>
          <w:bCs/>
          <w:color w:val="242021"/>
        </w:rPr>
        <w:t xml:space="preserve">E </w:t>
      </w:r>
      <w:r>
        <w:rPr>
          <w:b/>
          <w:bCs/>
          <w:color w:val="242021"/>
          <w:spacing w:val="-1"/>
        </w:rPr>
        <w:t>CONSUME</w:t>
      </w:r>
      <w:r>
        <w:rPr>
          <w:b/>
          <w:bCs/>
          <w:color w:val="242021"/>
        </w:rPr>
        <w:t xml:space="preserve">R AND </w:t>
      </w:r>
      <w:r>
        <w:rPr>
          <w:b/>
          <w:bCs/>
          <w:color w:val="242021"/>
          <w:spacing w:val="-1"/>
        </w:rPr>
        <w:t>GOVERNMENTA</w:t>
      </w:r>
      <w:r>
        <w:rPr>
          <w:b/>
          <w:bCs/>
          <w:color w:val="242021"/>
        </w:rPr>
        <w:t xml:space="preserve">L </w:t>
      </w:r>
      <w:r>
        <w:rPr>
          <w:b/>
          <w:bCs/>
          <w:color w:val="242021"/>
          <w:spacing w:val="-1"/>
        </w:rPr>
        <w:t>AFFAIR</w:t>
      </w:r>
      <w:r>
        <w:rPr>
          <w:b/>
          <w:bCs/>
          <w:color w:val="242021"/>
        </w:rPr>
        <w:t xml:space="preserve">S </w:t>
      </w:r>
      <w:r>
        <w:rPr>
          <w:b/>
          <w:bCs/>
          <w:color w:val="242021"/>
          <w:spacing w:val="-1"/>
        </w:rPr>
        <w:t>BUREA</w:t>
      </w:r>
      <w:r>
        <w:rPr>
          <w:b/>
          <w:bCs/>
          <w:color w:val="242021"/>
        </w:rPr>
        <w:t xml:space="preserve">U </w:t>
      </w:r>
      <w:r>
        <w:rPr>
          <w:b/>
          <w:bCs/>
          <w:color w:val="242021"/>
          <w:spacing w:val="-1"/>
        </w:rPr>
        <w:t>SEEKS</w:t>
      </w:r>
      <w:r>
        <w:rPr>
          <w:b/>
          <w:bCs/>
          <w:color w:val="242021"/>
        </w:rPr>
        <w:t xml:space="preserve"> </w:t>
      </w:r>
      <w:r>
        <w:rPr>
          <w:b/>
          <w:bCs/>
          <w:color w:val="242021"/>
          <w:spacing w:val="-1"/>
        </w:rPr>
        <w:t>COMMEN</w:t>
      </w:r>
      <w:r>
        <w:rPr>
          <w:b/>
          <w:bCs/>
          <w:color w:val="242021"/>
        </w:rPr>
        <w:t xml:space="preserve">T </w:t>
      </w:r>
      <w:r>
        <w:rPr>
          <w:b/>
          <w:bCs/>
          <w:color w:val="242021"/>
          <w:spacing w:val="-1"/>
        </w:rPr>
        <w:t>O</w:t>
      </w:r>
      <w:r>
        <w:rPr>
          <w:b/>
          <w:bCs/>
          <w:color w:val="242021"/>
        </w:rPr>
        <w:t xml:space="preserve">N </w:t>
      </w:r>
      <w:r>
        <w:rPr>
          <w:b/>
          <w:bCs/>
          <w:color w:val="242021"/>
          <w:spacing w:val="-1"/>
        </w:rPr>
        <w:t>THE COMMISSION’</w:t>
      </w:r>
      <w:r>
        <w:rPr>
          <w:b/>
          <w:bCs/>
          <w:color w:val="242021"/>
        </w:rPr>
        <w:t>S</w:t>
      </w:r>
      <w:r>
        <w:rPr>
          <w:b/>
          <w:bCs/>
          <w:color w:val="242021"/>
          <w:spacing w:val="-1"/>
        </w:rPr>
        <w:t xml:space="preserve"> POLICIE</w:t>
      </w:r>
      <w:r>
        <w:rPr>
          <w:b/>
          <w:bCs/>
          <w:color w:val="242021"/>
        </w:rPr>
        <w:t>S</w:t>
      </w:r>
      <w:r>
        <w:rPr>
          <w:b/>
          <w:bCs/>
          <w:color w:val="242021"/>
          <w:spacing w:val="-1"/>
        </w:rPr>
        <w:t xml:space="preserve"> AN</w:t>
      </w:r>
      <w:r>
        <w:rPr>
          <w:b/>
          <w:bCs/>
          <w:color w:val="242021"/>
        </w:rPr>
        <w:t>D</w:t>
      </w:r>
      <w:r>
        <w:rPr>
          <w:b/>
          <w:bCs/>
          <w:color w:val="242021"/>
          <w:spacing w:val="-1"/>
        </w:rPr>
        <w:t xml:space="preserve"> PRACTICE</w:t>
      </w:r>
      <w:r>
        <w:rPr>
          <w:b/>
          <w:bCs/>
          <w:color w:val="242021"/>
        </w:rPr>
        <w:t>S</w:t>
      </w:r>
      <w:r>
        <w:rPr>
          <w:b/>
          <w:bCs/>
          <w:color w:val="242021"/>
          <w:spacing w:val="-1"/>
        </w:rPr>
        <w:t xml:space="preserve"> T</w:t>
      </w:r>
      <w:r>
        <w:rPr>
          <w:b/>
          <w:bCs/>
          <w:color w:val="242021"/>
        </w:rPr>
        <w:t>O</w:t>
      </w:r>
      <w:r>
        <w:rPr>
          <w:b/>
          <w:bCs/>
          <w:color w:val="242021"/>
          <w:spacing w:val="-1"/>
        </w:rPr>
        <w:t xml:space="preserve"> ENSUR</w:t>
      </w:r>
      <w:r>
        <w:rPr>
          <w:b/>
          <w:bCs/>
          <w:color w:val="242021"/>
        </w:rPr>
        <w:t>E</w:t>
      </w:r>
      <w:r>
        <w:rPr>
          <w:b/>
          <w:bCs/>
          <w:color w:val="242021"/>
          <w:spacing w:val="-1"/>
        </w:rPr>
        <w:t xml:space="preserve"> COMPLIANC</w:t>
      </w:r>
      <w:r>
        <w:rPr>
          <w:b/>
          <w:bCs/>
          <w:color w:val="242021"/>
        </w:rPr>
        <w:t>E</w:t>
      </w:r>
      <w:r>
        <w:rPr>
          <w:b/>
          <w:bCs/>
          <w:color w:val="242021"/>
          <w:spacing w:val="-1"/>
        </w:rPr>
        <w:t xml:space="preserve"> WIT</w:t>
      </w:r>
      <w:r>
        <w:rPr>
          <w:b/>
          <w:bCs/>
          <w:color w:val="242021"/>
        </w:rPr>
        <w:t>H</w:t>
      </w:r>
      <w:r>
        <w:rPr>
          <w:b/>
          <w:bCs/>
          <w:color w:val="242021"/>
          <w:spacing w:val="-1"/>
        </w:rPr>
        <w:t xml:space="preserve"> SECTION </w:t>
      </w:r>
      <w:r>
        <w:rPr>
          <w:b/>
          <w:bCs/>
          <w:color w:val="242021"/>
        </w:rPr>
        <w:t>504 OF THE REHABILITATION ACT OF 1973</w:t>
      </w:r>
    </w:p>
    <w:p w:rsidR="0045172D" w:rsidP="0045172D" w14:paraId="7E1CEB6F" w14:textId="77777777">
      <w:pPr>
        <w:spacing w:line="252" w:lineRule="exact"/>
        <w:ind w:right="122"/>
        <w:jc w:val="center"/>
      </w:pPr>
    </w:p>
    <w:p w:rsidR="0045172D" w:rsidP="0045172D" w14:paraId="36810E91" w14:textId="77777777">
      <w:pPr>
        <w:ind w:left="2160" w:right="3692" w:firstLine="720"/>
        <w:jc w:val="center"/>
        <w:rPr>
          <w:b/>
          <w:bCs/>
          <w:color w:val="242021"/>
        </w:rPr>
      </w:pPr>
      <w:r>
        <w:rPr>
          <w:b/>
          <w:bCs/>
          <w:color w:val="242021"/>
        </w:rPr>
        <w:t>CG Docket No. 1</w:t>
      </w:r>
      <w:r>
        <w:rPr>
          <w:b/>
          <w:bCs/>
          <w:color w:val="242021"/>
          <w:spacing w:val="-2"/>
        </w:rPr>
        <w:t>0</w:t>
      </w:r>
      <w:r>
        <w:rPr>
          <w:b/>
          <w:bCs/>
          <w:color w:val="242021"/>
          <w:spacing w:val="1"/>
        </w:rPr>
        <w:t>-</w:t>
      </w:r>
      <w:r>
        <w:rPr>
          <w:b/>
          <w:bCs/>
          <w:color w:val="242021"/>
        </w:rPr>
        <w:t>162</w:t>
      </w:r>
    </w:p>
    <w:p w:rsidR="0045172D" w:rsidP="0045172D" w14:paraId="1018934A" w14:textId="77777777">
      <w:pPr>
        <w:ind w:left="2160" w:right="3692" w:firstLine="720"/>
        <w:jc w:val="center"/>
        <w:rPr>
          <w:b/>
          <w:bCs/>
          <w:color w:val="242021"/>
        </w:rPr>
      </w:pPr>
    </w:p>
    <w:p w:rsidR="00F8325D" w:rsidP="007D5059" w14:paraId="6419DAF8" w14:textId="64A35B34">
      <w:pPr>
        <w:spacing w:line="480" w:lineRule="auto"/>
        <w:ind w:left="1440" w:right="2943" w:firstLine="720"/>
        <w:jc w:val="center"/>
        <w:rPr>
          <w:b/>
          <w:bCs/>
          <w:color w:val="242021"/>
        </w:rPr>
      </w:pPr>
      <w:r>
        <w:rPr>
          <w:b/>
          <w:bCs/>
          <w:color w:val="242021"/>
        </w:rPr>
        <w:t>PLEADING CYCLE ESTABLISHED</w:t>
      </w:r>
    </w:p>
    <w:p w:rsidR="00D47505" w:rsidP="09442535" w14:paraId="28429153" w14:textId="0285D238">
      <w:pPr>
        <w:spacing w:after="240"/>
        <w:rPr>
          <w:sz w:val="24"/>
          <w:szCs w:val="24"/>
        </w:rPr>
      </w:pPr>
      <w:r w:rsidRPr="54E644DC">
        <w:rPr>
          <w:b/>
          <w:bCs/>
          <w:sz w:val="24"/>
          <w:szCs w:val="24"/>
        </w:rPr>
        <w:t xml:space="preserve">Comments Due:  </w:t>
      </w:r>
      <w:r w:rsidRPr="54E644DC" w:rsidR="007064B7">
        <w:rPr>
          <w:b/>
          <w:bCs/>
          <w:sz w:val="24"/>
          <w:szCs w:val="24"/>
        </w:rPr>
        <w:t>December</w:t>
      </w:r>
      <w:r w:rsidRPr="54E644DC" w:rsidR="000923E2">
        <w:rPr>
          <w:b/>
          <w:bCs/>
          <w:sz w:val="24"/>
          <w:szCs w:val="24"/>
        </w:rPr>
        <w:t xml:space="preserve"> </w:t>
      </w:r>
      <w:r w:rsidRPr="54E644DC" w:rsidR="007064B7">
        <w:rPr>
          <w:b/>
          <w:bCs/>
          <w:sz w:val="24"/>
          <w:szCs w:val="24"/>
        </w:rPr>
        <w:t>30</w:t>
      </w:r>
      <w:r w:rsidRPr="54E644DC" w:rsidR="000923E2">
        <w:rPr>
          <w:b/>
          <w:bCs/>
          <w:sz w:val="24"/>
          <w:szCs w:val="24"/>
        </w:rPr>
        <w:t xml:space="preserve">, </w:t>
      </w:r>
      <w:r w:rsidRPr="54E644DC" w:rsidR="007064B7">
        <w:rPr>
          <w:b/>
          <w:bCs/>
          <w:sz w:val="24"/>
          <w:szCs w:val="24"/>
        </w:rPr>
        <w:t>2022</w:t>
      </w:r>
    </w:p>
    <w:p w:rsidR="0045172D" w:rsidRPr="006B2961" w:rsidP="0045172D" w14:paraId="1CCDD43A" w14:textId="3CB23DA1">
      <w:pPr>
        <w:ind w:firstLine="720"/>
        <w:rPr>
          <w:sz w:val="14"/>
          <w:szCs w:val="14"/>
        </w:rPr>
      </w:pPr>
      <w:r w:rsidRPr="002B26B5">
        <w:t>The Consumer and Gover</w:t>
      </w:r>
      <w:r>
        <w:t>nmental Affairs Bureau (Bureau) hereby initiates</w:t>
      </w:r>
      <w:r w:rsidRPr="002B26B5">
        <w:t xml:space="preserve"> a review of the Commission’s policies and practices under Section 504 of the Rehabilitation Act of 1973 (Section 504)</w:t>
      </w:r>
      <w:r w:rsidRPr="002B26B5">
        <w:rPr>
          <w:spacing w:val="-5"/>
        </w:rPr>
        <w:t>.</w:t>
      </w:r>
      <w:r>
        <w:rPr>
          <w:rStyle w:val="FootnoteReference"/>
          <w:spacing w:val="-5"/>
        </w:rPr>
        <w:footnoteReference w:id="3"/>
      </w:r>
      <w:r w:rsidRPr="002B26B5">
        <w:rPr>
          <w:spacing w:val="-5"/>
        </w:rPr>
        <w:t xml:space="preserve">  S</w:t>
      </w:r>
      <w:r w:rsidRPr="002B26B5">
        <w:t>ection</w:t>
      </w:r>
      <w:r w:rsidRPr="002B26B5">
        <w:rPr>
          <w:spacing w:val="-2"/>
        </w:rPr>
        <w:t xml:space="preserve"> </w:t>
      </w:r>
      <w:r w:rsidRPr="002B26B5">
        <w:t>504 requires fed</w:t>
      </w:r>
      <w:r w:rsidRPr="002B26B5">
        <w:rPr>
          <w:spacing w:val="-2"/>
        </w:rPr>
        <w:t>e</w:t>
      </w:r>
      <w:r w:rsidRPr="002B26B5">
        <w:t>ral</w:t>
      </w:r>
      <w:r w:rsidRPr="002B26B5">
        <w:rPr>
          <w:spacing w:val="-1"/>
        </w:rPr>
        <w:t xml:space="preserve"> </w:t>
      </w:r>
      <w:r w:rsidRPr="002B26B5">
        <w:t>agencies</w:t>
      </w:r>
      <w:r w:rsidRPr="002B26B5">
        <w:rPr>
          <w:spacing w:val="-1"/>
        </w:rPr>
        <w:t xml:space="preserve"> </w:t>
      </w:r>
      <w:r w:rsidRPr="002B26B5">
        <w:t>to</w:t>
      </w:r>
      <w:r w:rsidRPr="002B26B5">
        <w:rPr>
          <w:spacing w:val="-1"/>
        </w:rPr>
        <w:t xml:space="preserve"> </w:t>
      </w:r>
      <w:r w:rsidRPr="002B26B5">
        <w:t>make</w:t>
      </w:r>
      <w:r w:rsidRPr="002B26B5">
        <w:rPr>
          <w:spacing w:val="-1"/>
        </w:rPr>
        <w:t xml:space="preserve"> </w:t>
      </w:r>
      <w:r w:rsidRPr="002B26B5">
        <w:t>their</w:t>
      </w:r>
      <w:r w:rsidRPr="002B26B5">
        <w:rPr>
          <w:spacing w:val="-1"/>
        </w:rPr>
        <w:t xml:space="preserve"> </w:t>
      </w:r>
      <w:r w:rsidRPr="002B26B5">
        <w:t>programs</w:t>
      </w:r>
      <w:r w:rsidRPr="002B26B5">
        <w:rPr>
          <w:spacing w:val="-1"/>
        </w:rPr>
        <w:t xml:space="preserve"> </w:t>
      </w:r>
      <w:r w:rsidRPr="002B26B5">
        <w:t>and</w:t>
      </w:r>
      <w:r w:rsidRPr="002B26B5">
        <w:rPr>
          <w:spacing w:val="-1"/>
        </w:rPr>
        <w:t xml:space="preserve"> </w:t>
      </w:r>
      <w:r w:rsidRPr="002B26B5">
        <w:t>activities accessible</w:t>
      </w:r>
      <w:r w:rsidRPr="002B26B5">
        <w:rPr>
          <w:spacing w:val="-1"/>
        </w:rPr>
        <w:t xml:space="preserve"> </w:t>
      </w:r>
      <w:r w:rsidRPr="002B26B5">
        <w:t>to</w:t>
      </w:r>
      <w:r w:rsidRPr="002B26B5">
        <w:rPr>
          <w:spacing w:val="-1"/>
        </w:rPr>
        <w:t xml:space="preserve"> </w:t>
      </w:r>
      <w:r w:rsidRPr="002B26B5">
        <w:t>people</w:t>
      </w:r>
      <w:r w:rsidRPr="002B26B5">
        <w:rPr>
          <w:spacing w:val="-1"/>
        </w:rPr>
        <w:t xml:space="preserve"> </w:t>
      </w:r>
      <w:r w:rsidRPr="002B26B5">
        <w:t>with</w:t>
      </w:r>
      <w:r w:rsidRPr="002B26B5">
        <w:rPr>
          <w:spacing w:val="-1"/>
        </w:rPr>
        <w:t xml:space="preserve"> </w:t>
      </w:r>
      <w:r w:rsidRPr="002B26B5">
        <w:t xml:space="preserve">disabilities.  </w:t>
      </w:r>
      <w:r w:rsidR="00BC1DD5">
        <w:t>This</w:t>
      </w:r>
      <w:r>
        <w:t xml:space="preserve"> </w:t>
      </w:r>
      <w:r w:rsidRPr="00A2747C">
        <w:rPr>
          <w:i/>
        </w:rPr>
        <w:t>Notice</w:t>
      </w:r>
      <w:r>
        <w:t xml:space="preserve"> seeks</w:t>
      </w:r>
      <w:r w:rsidRPr="002B26B5">
        <w:t xml:space="preserve"> comment on </w:t>
      </w:r>
      <w:r w:rsidR="00157BD8">
        <w:t xml:space="preserve">the Commission’s </w:t>
      </w:r>
      <w:r w:rsidR="002D6A49">
        <w:t xml:space="preserve">practices and procedures to ensure </w:t>
      </w:r>
      <w:r w:rsidRPr="002B26B5">
        <w:t xml:space="preserve">accessibility of </w:t>
      </w:r>
      <w:r w:rsidR="004C3AD1">
        <w:t>its</w:t>
      </w:r>
      <w:r w:rsidRPr="002B26B5">
        <w:t xml:space="preserve"> programs and activities</w:t>
      </w:r>
      <w:r w:rsidRPr="004B3975" w:rsidR="00BC1DD5">
        <w:t>.</w:t>
      </w:r>
      <w:r>
        <w:rPr>
          <w:rStyle w:val="FootnoteReference"/>
          <w:spacing w:val="-3"/>
        </w:rPr>
        <w:footnoteReference w:id="4"/>
      </w:r>
      <w:r w:rsidR="00B8315D">
        <w:rPr>
          <w:spacing w:val="-3"/>
        </w:rPr>
        <w:t xml:space="preserve"> </w:t>
      </w:r>
    </w:p>
    <w:p w:rsidR="0045172D" w:rsidRPr="002B26B5" w:rsidP="0045172D" w14:paraId="1F537BF4" w14:textId="77777777">
      <w:pPr>
        <w:spacing w:before="18" w:line="240" w:lineRule="exact"/>
        <w:rPr>
          <w:sz w:val="24"/>
          <w:szCs w:val="24"/>
        </w:rPr>
      </w:pPr>
    </w:p>
    <w:p w:rsidR="0045172D" w:rsidP="0045172D" w14:paraId="60C71309" w14:textId="34DEB35D">
      <w:pPr>
        <w:ind w:firstLine="720"/>
      </w:pPr>
      <w:r w:rsidRPr="002B26B5">
        <w:t>The Com</w:t>
      </w:r>
      <w:r w:rsidRPr="002B26B5">
        <w:rPr>
          <w:spacing w:val="-4"/>
        </w:rPr>
        <w:t>m</w:t>
      </w:r>
      <w:r w:rsidRPr="002B26B5">
        <w:t>ission’s rules mandate that it conduct a review</w:t>
      </w:r>
      <w:r w:rsidRPr="002B26B5">
        <w:rPr>
          <w:spacing w:val="-2"/>
        </w:rPr>
        <w:t xml:space="preserve"> </w:t>
      </w:r>
      <w:r w:rsidRPr="002B26B5">
        <w:t>of</w:t>
      </w:r>
      <w:r w:rsidRPr="002B26B5">
        <w:rPr>
          <w:spacing w:val="1"/>
        </w:rPr>
        <w:t xml:space="preserve"> </w:t>
      </w:r>
      <w:r w:rsidRPr="002B26B5">
        <w:t>its current Section 504 policies and practices in</w:t>
      </w:r>
      <w:r w:rsidRPr="002B26B5">
        <w:rPr>
          <w:spacing w:val="-1"/>
        </w:rPr>
        <w:t xml:space="preserve"> </w:t>
      </w:r>
      <w:r>
        <w:t>light</w:t>
      </w:r>
      <w:r w:rsidRPr="002B26B5">
        <w:rPr>
          <w:spacing w:val="-1"/>
        </w:rPr>
        <w:t xml:space="preserve"> </w:t>
      </w:r>
      <w:r w:rsidRPr="002B26B5">
        <w:t>of</w:t>
      </w:r>
      <w:r w:rsidRPr="002B26B5">
        <w:rPr>
          <w:spacing w:val="-1"/>
        </w:rPr>
        <w:t xml:space="preserve"> </w:t>
      </w:r>
      <w:r w:rsidRPr="002B26B5">
        <w:t>advances</w:t>
      </w:r>
      <w:r w:rsidRPr="002B26B5">
        <w:rPr>
          <w:spacing w:val="-1"/>
        </w:rPr>
        <w:t xml:space="preserve"> </w:t>
      </w:r>
      <w:r w:rsidRPr="002B26B5">
        <w:t>in</w:t>
      </w:r>
      <w:r w:rsidRPr="002B26B5">
        <w:rPr>
          <w:spacing w:val="-1"/>
        </w:rPr>
        <w:t xml:space="preserve"> </w:t>
      </w:r>
      <w:r w:rsidRPr="002B26B5">
        <w:t>relevant</w:t>
      </w:r>
      <w:r w:rsidRPr="002B26B5">
        <w:rPr>
          <w:spacing w:val="-1"/>
        </w:rPr>
        <w:t xml:space="preserve"> </w:t>
      </w:r>
      <w:r w:rsidRPr="002B26B5">
        <w:t>technology</w:t>
      </w:r>
      <w:r w:rsidRPr="002B26B5">
        <w:rPr>
          <w:spacing w:val="-1"/>
        </w:rPr>
        <w:t xml:space="preserve"> </w:t>
      </w:r>
      <w:r w:rsidRPr="002B26B5">
        <w:t>and</w:t>
      </w:r>
      <w:r w:rsidRPr="002B26B5">
        <w:rPr>
          <w:spacing w:val="-1"/>
        </w:rPr>
        <w:t xml:space="preserve"> </w:t>
      </w:r>
      <w:r w:rsidRPr="002B26B5">
        <w:t>achievability</w:t>
      </w:r>
      <w:r>
        <w:t xml:space="preserve"> every three years</w:t>
      </w:r>
      <w:r w:rsidRPr="002B26B5">
        <w:t>,</w:t>
      </w:r>
      <w:r w:rsidRPr="002B26B5">
        <w:rPr>
          <w:spacing w:val="-1"/>
        </w:rPr>
        <w:t xml:space="preserve"> </w:t>
      </w:r>
      <w:r w:rsidRPr="002B26B5">
        <w:t>and</w:t>
      </w:r>
      <w:r w:rsidRPr="002B26B5">
        <w:rPr>
          <w:spacing w:val="-1"/>
        </w:rPr>
        <w:t xml:space="preserve"> </w:t>
      </w:r>
      <w:r w:rsidRPr="002B26B5">
        <w:t>that</w:t>
      </w:r>
      <w:r w:rsidRPr="002B26B5">
        <w:rPr>
          <w:spacing w:val="-1"/>
        </w:rPr>
        <w:t xml:space="preserve"> </w:t>
      </w:r>
      <w:r w:rsidRPr="002B26B5">
        <w:t>it</w:t>
      </w:r>
      <w:r w:rsidRPr="002B26B5">
        <w:rPr>
          <w:spacing w:val="-1"/>
        </w:rPr>
        <w:t xml:space="preserve"> </w:t>
      </w:r>
      <w:r>
        <w:rPr>
          <w:spacing w:val="-1"/>
        </w:rPr>
        <w:t xml:space="preserve">regularly </w:t>
      </w:r>
      <w:r w:rsidRPr="002B26B5">
        <w:t>update</w:t>
      </w:r>
      <w:r w:rsidRPr="002B26B5">
        <w:rPr>
          <w:spacing w:val="-1"/>
        </w:rPr>
        <w:t xml:space="preserve"> </w:t>
      </w:r>
      <w:r w:rsidRPr="002B26B5">
        <w:t>its</w:t>
      </w:r>
      <w:r w:rsidRPr="002B26B5">
        <w:rPr>
          <w:spacing w:val="-3"/>
        </w:rPr>
        <w:t xml:space="preserve"> </w:t>
      </w:r>
      <w:r w:rsidRPr="002B26B5">
        <w:rPr>
          <w:i/>
        </w:rPr>
        <w:t>Section 504 Handbook</w:t>
      </w:r>
      <w:r w:rsidRPr="002B26B5">
        <w:t>.</w:t>
      </w:r>
      <w:r>
        <w:rPr>
          <w:rStyle w:val="FootnoteReference"/>
        </w:rPr>
        <w:footnoteReference w:id="5"/>
      </w:r>
      <w:r w:rsidRPr="002B26B5">
        <w:t xml:space="preserve">  The </w:t>
      </w:r>
      <w:r w:rsidRPr="002B26B5">
        <w:rPr>
          <w:i/>
        </w:rPr>
        <w:t xml:space="preserve">Section 504 Handbook </w:t>
      </w:r>
      <w:r w:rsidRPr="002B26B5">
        <w:t>cont</w:t>
      </w:r>
      <w:r w:rsidRPr="002B26B5">
        <w:rPr>
          <w:spacing w:val="-2"/>
        </w:rPr>
        <w:t>a</w:t>
      </w:r>
      <w:r w:rsidRPr="002B26B5">
        <w:t xml:space="preserve">ins guidance on the provision of accommodations for Commission programs and activities, procedures for reasonable accommodations, and </w:t>
      </w:r>
      <w:r w:rsidR="0075653B">
        <w:t xml:space="preserve">related </w:t>
      </w:r>
      <w:r w:rsidRPr="002B26B5">
        <w:t>information about accessibility.</w:t>
      </w:r>
      <w:r>
        <w:t xml:space="preserve"> </w:t>
      </w:r>
    </w:p>
    <w:p w:rsidR="0045172D" w:rsidP="0045172D" w14:paraId="5032207A" w14:textId="77777777"/>
    <w:p w:rsidR="00C2319A" w:rsidP="0031426E" w14:paraId="6F5B6715" w14:textId="1DCFEBB0">
      <w:pPr>
        <w:ind w:firstLine="720"/>
      </w:pPr>
      <w:r w:rsidRPr="00A2747C">
        <w:t xml:space="preserve">The Bureau seeks comment on the </w:t>
      </w:r>
      <w:r w:rsidRPr="6A1FAC20" w:rsidR="00B76D4C">
        <w:rPr>
          <w:i/>
          <w:iCs/>
        </w:rPr>
        <w:t xml:space="preserve">Section 504 Handbook </w:t>
      </w:r>
      <w:r w:rsidR="003B2611">
        <w:t xml:space="preserve">and on the </w:t>
      </w:r>
      <w:r w:rsidRPr="002F49B0">
        <w:t xml:space="preserve">overall </w:t>
      </w:r>
      <w:r w:rsidRPr="00A2747C">
        <w:t>accessibility of the Commission’s activities and programs</w:t>
      </w:r>
      <w:r w:rsidR="00D07932">
        <w:t xml:space="preserve"> for individuals with disabilities</w:t>
      </w:r>
      <w:r w:rsidRPr="00A2747C">
        <w:t xml:space="preserve">.  Overall accessibility includes the availability of sign language interpreters, physical </w:t>
      </w:r>
      <w:r w:rsidR="003B2611">
        <w:t xml:space="preserve">accessibility of </w:t>
      </w:r>
      <w:r w:rsidRPr="00A2747C">
        <w:t xml:space="preserve">buildings and meeting spaces, </w:t>
      </w:r>
      <w:r w:rsidR="003B2611">
        <w:t xml:space="preserve">documents in alternate formats, </w:t>
      </w:r>
      <w:r w:rsidRPr="00A2747C">
        <w:t>assistive listening devices, Communication Access Realtime Translation (CART), captioning, and other forms of reasonable accommodation needed for access to Commission programs and activities.</w:t>
      </w:r>
      <w:r>
        <w:rPr>
          <w:rStyle w:val="FootnoteReference"/>
        </w:rPr>
        <w:footnoteReference w:id="6"/>
      </w:r>
      <w:r>
        <w:t xml:space="preserve">  </w:t>
      </w:r>
    </w:p>
    <w:p w:rsidR="00C2319A" w:rsidP="0031426E" w14:paraId="18CCE7C0" w14:textId="77777777">
      <w:pPr>
        <w:ind w:firstLine="720"/>
      </w:pPr>
    </w:p>
    <w:p w:rsidR="0031426E" w:rsidP="0031426E" w14:paraId="0570A5CE" w14:textId="208E93E8">
      <w:pPr>
        <w:ind w:firstLine="720"/>
      </w:pPr>
      <w:r>
        <w:t xml:space="preserve">The Commission will carefully review all received comments in order to maintain appropriate practices and procedures to ensure that its programs and activities are accessible to individuals with disabilities.  </w:t>
      </w:r>
    </w:p>
    <w:p w:rsidR="0031426E" w14:paraId="73293E42" w14:textId="19020379">
      <w:pPr>
        <w:ind w:firstLine="720"/>
      </w:pPr>
    </w:p>
    <w:p w:rsidR="0031426E" w:rsidP="6A1FAC20" w14:paraId="786FB7F0" w14:textId="7C4A44C8">
      <w:pPr>
        <w:ind w:firstLine="720"/>
        <w:rPr>
          <w:i/>
          <w:iCs/>
        </w:rPr>
      </w:pPr>
      <w:r>
        <w:t xml:space="preserve">Comments </w:t>
      </w:r>
      <w:r w:rsidR="003754AC">
        <w:t>regarding</w:t>
      </w:r>
      <w:r w:rsidR="00595A7B">
        <w:t xml:space="preserve"> </w:t>
      </w:r>
      <w:r w:rsidR="00356258">
        <w:t>the</w:t>
      </w:r>
      <w:r w:rsidRPr="6A1FAC20" w:rsidR="00356258">
        <w:rPr>
          <w:i/>
          <w:iCs/>
        </w:rPr>
        <w:t xml:space="preserve"> </w:t>
      </w:r>
      <w:r w:rsidR="000322D7">
        <w:t xml:space="preserve">Commission’s regulations </w:t>
      </w:r>
      <w:r w:rsidR="00BD45AB">
        <w:t>about</w:t>
      </w:r>
      <w:r w:rsidR="000322D7">
        <w:t xml:space="preserve"> accessibility </w:t>
      </w:r>
      <w:r w:rsidR="00766708">
        <w:t xml:space="preserve">on other matters </w:t>
      </w:r>
      <w:r w:rsidR="000322D7">
        <w:t>(e.g.</w:t>
      </w:r>
      <w:r w:rsidR="00BD45AB">
        <w:t>,</w:t>
      </w:r>
      <w:r w:rsidR="000322D7">
        <w:t xml:space="preserve"> </w:t>
      </w:r>
      <w:r w:rsidR="00BD45AB">
        <w:t xml:space="preserve">televised </w:t>
      </w:r>
      <w:r w:rsidR="000322D7">
        <w:t xml:space="preserve">video programming, </w:t>
      </w:r>
      <w:r w:rsidR="00766708">
        <w:t>t</w:t>
      </w:r>
      <w:r w:rsidR="005545B5">
        <w:t xml:space="preserve">elecommunications </w:t>
      </w:r>
      <w:r w:rsidR="00766708">
        <w:t>r</w:t>
      </w:r>
      <w:r w:rsidR="005545B5">
        <w:t xml:space="preserve">elay </w:t>
      </w:r>
      <w:r w:rsidR="00766708">
        <w:t>s</w:t>
      </w:r>
      <w:r w:rsidR="005545B5">
        <w:t xml:space="preserve">ervice, </w:t>
      </w:r>
      <w:r w:rsidR="00766708">
        <w:t xml:space="preserve">or </w:t>
      </w:r>
      <w:r w:rsidR="00BD45AB">
        <w:t>emergency access</w:t>
      </w:r>
      <w:r w:rsidR="000322D7">
        <w:t>)</w:t>
      </w:r>
      <w:r w:rsidRPr="6A1FAC20" w:rsidR="001E4877">
        <w:rPr>
          <w:i/>
          <w:iCs/>
        </w:rPr>
        <w:t xml:space="preserve"> </w:t>
      </w:r>
      <w:r w:rsidR="00766708">
        <w:t>should be</w:t>
      </w:r>
      <w:r w:rsidR="00595A7B">
        <w:t xml:space="preserve"> directed to </w:t>
      </w:r>
      <w:r w:rsidR="7A5F60B0">
        <w:t xml:space="preserve">those </w:t>
      </w:r>
      <w:r w:rsidR="00595A7B">
        <w:t>respective dockets</w:t>
      </w:r>
      <w:r w:rsidRPr="6A1FAC20" w:rsidR="00595A7B">
        <w:rPr>
          <w:i/>
          <w:iCs/>
        </w:rPr>
        <w:t xml:space="preserve">. </w:t>
      </w:r>
    </w:p>
    <w:p w:rsidR="0031426E" w14:paraId="51E2E959" w14:textId="77777777">
      <w:pPr>
        <w:ind w:firstLine="720"/>
        <w:rPr>
          <w:i/>
        </w:rPr>
      </w:pPr>
    </w:p>
    <w:p w:rsidR="00196E2B" w:rsidRPr="000D7702" w:rsidP="004B3975" w14:paraId="5CDE6722" w14:textId="78A4DD42">
      <w:pPr>
        <w:spacing w:after="120"/>
        <w:ind w:firstLine="720"/>
        <w:rPr>
          <w:szCs w:val="22"/>
        </w:rPr>
      </w:pPr>
      <w:r w:rsidRPr="000D7702">
        <w:rPr>
          <w:i/>
          <w:szCs w:val="22"/>
        </w:rPr>
        <w:t xml:space="preserve">Filing Requirements.  </w:t>
      </w:r>
      <w:r w:rsidRPr="000D7702">
        <w:rPr>
          <w:szCs w:val="22"/>
        </w:rPr>
        <w:t xml:space="preserve">Interested parties may file comments on or before the date indicated on the first page of this document.  </w:t>
      </w:r>
      <w:r w:rsidRPr="000D7702">
        <w:rPr>
          <w:iCs/>
          <w:szCs w:val="22"/>
        </w:rPr>
        <w:t xml:space="preserve">All filings must reference </w:t>
      </w:r>
      <w:r w:rsidRPr="004B3975">
        <w:t>CG Docket No. 10-162.</w:t>
      </w:r>
      <w:r w:rsidRPr="000D7702">
        <w:rPr>
          <w:iCs/>
          <w:szCs w:val="22"/>
        </w:rPr>
        <w:t xml:space="preserve">  </w:t>
      </w:r>
    </w:p>
    <w:p w:rsidR="00196E2B" w:rsidRPr="000D7702" w:rsidP="004B3975" w14:paraId="5B2768CE" w14:textId="6E4E8630">
      <w:pPr>
        <w:numPr>
          <w:ilvl w:val="0"/>
          <w:numId w:val="11"/>
        </w:numPr>
        <w:spacing w:after="120"/>
        <w:rPr>
          <w:szCs w:val="22"/>
        </w:rPr>
      </w:pPr>
      <w:r w:rsidRPr="000D7702">
        <w:rPr>
          <w:szCs w:val="22"/>
        </w:rPr>
        <w:t xml:space="preserve">Electronic Filers:  Comments may be filed electronically using the Internet by accessing </w:t>
      </w:r>
      <w:r w:rsidR="00366E1B">
        <w:rPr>
          <w:szCs w:val="22"/>
        </w:rPr>
        <w:t xml:space="preserve">the Commission’s </w:t>
      </w:r>
      <w:r w:rsidR="006224A6">
        <w:rPr>
          <w:szCs w:val="22"/>
        </w:rPr>
        <w:t>Electronic</w:t>
      </w:r>
      <w:r w:rsidR="00366E1B">
        <w:rPr>
          <w:szCs w:val="22"/>
        </w:rPr>
        <w:t xml:space="preserve"> Comment Filing System (ECFS)</w:t>
      </w:r>
      <w:r w:rsidRPr="000D7702">
        <w:rPr>
          <w:szCs w:val="22"/>
        </w:rPr>
        <w:t xml:space="preserve">:  </w:t>
      </w:r>
      <w:hyperlink r:id="rId5" w:history="1">
        <w:r w:rsidRPr="000D7702">
          <w:rPr>
            <w:color w:val="0000FF"/>
            <w:szCs w:val="22"/>
            <w:u w:val="single"/>
          </w:rPr>
          <w:t>https://www.fcc.gov/ecfs/</w:t>
        </w:r>
      </w:hyperlink>
      <w:r w:rsidRPr="000D7702">
        <w:rPr>
          <w:szCs w:val="22"/>
        </w:rPr>
        <w:t>.</w:t>
      </w:r>
      <w:r>
        <w:rPr>
          <w:szCs w:val="22"/>
          <w:vertAlign w:val="superscript"/>
        </w:rPr>
        <w:footnoteReference w:id="7"/>
      </w:r>
      <w:r w:rsidRPr="000D7702">
        <w:rPr>
          <w:szCs w:val="22"/>
        </w:rPr>
        <w:t xml:space="preserve">  </w:t>
      </w:r>
    </w:p>
    <w:p w:rsidR="00196E2B" w:rsidRPr="000D7702" w:rsidP="004B3975" w14:paraId="11EC7E6E" w14:textId="71E74C58">
      <w:pPr>
        <w:numPr>
          <w:ilvl w:val="0"/>
          <w:numId w:val="11"/>
        </w:numPr>
        <w:spacing w:after="120"/>
        <w:rPr>
          <w:szCs w:val="22"/>
        </w:rPr>
      </w:pPr>
      <w:r w:rsidRPr="000D7702">
        <w:rPr>
          <w:szCs w:val="22"/>
        </w:rPr>
        <w:t>Paper Filers:  Parties who choose to file by paper must file an original and one copy of each filing.</w:t>
      </w:r>
    </w:p>
    <w:p w:rsidR="00196E2B" w:rsidRPr="000D7702" w:rsidP="09442535" w14:paraId="38BB0266" w14:textId="77777777">
      <w:pPr>
        <w:widowControl/>
        <w:numPr>
          <w:ilvl w:val="0"/>
          <w:numId w:val="11"/>
        </w:numPr>
        <w:spacing w:after="1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196E2B" w:rsidRPr="000D7702" w:rsidP="09442535" w14:paraId="3BF880E6" w14:textId="64F8CD49">
      <w:pPr>
        <w:numPr>
          <w:ilvl w:val="0"/>
          <w:numId w:val="11"/>
        </w:numPr>
        <w:spacing w:after="120"/>
      </w:pPr>
      <w:r>
        <w:t>Commercial overnight mail (other than U.S. Postal Service Express Mail and Priority Mail) must be sent to 9050 Junction Drive, Annapolis Junction, MD 20701.</w:t>
      </w:r>
    </w:p>
    <w:p w:rsidR="00196E2B" w:rsidRPr="000D7702" w:rsidP="09442535" w14:paraId="4775BA04" w14:textId="601DAA7B">
      <w:pPr>
        <w:numPr>
          <w:ilvl w:val="0"/>
          <w:numId w:val="11"/>
        </w:numPr>
        <w:spacing w:after="120"/>
        <w:rPr>
          <w:szCs w:val="22"/>
        </w:rPr>
      </w:pPr>
      <w:r>
        <w:t>U.S. Postal Service first-class, Express, and Priority mail must be addressed to 45 L Street NE, Washington DC  20554.</w:t>
      </w:r>
    </w:p>
    <w:p w:rsidR="09442535" w:rsidRPr="002407A0" w:rsidP="005C23A7" w14:paraId="50E78D9F" w14:textId="1645071A">
      <w:pPr>
        <w:numPr>
          <w:ilvl w:val="0"/>
          <w:numId w:val="11"/>
        </w:numPr>
        <w:spacing w:after="120"/>
        <w:rPr>
          <w:b/>
          <w:bCs/>
        </w:rPr>
      </w:pPr>
      <w:r w:rsidRPr="002407A0">
        <w:rPr>
          <w:b/>
          <w:bCs/>
        </w:rPr>
        <w:t>Effective March 19, 2020, and until further notice, the Commission no longer accepts any hand or messenger delivered filings at the Commission’s headquarters.  This is a temporary measure taken to help protect the health and safety of individuals, and to mitigate the transmission of COVID-19.  See FCC Announces Closure of FCC Headquarters Open Window and Change in Hand-Delivery Policy, Public Notice, DA 20-304 (March 19, 2020), https://www.fcc.gov/document/fcc-closes-headquarters-open-window-and-changes-hand-delivery-policy.</w:t>
      </w:r>
    </w:p>
    <w:p w:rsidR="00C72DBA" w:rsidRPr="00C72DBA" w:rsidP="00C72DBA" w14:paraId="4BE5BF26" w14:textId="1AAEAC84">
      <w:pPr>
        <w:ind w:firstLine="720"/>
      </w:pPr>
      <w:r w:rsidRPr="09442535">
        <w:rPr>
          <w:i/>
          <w:iCs/>
        </w:rPr>
        <w:t>People with Disabilities</w:t>
      </w:r>
      <w:r w:rsidR="00392F9F">
        <w:t>.</w:t>
      </w:r>
      <w:r>
        <w:t xml:space="preserve">  To request materials in accessible formats for people with disabilities (braille, large print, electronic files, audio format), send an e-mail to </w:t>
      </w:r>
      <w:hyperlink r:id="rId6">
        <w:r w:rsidRPr="09442535" w:rsidR="003B2611">
          <w:rPr>
            <w:rStyle w:val="Hyperlink"/>
          </w:rPr>
          <w:t>FCC504@fcc.gov</w:t>
        </w:r>
      </w:hyperlink>
      <w:r w:rsidR="003B2611">
        <w:t xml:space="preserve"> </w:t>
      </w:r>
      <w:r>
        <w:t xml:space="preserve">or call the Consumer </w:t>
      </w:r>
      <w:r w:rsidR="0045172D">
        <w:t>and</w:t>
      </w:r>
      <w:r>
        <w:t xml:space="preserve"> Governmental Affairs Bureau at (202) 418-0530 (voice).</w:t>
      </w:r>
    </w:p>
    <w:p w:rsidR="00C72DBA" w:rsidRPr="00C72DBA" w:rsidP="00C72DBA" w14:paraId="47E2EF2B" w14:textId="77777777">
      <w:pPr>
        <w:ind w:firstLine="720"/>
        <w:rPr>
          <w:szCs w:val="22"/>
        </w:rPr>
      </w:pPr>
    </w:p>
    <w:p w:rsidR="0045172D" w:rsidP="0045172D" w14:paraId="575CC87B" w14:textId="7FA7D34F">
      <w:pPr>
        <w:spacing w:line="234" w:lineRule="auto"/>
        <w:ind w:right="452" w:firstLine="720"/>
      </w:pPr>
      <w:r w:rsidRPr="00CD6727">
        <w:rPr>
          <w:i/>
          <w:szCs w:val="22"/>
        </w:rPr>
        <w:t xml:space="preserve">Additional </w:t>
      </w:r>
      <w:r w:rsidR="003C1EE5">
        <w:rPr>
          <w:i/>
          <w:szCs w:val="22"/>
        </w:rPr>
        <w:t>I</w:t>
      </w:r>
      <w:r w:rsidRPr="00CD6727">
        <w:rPr>
          <w:i/>
          <w:szCs w:val="22"/>
        </w:rPr>
        <w:t>nformation</w:t>
      </w:r>
      <w:r>
        <w:rPr>
          <w:szCs w:val="22"/>
        </w:rPr>
        <w:t xml:space="preserve">.  </w:t>
      </w:r>
      <w:r>
        <w:t xml:space="preserve">For further information, please contact </w:t>
      </w:r>
      <w:r w:rsidR="00BB1E19">
        <w:t>Ger</w:t>
      </w:r>
      <w:r w:rsidR="00C72DBA">
        <w:t>ard Williams</w:t>
      </w:r>
      <w:r>
        <w:t>, Consumer and Governmental Affairs Bureau, Section 504 Compliance Officer, at (202) 418-</w:t>
      </w:r>
      <w:r w:rsidR="00C72DBA">
        <w:t>1505</w:t>
      </w:r>
      <w:r w:rsidR="007D5059">
        <w:t xml:space="preserve"> </w:t>
      </w:r>
      <w:r>
        <w:t xml:space="preserve">(voice) or e-mail at </w:t>
      </w:r>
      <w:hyperlink r:id="rId7" w:history="1">
        <w:r w:rsidRPr="007E7D5A" w:rsidR="00C72DBA">
          <w:rPr>
            <w:rStyle w:val="Hyperlink"/>
          </w:rPr>
          <w:t>Gerard.Williams@fcc.gov</w:t>
        </w:r>
      </w:hyperlink>
      <w:r w:rsidR="00C72DBA">
        <w:rPr>
          <w:szCs w:val="22"/>
        </w:rPr>
        <w:t xml:space="preserve">. </w:t>
      </w:r>
      <w:r>
        <w:t xml:space="preserve">  </w:t>
      </w:r>
    </w:p>
    <w:p w:rsidR="006224A6" w:rsidP="0045172D" w14:paraId="28AAAFBF" w14:textId="372504A9">
      <w:pPr>
        <w:spacing w:line="234" w:lineRule="auto"/>
        <w:ind w:right="452" w:firstLine="720"/>
      </w:pPr>
    </w:p>
    <w:p w:rsidR="006224A6" w:rsidP="0045172D" w14:paraId="22308BCE" w14:textId="3B703175">
      <w:pPr>
        <w:spacing w:line="234" w:lineRule="auto"/>
        <w:ind w:right="452" w:firstLine="720"/>
      </w:pPr>
    </w:p>
    <w:p w:rsidR="006224A6" w:rsidP="006224A6" w14:paraId="0449A7C9" w14:textId="77777777">
      <w:pPr>
        <w:pStyle w:val="ListParagraph"/>
        <w:jc w:val="center"/>
        <w:rPr>
          <w:szCs w:val="22"/>
        </w:rPr>
      </w:pPr>
      <w:r>
        <w:rPr>
          <w:szCs w:val="22"/>
        </w:rPr>
        <w:t>-FCC-</w:t>
      </w:r>
    </w:p>
    <w:p w:rsidR="006224A6" w:rsidP="004B3975" w14:paraId="5A262441" w14:textId="77777777">
      <w:pPr>
        <w:spacing w:line="234" w:lineRule="auto"/>
        <w:ind w:right="452" w:firstLine="720"/>
        <w:jc w:val="center"/>
      </w:pPr>
    </w:p>
    <w:p w:rsidR="0045172D" w:rsidP="0045172D" w14:paraId="1D83F878" w14:textId="77777777">
      <w:pPr>
        <w:spacing w:line="234" w:lineRule="auto"/>
        <w:ind w:right="452" w:firstLine="720"/>
      </w:pPr>
    </w:p>
    <w:p w:rsidR="0045172D" w:rsidP="0045172D" w14:paraId="0BB830B9" w14:textId="77777777">
      <w:pPr>
        <w:spacing w:before="120" w:after="240"/>
        <w:rPr>
          <w:sz w:val="24"/>
        </w:rPr>
      </w:pPr>
    </w:p>
    <w:p w:rsidR="0045172D" w:rsidP="0045172D" w14:paraId="3431EBF8" w14:textId="77777777">
      <w:pPr>
        <w:spacing w:line="235" w:lineRule="auto"/>
        <w:ind w:right="446"/>
      </w:pPr>
    </w:p>
    <w:p w:rsidR="006A1F49" w:rsidP="00D47505" w14:paraId="7A365CDC" w14:textId="77777777">
      <w:pPr>
        <w:spacing w:before="120" w:after="240"/>
        <w:rPr>
          <w:sz w:val="24"/>
        </w:rPr>
      </w:pPr>
    </w:p>
    <w:sectPr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65FEFF" w14:textId="77777777">
    <w:pPr>
      <w:pStyle w:val="Footer"/>
      <w:framePr w:wrap="around" w:vAnchor="text" w:hAnchor="margin" w:xAlign="center" w:y="1"/>
    </w:pPr>
    <w:r>
      <w:fldChar w:fldCharType="begin"/>
    </w:r>
    <w:r>
      <w:instrText xml:space="preserve">PAGE  </w:instrText>
    </w:r>
    <w:r w:rsidR="001717BB">
      <w:fldChar w:fldCharType="separate"/>
    </w:r>
    <w:r>
      <w:fldChar w:fldCharType="end"/>
    </w:r>
  </w:p>
  <w:p w:rsidR="00D25FB5" w14:paraId="74F461F0" w14:textId="77777777">
    <w:pPr>
      <w:pStyle w:val="Footer"/>
    </w:pPr>
  </w:p>
  <w:p w:rsidR="003660ED" w14:paraId="5E5E243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9AF0AE0" w14:textId="77777777">
    <w:pPr>
      <w:pStyle w:val="Footer"/>
      <w:framePr w:wrap="around" w:vAnchor="text" w:hAnchor="margin" w:xAlign="center" w:y="1"/>
    </w:pPr>
    <w:r>
      <w:fldChar w:fldCharType="begin"/>
    </w:r>
    <w:r>
      <w:instrText xml:space="preserve">PAGE  </w:instrText>
    </w:r>
    <w:r>
      <w:fldChar w:fldCharType="separate"/>
    </w:r>
    <w:r w:rsidR="00C14D7B">
      <w:rPr>
        <w:noProof/>
      </w:rPr>
      <w:t>2</w:t>
    </w:r>
    <w:r>
      <w:fldChar w:fldCharType="end"/>
    </w:r>
  </w:p>
  <w:p w:rsidR="003660ED" w:rsidP="000E05FE" w14:paraId="4B411FA5"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5990B74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2B82" w14:paraId="44903803" w14:textId="77777777">
      <w:r>
        <w:separator/>
      </w:r>
    </w:p>
  </w:footnote>
  <w:footnote w:type="continuationSeparator" w:id="1">
    <w:p w:rsidR="00AF2B82" w:rsidP="00C721AC" w14:paraId="7FB2E6B0" w14:textId="77777777">
      <w:pPr>
        <w:spacing w:before="120"/>
        <w:rPr>
          <w:sz w:val="20"/>
        </w:rPr>
      </w:pPr>
      <w:r>
        <w:rPr>
          <w:sz w:val="20"/>
        </w:rPr>
        <w:t xml:space="preserve">(Continued from previous page)  </w:t>
      </w:r>
      <w:r>
        <w:rPr>
          <w:sz w:val="20"/>
        </w:rPr>
        <w:separator/>
      </w:r>
    </w:p>
  </w:footnote>
  <w:footnote w:type="continuationNotice" w:id="2">
    <w:p w:rsidR="00AF2B82" w:rsidP="00C721AC" w14:paraId="42BF22FF" w14:textId="77777777">
      <w:pPr>
        <w:jc w:val="right"/>
        <w:rPr>
          <w:sz w:val="20"/>
        </w:rPr>
      </w:pPr>
    </w:p>
  </w:footnote>
  <w:footnote w:id="3">
    <w:p w:rsidR="0045172D" w:rsidP="0045172D" w14:paraId="484D0A93" w14:textId="77777777">
      <w:pPr>
        <w:pStyle w:val="FootnoteText"/>
      </w:pPr>
      <w:r>
        <w:rPr>
          <w:rStyle w:val="FootnoteReference"/>
        </w:rPr>
        <w:footnoteRef/>
      </w:r>
      <w:r>
        <w:t xml:space="preserve"> </w:t>
      </w:r>
      <w:r w:rsidRPr="00454B4A">
        <w:rPr>
          <w:i/>
        </w:rPr>
        <w:t xml:space="preserve">See </w:t>
      </w:r>
      <w:r w:rsidRPr="00454B4A">
        <w:t>29 U.S.C. § 794.</w:t>
      </w:r>
    </w:p>
  </w:footnote>
  <w:footnote w:id="4">
    <w:p w:rsidR="0045172D" w:rsidP="0045172D" w14:paraId="4E9B9526" w14:textId="202C90F5">
      <w:pPr>
        <w:pStyle w:val="FootnoteText"/>
      </w:pPr>
      <w:r>
        <w:rPr>
          <w:rStyle w:val="FootnoteReference"/>
        </w:rPr>
        <w:footnoteRef/>
      </w:r>
      <w:r>
        <w:t xml:space="preserve"> </w:t>
      </w:r>
      <w:r w:rsidRPr="00454B4A">
        <w:t>47 CFR § 1.1810.</w:t>
      </w:r>
      <w:r w:rsidR="00D22F7A">
        <w:t xml:space="preserve">  </w:t>
      </w:r>
    </w:p>
  </w:footnote>
  <w:footnote w:id="5">
    <w:p w:rsidR="0045172D" w:rsidP="0045172D" w14:paraId="41B5B449" w14:textId="2BC160FE">
      <w:pPr>
        <w:pStyle w:val="FootnoteText"/>
      </w:pPr>
      <w:r>
        <w:rPr>
          <w:rStyle w:val="FootnoteReference"/>
        </w:rPr>
        <w:footnoteRef/>
      </w:r>
      <w:r>
        <w:t xml:space="preserve"> </w:t>
      </w:r>
      <w:r w:rsidRPr="00454B4A">
        <w:rPr>
          <w:i/>
        </w:rPr>
        <w:t>See</w:t>
      </w:r>
      <w:r w:rsidRPr="00454B4A">
        <w:t xml:space="preserve"> 47 CFR § 1.1805; Federal Communications Commission Section 504 Programs &amp; Activities Accessibility Handbook (</w:t>
      </w:r>
      <w:r w:rsidRPr="006A0E1D">
        <w:rPr>
          <w:i/>
        </w:rPr>
        <w:t>Section 504 Handbook</w:t>
      </w:r>
      <w:r w:rsidRPr="00454B4A">
        <w:t xml:space="preserve">).  The </w:t>
      </w:r>
      <w:r w:rsidRPr="007D5059">
        <w:rPr>
          <w:i/>
        </w:rPr>
        <w:t>Section 504 Handbook</w:t>
      </w:r>
      <w:r w:rsidRPr="00454B4A">
        <w:t xml:space="preserve"> is available in Word</w:t>
      </w:r>
      <w:r>
        <w:t xml:space="preserve"> and</w:t>
      </w:r>
      <w:r w:rsidRPr="00454B4A">
        <w:t xml:space="preserve"> PDF at</w:t>
      </w:r>
      <w:r w:rsidRPr="004B3975" w:rsidR="00972194">
        <w:rPr>
          <w:kern w:val="28"/>
          <w:sz w:val="22"/>
        </w:rPr>
        <w:t xml:space="preserve"> </w:t>
      </w:r>
      <w:hyperlink r:id="rId1" w:history="1">
        <w:r w:rsidRPr="00765951" w:rsidR="00972194">
          <w:rPr>
            <w:rStyle w:val="Hyperlink"/>
          </w:rPr>
          <w:t>https://www.fcc.gov/general/section-504-handbook</w:t>
        </w:r>
      </w:hyperlink>
      <w:r w:rsidRPr="00454B4A">
        <w:t>.</w:t>
      </w:r>
      <w:r>
        <w:t xml:space="preserve"> </w:t>
      </w:r>
    </w:p>
  </w:footnote>
  <w:footnote w:id="6">
    <w:p w:rsidR="0045172D" w:rsidRPr="003D465F" w:rsidP="0045172D" w14:paraId="72D23A6B" w14:textId="77777777">
      <w:pPr>
        <w:pStyle w:val="FootnoteText"/>
      </w:pPr>
      <w:r>
        <w:rPr>
          <w:rStyle w:val="FootnoteReference"/>
        </w:rPr>
        <w:footnoteRef/>
      </w:r>
      <w:r>
        <w:t xml:space="preserve"> </w:t>
      </w:r>
      <w:r w:rsidRPr="002836D4">
        <w:rPr>
          <w:i/>
        </w:rPr>
        <w:t xml:space="preserve">See </w:t>
      </w:r>
      <w:r>
        <w:rPr>
          <w:i/>
        </w:rPr>
        <w:t xml:space="preserve">generally </w:t>
      </w:r>
      <w:r w:rsidRPr="002836D4">
        <w:rPr>
          <w:i/>
        </w:rPr>
        <w:t>Section 504 Handbook</w:t>
      </w:r>
      <w:r w:rsidRPr="002836D4">
        <w:t>.</w:t>
      </w:r>
    </w:p>
  </w:footnote>
  <w:footnote w:id="7">
    <w:p w:rsidR="00196E2B" w:rsidRPr="00801F23" w:rsidP="00196E2B" w14:paraId="54D09BE7" w14:textId="77777777">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6876" w14:paraId="0E26A2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6876" w14:paraId="41EA28B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595F2908" w14:textId="56DF9D0D">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0CDBDB19">
                          <w:pPr>
                            <w:rPr>
                              <w:rFonts w:ascii="Arial" w:hAnsi="Arial"/>
                              <w:b/>
                            </w:rPr>
                          </w:pPr>
                          <w:r>
                            <w:rPr>
                              <w:rFonts w:ascii="Arial" w:hAnsi="Arial"/>
                              <w:b/>
                            </w:rPr>
                            <w:t>45 L St</w:t>
                          </w:r>
                          <w:r w:rsidR="00434F74">
                            <w:rPr>
                              <w:rFonts w:ascii="Arial" w:hAnsi="Arial"/>
                              <w:b/>
                            </w:rPr>
                            <w:t xml:space="preserve"> NE</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77E00F38" w14:textId="77777777">
                    <w:pPr>
                      <w:rPr>
                        <w:rFonts w:ascii="Arial" w:hAnsi="Arial"/>
                        <w:b/>
                      </w:rPr>
                    </w:pPr>
                    <w:r>
                      <w:rPr>
                        <w:rFonts w:ascii="Arial" w:hAnsi="Arial"/>
                        <w:b/>
                      </w:rPr>
                      <w:t>Federal Communications Commission</w:t>
                    </w:r>
                  </w:p>
                  <w:p w:rsidR="00D47505" w:rsidP="00D47505" w14:paraId="7C1334B0" w14:textId="0CDBDB19">
                    <w:pPr>
                      <w:rPr>
                        <w:rFonts w:ascii="Arial" w:hAnsi="Arial"/>
                        <w:b/>
                      </w:rPr>
                    </w:pPr>
                    <w:r>
                      <w:rPr>
                        <w:rFonts w:ascii="Arial" w:hAnsi="Arial"/>
                        <w:b/>
                      </w:rPr>
                      <w:t>45 L St</w:t>
                    </w:r>
                    <w:r w:rsidR="00434F74">
                      <w:rPr>
                        <w:rFonts w:ascii="Arial" w:hAnsi="Arial"/>
                        <w:b/>
                      </w:rPr>
                      <w:t xml:space="preserve"> NE</w:t>
                    </w:r>
                  </w:p>
                  <w:p w:rsidR="00D47505" w:rsidP="00D47505" w14:paraId="5A413A15"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32B5F172" w14:textId="3723B9E5">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3CE7C363">
                          <w:pPr>
                            <w:jc w:val="right"/>
                            <w:rPr>
                              <w:rFonts w:ascii="Arial" w:hAnsi="Arial"/>
                              <w:b/>
                              <w:sz w:val="16"/>
                            </w:rPr>
                          </w:pPr>
                          <w:r>
                            <w:rPr>
                              <w:rFonts w:ascii="Arial" w:hAnsi="Arial"/>
                              <w:b/>
                              <w:sz w:val="16"/>
                            </w:rPr>
                            <w:t xml:space="preserve">Internet: </w:t>
                          </w:r>
                          <w:bookmarkStart w:id="0" w:name="_Hlt233824"/>
                          <w:hyperlink r:id="rId2" w:history="1">
                            <w:r w:rsidRPr="00D216CD" w:rsidR="007F413A">
                              <w:rPr>
                                <w:rStyle w:val="Hyperlink"/>
                                <w:rFonts w:ascii="Arial" w:hAnsi="Arial"/>
                                <w:b/>
                                <w:sz w:val="16"/>
                              </w:rPr>
                              <w:t>h</w:t>
                            </w:r>
                            <w:bookmarkEnd w:id="0"/>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67BC5A0D" w14:textId="77777777">
                    <w:pPr>
                      <w:spacing w:before="40"/>
                      <w:jc w:val="right"/>
                      <w:rPr>
                        <w:rFonts w:ascii="Arial" w:hAnsi="Arial"/>
                        <w:b/>
                        <w:sz w:val="16"/>
                      </w:rPr>
                    </w:pPr>
                    <w:r>
                      <w:rPr>
                        <w:rFonts w:ascii="Arial" w:hAnsi="Arial"/>
                        <w:b/>
                        <w:sz w:val="16"/>
                      </w:rPr>
                      <w:t>News Media Information 202 / 418-0500</w:t>
                    </w:r>
                  </w:p>
                  <w:p w:rsidR="00D47505" w:rsidP="00D47505" w14:paraId="01BEAC40" w14:textId="3CE7C363">
                    <w:pPr>
                      <w:jc w:val="right"/>
                      <w:rPr>
                        <w:rFonts w:ascii="Arial" w:hAnsi="Arial"/>
                        <w:b/>
                        <w:sz w:val="16"/>
                      </w:rPr>
                    </w:pPr>
                    <w:r>
                      <w:rPr>
                        <w:rFonts w:ascii="Arial" w:hAnsi="Arial"/>
                        <w:b/>
                        <w:sz w:val="16"/>
                      </w:rPr>
                      <w:t xml:space="preserve">Internet: </w:t>
                    </w:r>
                    <w:bookmarkStart w:id="0" w:name="_Hlt233824"/>
                    <w:hyperlink r:id="rId2" w:history="1">
                      <w:r w:rsidRPr="00D216CD" w:rsidR="007F413A">
                        <w:rPr>
                          <w:rStyle w:val="Hyperlink"/>
                          <w:rFonts w:ascii="Arial" w:hAnsi="Arial"/>
                          <w:b/>
                          <w:sz w:val="16"/>
                        </w:rPr>
                        <w:t>h</w:t>
                      </w:r>
                      <w:bookmarkEnd w:id="0"/>
                      <w:r w:rsidRPr="00D216CD" w:rsidR="007F413A">
                        <w:rPr>
                          <w:rStyle w:val="Hyperlink"/>
                          <w:rFonts w:ascii="Arial" w:hAnsi="Arial"/>
                          <w:b/>
                          <w:sz w:val="16"/>
                        </w:rPr>
                        <w:t>ttps://www.fcc.gov</w:t>
                      </w:r>
                    </w:hyperlink>
                  </w:p>
                  <w:p w:rsidR="00D47505" w:rsidP="00B338A9" w14:paraId="0F95104E"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DF44E2B"/>
    <w:multiLevelType w:val="hybridMultilevel"/>
    <w:tmpl w:val="87DED2B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2D"/>
    <w:rsid w:val="000131D7"/>
    <w:rsid w:val="00023DEE"/>
    <w:rsid w:val="000322D7"/>
    <w:rsid w:val="00036039"/>
    <w:rsid w:val="00036B7C"/>
    <w:rsid w:val="0003734C"/>
    <w:rsid w:val="00037F90"/>
    <w:rsid w:val="00050044"/>
    <w:rsid w:val="000503B4"/>
    <w:rsid w:val="0006013B"/>
    <w:rsid w:val="00060C2B"/>
    <w:rsid w:val="00066711"/>
    <w:rsid w:val="00084B7D"/>
    <w:rsid w:val="000875BF"/>
    <w:rsid w:val="000923E2"/>
    <w:rsid w:val="00096D8C"/>
    <w:rsid w:val="000C0B65"/>
    <w:rsid w:val="000D7702"/>
    <w:rsid w:val="000E05FE"/>
    <w:rsid w:val="000E3D42"/>
    <w:rsid w:val="000E43E0"/>
    <w:rsid w:val="000E75C7"/>
    <w:rsid w:val="000F35CE"/>
    <w:rsid w:val="00122BD5"/>
    <w:rsid w:val="00133F79"/>
    <w:rsid w:val="0014003F"/>
    <w:rsid w:val="00144D67"/>
    <w:rsid w:val="0015108C"/>
    <w:rsid w:val="00157BD8"/>
    <w:rsid w:val="001617A0"/>
    <w:rsid w:val="001717BB"/>
    <w:rsid w:val="00176347"/>
    <w:rsid w:val="00184356"/>
    <w:rsid w:val="00187F7F"/>
    <w:rsid w:val="00194A66"/>
    <w:rsid w:val="00195532"/>
    <w:rsid w:val="00196E2B"/>
    <w:rsid w:val="001A1B35"/>
    <w:rsid w:val="001D28F4"/>
    <w:rsid w:val="001D3895"/>
    <w:rsid w:val="001D6BCF"/>
    <w:rsid w:val="001E01CA"/>
    <w:rsid w:val="001E0939"/>
    <w:rsid w:val="001E4877"/>
    <w:rsid w:val="00201E5F"/>
    <w:rsid w:val="00203CA2"/>
    <w:rsid w:val="002043CE"/>
    <w:rsid w:val="002074F4"/>
    <w:rsid w:val="0021286B"/>
    <w:rsid w:val="00214862"/>
    <w:rsid w:val="00231E6B"/>
    <w:rsid w:val="00232B91"/>
    <w:rsid w:val="00236EA1"/>
    <w:rsid w:val="00240146"/>
    <w:rsid w:val="002407A0"/>
    <w:rsid w:val="00256430"/>
    <w:rsid w:val="00266E29"/>
    <w:rsid w:val="00270A8B"/>
    <w:rsid w:val="00275CF5"/>
    <w:rsid w:val="0028301F"/>
    <w:rsid w:val="002836D4"/>
    <w:rsid w:val="00285017"/>
    <w:rsid w:val="002A1EB7"/>
    <w:rsid w:val="002A2D2E"/>
    <w:rsid w:val="002A67C6"/>
    <w:rsid w:val="002B26B5"/>
    <w:rsid w:val="002B4FD5"/>
    <w:rsid w:val="002C00E8"/>
    <w:rsid w:val="002D6A49"/>
    <w:rsid w:val="002F49B0"/>
    <w:rsid w:val="002F5016"/>
    <w:rsid w:val="00301D46"/>
    <w:rsid w:val="0031426E"/>
    <w:rsid w:val="00321070"/>
    <w:rsid w:val="00343749"/>
    <w:rsid w:val="00346741"/>
    <w:rsid w:val="00351E98"/>
    <w:rsid w:val="00355B2A"/>
    <w:rsid w:val="00356258"/>
    <w:rsid w:val="00362E75"/>
    <w:rsid w:val="00362E97"/>
    <w:rsid w:val="00363978"/>
    <w:rsid w:val="003660ED"/>
    <w:rsid w:val="00366E1B"/>
    <w:rsid w:val="00374C61"/>
    <w:rsid w:val="003754AC"/>
    <w:rsid w:val="0038200D"/>
    <w:rsid w:val="00384853"/>
    <w:rsid w:val="0039013D"/>
    <w:rsid w:val="00392F9F"/>
    <w:rsid w:val="003A28A2"/>
    <w:rsid w:val="003B0550"/>
    <w:rsid w:val="003B2611"/>
    <w:rsid w:val="003B4CA2"/>
    <w:rsid w:val="003B694F"/>
    <w:rsid w:val="003C0808"/>
    <w:rsid w:val="003C1EE5"/>
    <w:rsid w:val="003D465F"/>
    <w:rsid w:val="003F0CC6"/>
    <w:rsid w:val="003F1064"/>
    <w:rsid w:val="003F171C"/>
    <w:rsid w:val="003F6F4E"/>
    <w:rsid w:val="00400770"/>
    <w:rsid w:val="00412FC5"/>
    <w:rsid w:val="00417ECE"/>
    <w:rsid w:val="0042022D"/>
    <w:rsid w:val="00422276"/>
    <w:rsid w:val="004242F1"/>
    <w:rsid w:val="00434F74"/>
    <w:rsid w:val="0044448F"/>
    <w:rsid w:val="00445A00"/>
    <w:rsid w:val="004470CE"/>
    <w:rsid w:val="0045172D"/>
    <w:rsid w:val="00451B0F"/>
    <w:rsid w:val="004547BF"/>
    <w:rsid w:val="00454B4A"/>
    <w:rsid w:val="0045713D"/>
    <w:rsid w:val="0045797C"/>
    <w:rsid w:val="004B3975"/>
    <w:rsid w:val="004B49E0"/>
    <w:rsid w:val="004C2EE3"/>
    <w:rsid w:val="004C3AD1"/>
    <w:rsid w:val="004E4A22"/>
    <w:rsid w:val="004F7639"/>
    <w:rsid w:val="005034B1"/>
    <w:rsid w:val="00511968"/>
    <w:rsid w:val="00534294"/>
    <w:rsid w:val="00542770"/>
    <w:rsid w:val="00546BAD"/>
    <w:rsid w:val="00547AB5"/>
    <w:rsid w:val="00551B8B"/>
    <w:rsid w:val="00553395"/>
    <w:rsid w:val="005545B5"/>
    <w:rsid w:val="0055614C"/>
    <w:rsid w:val="00567501"/>
    <w:rsid w:val="00577EE0"/>
    <w:rsid w:val="00581C77"/>
    <w:rsid w:val="00595A7B"/>
    <w:rsid w:val="005B147C"/>
    <w:rsid w:val="005C23A7"/>
    <w:rsid w:val="005C6B8A"/>
    <w:rsid w:val="005E14C2"/>
    <w:rsid w:val="005E6CF5"/>
    <w:rsid w:val="00607BA5"/>
    <w:rsid w:val="0061180A"/>
    <w:rsid w:val="00616950"/>
    <w:rsid w:val="006224A6"/>
    <w:rsid w:val="00624DAD"/>
    <w:rsid w:val="00626EB6"/>
    <w:rsid w:val="006359AD"/>
    <w:rsid w:val="006448D8"/>
    <w:rsid w:val="0064661D"/>
    <w:rsid w:val="00655819"/>
    <w:rsid w:val="00655D03"/>
    <w:rsid w:val="00656A89"/>
    <w:rsid w:val="006608E9"/>
    <w:rsid w:val="00660F3E"/>
    <w:rsid w:val="006708E1"/>
    <w:rsid w:val="0067591E"/>
    <w:rsid w:val="00683388"/>
    <w:rsid w:val="00683F84"/>
    <w:rsid w:val="006846CB"/>
    <w:rsid w:val="006A0E1D"/>
    <w:rsid w:val="006A16B5"/>
    <w:rsid w:val="006A1F49"/>
    <w:rsid w:val="006A6A81"/>
    <w:rsid w:val="006B1456"/>
    <w:rsid w:val="006B2961"/>
    <w:rsid w:val="006E55A6"/>
    <w:rsid w:val="006F6DD9"/>
    <w:rsid w:val="006F7393"/>
    <w:rsid w:val="0070224F"/>
    <w:rsid w:val="007064B7"/>
    <w:rsid w:val="007115F7"/>
    <w:rsid w:val="007302BA"/>
    <w:rsid w:val="00732AEE"/>
    <w:rsid w:val="00734636"/>
    <w:rsid w:val="00753116"/>
    <w:rsid w:val="007564F5"/>
    <w:rsid w:val="0075653B"/>
    <w:rsid w:val="00756B89"/>
    <w:rsid w:val="00765951"/>
    <w:rsid w:val="00766708"/>
    <w:rsid w:val="007725D5"/>
    <w:rsid w:val="007778FC"/>
    <w:rsid w:val="00777CEE"/>
    <w:rsid w:val="00785689"/>
    <w:rsid w:val="0079754B"/>
    <w:rsid w:val="007A1E6D"/>
    <w:rsid w:val="007B0EB2"/>
    <w:rsid w:val="007C11ED"/>
    <w:rsid w:val="007C7134"/>
    <w:rsid w:val="007D2463"/>
    <w:rsid w:val="007D5059"/>
    <w:rsid w:val="007E0948"/>
    <w:rsid w:val="007E2AC8"/>
    <w:rsid w:val="007E7D5A"/>
    <w:rsid w:val="007F413A"/>
    <w:rsid w:val="00800686"/>
    <w:rsid w:val="008008A6"/>
    <w:rsid w:val="00801F23"/>
    <w:rsid w:val="00803BB9"/>
    <w:rsid w:val="00810B6F"/>
    <w:rsid w:val="00810FAE"/>
    <w:rsid w:val="00815D64"/>
    <w:rsid w:val="00822CE0"/>
    <w:rsid w:val="00827E7E"/>
    <w:rsid w:val="008302C6"/>
    <w:rsid w:val="008415A6"/>
    <w:rsid w:val="00841AB1"/>
    <w:rsid w:val="00842B03"/>
    <w:rsid w:val="008618B5"/>
    <w:rsid w:val="00861A7F"/>
    <w:rsid w:val="00881C27"/>
    <w:rsid w:val="00882D5A"/>
    <w:rsid w:val="008C2ADB"/>
    <w:rsid w:val="008C3766"/>
    <w:rsid w:val="008C68F1"/>
    <w:rsid w:val="008F353D"/>
    <w:rsid w:val="00921803"/>
    <w:rsid w:val="00926503"/>
    <w:rsid w:val="009361F4"/>
    <w:rsid w:val="009436D2"/>
    <w:rsid w:val="009550EB"/>
    <w:rsid w:val="00956B68"/>
    <w:rsid w:val="00970314"/>
    <w:rsid w:val="00972194"/>
    <w:rsid w:val="009726D8"/>
    <w:rsid w:val="00975B90"/>
    <w:rsid w:val="009773D4"/>
    <w:rsid w:val="0099054C"/>
    <w:rsid w:val="009A564C"/>
    <w:rsid w:val="009B3FDA"/>
    <w:rsid w:val="009D4AB1"/>
    <w:rsid w:val="009F23F9"/>
    <w:rsid w:val="009F76DB"/>
    <w:rsid w:val="00A16CA3"/>
    <w:rsid w:val="00A2747C"/>
    <w:rsid w:val="00A31893"/>
    <w:rsid w:val="00A32C3B"/>
    <w:rsid w:val="00A335DA"/>
    <w:rsid w:val="00A35F89"/>
    <w:rsid w:val="00A4204F"/>
    <w:rsid w:val="00A432F0"/>
    <w:rsid w:val="00A45F4F"/>
    <w:rsid w:val="00A475BB"/>
    <w:rsid w:val="00A50C04"/>
    <w:rsid w:val="00A600A9"/>
    <w:rsid w:val="00A83853"/>
    <w:rsid w:val="00A845A6"/>
    <w:rsid w:val="00A8627D"/>
    <w:rsid w:val="00A87213"/>
    <w:rsid w:val="00A9790F"/>
    <w:rsid w:val="00A97F6A"/>
    <w:rsid w:val="00AA0BEF"/>
    <w:rsid w:val="00AA55B7"/>
    <w:rsid w:val="00AA5B9E"/>
    <w:rsid w:val="00AB2407"/>
    <w:rsid w:val="00AB3AB5"/>
    <w:rsid w:val="00AB53DF"/>
    <w:rsid w:val="00AC424B"/>
    <w:rsid w:val="00AD3C83"/>
    <w:rsid w:val="00AF2B82"/>
    <w:rsid w:val="00AF46DC"/>
    <w:rsid w:val="00B07E5C"/>
    <w:rsid w:val="00B16FC4"/>
    <w:rsid w:val="00B20363"/>
    <w:rsid w:val="00B338A9"/>
    <w:rsid w:val="00B35F09"/>
    <w:rsid w:val="00B434B8"/>
    <w:rsid w:val="00B5190E"/>
    <w:rsid w:val="00B655A4"/>
    <w:rsid w:val="00B679AB"/>
    <w:rsid w:val="00B76D4C"/>
    <w:rsid w:val="00B76DB8"/>
    <w:rsid w:val="00B811F7"/>
    <w:rsid w:val="00B8315D"/>
    <w:rsid w:val="00B92070"/>
    <w:rsid w:val="00BA1AD8"/>
    <w:rsid w:val="00BA5DC6"/>
    <w:rsid w:val="00BA6196"/>
    <w:rsid w:val="00BA6876"/>
    <w:rsid w:val="00BB1E19"/>
    <w:rsid w:val="00BC1DD5"/>
    <w:rsid w:val="00BC5440"/>
    <w:rsid w:val="00BC6D8C"/>
    <w:rsid w:val="00BD182F"/>
    <w:rsid w:val="00BD45AB"/>
    <w:rsid w:val="00BD4765"/>
    <w:rsid w:val="00BD5FAC"/>
    <w:rsid w:val="00C02949"/>
    <w:rsid w:val="00C04DDC"/>
    <w:rsid w:val="00C11F85"/>
    <w:rsid w:val="00C1318A"/>
    <w:rsid w:val="00C133AB"/>
    <w:rsid w:val="00C14D7B"/>
    <w:rsid w:val="00C2319A"/>
    <w:rsid w:val="00C23621"/>
    <w:rsid w:val="00C34006"/>
    <w:rsid w:val="00C426B1"/>
    <w:rsid w:val="00C624CD"/>
    <w:rsid w:val="00C66160"/>
    <w:rsid w:val="00C721AC"/>
    <w:rsid w:val="00C72DBA"/>
    <w:rsid w:val="00C76A74"/>
    <w:rsid w:val="00C86338"/>
    <w:rsid w:val="00C90D6A"/>
    <w:rsid w:val="00C96586"/>
    <w:rsid w:val="00CA247E"/>
    <w:rsid w:val="00CC1A4F"/>
    <w:rsid w:val="00CC35E1"/>
    <w:rsid w:val="00CC72B6"/>
    <w:rsid w:val="00CC776F"/>
    <w:rsid w:val="00CD6727"/>
    <w:rsid w:val="00CE021D"/>
    <w:rsid w:val="00CE7879"/>
    <w:rsid w:val="00CF444C"/>
    <w:rsid w:val="00D0218D"/>
    <w:rsid w:val="00D02601"/>
    <w:rsid w:val="00D04BF7"/>
    <w:rsid w:val="00D07932"/>
    <w:rsid w:val="00D11E43"/>
    <w:rsid w:val="00D16436"/>
    <w:rsid w:val="00D216CD"/>
    <w:rsid w:val="00D22F7A"/>
    <w:rsid w:val="00D25FB5"/>
    <w:rsid w:val="00D33626"/>
    <w:rsid w:val="00D37146"/>
    <w:rsid w:val="00D44223"/>
    <w:rsid w:val="00D47505"/>
    <w:rsid w:val="00D62047"/>
    <w:rsid w:val="00D70E32"/>
    <w:rsid w:val="00D71A3C"/>
    <w:rsid w:val="00D821CB"/>
    <w:rsid w:val="00D90673"/>
    <w:rsid w:val="00DA2529"/>
    <w:rsid w:val="00DA3ADE"/>
    <w:rsid w:val="00DA5386"/>
    <w:rsid w:val="00DA715D"/>
    <w:rsid w:val="00DB130A"/>
    <w:rsid w:val="00DB2EBB"/>
    <w:rsid w:val="00DC10A1"/>
    <w:rsid w:val="00DC1BE6"/>
    <w:rsid w:val="00DC2E37"/>
    <w:rsid w:val="00DC4CC5"/>
    <w:rsid w:val="00DC655F"/>
    <w:rsid w:val="00DD0B59"/>
    <w:rsid w:val="00DD1551"/>
    <w:rsid w:val="00DD3C6A"/>
    <w:rsid w:val="00DD7EBD"/>
    <w:rsid w:val="00DE4C8D"/>
    <w:rsid w:val="00DF0810"/>
    <w:rsid w:val="00DF62B6"/>
    <w:rsid w:val="00E07225"/>
    <w:rsid w:val="00E16E68"/>
    <w:rsid w:val="00E500F1"/>
    <w:rsid w:val="00E5409F"/>
    <w:rsid w:val="00E5467D"/>
    <w:rsid w:val="00E600DA"/>
    <w:rsid w:val="00EA4350"/>
    <w:rsid w:val="00EB2710"/>
    <w:rsid w:val="00EB4ACC"/>
    <w:rsid w:val="00EB76A1"/>
    <w:rsid w:val="00ED5F17"/>
    <w:rsid w:val="00EE6488"/>
    <w:rsid w:val="00F021FA"/>
    <w:rsid w:val="00F03CBB"/>
    <w:rsid w:val="00F11DDD"/>
    <w:rsid w:val="00F15DEF"/>
    <w:rsid w:val="00F3209A"/>
    <w:rsid w:val="00F62E97"/>
    <w:rsid w:val="00F64209"/>
    <w:rsid w:val="00F8325D"/>
    <w:rsid w:val="00F8591E"/>
    <w:rsid w:val="00F9290C"/>
    <w:rsid w:val="00F93BF5"/>
    <w:rsid w:val="00FB56C1"/>
    <w:rsid w:val="00FC6B1E"/>
    <w:rsid w:val="00FD5CC8"/>
    <w:rsid w:val="00FE150A"/>
    <w:rsid w:val="00FE2C64"/>
    <w:rsid w:val="00FE6D9E"/>
    <w:rsid w:val="09442535"/>
    <w:rsid w:val="0F8BED1F"/>
    <w:rsid w:val="16C6BD8A"/>
    <w:rsid w:val="20A59B84"/>
    <w:rsid w:val="4500C890"/>
    <w:rsid w:val="4D5F49B4"/>
    <w:rsid w:val="54E644DC"/>
    <w:rsid w:val="5B6809A3"/>
    <w:rsid w:val="6A1FAC20"/>
    <w:rsid w:val="6D6AAF31"/>
    <w:rsid w:val="7661C954"/>
    <w:rsid w:val="7A5F60B0"/>
    <w:rsid w:val="7D53857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60B03D7"/>
  <w15:docId w15:val="{327F5707-4935-47EE-BE39-5E866F56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 Char Char Char1 Char1,Footnote Text Char Char1 Char Char Char Char Char1,Footnote Text Char1 Char Char1 Char Char Char1,Footnote Text Char1 Char1,Footnote Text Char2 Char1 Char Char1,Footnote Text Char3 Char Char"/>
    <w:basedOn w:val="DefaultParagraphFont"/>
    <w:link w:val="FootnoteText"/>
    <w:rsid w:val="0045172D"/>
  </w:style>
  <w:style w:type="character" w:styleId="CommentReference">
    <w:name w:val="annotation reference"/>
    <w:basedOn w:val="DefaultParagraphFont"/>
    <w:uiPriority w:val="99"/>
    <w:unhideWhenUsed/>
    <w:rsid w:val="0045172D"/>
    <w:rPr>
      <w:sz w:val="16"/>
      <w:szCs w:val="16"/>
    </w:rPr>
  </w:style>
  <w:style w:type="paragraph" w:styleId="CommentText">
    <w:name w:val="annotation text"/>
    <w:basedOn w:val="Normal"/>
    <w:link w:val="CommentTextChar"/>
    <w:uiPriority w:val="99"/>
    <w:unhideWhenUsed/>
    <w:rsid w:val="0045172D"/>
    <w:pPr>
      <w:widowControl/>
    </w:pPr>
    <w:rPr>
      <w:snapToGrid/>
      <w:kern w:val="0"/>
      <w:sz w:val="20"/>
    </w:rPr>
  </w:style>
  <w:style w:type="character" w:customStyle="1" w:styleId="CommentTextChar">
    <w:name w:val="Comment Text Char"/>
    <w:basedOn w:val="DefaultParagraphFont"/>
    <w:link w:val="CommentText"/>
    <w:uiPriority w:val="99"/>
    <w:rsid w:val="0045172D"/>
  </w:style>
  <w:style w:type="character" w:customStyle="1" w:styleId="UnresolvedMention1">
    <w:name w:val="Unresolved Mention1"/>
    <w:basedOn w:val="DefaultParagraphFont"/>
    <w:uiPriority w:val="99"/>
    <w:semiHidden/>
    <w:unhideWhenUsed/>
    <w:rsid w:val="00C72DBA"/>
    <w:rPr>
      <w:color w:val="605E5C"/>
      <w:shd w:val="clear" w:color="auto" w:fill="E1DFDD"/>
    </w:rPr>
  </w:style>
  <w:style w:type="character" w:styleId="FollowedHyperlink">
    <w:name w:val="FollowedHyperlink"/>
    <w:basedOn w:val="DefaultParagraphFont"/>
    <w:semiHidden/>
    <w:unhideWhenUsed/>
    <w:rsid w:val="000E43E0"/>
    <w:rPr>
      <w:color w:val="954F72" w:themeColor="followedHyperlink"/>
      <w:u w:val="single"/>
    </w:rPr>
  </w:style>
  <w:style w:type="paragraph" w:styleId="CommentSubject">
    <w:name w:val="annotation subject"/>
    <w:basedOn w:val="CommentText"/>
    <w:next w:val="CommentText"/>
    <w:link w:val="CommentSubjectChar"/>
    <w:semiHidden/>
    <w:unhideWhenUsed/>
    <w:rsid w:val="00F03CBB"/>
    <w:pPr>
      <w:widowControl w:val="0"/>
    </w:pPr>
    <w:rPr>
      <w:b/>
      <w:bCs/>
      <w:snapToGrid w:val="0"/>
      <w:kern w:val="28"/>
    </w:rPr>
  </w:style>
  <w:style w:type="character" w:customStyle="1" w:styleId="CommentSubjectChar">
    <w:name w:val="Comment Subject Char"/>
    <w:basedOn w:val="CommentTextChar"/>
    <w:link w:val="CommentSubject"/>
    <w:semiHidden/>
    <w:rsid w:val="00F03CBB"/>
    <w:rPr>
      <w:b/>
      <w:bCs/>
      <w:snapToGrid w:val="0"/>
      <w:kern w:val="28"/>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rsid w:val="00196E2B"/>
  </w:style>
  <w:style w:type="paragraph" w:styleId="ListParagraph">
    <w:name w:val="List Paragraph"/>
    <w:basedOn w:val="Normal"/>
    <w:uiPriority w:val="34"/>
    <w:qFormat/>
    <w:rsid w:val="006224A6"/>
    <w:pPr>
      <w:ind w:left="720"/>
      <w:contextualSpacing/>
    </w:pPr>
  </w:style>
  <w:style w:type="paragraph" w:styleId="Revision">
    <w:name w:val="Revision"/>
    <w:hidden/>
    <w:uiPriority w:val="99"/>
    <w:semiHidden/>
    <w:rsid w:val="004B397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Gerard.Williams@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section-504-handbook"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