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C358E" w:rsidP="00E17D8A" w14:paraId="1AA68DE8" w14:textId="77777777">
      <w:pPr>
        <w:widowControl w:val="0"/>
        <w:autoSpaceDE w:val="0"/>
        <w:autoSpaceDN w:val="0"/>
        <w:adjustRightInd w:val="0"/>
        <w:ind w:left="5760" w:firstLine="720"/>
        <w:outlineLvl w:val="0"/>
        <w:rPr>
          <w:b/>
          <w:bCs/>
          <w:color w:val="000000"/>
        </w:rPr>
      </w:pPr>
    </w:p>
    <w:p w:rsidR="00341FF3" w:rsidP="00341FF3" w14:paraId="57C13325" w14:textId="77777777">
      <w:pPr>
        <w:widowControl w:val="0"/>
        <w:autoSpaceDE w:val="0"/>
        <w:autoSpaceDN w:val="0"/>
        <w:adjustRightInd w:val="0"/>
        <w:ind w:left="5760"/>
        <w:outlineLvl w:val="0"/>
        <w:rPr>
          <w:b/>
          <w:color w:val="000000"/>
          <w:sz w:val="22"/>
          <w:szCs w:val="22"/>
        </w:rPr>
      </w:pPr>
      <w:r>
        <w:rPr>
          <w:b/>
          <w:bCs/>
          <w:color w:val="000000"/>
        </w:rPr>
        <w:t xml:space="preserve">             </w:t>
      </w:r>
      <w:r w:rsidRPr="00E17D8A" w:rsidR="00E17D8A">
        <w:rPr>
          <w:i/>
          <w:color w:val="000000"/>
          <w:sz w:val="22"/>
          <w:szCs w:val="22"/>
        </w:rPr>
        <w:t>In Reply Refer to</w:t>
      </w:r>
      <w:r w:rsidRPr="00E17D8A" w:rsidR="00E17D8A">
        <w:rPr>
          <w:b/>
          <w:color w:val="000000"/>
          <w:sz w:val="22"/>
          <w:szCs w:val="22"/>
        </w:rPr>
        <w:t>:</w:t>
      </w:r>
      <w:r>
        <w:rPr>
          <w:b/>
          <w:color w:val="000000"/>
          <w:sz w:val="22"/>
          <w:szCs w:val="22"/>
        </w:rPr>
        <w:tab/>
      </w:r>
    </w:p>
    <w:p w:rsidR="00E17D8A" w:rsidRPr="00341FF3" w:rsidP="00341FF3" w14:paraId="5EC6D767" w14:textId="1E44DF04">
      <w:pPr>
        <w:widowControl w:val="0"/>
        <w:autoSpaceDE w:val="0"/>
        <w:autoSpaceDN w:val="0"/>
        <w:adjustRightInd w:val="0"/>
        <w:ind w:left="5760"/>
        <w:outlineLvl w:val="0"/>
        <w:rPr>
          <w:b/>
          <w:color w:val="000000"/>
          <w:sz w:val="22"/>
          <w:szCs w:val="22"/>
        </w:rPr>
      </w:pPr>
      <w:r>
        <w:rPr>
          <w:i/>
          <w:color w:val="000000"/>
          <w:sz w:val="22"/>
          <w:szCs w:val="22"/>
        </w:rPr>
        <w:t xml:space="preserve">            </w:t>
      </w:r>
      <w:r w:rsidRPr="00E17D8A">
        <w:rPr>
          <w:color w:val="000000"/>
          <w:sz w:val="22"/>
          <w:szCs w:val="22"/>
        </w:rPr>
        <w:t>1800B3-</w:t>
      </w:r>
      <w:r w:rsidR="002F3D8E">
        <w:rPr>
          <w:color w:val="000000"/>
          <w:sz w:val="22"/>
          <w:szCs w:val="22"/>
        </w:rPr>
        <w:t>TSN</w:t>
      </w:r>
    </w:p>
    <w:p w:rsidR="00526428" w:rsidP="00E17D8A" w14:paraId="349C9A23" w14:textId="76D1EE27">
      <w:pPr>
        <w:widowControl w:val="0"/>
        <w:autoSpaceDE w:val="0"/>
        <w:autoSpaceDN w:val="0"/>
        <w:adjustRightInd w:val="0"/>
        <w:ind w:left="5760" w:firstLine="720"/>
        <w:outlineLvl w:val="0"/>
        <w:rPr>
          <w:color w:val="000000"/>
          <w:sz w:val="22"/>
          <w:szCs w:val="22"/>
        </w:rPr>
      </w:pPr>
    </w:p>
    <w:p w:rsidR="00526428" w:rsidRPr="00526428" w:rsidP="00E17D8A" w14:paraId="6EAA4C45" w14:textId="5798C13B">
      <w:pPr>
        <w:widowControl w:val="0"/>
        <w:autoSpaceDE w:val="0"/>
        <w:autoSpaceDN w:val="0"/>
        <w:adjustRightInd w:val="0"/>
        <w:ind w:left="5760" w:firstLine="720"/>
        <w:outlineLvl w:val="0"/>
        <w:rPr>
          <w:b/>
          <w:bCs/>
          <w:color w:val="000000"/>
          <w:sz w:val="22"/>
          <w:szCs w:val="22"/>
        </w:rPr>
      </w:pPr>
      <w:r w:rsidRPr="00526428">
        <w:rPr>
          <w:b/>
          <w:bCs/>
          <w:color w:val="000000"/>
          <w:sz w:val="22"/>
          <w:szCs w:val="22"/>
        </w:rPr>
        <w:t>DA 22-</w:t>
      </w:r>
      <w:r w:rsidR="007D76CF">
        <w:rPr>
          <w:b/>
          <w:bCs/>
          <w:color w:val="000000"/>
          <w:sz w:val="22"/>
          <w:szCs w:val="22"/>
        </w:rPr>
        <w:t>1168</w:t>
      </w:r>
    </w:p>
    <w:p w:rsidR="00526428" w:rsidRPr="00526428" w:rsidP="00E17D8A" w14:paraId="06EFCF35" w14:textId="337DA5F5">
      <w:pPr>
        <w:widowControl w:val="0"/>
        <w:autoSpaceDE w:val="0"/>
        <w:autoSpaceDN w:val="0"/>
        <w:adjustRightInd w:val="0"/>
        <w:ind w:left="5760" w:firstLine="720"/>
        <w:outlineLvl w:val="0"/>
        <w:rPr>
          <w:b/>
          <w:bCs/>
          <w:color w:val="000000"/>
          <w:sz w:val="22"/>
          <w:szCs w:val="22"/>
        </w:rPr>
      </w:pPr>
      <w:r w:rsidRPr="00526428">
        <w:rPr>
          <w:b/>
          <w:bCs/>
          <w:color w:val="000000"/>
          <w:sz w:val="22"/>
          <w:szCs w:val="22"/>
        </w:rPr>
        <w:t xml:space="preserve">Released: November </w:t>
      </w:r>
      <w:r w:rsidR="00F95EFC">
        <w:rPr>
          <w:b/>
          <w:bCs/>
          <w:color w:val="000000"/>
          <w:sz w:val="22"/>
          <w:szCs w:val="22"/>
        </w:rPr>
        <w:t>10</w:t>
      </w:r>
      <w:r w:rsidRPr="00526428">
        <w:rPr>
          <w:b/>
          <w:bCs/>
          <w:color w:val="000000"/>
          <w:sz w:val="22"/>
          <w:szCs w:val="22"/>
        </w:rPr>
        <w:t>, 2022</w:t>
      </w:r>
    </w:p>
    <w:p w:rsidR="00B3205D" w:rsidP="00E17D8A" w14:paraId="16ADFCED" w14:textId="77777777">
      <w:pPr>
        <w:suppressAutoHyphens/>
        <w:rPr>
          <w:b/>
          <w:sz w:val="22"/>
          <w:szCs w:val="22"/>
          <w:u w:val="single"/>
        </w:rPr>
      </w:pPr>
    </w:p>
    <w:p w:rsidR="00E17D8A" w:rsidRPr="00B3205D" w:rsidP="00B3205D" w14:paraId="4A62C33D" w14:textId="2BCCC30D">
      <w:pPr>
        <w:suppressAutoHyphens/>
        <w:rPr>
          <w:b/>
          <w:sz w:val="22"/>
          <w:szCs w:val="22"/>
        </w:rPr>
      </w:pPr>
      <w:r>
        <w:rPr>
          <w:b/>
          <w:sz w:val="22"/>
          <w:szCs w:val="22"/>
          <w:u w:val="single"/>
        </w:rPr>
        <w:t xml:space="preserve">EMAIL AND </w:t>
      </w:r>
      <w:r w:rsidRPr="00E17D8A">
        <w:rPr>
          <w:b/>
          <w:sz w:val="22"/>
          <w:szCs w:val="22"/>
          <w:u w:val="single"/>
        </w:rPr>
        <w:t>CERTIFIED MAIL, RETURN RECEIPT REQUESTED</w:t>
      </w:r>
    </w:p>
    <w:p w:rsidR="00262E83" w:rsidP="00E17D8A" w14:paraId="4524C04A" w14:textId="77777777">
      <w:pPr>
        <w:tabs>
          <w:tab w:val="left" w:pos="-1440"/>
        </w:tabs>
        <w:suppressAutoHyphens/>
        <w:rPr>
          <w:sz w:val="22"/>
          <w:szCs w:val="22"/>
        </w:rPr>
      </w:pPr>
    </w:p>
    <w:p w:rsidR="006C07C9" w:rsidP="006C07C9" w14:paraId="4EFA3B3C" w14:textId="108F3E44">
      <w:pPr>
        <w:widowControl w:val="0"/>
        <w:tabs>
          <w:tab w:val="left" w:pos="4140"/>
          <w:tab w:val="left" w:pos="4860"/>
        </w:tabs>
        <w:rPr>
          <w:sz w:val="22"/>
          <w:szCs w:val="22"/>
        </w:rPr>
      </w:pPr>
      <w:r>
        <w:rPr>
          <w:sz w:val="22"/>
          <w:szCs w:val="22"/>
        </w:rPr>
        <w:t>Mega-Philadelphia LLC</w:t>
      </w:r>
    </w:p>
    <w:p w:rsidR="00326946" w:rsidP="006C07C9" w14:paraId="625475F1" w14:textId="6303FF16">
      <w:pPr>
        <w:widowControl w:val="0"/>
        <w:tabs>
          <w:tab w:val="left" w:pos="4140"/>
          <w:tab w:val="left" w:pos="4860"/>
        </w:tabs>
        <w:rPr>
          <w:sz w:val="22"/>
          <w:szCs w:val="22"/>
        </w:rPr>
      </w:pPr>
      <w:r>
        <w:rPr>
          <w:sz w:val="22"/>
          <w:szCs w:val="22"/>
        </w:rPr>
        <w:t>535 Route 38 E.</w:t>
      </w:r>
    </w:p>
    <w:p w:rsidR="00326946" w:rsidP="006C07C9" w14:paraId="2B5DE0F6" w14:textId="5857A0F5">
      <w:pPr>
        <w:widowControl w:val="0"/>
        <w:tabs>
          <w:tab w:val="left" w:pos="4140"/>
          <w:tab w:val="left" w:pos="4860"/>
        </w:tabs>
        <w:rPr>
          <w:sz w:val="22"/>
          <w:szCs w:val="22"/>
        </w:rPr>
      </w:pPr>
      <w:r>
        <w:rPr>
          <w:sz w:val="22"/>
          <w:szCs w:val="22"/>
        </w:rPr>
        <w:t>Suite 110</w:t>
      </w:r>
    </w:p>
    <w:p w:rsidR="00326946" w:rsidRPr="00763CE9" w:rsidP="006C07C9" w14:paraId="34C6C1B4" w14:textId="6F0F8BDA">
      <w:pPr>
        <w:widowControl w:val="0"/>
        <w:tabs>
          <w:tab w:val="left" w:pos="4140"/>
          <w:tab w:val="left" w:pos="4860"/>
        </w:tabs>
        <w:rPr>
          <w:sz w:val="22"/>
          <w:szCs w:val="22"/>
        </w:rPr>
      </w:pPr>
      <w:r>
        <w:rPr>
          <w:sz w:val="22"/>
          <w:szCs w:val="22"/>
        </w:rPr>
        <w:t>Cherry Hill, NJ  08002</w:t>
      </w:r>
    </w:p>
    <w:p w:rsidR="00C91453" w:rsidRPr="00C91453" w:rsidP="00C91453" w14:paraId="65654E83" w14:textId="7A81D506">
      <w:pPr>
        <w:widowControl w:val="0"/>
        <w:tabs>
          <w:tab w:val="left" w:pos="4140"/>
          <w:tab w:val="left" w:pos="4860"/>
        </w:tabs>
      </w:pPr>
    </w:p>
    <w:p w:rsidR="00F30CC9" w:rsidP="00C91453" w14:paraId="510B9453" w14:textId="0A475C64">
      <w:pPr>
        <w:widowControl w:val="0"/>
        <w:tabs>
          <w:tab w:val="left" w:pos="4140"/>
          <w:tab w:val="left" w:pos="4860"/>
        </w:tabs>
        <w:rPr>
          <w:sz w:val="22"/>
          <w:szCs w:val="22"/>
        </w:rPr>
      </w:pPr>
      <w:r>
        <w:rPr>
          <w:sz w:val="22"/>
          <w:szCs w:val="22"/>
        </w:rPr>
        <w:t xml:space="preserve">Paul </w:t>
      </w:r>
      <w:r>
        <w:rPr>
          <w:sz w:val="22"/>
          <w:szCs w:val="22"/>
        </w:rPr>
        <w:t>Bame</w:t>
      </w:r>
    </w:p>
    <w:p w:rsidR="00326946" w:rsidP="00326946" w14:paraId="77B12247" w14:textId="77777777">
      <w:pPr>
        <w:rPr>
          <w:sz w:val="22"/>
          <w:szCs w:val="22"/>
        </w:rPr>
      </w:pPr>
      <w:r>
        <w:rPr>
          <w:sz w:val="22"/>
          <w:szCs w:val="22"/>
        </w:rPr>
        <w:t>Prometheus Radio Project</w:t>
      </w:r>
    </w:p>
    <w:p w:rsidR="00326946" w:rsidP="00326946" w14:paraId="617CF2E7" w14:textId="77777777">
      <w:pPr>
        <w:rPr>
          <w:sz w:val="22"/>
          <w:szCs w:val="22"/>
        </w:rPr>
      </w:pPr>
      <w:r>
        <w:rPr>
          <w:sz w:val="22"/>
          <w:szCs w:val="22"/>
        </w:rPr>
        <w:t>P.O. Box 42158</w:t>
      </w:r>
    </w:p>
    <w:p w:rsidR="00326946" w:rsidP="00326946" w14:paraId="6EB02CBC" w14:textId="117F8487">
      <w:pPr>
        <w:widowControl w:val="0"/>
        <w:tabs>
          <w:tab w:val="left" w:pos="4140"/>
          <w:tab w:val="left" w:pos="4860"/>
        </w:tabs>
        <w:rPr>
          <w:sz w:val="22"/>
          <w:szCs w:val="22"/>
        </w:rPr>
      </w:pPr>
      <w:r>
        <w:rPr>
          <w:sz w:val="22"/>
          <w:szCs w:val="22"/>
        </w:rPr>
        <w:t>Philadelphia, PA  19101</w:t>
      </w:r>
    </w:p>
    <w:p w:rsidR="00F30CC9" w:rsidRPr="007C3654" w:rsidP="00C91453" w14:paraId="3287F98A" w14:textId="78BA7517">
      <w:pPr>
        <w:widowControl w:val="0"/>
        <w:tabs>
          <w:tab w:val="left" w:pos="4140"/>
          <w:tab w:val="left" w:pos="4860"/>
        </w:tabs>
        <w:rPr>
          <w:sz w:val="22"/>
          <w:szCs w:val="22"/>
        </w:rPr>
      </w:pPr>
      <w:hyperlink r:id="rId5" w:history="1">
        <w:r w:rsidRPr="00BA3EFD" w:rsidR="00326946">
          <w:rPr>
            <w:rStyle w:val="Hyperlink"/>
            <w:sz w:val="22"/>
            <w:szCs w:val="22"/>
          </w:rPr>
          <w:t>info@prometheusradio.org</w:t>
        </w:r>
      </w:hyperlink>
      <w:r w:rsidR="00326946">
        <w:rPr>
          <w:rStyle w:val="Hyperlink"/>
          <w:sz w:val="22"/>
          <w:szCs w:val="22"/>
        </w:rPr>
        <w:t xml:space="preserve"> </w:t>
      </w:r>
      <w:r>
        <w:rPr>
          <w:sz w:val="22"/>
          <w:szCs w:val="22"/>
        </w:rPr>
        <w:t xml:space="preserve"> </w:t>
      </w:r>
    </w:p>
    <w:p w:rsidR="005634FF" w:rsidRPr="00763CE9" w:rsidP="007C3654" w14:paraId="054104E9" w14:textId="77777777">
      <w:pPr>
        <w:widowControl w:val="0"/>
        <w:tabs>
          <w:tab w:val="left" w:pos="4140"/>
          <w:tab w:val="left" w:pos="4860"/>
        </w:tabs>
        <w:rPr>
          <w:sz w:val="22"/>
          <w:szCs w:val="22"/>
        </w:rPr>
      </w:pPr>
    </w:p>
    <w:p w:rsidR="000E0CEC" w:rsidRPr="005634FF" w:rsidP="000E0CEC" w14:paraId="52BDCF98" w14:textId="742409F8">
      <w:pPr>
        <w:widowControl w:val="0"/>
        <w:rPr>
          <w:b/>
          <w:bCs/>
          <w:sz w:val="22"/>
          <w:szCs w:val="22"/>
        </w:rPr>
      </w:pPr>
      <w:r w:rsidRPr="00DC0B50">
        <w:rPr>
          <w:sz w:val="22"/>
          <w:szCs w:val="22"/>
        </w:rPr>
        <w:tab/>
      </w:r>
      <w:r w:rsidRPr="00DC0B50">
        <w:rPr>
          <w:sz w:val="22"/>
          <w:szCs w:val="22"/>
        </w:rPr>
        <w:tab/>
      </w:r>
      <w:r w:rsidRPr="00DC0B50">
        <w:rPr>
          <w:sz w:val="22"/>
          <w:szCs w:val="22"/>
        </w:rPr>
        <w:tab/>
      </w:r>
      <w:r w:rsidRPr="00DC0B50">
        <w:rPr>
          <w:sz w:val="22"/>
          <w:szCs w:val="22"/>
        </w:rPr>
        <w:tab/>
      </w:r>
      <w:r w:rsidRPr="00DC0B50">
        <w:rPr>
          <w:sz w:val="22"/>
          <w:szCs w:val="22"/>
        </w:rPr>
        <w:tab/>
      </w:r>
      <w:r w:rsidRPr="00DC0B50">
        <w:rPr>
          <w:sz w:val="22"/>
          <w:szCs w:val="22"/>
        </w:rPr>
        <w:tab/>
      </w:r>
      <w:r w:rsidRPr="005634FF">
        <w:rPr>
          <w:b/>
          <w:bCs/>
          <w:sz w:val="22"/>
          <w:szCs w:val="22"/>
        </w:rPr>
        <w:t>Re</w:t>
      </w:r>
      <w:bookmarkStart w:id="0" w:name="_Hlk62581650"/>
      <w:bookmarkStart w:id="1" w:name="_Hlk18670527"/>
      <w:r w:rsidRPr="005634FF">
        <w:rPr>
          <w:b/>
          <w:bCs/>
          <w:sz w:val="22"/>
          <w:szCs w:val="22"/>
        </w:rPr>
        <w:t xml:space="preserve">:  </w:t>
      </w:r>
      <w:r w:rsidRPr="005634FF">
        <w:rPr>
          <w:b/>
          <w:bCs/>
          <w:sz w:val="22"/>
          <w:szCs w:val="22"/>
        </w:rPr>
        <w:tab/>
      </w:r>
      <w:bookmarkEnd w:id="0"/>
      <w:bookmarkEnd w:id="1"/>
      <w:r w:rsidR="00326946">
        <w:rPr>
          <w:b/>
          <w:bCs/>
          <w:sz w:val="22"/>
          <w:szCs w:val="22"/>
        </w:rPr>
        <w:t>DW293DS, Camden, New Jersey</w:t>
      </w:r>
    </w:p>
    <w:p w:rsidR="000E0CEC" w:rsidP="00326946" w14:paraId="56D1E1EB" w14:textId="5FAFCC63">
      <w:pPr>
        <w:widowControl w:val="0"/>
        <w:ind w:left="4320" w:firstLine="720"/>
        <w:rPr>
          <w:sz w:val="22"/>
          <w:szCs w:val="22"/>
        </w:rPr>
      </w:pPr>
      <w:r w:rsidRPr="00763CE9">
        <w:rPr>
          <w:sz w:val="22"/>
          <w:szCs w:val="22"/>
        </w:rPr>
        <w:t xml:space="preserve">Facility ID No. </w:t>
      </w:r>
      <w:r w:rsidR="00326946">
        <w:rPr>
          <w:sz w:val="22"/>
          <w:szCs w:val="22"/>
        </w:rPr>
        <w:t>202134</w:t>
      </w:r>
    </w:p>
    <w:p w:rsidR="002060C6" w:rsidP="00377554" w14:paraId="13C1B741" w14:textId="3D61EE21">
      <w:pPr>
        <w:widowControl w:val="0"/>
        <w:ind w:left="4320" w:firstLine="720"/>
        <w:rPr>
          <w:sz w:val="22"/>
          <w:szCs w:val="22"/>
        </w:rPr>
      </w:pPr>
      <w:r>
        <w:rPr>
          <w:sz w:val="22"/>
          <w:szCs w:val="22"/>
        </w:rPr>
        <w:t xml:space="preserve">Application </w:t>
      </w:r>
      <w:r w:rsidR="000E0CEC">
        <w:rPr>
          <w:sz w:val="22"/>
          <w:szCs w:val="22"/>
        </w:rPr>
        <w:t xml:space="preserve">File </w:t>
      </w:r>
      <w:bookmarkStart w:id="2" w:name="_Hlk65867914"/>
      <w:r w:rsidR="000E0CEC">
        <w:rPr>
          <w:sz w:val="22"/>
          <w:szCs w:val="22"/>
        </w:rPr>
        <w:t>No.</w:t>
      </w:r>
      <w:r>
        <w:rPr>
          <w:sz w:val="22"/>
          <w:szCs w:val="22"/>
        </w:rPr>
        <w:t xml:space="preserve"> </w:t>
      </w:r>
      <w:r w:rsidR="00326946">
        <w:rPr>
          <w:sz w:val="22"/>
          <w:szCs w:val="22"/>
        </w:rPr>
        <w:t>BNPFT-20180508ABL</w:t>
      </w:r>
      <w:bookmarkEnd w:id="2"/>
    </w:p>
    <w:p w:rsidR="00377554" w:rsidP="00326946" w14:paraId="70F93E61" w14:textId="15E78FE3">
      <w:pPr>
        <w:widowControl w:val="0"/>
        <w:spacing w:after="120"/>
        <w:ind w:left="4320" w:firstLine="720"/>
        <w:rPr>
          <w:sz w:val="22"/>
          <w:szCs w:val="22"/>
        </w:rPr>
      </w:pPr>
      <w:r>
        <w:rPr>
          <w:sz w:val="22"/>
          <w:szCs w:val="22"/>
        </w:rPr>
        <w:t xml:space="preserve">CDBS Legal </w:t>
      </w:r>
      <w:r>
        <w:rPr>
          <w:sz w:val="22"/>
          <w:szCs w:val="22"/>
        </w:rPr>
        <w:t>Action ID No. 47112</w:t>
      </w:r>
    </w:p>
    <w:p w:rsidR="00377554" w:rsidRPr="00377554" w:rsidP="005634FF" w14:paraId="42190532" w14:textId="484C97A2">
      <w:pPr>
        <w:widowControl w:val="0"/>
        <w:tabs>
          <w:tab w:val="left" w:pos="4680"/>
          <w:tab w:val="left" w:pos="4860"/>
          <w:tab w:val="left" w:pos="5310"/>
        </w:tabs>
        <w:spacing w:after="120"/>
        <w:rPr>
          <w:b/>
          <w:sz w:val="22"/>
          <w:szCs w:val="22"/>
        </w:rPr>
      </w:pPr>
      <w:r>
        <w:rPr>
          <w:b/>
          <w:sz w:val="22"/>
          <w:szCs w:val="22"/>
        </w:rPr>
        <w:tab/>
      </w:r>
      <w:r>
        <w:rPr>
          <w:b/>
          <w:sz w:val="22"/>
          <w:szCs w:val="22"/>
        </w:rPr>
        <w:tab/>
      </w:r>
      <w:r w:rsidR="00326946">
        <w:rPr>
          <w:b/>
          <w:sz w:val="22"/>
          <w:szCs w:val="22"/>
        </w:rPr>
        <w:t xml:space="preserve">   </w:t>
      </w:r>
      <w:r w:rsidR="004579A9">
        <w:rPr>
          <w:b/>
          <w:sz w:val="22"/>
          <w:szCs w:val="22"/>
        </w:rPr>
        <w:t>Application for Review</w:t>
      </w:r>
      <w:r w:rsidRPr="00DC0B50">
        <w:rPr>
          <w:sz w:val="22"/>
          <w:szCs w:val="22"/>
        </w:rPr>
        <w:t xml:space="preserve"> </w:t>
      </w:r>
    </w:p>
    <w:p w:rsidR="006C07C9" w:rsidRPr="00DC0B50" w:rsidP="005634FF" w14:paraId="67CF5E18" w14:textId="7FA2BCB7">
      <w:pPr>
        <w:widowControl w:val="0"/>
        <w:tabs>
          <w:tab w:val="left" w:pos="4680"/>
          <w:tab w:val="left" w:pos="4860"/>
          <w:tab w:val="left" w:pos="5310"/>
        </w:tabs>
        <w:spacing w:after="120"/>
        <w:rPr>
          <w:sz w:val="22"/>
          <w:szCs w:val="22"/>
        </w:rPr>
      </w:pPr>
      <w:r w:rsidRPr="00DC0B50">
        <w:rPr>
          <w:sz w:val="22"/>
          <w:szCs w:val="22"/>
        </w:rPr>
        <w:t xml:space="preserve">Dear </w:t>
      </w:r>
      <w:r w:rsidR="004579A9">
        <w:rPr>
          <w:sz w:val="22"/>
          <w:szCs w:val="22"/>
        </w:rPr>
        <w:t>Applicant and Objector</w:t>
      </w:r>
      <w:r w:rsidRPr="00DC0B50">
        <w:rPr>
          <w:sz w:val="22"/>
          <w:szCs w:val="22"/>
        </w:rPr>
        <w:t>:</w:t>
      </w:r>
    </w:p>
    <w:p w:rsidR="00A3008F" w:rsidRPr="00345B37" w:rsidP="00E6302F" w14:paraId="35BA82B2" w14:textId="75DB140E">
      <w:pPr>
        <w:autoSpaceDE w:val="0"/>
        <w:autoSpaceDN w:val="0"/>
        <w:adjustRightInd w:val="0"/>
        <w:rPr>
          <w:sz w:val="22"/>
          <w:szCs w:val="22"/>
        </w:rPr>
      </w:pPr>
      <w:r w:rsidRPr="00A3008F">
        <w:rPr>
          <w:sz w:val="22"/>
          <w:szCs w:val="22"/>
        </w:rPr>
        <w:tab/>
      </w:r>
      <w:r w:rsidR="004579A9">
        <w:rPr>
          <w:rFonts w:ascii="TimesNewRomanPSMT" w:hAnsi="TimesNewRomanPSMT" w:cs="TimesNewRomanPSMT"/>
          <w:sz w:val="22"/>
          <w:szCs w:val="22"/>
        </w:rPr>
        <w:t>We have before us an Application for Review (AFR) filed on</w:t>
      </w:r>
      <w:r w:rsidR="00E6302F">
        <w:rPr>
          <w:rFonts w:ascii="TimesNewRomanPSMT" w:hAnsi="TimesNewRomanPSMT" w:cs="TimesNewRomanPSMT"/>
          <w:sz w:val="22"/>
          <w:szCs w:val="22"/>
        </w:rPr>
        <w:t xml:space="preserve"> </w:t>
      </w:r>
      <w:r w:rsidR="000254BF">
        <w:rPr>
          <w:rFonts w:ascii="TimesNewRomanPSMT" w:hAnsi="TimesNewRomanPSMT" w:cs="TimesNewRomanPSMT"/>
          <w:sz w:val="22"/>
          <w:szCs w:val="22"/>
        </w:rPr>
        <w:t>March 5</w:t>
      </w:r>
      <w:r w:rsidR="004579A9">
        <w:rPr>
          <w:rFonts w:ascii="TimesNewRomanPSMT" w:hAnsi="TimesNewRomanPSMT" w:cs="TimesNewRomanPSMT"/>
          <w:sz w:val="22"/>
          <w:szCs w:val="22"/>
        </w:rPr>
        <w:t xml:space="preserve">, 2020, by </w:t>
      </w:r>
      <w:r w:rsidR="000254BF">
        <w:rPr>
          <w:rFonts w:ascii="TimesNewRomanPSMT" w:hAnsi="TimesNewRomanPSMT" w:cs="TimesNewRomanPSMT"/>
          <w:sz w:val="22"/>
          <w:szCs w:val="22"/>
        </w:rPr>
        <w:t>Prometheus Radio Project (Prometheus</w:t>
      </w:r>
      <w:r w:rsidR="004579A9">
        <w:rPr>
          <w:rFonts w:ascii="TimesNewRomanPSMT" w:hAnsi="TimesNewRomanPSMT" w:cs="TimesNewRomanPSMT"/>
          <w:sz w:val="22"/>
          <w:szCs w:val="22"/>
        </w:rPr>
        <w:t>).</w:t>
      </w:r>
      <w:r>
        <w:rPr>
          <w:rStyle w:val="FootnoteReference"/>
          <w:rFonts w:ascii="TimesNewRomanPSMT" w:hAnsi="TimesNewRomanPSMT"/>
          <w:sz w:val="22"/>
          <w:szCs w:val="22"/>
        </w:rPr>
        <w:footnoteReference w:id="2"/>
      </w:r>
      <w:r w:rsidR="004579A9">
        <w:rPr>
          <w:rFonts w:ascii="TimesNewRomanPSMT" w:hAnsi="TimesNewRomanPSMT" w:cs="TimesNewRomanPSMT"/>
          <w:sz w:val="14"/>
          <w:szCs w:val="14"/>
        </w:rPr>
        <w:t xml:space="preserve"> </w:t>
      </w:r>
      <w:r w:rsidR="00541C43">
        <w:rPr>
          <w:rFonts w:ascii="TimesNewRomanPSMT" w:hAnsi="TimesNewRomanPSMT" w:cs="TimesNewRomanPSMT"/>
          <w:sz w:val="14"/>
          <w:szCs w:val="14"/>
        </w:rPr>
        <w:t xml:space="preserve"> </w:t>
      </w:r>
      <w:r w:rsidR="00345B37">
        <w:rPr>
          <w:rFonts w:ascii="TimesNewRomanPSMT" w:hAnsi="TimesNewRomanPSMT" w:cs="TimesNewRomanPSMT"/>
          <w:sz w:val="14"/>
          <w:szCs w:val="14"/>
        </w:rPr>
        <w:t xml:space="preserve"> </w:t>
      </w:r>
      <w:r w:rsidRPr="00345B37" w:rsidR="00345B37">
        <w:rPr>
          <w:sz w:val="22"/>
          <w:szCs w:val="22"/>
        </w:rPr>
        <w:t>Prometheus</w:t>
      </w:r>
      <w:r w:rsidRPr="00345B37" w:rsidR="004579A9">
        <w:rPr>
          <w:sz w:val="22"/>
          <w:szCs w:val="22"/>
        </w:rPr>
        <w:t xml:space="preserve"> seeks </w:t>
      </w:r>
      <w:r w:rsidRPr="00345B37" w:rsidR="00345B37">
        <w:rPr>
          <w:sz w:val="22"/>
          <w:szCs w:val="22"/>
        </w:rPr>
        <w:t>reversal of the Media Bureau (Bureau) order denying its</w:t>
      </w:r>
      <w:r w:rsidR="00345B37">
        <w:t xml:space="preserve"> </w:t>
      </w:r>
      <w:r w:rsidRPr="00345B37" w:rsidR="00345B37">
        <w:rPr>
          <w:sz w:val="22"/>
          <w:szCs w:val="22"/>
        </w:rPr>
        <w:t>Petition for Reconsideration</w:t>
      </w:r>
      <w:r w:rsidR="00345B37">
        <w:t>.</w:t>
      </w:r>
      <w:r>
        <w:rPr>
          <w:rStyle w:val="FootnoteReference"/>
        </w:rPr>
        <w:footnoteReference w:id="3"/>
      </w:r>
      <w:r w:rsidR="004579A9">
        <w:rPr>
          <w:rFonts w:ascii="TimesNewRomanPSMT" w:hAnsi="TimesNewRomanPSMT" w:cs="TimesNewRomanPSMT"/>
          <w:sz w:val="14"/>
          <w:szCs w:val="14"/>
        </w:rPr>
        <w:t xml:space="preserve"> </w:t>
      </w:r>
      <w:r w:rsidR="00345B37">
        <w:rPr>
          <w:rFonts w:ascii="TimesNewRomanPSMT" w:hAnsi="TimesNewRomanPSMT" w:cs="TimesNewRomanPSMT"/>
          <w:sz w:val="14"/>
          <w:szCs w:val="14"/>
        </w:rPr>
        <w:t xml:space="preserve">  </w:t>
      </w:r>
      <w:r w:rsidRPr="00345B37" w:rsidR="00345B37">
        <w:rPr>
          <w:sz w:val="22"/>
          <w:szCs w:val="22"/>
        </w:rPr>
        <w:t xml:space="preserve">Prometheus and its fellow objectors Center for International Media Action, and Common Frequency, Inc. (collectively Objectors) sought reconsideration </w:t>
      </w:r>
      <w:r w:rsidR="00345B37">
        <w:rPr>
          <w:sz w:val="22"/>
          <w:szCs w:val="22"/>
        </w:rPr>
        <w:t>of the denial of their informal objections</w:t>
      </w:r>
      <w:r w:rsidRPr="00345B37" w:rsidR="00345B37">
        <w:rPr>
          <w:sz w:val="22"/>
          <w:szCs w:val="22"/>
        </w:rPr>
        <w:t xml:space="preserve"> to 328 cross-service FM translator applications filed in the Auction 99 and 100 windows.</w:t>
      </w:r>
      <w:r>
        <w:rPr>
          <w:rStyle w:val="FootnoteReference"/>
          <w:sz w:val="22"/>
          <w:szCs w:val="22"/>
        </w:rPr>
        <w:footnoteReference w:id="4"/>
      </w:r>
      <w:r w:rsidRPr="00345B37" w:rsidR="00345B37">
        <w:rPr>
          <w:sz w:val="22"/>
          <w:szCs w:val="22"/>
        </w:rPr>
        <w:t xml:space="preserve">  Of those 328 Reconsideration Petitions, 327 were dismissed, and only Prometheus’s petition against </w:t>
      </w:r>
      <w:r w:rsidR="00345B37">
        <w:rPr>
          <w:sz w:val="22"/>
          <w:szCs w:val="22"/>
        </w:rPr>
        <w:t>Mega-Philadelphia LLC’s (MPL)</w:t>
      </w:r>
      <w:r w:rsidRPr="00345B37" w:rsidR="00345B37">
        <w:rPr>
          <w:sz w:val="22"/>
          <w:szCs w:val="22"/>
        </w:rPr>
        <w:t xml:space="preserve"> </w:t>
      </w:r>
      <w:r w:rsidR="00345B37">
        <w:rPr>
          <w:sz w:val="22"/>
          <w:szCs w:val="22"/>
        </w:rPr>
        <w:t>above-</w:t>
      </w:r>
      <w:r w:rsidRPr="00345B37" w:rsidR="00345B37">
        <w:rPr>
          <w:sz w:val="22"/>
          <w:szCs w:val="22"/>
        </w:rPr>
        <w:t>referenced application</w:t>
      </w:r>
      <w:r w:rsidR="00377554">
        <w:rPr>
          <w:sz w:val="22"/>
          <w:szCs w:val="22"/>
        </w:rPr>
        <w:t xml:space="preserve"> for a new FM cross-service </w:t>
      </w:r>
      <w:r w:rsidR="00377554">
        <w:rPr>
          <w:sz w:val="22"/>
          <w:szCs w:val="22"/>
        </w:rPr>
        <w:t>translator station at Camden, New Jersey</w:t>
      </w:r>
      <w:r w:rsidR="00257D00">
        <w:rPr>
          <w:sz w:val="22"/>
          <w:szCs w:val="22"/>
        </w:rPr>
        <w:t>,</w:t>
      </w:r>
      <w:r>
        <w:rPr>
          <w:rStyle w:val="FootnoteReference"/>
          <w:sz w:val="22"/>
          <w:szCs w:val="22"/>
        </w:rPr>
        <w:footnoteReference w:id="5"/>
      </w:r>
      <w:r w:rsidRPr="00345B37" w:rsidR="00345B37">
        <w:rPr>
          <w:sz w:val="22"/>
          <w:szCs w:val="22"/>
        </w:rPr>
        <w:t xml:space="preserve"> was considered</w:t>
      </w:r>
      <w:r w:rsidR="00377554">
        <w:rPr>
          <w:sz w:val="22"/>
          <w:szCs w:val="22"/>
        </w:rPr>
        <w:t xml:space="preserve"> and denied</w:t>
      </w:r>
      <w:r w:rsidRPr="00345B37" w:rsidR="00345B37">
        <w:rPr>
          <w:sz w:val="22"/>
          <w:szCs w:val="22"/>
        </w:rPr>
        <w:t xml:space="preserve"> on its merits.</w:t>
      </w:r>
      <w:r>
        <w:rPr>
          <w:rStyle w:val="FootnoteReference"/>
          <w:sz w:val="22"/>
          <w:szCs w:val="22"/>
        </w:rPr>
        <w:footnoteReference w:id="6"/>
      </w:r>
      <w:r w:rsidR="00345B37">
        <w:rPr>
          <w:sz w:val="22"/>
          <w:szCs w:val="22"/>
        </w:rPr>
        <w:t xml:space="preserve">  </w:t>
      </w:r>
      <w:r w:rsidRPr="00345B37" w:rsidR="004579A9">
        <w:rPr>
          <w:sz w:val="22"/>
          <w:szCs w:val="22"/>
        </w:rPr>
        <w:t>As a result of changed circumstances and as explained more fully below, the AFR</w:t>
      </w:r>
      <w:r w:rsidRPr="00345B37" w:rsidR="00E6302F">
        <w:rPr>
          <w:sz w:val="22"/>
          <w:szCs w:val="22"/>
        </w:rPr>
        <w:t xml:space="preserve"> </w:t>
      </w:r>
      <w:r w:rsidR="00345B37">
        <w:rPr>
          <w:sz w:val="22"/>
          <w:szCs w:val="22"/>
        </w:rPr>
        <w:t>is</w:t>
      </w:r>
      <w:r w:rsidRPr="00345B37" w:rsidR="004579A9">
        <w:rPr>
          <w:sz w:val="22"/>
          <w:szCs w:val="22"/>
        </w:rPr>
        <w:t xml:space="preserve"> dismissed as moot.</w:t>
      </w:r>
    </w:p>
    <w:p w:rsidR="00E6302F" w:rsidRPr="00A3008F" w:rsidP="00E6302F" w14:paraId="4D7B8E07" w14:textId="77777777">
      <w:pPr>
        <w:autoSpaceDE w:val="0"/>
        <w:autoSpaceDN w:val="0"/>
        <w:adjustRightInd w:val="0"/>
        <w:rPr>
          <w:sz w:val="22"/>
          <w:szCs w:val="22"/>
        </w:rPr>
      </w:pPr>
    </w:p>
    <w:p w:rsidR="002676EC" w:rsidP="00A65D02" w14:paraId="77EC754F" w14:textId="04895449">
      <w:pPr>
        <w:autoSpaceDE w:val="0"/>
        <w:autoSpaceDN w:val="0"/>
        <w:adjustRightInd w:val="0"/>
        <w:rPr>
          <w:sz w:val="22"/>
          <w:szCs w:val="22"/>
        </w:rPr>
      </w:pPr>
      <w:r w:rsidRPr="00A3008F">
        <w:rPr>
          <w:sz w:val="22"/>
          <w:szCs w:val="22"/>
        </w:rPr>
        <w:tab/>
      </w:r>
      <w:r w:rsidRPr="00A65D02" w:rsidR="00A65D02">
        <w:rPr>
          <w:sz w:val="22"/>
          <w:szCs w:val="22"/>
        </w:rPr>
        <w:t>MPL filed its application for a new FM translator at Camden as part of the Auction 100 filing window.</w:t>
      </w:r>
      <w:r>
        <w:rPr>
          <w:rStyle w:val="FootnoteReference"/>
          <w:sz w:val="22"/>
          <w:szCs w:val="22"/>
        </w:rPr>
        <w:footnoteReference w:id="7"/>
      </w:r>
      <w:r w:rsidRPr="00A65D02" w:rsidR="00A65D02">
        <w:rPr>
          <w:sz w:val="22"/>
          <w:szCs w:val="22"/>
        </w:rPr>
        <w:t xml:space="preserve">  After MPL’s application was identified as not being mutually exclusive with any other Auction 100 application, MPL filed its long-form (FCC Form 349) application.</w:t>
      </w:r>
      <w:r>
        <w:rPr>
          <w:rStyle w:val="FootnoteReference"/>
          <w:sz w:val="22"/>
          <w:szCs w:val="22"/>
        </w:rPr>
        <w:footnoteReference w:id="8"/>
      </w:r>
      <w:r w:rsidRPr="00A65D02" w:rsidR="00A65D02">
        <w:rPr>
          <w:sz w:val="22"/>
          <w:szCs w:val="22"/>
        </w:rPr>
        <w:t xml:space="preserve">  One day after MPL’s long-form application was accepted for filing, </w:t>
      </w:r>
      <w:r w:rsidR="00F93718">
        <w:rPr>
          <w:sz w:val="22"/>
          <w:szCs w:val="22"/>
        </w:rPr>
        <w:t>Objectors</w:t>
      </w:r>
      <w:r w:rsidRPr="00A65D02" w:rsidR="00A65D02">
        <w:rPr>
          <w:sz w:val="22"/>
          <w:szCs w:val="22"/>
        </w:rPr>
        <w:t xml:space="preserve"> filed an Informal Objection against “All Pending Translator Applications For Pending Construction Permits For New, Modification, or Minor Changes To FM Translator Stations,” including MPL’s.</w:t>
      </w:r>
      <w:r>
        <w:rPr>
          <w:rStyle w:val="FootnoteReference"/>
          <w:sz w:val="22"/>
          <w:szCs w:val="22"/>
        </w:rPr>
        <w:footnoteReference w:id="9"/>
      </w:r>
      <w:r w:rsidRPr="00A65D02" w:rsidR="00A65D02">
        <w:rPr>
          <w:sz w:val="22"/>
          <w:szCs w:val="22"/>
        </w:rPr>
        <w:t xml:space="preserve">  </w:t>
      </w:r>
      <w:r w:rsidR="00A65D02">
        <w:rPr>
          <w:sz w:val="22"/>
          <w:szCs w:val="22"/>
        </w:rPr>
        <w:t xml:space="preserve">The </w:t>
      </w:r>
      <w:r w:rsidRPr="00A65D02" w:rsidR="004579A9">
        <w:rPr>
          <w:sz w:val="22"/>
          <w:szCs w:val="22"/>
        </w:rPr>
        <w:t xml:space="preserve">Bureau denied the </w:t>
      </w:r>
      <w:r w:rsidR="00F93718">
        <w:rPr>
          <w:sz w:val="22"/>
          <w:szCs w:val="22"/>
        </w:rPr>
        <w:t xml:space="preserve">Informal </w:t>
      </w:r>
      <w:r w:rsidRPr="00A65D02" w:rsidR="004579A9">
        <w:rPr>
          <w:sz w:val="22"/>
          <w:szCs w:val="22"/>
        </w:rPr>
        <w:t>Objection</w:t>
      </w:r>
      <w:r w:rsidR="00C9483B">
        <w:rPr>
          <w:sz w:val="22"/>
          <w:szCs w:val="22"/>
        </w:rPr>
        <w:t>s</w:t>
      </w:r>
      <w:r w:rsidRPr="00A65D02" w:rsidR="004579A9">
        <w:rPr>
          <w:sz w:val="22"/>
          <w:szCs w:val="22"/>
        </w:rPr>
        <w:t>,</w:t>
      </w:r>
      <w:r>
        <w:rPr>
          <w:rStyle w:val="FootnoteReference"/>
          <w:sz w:val="22"/>
          <w:szCs w:val="22"/>
        </w:rPr>
        <w:footnoteReference w:id="10"/>
      </w:r>
      <w:r w:rsidRPr="00A65D02" w:rsidR="004579A9">
        <w:rPr>
          <w:sz w:val="22"/>
          <w:szCs w:val="22"/>
        </w:rPr>
        <w:t xml:space="preserve"> </w:t>
      </w:r>
      <w:r w:rsidR="00E5346D">
        <w:rPr>
          <w:sz w:val="22"/>
          <w:szCs w:val="22"/>
        </w:rPr>
        <w:t>granted</w:t>
      </w:r>
      <w:r w:rsidRPr="00A65D02" w:rsidR="004579A9">
        <w:rPr>
          <w:sz w:val="22"/>
          <w:szCs w:val="22"/>
        </w:rPr>
        <w:t xml:space="preserve"> a construction permit for </w:t>
      </w:r>
      <w:r w:rsidR="00837390">
        <w:rPr>
          <w:sz w:val="22"/>
          <w:szCs w:val="22"/>
        </w:rPr>
        <w:t>MPL’s</w:t>
      </w:r>
      <w:r w:rsidRPr="00A65D02" w:rsidR="004579A9">
        <w:rPr>
          <w:sz w:val="22"/>
          <w:szCs w:val="22"/>
        </w:rPr>
        <w:t xml:space="preserve"> requested new facilities,</w:t>
      </w:r>
      <w:r>
        <w:rPr>
          <w:rStyle w:val="FootnoteReference"/>
          <w:sz w:val="22"/>
          <w:szCs w:val="22"/>
        </w:rPr>
        <w:footnoteReference w:id="11"/>
      </w:r>
      <w:r w:rsidRPr="00A65D02" w:rsidR="004579A9">
        <w:rPr>
          <w:sz w:val="22"/>
          <w:szCs w:val="22"/>
        </w:rPr>
        <w:t xml:space="preserve"> and upheld its</w:t>
      </w:r>
      <w:r w:rsidR="00A65D02">
        <w:rPr>
          <w:sz w:val="22"/>
          <w:szCs w:val="22"/>
        </w:rPr>
        <w:t xml:space="preserve"> </w:t>
      </w:r>
      <w:r w:rsidRPr="00A65D02" w:rsidR="004579A9">
        <w:rPr>
          <w:sz w:val="22"/>
          <w:szCs w:val="22"/>
        </w:rPr>
        <w:t>decision</w:t>
      </w:r>
      <w:r w:rsidR="003A54FA">
        <w:rPr>
          <w:sz w:val="22"/>
          <w:szCs w:val="22"/>
        </w:rPr>
        <w:t>s</w:t>
      </w:r>
      <w:r w:rsidRPr="00A65D02" w:rsidR="004579A9">
        <w:rPr>
          <w:sz w:val="22"/>
          <w:szCs w:val="22"/>
        </w:rPr>
        <w:t xml:space="preserve"> on reconsideration.</w:t>
      </w:r>
      <w:r>
        <w:rPr>
          <w:rStyle w:val="FootnoteReference"/>
          <w:sz w:val="22"/>
          <w:szCs w:val="22"/>
        </w:rPr>
        <w:footnoteReference w:id="12"/>
      </w:r>
      <w:r w:rsidRPr="00A65D02" w:rsidR="007A412A">
        <w:rPr>
          <w:sz w:val="22"/>
          <w:szCs w:val="22"/>
        </w:rPr>
        <w:t xml:space="preserve"> </w:t>
      </w:r>
      <w:r w:rsidRPr="00A65D02" w:rsidR="004579A9">
        <w:rPr>
          <w:sz w:val="22"/>
          <w:szCs w:val="22"/>
        </w:rPr>
        <w:t xml:space="preserve"> In its Application for Review, </w:t>
      </w:r>
      <w:r w:rsidR="009D7FC6">
        <w:rPr>
          <w:sz w:val="22"/>
          <w:szCs w:val="22"/>
        </w:rPr>
        <w:t>Prometheus</w:t>
      </w:r>
      <w:r w:rsidRPr="00A65D02" w:rsidR="004579A9">
        <w:rPr>
          <w:sz w:val="22"/>
          <w:szCs w:val="22"/>
        </w:rPr>
        <w:t xml:space="preserve"> </w:t>
      </w:r>
      <w:r w:rsidR="00C9483B">
        <w:rPr>
          <w:sz w:val="22"/>
          <w:szCs w:val="22"/>
        </w:rPr>
        <w:t>seeks</w:t>
      </w:r>
      <w:r w:rsidRPr="00A65D02" w:rsidR="004579A9">
        <w:rPr>
          <w:sz w:val="22"/>
          <w:szCs w:val="22"/>
        </w:rPr>
        <w:t xml:space="preserve"> to reverse the</w:t>
      </w:r>
      <w:r w:rsidR="00A65D02">
        <w:rPr>
          <w:sz w:val="22"/>
          <w:szCs w:val="22"/>
        </w:rPr>
        <w:t xml:space="preserve"> </w:t>
      </w:r>
      <w:r w:rsidRPr="00A65D02" w:rsidR="004579A9">
        <w:rPr>
          <w:sz w:val="22"/>
          <w:szCs w:val="22"/>
        </w:rPr>
        <w:t>Bureau</w:t>
      </w:r>
      <w:r w:rsidR="003A54FA">
        <w:rPr>
          <w:sz w:val="22"/>
          <w:szCs w:val="22"/>
        </w:rPr>
        <w:t xml:space="preserve">’s </w:t>
      </w:r>
      <w:r w:rsidRPr="003A54FA" w:rsidR="003A54FA">
        <w:rPr>
          <w:i/>
          <w:iCs/>
          <w:sz w:val="22"/>
          <w:szCs w:val="22"/>
        </w:rPr>
        <w:t>Camden Reconsideration Decision</w:t>
      </w:r>
      <w:r w:rsidRPr="00A65D02" w:rsidR="004579A9">
        <w:rPr>
          <w:sz w:val="22"/>
          <w:szCs w:val="22"/>
        </w:rPr>
        <w:t>.</w:t>
      </w:r>
      <w:r>
        <w:rPr>
          <w:rStyle w:val="FootnoteReference"/>
          <w:sz w:val="22"/>
          <w:szCs w:val="22"/>
        </w:rPr>
        <w:footnoteReference w:id="13"/>
      </w:r>
    </w:p>
    <w:p w:rsidR="009D7FC6" w:rsidP="00A65D02" w14:paraId="31521998" w14:textId="35ACB23D">
      <w:pPr>
        <w:autoSpaceDE w:val="0"/>
        <w:autoSpaceDN w:val="0"/>
        <w:adjustRightInd w:val="0"/>
        <w:rPr>
          <w:sz w:val="22"/>
          <w:szCs w:val="22"/>
        </w:rPr>
      </w:pPr>
    </w:p>
    <w:p w:rsidR="009D7FC6" w:rsidP="00A65D02" w14:paraId="3D3E95B8" w14:textId="542473AC">
      <w:pPr>
        <w:autoSpaceDE w:val="0"/>
        <w:autoSpaceDN w:val="0"/>
        <w:adjustRightInd w:val="0"/>
        <w:rPr>
          <w:sz w:val="22"/>
          <w:szCs w:val="22"/>
        </w:rPr>
      </w:pPr>
      <w:r>
        <w:rPr>
          <w:sz w:val="22"/>
          <w:szCs w:val="22"/>
        </w:rPr>
        <w:tab/>
        <w:t>The construction permit for MPL’s translator station W293DS</w:t>
      </w:r>
      <w:r w:rsidR="003E1C8D">
        <w:rPr>
          <w:sz w:val="22"/>
          <w:szCs w:val="22"/>
        </w:rPr>
        <w:t xml:space="preserve"> (Translator)</w:t>
      </w:r>
      <w:r>
        <w:rPr>
          <w:sz w:val="22"/>
          <w:szCs w:val="22"/>
        </w:rPr>
        <w:t xml:space="preserve"> was granted on June 12, 2018, and was to expire on June 12, 2021.  However, the Bureau extended MPL’s and others’ construction </w:t>
      </w:r>
      <w:r w:rsidR="008277BC">
        <w:rPr>
          <w:sz w:val="22"/>
          <w:szCs w:val="22"/>
        </w:rPr>
        <w:t>periods</w:t>
      </w:r>
      <w:r>
        <w:rPr>
          <w:sz w:val="22"/>
          <w:szCs w:val="22"/>
        </w:rPr>
        <w:t xml:space="preserve"> for six months, so that the </w:t>
      </w:r>
      <w:r w:rsidR="003E1C8D">
        <w:rPr>
          <w:sz w:val="22"/>
          <w:szCs w:val="22"/>
        </w:rPr>
        <w:t>Translator’s</w:t>
      </w:r>
      <w:r>
        <w:rPr>
          <w:sz w:val="22"/>
          <w:szCs w:val="22"/>
        </w:rPr>
        <w:t xml:space="preserve"> construction permit </w:t>
      </w:r>
      <w:r w:rsidR="00837390">
        <w:rPr>
          <w:sz w:val="22"/>
          <w:szCs w:val="22"/>
        </w:rPr>
        <w:t xml:space="preserve">actually </w:t>
      </w:r>
      <w:r>
        <w:rPr>
          <w:sz w:val="22"/>
          <w:szCs w:val="22"/>
        </w:rPr>
        <w:t>expired</w:t>
      </w:r>
      <w:r w:rsidR="00BE299E">
        <w:rPr>
          <w:sz w:val="22"/>
          <w:szCs w:val="22"/>
        </w:rPr>
        <w:t xml:space="preserve"> on</w:t>
      </w:r>
      <w:r>
        <w:rPr>
          <w:sz w:val="22"/>
          <w:szCs w:val="22"/>
        </w:rPr>
        <w:t xml:space="preserve"> December 12, 2021.</w:t>
      </w:r>
      <w:r>
        <w:rPr>
          <w:rStyle w:val="FootnoteReference"/>
          <w:sz w:val="22"/>
          <w:szCs w:val="22"/>
        </w:rPr>
        <w:footnoteReference w:id="14"/>
      </w:r>
      <w:r w:rsidR="009429F3">
        <w:rPr>
          <w:sz w:val="22"/>
          <w:szCs w:val="22"/>
        </w:rPr>
        <w:t xml:space="preserve">  The Bureau notified MPL of the </w:t>
      </w:r>
      <w:r w:rsidR="00282B6A">
        <w:rPr>
          <w:sz w:val="22"/>
          <w:szCs w:val="22"/>
        </w:rPr>
        <w:t>im</w:t>
      </w:r>
      <w:r w:rsidR="009429F3">
        <w:rPr>
          <w:sz w:val="22"/>
          <w:szCs w:val="22"/>
        </w:rPr>
        <w:t xml:space="preserve">pending expiration of its construction </w:t>
      </w:r>
      <w:r w:rsidR="008277BC">
        <w:rPr>
          <w:sz w:val="22"/>
          <w:szCs w:val="22"/>
        </w:rPr>
        <w:t>permit</w:t>
      </w:r>
      <w:r w:rsidR="009429F3">
        <w:rPr>
          <w:sz w:val="22"/>
          <w:szCs w:val="22"/>
        </w:rPr>
        <w:t>;</w:t>
      </w:r>
      <w:r>
        <w:rPr>
          <w:rStyle w:val="FootnoteReference"/>
          <w:sz w:val="22"/>
          <w:szCs w:val="22"/>
        </w:rPr>
        <w:footnoteReference w:id="15"/>
      </w:r>
      <w:r w:rsidR="009429F3">
        <w:rPr>
          <w:sz w:val="22"/>
          <w:szCs w:val="22"/>
        </w:rPr>
        <w:t xml:space="preserve"> however, MPL never applied for a license</w:t>
      </w:r>
      <w:r w:rsidR="004B4940">
        <w:rPr>
          <w:sz w:val="22"/>
          <w:szCs w:val="22"/>
        </w:rPr>
        <w:t xml:space="preserve"> for W293DS.  </w:t>
      </w:r>
    </w:p>
    <w:p w:rsidR="00A65D02" w:rsidRPr="00A65D02" w:rsidP="00A65D02" w14:paraId="7E821B75" w14:textId="77777777">
      <w:pPr>
        <w:autoSpaceDE w:val="0"/>
        <w:autoSpaceDN w:val="0"/>
        <w:adjustRightInd w:val="0"/>
        <w:rPr>
          <w:sz w:val="22"/>
          <w:szCs w:val="22"/>
        </w:rPr>
      </w:pPr>
    </w:p>
    <w:p w:rsidR="006D6598" w:rsidP="00A65D02" w14:paraId="7FB4B0D9" w14:textId="36FA7FD4">
      <w:pPr>
        <w:autoSpaceDE w:val="0"/>
        <w:autoSpaceDN w:val="0"/>
        <w:adjustRightInd w:val="0"/>
        <w:rPr>
          <w:rFonts w:ascii="TimesNewRomanPSMT" w:hAnsi="TimesNewRomanPSMT" w:cs="TimesNewRomanPSMT"/>
          <w:sz w:val="22"/>
          <w:szCs w:val="22"/>
        </w:rPr>
      </w:pPr>
      <w:r>
        <w:rPr>
          <w:sz w:val="22"/>
          <w:szCs w:val="22"/>
        </w:rPr>
        <w:tab/>
      </w:r>
      <w:r w:rsidR="00E6302F">
        <w:rPr>
          <w:rFonts w:ascii="TimesNewRomanPSMT" w:hAnsi="TimesNewRomanPSMT" w:cs="TimesNewRomanPSMT"/>
          <w:sz w:val="22"/>
          <w:szCs w:val="22"/>
        </w:rPr>
        <w:t xml:space="preserve">Upon further consideration, we conclude that the AFR </w:t>
      </w:r>
      <w:r w:rsidR="00A65D02">
        <w:rPr>
          <w:rFonts w:ascii="TimesNewRomanPSMT" w:hAnsi="TimesNewRomanPSMT" w:cs="TimesNewRomanPSMT"/>
          <w:sz w:val="22"/>
          <w:szCs w:val="22"/>
        </w:rPr>
        <w:t>is</w:t>
      </w:r>
      <w:r w:rsidR="00E6302F">
        <w:rPr>
          <w:rFonts w:ascii="TimesNewRomanPSMT" w:hAnsi="TimesNewRomanPSMT" w:cs="TimesNewRomanPSMT"/>
          <w:sz w:val="22"/>
          <w:szCs w:val="22"/>
        </w:rPr>
        <w:t xml:space="preserve"> moot due to</w:t>
      </w:r>
      <w:r w:rsidR="00A65D02">
        <w:rPr>
          <w:rFonts w:ascii="TimesNewRomanPSMT" w:hAnsi="TimesNewRomanPSMT" w:cs="TimesNewRomanPSMT"/>
          <w:sz w:val="22"/>
          <w:szCs w:val="22"/>
        </w:rPr>
        <w:t xml:space="preserve"> </w:t>
      </w:r>
      <w:r w:rsidR="00E6302F">
        <w:rPr>
          <w:rFonts w:ascii="TimesNewRomanPSMT" w:hAnsi="TimesNewRomanPSMT" w:cs="TimesNewRomanPSMT"/>
          <w:sz w:val="22"/>
          <w:szCs w:val="22"/>
        </w:rPr>
        <w:t xml:space="preserve">changed circumstances. </w:t>
      </w:r>
      <w:r w:rsidR="00855691">
        <w:rPr>
          <w:rFonts w:ascii="TimesNewRomanPSMT" w:hAnsi="TimesNewRomanPSMT" w:cs="TimesNewRomanPSMT"/>
          <w:sz w:val="22"/>
          <w:szCs w:val="22"/>
        </w:rPr>
        <w:t xml:space="preserve"> </w:t>
      </w:r>
      <w:r w:rsidR="00CC0523">
        <w:rPr>
          <w:rFonts w:ascii="TimesNewRomanPSMT" w:hAnsi="TimesNewRomanPSMT" w:cs="TimesNewRomanPSMT"/>
          <w:sz w:val="22"/>
          <w:szCs w:val="22"/>
        </w:rPr>
        <w:t xml:space="preserve"> </w:t>
      </w:r>
      <w:r w:rsidR="00E6302F">
        <w:rPr>
          <w:rFonts w:ascii="TimesNewRomanPSMT" w:hAnsi="TimesNewRomanPSMT" w:cs="TimesNewRomanPSMT"/>
          <w:sz w:val="13"/>
          <w:szCs w:val="13"/>
        </w:rPr>
        <w:t xml:space="preserve"> </w:t>
      </w:r>
      <w:r w:rsidR="003E1C8D">
        <w:rPr>
          <w:rFonts w:ascii="TimesNewRomanPSMT" w:hAnsi="TimesNewRomanPSMT" w:cs="TimesNewRomanPSMT"/>
          <w:sz w:val="22"/>
          <w:szCs w:val="22"/>
        </w:rPr>
        <w:t>MPL</w:t>
      </w:r>
      <w:r w:rsidR="00E6302F">
        <w:rPr>
          <w:rFonts w:ascii="TimesNewRomanPSMT" w:hAnsi="TimesNewRomanPSMT" w:cs="TimesNewRomanPSMT"/>
          <w:sz w:val="22"/>
          <w:szCs w:val="22"/>
        </w:rPr>
        <w:t xml:space="preserve"> failed to construct the Translator’s facilities as authorized by </w:t>
      </w:r>
      <w:r w:rsidR="003E1C8D">
        <w:rPr>
          <w:rFonts w:ascii="TimesNewRomanPSMT" w:hAnsi="TimesNewRomanPSMT" w:cs="TimesNewRomanPSMT"/>
          <w:sz w:val="22"/>
          <w:szCs w:val="22"/>
        </w:rPr>
        <w:t>December 12, 2021</w:t>
      </w:r>
      <w:r w:rsidR="00E6302F">
        <w:rPr>
          <w:rFonts w:ascii="TimesNewRomanPSMT" w:hAnsi="TimesNewRomanPSMT" w:cs="TimesNewRomanPSMT"/>
          <w:sz w:val="22"/>
          <w:szCs w:val="22"/>
        </w:rPr>
        <w:t xml:space="preserve">, the </w:t>
      </w:r>
      <w:r w:rsidR="008277BC">
        <w:rPr>
          <w:rFonts w:ascii="TimesNewRomanPSMT" w:hAnsi="TimesNewRomanPSMT" w:cs="TimesNewRomanPSMT"/>
          <w:sz w:val="22"/>
          <w:szCs w:val="22"/>
        </w:rPr>
        <w:t xml:space="preserve">construction permit </w:t>
      </w:r>
      <w:r w:rsidR="00E6302F">
        <w:rPr>
          <w:rFonts w:ascii="TimesNewRomanPSMT" w:hAnsi="TimesNewRomanPSMT" w:cs="TimesNewRomanPSMT"/>
          <w:sz w:val="22"/>
          <w:szCs w:val="22"/>
        </w:rPr>
        <w:t>expiration</w:t>
      </w:r>
      <w:r w:rsidR="008277BC">
        <w:rPr>
          <w:rFonts w:ascii="TimesNewRomanPSMT" w:hAnsi="TimesNewRomanPSMT" w:cs="TimesNewRomanPSMT"/>
          <w:sz w:val="22"/>
          <w:szCs w:val="22"/>
        </w:rPr>
        <w:t xml:space="preserve"> date</w:t>
      </w:r>
      <w:r w:rsidR="00E6302F">
        <w:rPr>
          <w:rFonts w:ascii="TimesNewRomanPSMT" w:hAnsi="TimesNewRomanPSMT" w:cs="TimesNewRomanPSMT"/>
          <w:sz w:val="22"/>
          <w:szCs w:val="22"/>
        </w:rPr>
        <w:t>.</w:t>
      </w:r>
      <w:r>
        <w:rPr>
          <w:rStyle w:val="FootnoteReference"/>
          <w:rFonts w:ascii="TimesNewRomanPSMT" w:hAnsi="TimesNewRomanPSMT"/>
          <w:sz w:val="22"/>
          <w:szCs w:val="22"/>
        </w:rPr>
        <w:footnoteReference w:id="16"/>
      </w:r>
      <w:r w:rsidR="00CC0523">
        <w:rPr>
          <w:rFonts w:ascii="TimesNewRomanPSMT" w:hAnsi="TimesNewRomanPSMT" w:cs="TimesNewRomanPSMT"/>
          <w:sz w:val="22"/>
          <w:szCs w:val="22"/>
        </w:rPr>
        <w:t xml:space="preserve"> </w:t>
      </w:r>
      <w:r w:rsidR="00E6302F">
        <w:rPr>
          <w:rFonts w:ascii="TimesNewRomanPSMT" w:hAnsi="TimesNewRomanPSMT" w:cs="TimesNewRomanPSMT"/>
          <w:sz w:val="13"/>
          <w:szCs w:val="13"/>
        </w:rPr>
        <w:t xml:space="preserve"> </w:t>
      </w:r>
      <w:r w:rsidR="00E6302F">
        <w:rPr>
          <w:rFonts w:ascii="TimesNewRomanPSMT" w:hAnsi="TimesNewRomanPSMT" w:cs="TimesNewRomanPSMT"/>
          <w:sz w:val="22"/>
          <w:szCs w:val="22"/>
        </w:rPr>
        <w:t>Therefore, the construction</w:t>
      </w:r>
      <w:r w:rsidR="00A65D02">
        <w:rPr>
          <w:rFonts w:ascii="TimesNewRomanPSMT" w:hAnsi="TimesNewRomanPSMT" w:cs="TimesNewRomanPSMT"/>
          <w:sz w:val="22"/>
          <w:szCs w:val="22"/>
        </w:rPr>
        <w:t xml:space="preserve"> </w:t>
      </w:r>
      <w:r w:rsidR="00E6302F">
        <w:rPr>
          <w:rFonts w:ascii="TimesNewRomanPSMT" w:hAnsi="TimesNewRomanPSMT" w:cs="TimesNewRomanPSMT"/>
          <w:sz w:val="22"/>
          <w:szCs w:val="22"/>
        </w:rPr>
        <w:t xml:space="preserve">permit expired by its terms on </w:t>
      </w:r>
      <w:r w:rsidR="003E1C8D">
        <w:rPr>
          <w:rFonts w:ascii="TimesNewRomanPSMT" w:hAnsi="TimesNewRomanPSMT" w:cs="TimesNewRomanPSMT"/>
          <w:sz w:val="22"/>
          <w:szCs w:val="22"/>
        </w:rPr>
        <w:t>December 12, 2021</w:t>
      </w:r>
      <w:r w:rsidR="00E6302F">
        <w:rPr>
          <w:rFonts w:ascii="TimesNewRomanPSMT" w:hAnsi="TimesNewRomanPSMT" w:cs="TimesNewRomanPSMT"/>
          <w:sz w:val="22"/>
          <w:szCs w:val="22"/>
        </w:rPr>
        <w:t xml:space="preserve">, </w:t>
      </w:r>
      <w:r w:rsidR="00E6302F">
        <w:rPr>
          <w:rFonts w:ascii="TimesNewRomanPSMT" w:hAnsi="TimesNewRomanPSMT" w:cs="TimesNewRomanPSMT"/>
          <w:sz w:val="22"/>
          <w:szCs w:val="22"/>
        </w:rPr>
        <w:t>and was automatically forfeited.</w:t>
      </w:r>
      <w:r>
        <w:rPr>
          <w:rStyle w:val="FootnoteReference"/>
          <w:rFonts w:ascii="TimesNewRomanPSMT" w:hAnsi="TimesNewRomanPSMT"/>
          <w:sz w:val="22"/>
          <w:szCs w:val="22"/>
        </w:rPr>
        <w:footnoteReference w:id="17"/>
      </w:r>
      <w:r w:rsidR="00FF32E5">
        <w:rPr>
          <w:rFonts w:ascii="TimesNewRomanPSMT" w:hAnsi="TimesNewRomanPSMT" w:cs="TimesNewRomanPSMT"/>
          <w:sz w:val="22"/>
          <w:szCs w:val="22"/>
        </w:rPr>
        <w:t xml:space="preserve"> </w:t>
      </w:r>
      <w:r w:rsidR="00E6302F">
        <w:rPr>
          <w:rFonts w:ascii="TimesNewRomanPSMT" w:hAnsi="TimesNewRomanPSMT" w:cs="TimesNewRomanPSMT"/>
          <w:sz w:val="13"/>
          <w:szCs w:val="13"/>
        </w:rPr>
        <w:t xml:space="preserve"> </w:t>
      </w:r>
      <w:r w:rsidR="003E1C8D">
        <w:rPr>
          <w:rFonts w:ascii="TimesNewRomanPSMT" w:hAnsi="TimesNewRomanPSMT" w:cs="TimesNewRomanPSMT"/>
          <w:sz w:val="13"/>
          <w:szCs w:val="13"/>
        </w:rPr>
        <w:t xml:space="preserve"> </w:t>
      </w:r>
      <w:r w:rsidR="00E6302F">
        <w:rPr>
          <w:rFonts w:ascii="TimesNewRomanPSMT" w:hAnsi="TimesNewRomanPSMT" w:cs="TimesNewRomanPSMT"/>
          <w:sz w:val="22"/>
          <w:szCs w:val="22"/>
        </w:rPr>
        <w:t>Because this matter is</w:t>
      </w:r>
      <w:r w:rsidR="00A65D02">
        <w:rPr>
          <w:rFonts w:ascii="TimesNewRomanPSMT" w:hAnsi="TimesNewRomanPSMT" w:cs="TimesNewRomanPSMT"/>
          <w:sz w:val="22"/>
          <w:szCs w:val="22"/>
        </w:rPr>
        <w:t xml:space="preserve"> </w:t>
      </w:r>
      <w:r w:rsidR="00E6302F">
        <w:rPr>
          <w:rFonts w:ascii="TimesNewRomanPSMT" w:hAnsi="TimesNewRomanPSMT" w:cs="TimesNewRomanPSMT"/>
          <w:sz w:val="22"/>
          <w:szCs w:val="22"/>
        </w:rPr>
        <w:t>resolved on procedural grounds, we need not reach the substantive arguments in the AFR.</w:t>
      </w:r>
    </w:p>
    <w:p w:rsidR="00A65D02" w:rsidP="00A65D02" w14:paraId="053D5823" w14:textId="77777777">
      <w:pPr>
        <w:autoSpaceDE w:val="0"/>
        <w:autoSpaceDN w:val="0"/>
        <w:adjustRightInd w:val="0"/>
        <w:rPr>
          <w:sz w:val="22"/>
          <w:szCs w:val="22"/>
        </w:rPr>
      </w:pPr>
    </w:p>
    <w:p w:rsidR="003E1C8D" w:rsidP="003E1C8D" w14:paraId="0456F49D" w14:textId="3983FFAF">
      <w:pPr>
        <w:autoSpaceDE w:val="0"/>
        <w:autoSpaceDN w:val="0"/>
        <w:adjustRightInd w:val="0"/>
        <w:rPr>
          <w:rFonts w:ascii="TimesNewRomanPSMT" w:hAnsi="TimesNewRomanPSMT" w:cs="TimesNewRomanPSMT"/>
          <w:sz w:val="22"/>
          <w:szCs w:val="22"/>
        </w:rPr>
      </w:pPr>
      <w:r>
        <w:rPr>
          <w:sz w:val="22"/>
          <w:szCs w:val="22"/>
        </w:rPr>
        <w:tab/>
      </w:r>
      <w:r w:rsidR="00E6302F">
        <w:rPr>
          <w:rFonts w:ascii="TimesNewRomanPSMT" w:hAnsi="TimesNewRomanPSMT" w:cs="TimesNewRomanPSMT"/>
          <w:sz w:val="22"/>
          <w:szCs w:val="22"/>
        </w:rPr>
        <w:t xml:space="preserve">Accordingly, </w:t>
      </w:r>
      <w:r w:rsidR="00E6302F">
        <w:rPr>
          <w:rFonts w:ascii="TimesNewRomanPS-BoldMT" w:hAnsi="TimesNewRomanPS-BoldMT" w:cs="TimesNewRomanPS-BoldMT"/>
          <w:b/>
          <w:bCs/>
          <w:sz w:val="22"/>
          <w:szCs w:val="22"/>
        </w:rPr>
        <w:t xml:space="preserve">IT IS ORDERED </w:t>
      </w:r>
      <w:r w:rsidR="00E6302F">
        <w:rPr>
          <w:rFonts w:ascii="TimesNewRomanPSMT" w:hAnsi="TimesNewRomanPSMT" w:cs="TimesNewRomanPSMT"/>
          <w:sz w:val="22"/>
          <w:szCs w:val="22"/>
        </w:rPr>
        <w:t xml:space="preserve">that the Application for Review filed by </w:t>
      </w:r>
      <w:r>
        <w:rPr>
          <w:rFonts w:ascii="TimesNewRomanPSMT" w:hAnsi="TimesNewRomanPSMT" w:cs="TimesNewRomanPSMT"/>
          <w:sz w:val="22"/>
          <w:szCs w:val="22"/>
        </w:rPr>
        <w:t>Prometheus Radio Project</w:t>
      </w:r>
      <w:r w:rsidR="00E6302F">
        <w:rPr>
          <w:rFonts w:ascii="TimesNewRomanPSMT" w:hAnsi="TimesNewRomanPSMT" w:cs="TimesNewRomanPSMT"/>
          <w:sz w:val="22"/>
          <w:szCs w:val="22"/>
        </w:rPr>
        <w:t xml:space="preserve"> on </w:t>
      </w:r>
      <w:r w:rsidR="0061370D">
        <w:rPr>
          <w:rFonts w:ascii="TimesNewRomanPSMT" w:hAnsi="TimesNewRomanPSMT" w:cs="TimesNewRomanPSMT"/>
          <w:sz w:val="22"/>
          <w:szCs w:val="22"/>
        </w:rPr>
        <w:t>March 5</w:t>
      </w:r>
      <w:r w:rsidR="00E6302F">
        <w:rPr>
          <w:rFonts w:ascii="TimesNewRomanPSMT" w:hAnsi="TimesNewRomanPSMT" w:cs="TimesNewRomanPSMT"/>
          <w:sz w:val="22"/>
          <w:szCs w:val="22"/>
        </w:rPr>
        <w:t xml:space="preserve">, 2020, </w:t>
      </w:r>
      <w:r w:rsidR="00E6302F">
        <w:rPr>
          <w:rFonts w:ascii="TimesNewRomanPS-BoldMT" w:hAnsi="TimesNewRomanPS-BoldMT" w:cs="TimesNewRomanPS-BoldMT"/>
          <w:b/>
          <w:bCs/>
          <w:sz w:val="22"/>
          <w:szCs w:val="22"/>
        </w:rPr>
        <w:t xml:space="preserve">IS DISMISSED </w:t>
      </w:r>
      <w:r w:rsidR="00E6302F">
        <w:rPr>
          <w:rFonts w:ascii="TimesNewRomanPSMT" w:hAnsi="TimesNewRomanPSMT" w:cs="TimesNewRomanPSMT"/>
          <w:sz w:val="22"/>
          <w:szCs w:val="22"/>
        </w:rPr>
        <w:t>without prejudice, for the reasons stated herein, as moot.</w:t>
      </w:r>
    </w:p>
    <w:p w:rsidR="00D43D36" w:rsidP="003E1C8D" w14:paraId="545211BD" w14:textId="0B3827AE">
      <w:pPr>
        <w:autoSpaceDE w:val="0"/>
        <w:autoSpaceDN w:val="0"/>
        <w:adjustRightInd w:val="0"/>
        <w:rPr>
          <w:sz w:val="22"/>
          <w:szCs w:val="22"/>
        </w:rPr>
      </w:pPr>
      <w:r>
        <w:rPr>
          <w:sz w:val="22"/>
          <w:szCs w:val="22"/>
        </w:rPr>
        <w:t xml:space="preserve"> </w:t>
      </w:r>
    </w:p>
    <w:p w:rsidR="00A3008F" w:rsidRPr="00A3008F" w:rsidP="00A3008F" w14:paraId="080AA9CB" w14:textId="77777777">
      <w:pPr>
        <w:widowControl w:val="0"/>
        <w:rPr>
          <w:sz w:val="22"/>
          <w:szCs w:val="22"/>
        </w:rPr>
      </w:pPr>
      <w:r w:rsidRPr="00A3008F">
        <w:rPr>
          <w:sz w:val="22"/>
          <w:szCs w:val="22"/>
        </w:rPr>
        <w:tab/>
      </w:r>
      <w:r w:rsidRPr="00A3008F">
        <w:rPr>
          <w:sz w:val="22"/>
          <w:szCs w:val="22"/>
        </w:rPr>
        <w:tab/>
      </w:r>
      <w:r w:rsidRPr="00A3008F">
        <w:rPr>
          <w:sz w:val="22"/>
          <w:szCs w:val="22"/>
        </w:rPr>
        <w:tab/>
      </w:r>
      <w:r w:rsidRPr="00A3008F">
        <w:rPr>
          <w:sz w:val="22"/>
          <w:szCs w:val="22"/>
        </w:rPr>
        <w:tab/>
      </w:r>
      <w:r w:rsidRPr="00A3008F">
        <w:rPr>
          <w:sz w:val="22"/>
          <w:szCs w:val="22"/>
        </w:rPr>
        <w:tab/>
      </w:r>
      <w:r w:rsidRPr="00A3008F">
        <w:rPr>
          <w:sz w:val="22"/>
          <w:szCs w:val="22"/>
        </w:rPr>
        <w:tab/>
        <w:t>Sincerely,</w:t>
      </w:r>
    </w:p>
    <w:p w:rsidR="00A3008F" w:rsidRPr="00A3008F" w:rsidP="00A3008F" w14:paraId="1C20947C" w14:textId="77777777">
      <w:pPr>
        <w:widowControl w:val="0"/>
        <w:rPr>
          <w:sz w:val="22"/>
          <w:szCs w:val="22"/>
        </w:rPr>
      </w:pPr>
      <w:r w:rsidRPr="00A3008F">
        <w:rPr>
          <w:sz w:val="22"/>
          <w:szCs w:val="22"/>
        </w:rPr>
        <w:tab/>
      </w:r>
      <w:r w:rsidRPr="00A3008F">
        <w:rPr>
          <w:sz w:val="22"/>
          <w:szCs w:val="22"/>
        </w:rPr>
        <w:tab/>
      </w:r>
      <w:r w:rsidRPr="00A3008F">
        <w:rPr>
          <w:sz w:val="22"/>
          <w:szCs w:val="22"/>
        </w:rPr>
        <w:tab/>
      </w:r>
      <w:r w:rsidRPr="00A3008F">
        <w:rPr>
          <w:sz w:val="22"/>
          <w:szCs w:val="22"/>
        </w:rPr>
        <w:tab/>
      </w:r>
      <w:r w:rsidRPr="00A3008F">
        <w:rPr>
          <w:sz w:val="22"/>
          <w:szCs w:val="22"/>
        </w:rPr>
        <w:tab/>
      </w:r>
      <w:r w:rsidRPr="00A3008F">
        <w:rPr>
          <w:sz w:val="22"/>
          <w:szCs w:val="22"/>
        </w:rPr>
        <w:tab/>
      </w:r>
    </w:p>
    <w:p w:rsidR="00A3008F" w:rsidRPr="00A3008F" w:rsidP="00A3008F" w14:paraId="28ED1451" w14:textId="77777777">
      <w:pPr>
        <w:widowControl w:val="0"/>
        <w:rPr>
          <w:sz w:val="22"/>
          <w:szCs w:val="22"/>
        </w:rPr>
      </w:pPr>
    </w:p>
    <w:p w:rsidR="00A3008F" w:rsidRPr="00A3008F" w:rsidP="00A3008F" w14:paraId="2A3134E7" w14:textId="77777777">
      <w:pPr>
        <w:widowControl w:val="0"/>
        <w:rPr>
          <w:sz w:val="22"/>
          <w:szCs w:val="22"/>
        </w:rPr>
      </w:pPr>
    </w:p>
    <w:p w:rsidR="00A3008F" w:rsidRPr="00A3008F" w:rsidP="00A3008F" w14:paraId="3CC754B7" w14:textId="77777777">
      <w:pPr>
        <w:widowControl w:val="0"/>
        <w:ind w:left="3600" w:firstLine="720"/>
        <w:rPr>
          <w:sz w:val="22"/>
          <w:szCs w:val="22"/>
        </w:rPr>
      </w:pPr>
      <w:r w:rsidRPr="00A3008F">
        <w:rPr>
          <w:sz w:val="22"/>
          <w:szCs w:val="22"/>
        </w:rPr>
        <w:t>Albert Shuldiner</w:t>
      </w:r>
    </w:p>
    <w:p w:rsidR="00A3008F" w:rsidRPr="00A3008F" w:rsidP="00A3008F" w14:paraId="4609BF4E" w14:textId="77777777">
      <w:pPr>
        <w:widowControl w:val="0"/>
        <w:tabs>
          <w:tab w:val="left" w:pos="4320"/>
        </w:tabs>
        <w:rPr>
          <w:sz w:val="22"/>
          <w:szCs w:val="22"/>
          <w:lang w:val="es-ES_tradnl"/>
        </w:rPr>
      </w:pPr>
      <w:r w:rsidRPr="00A3008F">
        <w:rPr>
          <w:sz w:val="22"/>
          <w:szCs w:val="22"/>
        </w:rPr>
        <w:tab/>
        <w:t xml:space="preserve">Chief, </w:t>
      </w:r>
      <w:r w:rsidRPr="00A3008F">
        <w:rPr>
          <w:sz w:val="22"/>
          <w:szCs w:val="22"/>
          <w:lang w:val="es-ES_tradnl"/>
        </w:rPr>
        <w:t xml:space="preserve">Audio </w:t>
      </w:r>
      <w:r w:rsidRPr="00A3008F">
        <w:rPr>
          <w:sz w:val="22"/>
          <w:szCs w:val="22"/>
        </w:rPr>
        <w:t>Division</w:t>
      </w:r>
    </w:p>
    <w:p w:rsidR="00204CE3" w:rsidP="00FC0850" w14:paraId="12981891" w14:textId="27A59208">
      <w:pPr>
        <w:widowControl w:val="0"/>
        <w:tabs>
          <w:tab w:val="left" w:pos="4320"/>
          <w:tab w:val="left" w:pos="4680"/>
          <w:tab w:val="left" w:pos="5400"/>
        </w:tabs>
        <w:rPr>
          <w:sz w:val="22"/>
          <w:szCs w:val="22"/>
          <w:lang w:val="es-ES_tradnl"/>
        </w:rPr>
      </w:pPr>
      <w:r w:rsidRPr="00A3008F">
        <w:rPr>
          <w:sz w:val="22"/>
          <w:szCs w:val="22"/>
          <w:lang w:val="es-ES_tradnl"/>
        </w:rPr>
        <w:tab/>
        <w:t>Media Bureau</w:t>
      </w:r>
    </w:p>
    <w:p w:rsidR="00E5346D" w:rsidP="00FC0850" w14:paraId="15E00FB4" w14:textId="77777777">
      <w:pPr>
        <w:widowControl w:val="0"/>
        <w:tabs>
          <w:tab w:val="left" w:pos="4320"/>
          <w:tab w:val="left" w:pos="4680"/>
          <w:tab w:val="left" w:pos="5400"/>
        </w:tabs>
        <w:rPr>
          <w:sz w:val="22"/>
          <w:szCs w:val="22"/>
          <w:lang w:val="es-ES_tradnl"/>
        </w:rPr>
      </w:pPr>
    </w:p>
    <w:p w:rsidR="00AE6139" w:rsidP="00FC0850" w14:paraId="2DA13828" w14:textId="1CF42DAD">
      <w:pPr>
        <w:widowControl w:val="0"/>
        <w:tabs>
          <w:tab w:val="left" w:pos="4320"/>
          <w:tab w:val="left" w:pos="4680"/>
          <w:tab w:val="left" w:pos="5400"/>
        </w:tabs>
        <w:rPr>
          <w:sz w:val="22"/>
          <w:szCs w:val="22"/>
          <w:lang w:val="es-ES_tradnl"/>
        </w:rPr>
      </w:pPr>
    </w:p>
    <w:p w:rsidR="00AE6139" w:rsidP="00AE6139" w14:paraId="3042E3EC" w14:textId="202594D0">
      <w:pPr>
        <w:widowControl w:val="0"/>
        <w:tabs>
          <w:tab w:val="left" w:pos="720"/>
          <w:tab w:val="left" w:pos="4320"/>
          <w:tab w:val="left" w:pos="4680"/>
          <w:tab w:val="left" w:pos="5400"/>
        </w:tabs>
        <w:rPr>
          <w:sz w:val="22"/>
          <w:szCs w:val="22"/>
          <w:lang w:val="es-ES_tradnl"/>
        </w:rPr>
      </w:pPr>
      <w:r>
        <w:rPr>
          <w:sz w:val="22"/>
          <w:szCs w:val="22"/>
          <w:lang w:val="es-ES_tradnl"/>
        </w:rPr>
        <w:t>cc</w:t>
      </w:r>
      <w:r>
        <w:rPr>
          <w:sz w:val="22"/>
          <w:szCs w:val="22"/>
          <w:lang w:val="es-ES_tradnl"/>
        </w:rPr>
        <w:t>:</w:t>
      </w:r>
      <w:r>
        <w:rPr>
          <w:sz w:val="22"/>
          <w:szCs w:val="22"/>
          <w:lang w:val="es-ES_tradnl"/>
        </w:rPr>
        <w:tab/>
        <w:t xml:space="preserve">F. Reid Avett, Esq., </w:t>
      </w:r>
      <w:hyperlink r:id="rId6" w:history="1">
        <w:r w:rsidRPr="00BA3EFD" w:rsidR="000C1205">
          <w:rPr>
            <w:rStyle w:val="Hyperlink"/>
            <w:sz w:val="22"/>
            <w:szCs w:val="22"/>
            <w:lang w:val="es-ES_tradnl"/>
          </w:rPr>
          <w:t>reid.avett@wbd-us.com</w:t>
        </w:r>
      </w:hyperlink>
      <w:r w:rsidR="000C1205">
        <w:rPr>
          <w:sz w:val="22"/>
          <w:szCs w:val="22"/>
          <w:lang w:val="es-ES_tradnl"/>
        </w:rPr>
        <w:t xml:space="preserve"> </w:t>
      </w:r>
    </w:p>
    <w:p w:rsidR="00AE6139" w:rsidRPr="00E35426" w:rsidP="00AE6139" w14:paraId="5E8902D6" w14:textId="7B37D49D">
      <w:pPr>
        <w:widowControl w:val="0"/>
        <w:tabs>
          <w:tab w:val="left" w:pos="720"/>
          <w:tab w:val="left" w:pos="4320"/>
          <w:tab w:val="left" w:pos="4680"/>
          <w:tab w:val="left" w:pos="5400"/>
        </w:tabs>
        <w:rPr>
          <w:sz w:val="22"/>
          <w:szCs w:val="22"/>
        </w:rPr>
      </w:pPr>
      <w:r>
        <w:rPr>
          <w:sz w:val="22"/>
          <w:szCs w:val="22"/>
          <w:lang w:val="es-ES_tradnl"/>
        </w:rPr>
        <w:tab/>
      </w:r>
      <w:r>
        <w:rPr>
          <w:sz w:val="22"/>
          <w:szCs w:val="22"/>
          <w:lang w:val="es-ES_tradnl"/>
        </w:rPr>
        <w:t>Clarence</w:t>
      </w:r>
      <w:r>
        <w:rPr>
          <w:sz w:val="22"/>
          <w:szCs w:val="22"/>
          <w:lang w:val="es-ES_tradnl"/>
        </w:rPr>
        <w:t xml:space="preserve"> </w:t>
      </w:r>
      <w:r>
        <w:rPr>
          <w:sz w:val="22"/>
          <w:szCs w:val="22"/>
          <w:lang w:val="es-ES_tradnl"/>
        </w:rPr>
        <w:t>Beverage</w:t>
      </w:r>
      <w:r w:rsidR="000C1205">
        <w:rPr>
          <w:sz w:val="22"/>
          <w:szCs w:val="22"/>
          <w:lang w:val="es-ES_tradnl"/>
        </w:rPr>
        <w:t xml:space="preserve">, </w:t>
      </w:r>
      <w:hyperlink r:id="rId7" w:history="1">
        <w:r w:rsidRPr="00BA3EFD" w:rsidR="000C1205">
          <w:rPr>
            <w:rStyle w:val="Hyperlink"/>
            <w:sz w:val="22"/>
            <w:szCs w:val="22"/>
            <w:lang w:val="es-ES_tradnl"/>
          </w:rPr>
          <w:t>cbeverage@commtechrf.com</w:t>
        </w:r>
      </w:hyperlink>
      <w:r w:rsidR="000C1205">
        <w:rPr>
          <w:sz w:val="22"/>
          <w:szCs w:val="22"/>
          <w:lang w:val="es-ES_tradnl"/>
        </w:rPr>
        <w:t xml:space="preserve"> </w:t>
      </w:r>
      <w:r>
        <w:rPr>
          <w:sz w:val="22"/>
          <w:szCs w:val="22"/>
          <w:lang w:val="es-ES_tradnl"/>
        </w:rPr>
        <w:tab/>
      </w:r>
    </w:p>
    <w:sectPr>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E81" w14:paraId="6DD91C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E81" w14:paraId="0D0C23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08A3" w14:paraId="7EC25452" w14:textId="77777777">
      <w:r>
        <w:separator/>
      </w:r>
    </w:p>
  </w:footnote>
  <w:footnote w:type="continuationSeparator" w:id="1">
    <w:p w:rsidR="00D108A3" w14:paraId="609F261F" w14:textId="77777777">
      <w:r>
        <w:continuationSeparator/>
      </w:r>
    </w:p>
  </w:footnote>
  <w:footnote w:id="2">
    <w:p w:rsidR="00541C43" w:rsidP="001F0DF2" w14:paraId="5F848C9F" w14:textId="249955A6">
      <w:pPr>
        <w:pStyle w:val="FootnoteText"/>
      </w:pPr>
      <w:r>
        <w:rPr>
          <w:rStyle w:val="FootnoteReference"/>
        </w:rPr>
        <w:footnoteRef/>
      </w:r>
      <w:r>
        <w:t xml:space="preserve"> </w:t>
      </w:r>
      <w:r>
        <w:rPr>
          <w:rFonts w:ascii="TimesNewRomanPSMT" w:hAnsi="TimesNewRomanPSMT" w:cs="TimesNewRomanPSMT"/>
        </w:rPr>
        <w:t xml:space="preserve">Application for Review of </w:t>
      </w:r>
      <w:r w:rsidR="00345B37">
        <w:rPr>
          <w:rFonts w:ascii="TimesNewRomanPSMT" w:hAnsi="TimesNewRomanPSMT" w:cs="TimesNewRomanPSMT"/>
        </w:rPr>
        <w:t>Prometheus Radio Project</w:t>
      </w:r>
      <w:r>
        <w:rPr>
          <w:rFonts w:ascii="TimesNewRomanPSMT" w:hAnsi="TimesNewRomanPSMT" w:cs="TimesNewRomanPSMT"/>
        </w:rPr>
        <w:t xml:space="preserve">, filed </w:t>
      </w:r>
      <w:r w:rsidR="00345B37">
        <w:rPr>
          <w:rFonts w:ascii="TimesNewRomanPSMT" w:hAnsi="TimesNewRomanPSMT" w:cs="TimesNewRomanPSMT"/>
        </w:rPr>
        <w:t>Mar. 5</w:t>
      </w:r>
      <w:r>
        <w:rPr>
          <w:rFonts w:ascii="TimesNewRomanPSMT" w:hAnsi="TimesNewRomanPSMT" w:cs="TimesNewRomanPSMT"/>
        </w:rPr>
        <w:t>, 2020 (Application for</w:t>
      </w:r>
      <w:r w:rsidR="001F0DF2">
        <w:rPr>
          <w:rFonts w:ascii="TimesNewRomanPSMT" w:hAnsi="TimesNewRomanPSMT" w:cs="TimesNewRomanPSMT"/>
        </w:rPr>
        <w:t xml:space="preserve"> </w:t>
      </w:r>
      <w:r>
        <w:rPr>
          <w:rFonts w:ascii="TimesNewRomanPSMT" w:hAnsi="TimesNewRomanPSMT" w:cs="TimesNewRomanPSMT"/>
        </w:rPr>
        <w:t>Review)</w:t>
      </w:r>
      <w:r w:rsidR="001F0DF2">
        <w:rPr>
          <w:rFonts w:ascii="TimesNewRomanPSMT" w:hAnsi="TimesNewRomanPSMT" w:cs="TimesNewRomanPSMT"/>
        </w:rPr>
        <w:t>, supplemented by Motion for Leave to File Supplemental Certificate of Service, filed Mar. 6, 2020</w:t>
      </w:r>
      <w:r w:rsidR="00345B37">
        <w:rPr>
          <w:rFonts w:ascii="TimesNewRomanPSMT" w:hAnsi="TimesNewRomanPSMT" w:cs="TimesNewRomanPSMT"/>
        </w:rPr>
        <w:t xml:space="preserve">.  </w:t>
      </w:r>
      <w:r w:rsidRPr="00720183" w:rsidR="00606F21">
        <w:rPr>
          <w:rFonts w:ascii="TimesNewRomanPSMT" w:hAnsi="TimesNewRomanPSMT" w:cs="TimesNewRomanPSMT"/>
          <w:i/>
          <w:iCs/>
        </w:rPr>
        <w:t>See Broadcast Applications</w:t>
      </w:r>
      <w:r w:rsidR="00606F21">
        <w:rPr>
          <w:rFonts w:ascii="TimesNewRomanPSMT" w:hAnsi="TimesNewRomanPSMT" w:cs="TimesNewRomanPSMT"/>
        </w:rPr>
        <w:t xml:space="preserve">, Public Notice, Report No. 29691 (MB March 10, 2020).  </w:t>
      </w:r>
      <w:r>
        <w:rPr>
          <w:rFonts w:ascii="TimesNewRomanPSMT" w:hAnsi="TimesNewRomanPSMT" w:cs="TimesNewRomanPSMT"/>
        </w:rPr>
        <w:t xml:space="preserve">The </w:t>
      </w:r>
      <w:r w:rsidRPr="001F0DF2">
        <w:t>Application</w:t>
      </w:r>
      <w:r>
        <w:rPr>
          <w:rFonts w:ascii="TimesNewRomanPSMT" w:hAnsi="TimesNewRomanPSMT" w:cs="TimesNewRomanPSMT"/>
        </w:rPr>
        <w:t xml:space="preserve"> for Review </w:t>
      </w:r>
      <w:r w:rsidR="00345B37">
        <w:rPr>
          <w:rFonts w:ascii="TimesNewRomanPSMT" w:hAnsi="TimesNewRomanPSMT" w:cs="TimesNewRomanPSMT"/>
        </w:rPr>
        <w:t>is</w:t>
      </w:r>
      <w:r>
        <w:rPr>
          <w:rFonts w:ascii="TimesNewRomanPSMT" w:hAnsi="TimesNewRomanPSMT" w:cs="TimesNewRomanPSMT"/>
        </w:rPr>
        <w:t xml:space="preserve"> unopposed.</w:t>
      </w:r>
    </w:p>
  </w:footnote>
  <w:footnote w:id="3">
    <w:p w:rsidR="00345B37" w:rsidP="00345B37" w14:paraId="119D4155" w14:textId="1D589FD0">
      <w:pPr>
        <w:pStyle w:val="FootnoteText"/>
      </w:pPr>
      <w:r>
        <w:rPr>
          <w:rStyle w:val="FootnoteReference"/>
        </w:rPr>
        <w:footnoteRef/>
      </w:r>
      <w:r w:rsidRPr="005003C3">
        <w:t xml:space="preserve"> </w:t>
      </w:r>
      <w:r w:rsidRPr="007F7818" w:rsidR="00C15498">
        <w:rPr>
          <w:i/>
          <w:iCs/>
        </w:rPr>
        <w:t>Prometheus Radio Project and Mega-Philadelphia, LLC</w:t>
      </w:r>
      <w:r w:rsidR="00C15498">
        <w:t xml:space="preserve">, Letter Decision, 35 FCC </w:t>
      </w:r>
      <w:r w:rsidR="00C15498">
        <w:t>Rcd</w:t>
      </w:r>
      <w:r w:rsidR="00C15498">
        <w:t xml:space="preserve"> 182 (MB 2020) (</w:t>
      </w:r>
      <w:r w:rsidRPr="007F7818" w:rsidR="00C15498">
        <w:rPr>
          <w:i/>
          <w:iCs/>
        </w:rPr>
        <w:t>Camden Reconsideration Decision</w:t>
      </w:r>
      <w:r w:rsidR="00C15498">
        <w:t>).</w:t>
      </w:r>
      <w:r w:rsidR="00257D00">
        <w:t xml:space="preserve"> </w:t>
      </w:r>
    </w:p>
  </w:footnote>
  <w:footnote w:id="4">
    <w:p w:rsidR="00345B37" w14:paraId="0F806A98" w14:textId="3E98166E">
      <w:pPr>
        <w:pStyle w:val="FootnoteText"/>
      </w:pPr>
      <w:r>
        <w:rPr>
          <w:rStyle w:val="FootnoteReference"/>
        </w:rPr>
        <w:footnoteRef/>
      </w:r>
      <w:r>
        <w:t xml:space="preserve"> </w:t>
      </w:r>
      <w:r w:rsidRPr="00883754" w:rsidR="00257D00">
        <w:rPr>
          <w:i/>
          <w:iCs/>
        </w:rPr>
        <w:t>See</w:t>
      </w:r>
      <w:r w:rsidR="00257D00">
        <w:t xml:space="preserve"> Petitions for Reconsideration of Prometheus, Center for International Media Action, and Common Frequency, Inc., filed July 9, 2018 (Reconsideration Petitions), seeking reconsideration of </w:t>
      </w:r>
      <w:r w:rsidRPr="002C0577" w:rsidR="00683913">
        <w:rPr>
          <w:i/>
          <w:iCs/>
        </w:rPr>
        <w:t>Center for International Media Action, Common Frequency, Inc., and Prometheus Radio Project</w:t>
      </w:r>
      <w:r w:rsidR="00683913">
        <w:t xml:space="preserve">, Letter Decision, 33 FCC </w:t>
      </w:r>
      <w:r w:rsidR="00683913">
        <w:t>Rcd</w:t>
      </w:r>
      <w:r w:rsidR="00683913">
        <w:t xml:space="preserve"> 5394 (MB 2018) (</w:t>
      </w:r>
      <w:r w:rsidRPr="002C0577" w:rsidR="00683913">
        <w:rPr>
          <w:i/>
          <w:iCs/>
        </w:rPr>
        <w:t>Staff Decision</w:t>
      </w:r>
      <w:r w:rsidR="00683913">
        <w:t>).</w:t>
      </w:r>
    </w:p>
  </w:footnote>
  <w:footnote w:id="5">
    <w:p w:rsidR="00345B37" w14:paraId="39133992" w14:textId="48B92105">
      <w:pPr>
        <w:pStyle w:val="FootnoteText"/>
      </w:pPr>
      <w:r>
        <w:rPr>
          <w:rStyle w:val="FootnoteReference"/>
        </w:rPr>
        <w:footnoteRef/>
      </w:r>
      <w:r>
        <w:t xml:space="preserve"> </w:t>
      </w:r>
      <w:r>
        <w:t>File No. BNPFT-20180508ABL.</w:t>
      </w:r>
    </w:p>
  </w:footnote>
  <w:footnote w:id="6">
    <w:p w:rsidR="00683913" w14:paraId="6AAC6ED7" w14:textId="601323AE">
      <w:pPr>
        <w:pStyle w:val="FootnoteText"/>
      </w:pPr>
      <w:r>
        <w:rPr>
          <w:rStyle w:val="FootnoteReference"/>
        </w:rPr>
        <w:footnoteRef/>
      </w:r>
      <w:r>
        <w:t xml:space="preserve"> </w:t>
      </w:r>
      <w:r w:rsidRPr="002C0577">
        <w:rPr>
          <w:i/>
          <w:iCs/>
        </w:rPr>
        <w:t>Center for International Media Action, Common Frequency, Inc., and Prometheus Radio Project</w:t>
      </w:r>
      <w:r>
        <w:t xml:space="preserve">, Letter Decision, 33 FCC </w:t>
      </w:r>
      <w:r>
        <w:t>Rcd</w:t>
      </w:r>
      <w:r>
        <w:t xml:space="preserve"> 6733</w:t>
      </w:r>
      <w:r w:rsidR="00C15498">
        <w:t>, 6734-35</w:t>
      </w:r>
      <w:r>
        <w:t xml:space="preserve"> (MB 2018)</w:t>
      </w:r>
      <w:r w:rsidR="007D3F02">
        <w:t xml:space="preserve"> </w:t>
      </w:r>
      <w:r w:rsidR="000228F4">
        <w:t>(</w:t>
      </w:r>
      <w:r w:rsidRPr="000228F4" w:rsidR="000228F4">
        <w:rPr>
          <w:i/>
          <w:iCs/>
        </w:rPr>
        <w:t>Reconsideration Decision</w:t>
      </w:r>
      <w:r w:rsidR="000228F4">
        <w:t xml:space="preserve">) </w:t>
      </w:r>
      <w:r w:rsidR="007D3F02">
        <w:t>(</w:t>
      </w:r>
      <w:r w:rsidR="002315B3">
        <w:t>stating that only Prometheus had established standing to file a petition for reconsideration</w:t>
      </w:r>
      <w:r w:rsidR="007D3F02">
        <w:t>)</w:t>
      </w:r>
      <w:r w:rsidR="002315B3">
        <w:t xml:space="preserve">; </w:t>
      </w:r>
      <w:r w:rsidRPr="000228F4" w:rsidR="002315B3">
        <w:rPr>
          <w:i/>
          <w:iCs/>
        </w:rPr>
        <w:t>Camden Reconsideration Decision</w:t>
      </w:r>
      <w:r w:rsidR="000228F4">
        <w:t xml:space="preserve">, 35 FCC </w:t>
      </w:r>
      <w:r w:rsidR="000228F4">
        <w:t>Rcd</w:t>
      </w:r>
      <w:r w:rsidR="000228F4">
        <w:t xml:space="preserve"> at 187-88.</w:t>
      </w:r>
    </w:p>
  </w:footnote>
  <w:footnote w:id="7">
    <w:p w:rsidR="00A65D02" w:rsidP="00A65D02" w14:paraId="4F168EED" w14:textId="77777777">
      <w:pPr>
        <w:pStyle w:val="FootnoteText"/>
      </w:pPr>
      <w:r>
        <w:rPr>
          <w:rStyle w:val="FootnoteReference"/>
        </w:rPr>
        <w:footnoteRef/>
      </w:r>
      <w:r>
        <w:t xml:space="preserve"> </w:t>
      </w:r>
      <w:r w:rsidRPr="00AA7677">
        <w:rPr>
          <w:i/>
        </w:rPr>
        <w:t>See</w:t>
      </w:r>
      <w:r>
        <w:t xml:space="preserve"> </w:t>
      </w:r>
      <w:r w:rsidRPr="00D0454F">
        <w:rPr>
          <w:i/>
        </w:rPr>
        <w:t>Revitalization of the AM Radio Service</w:t>
      </w:r>
      <w:r w:rsidRPr="00D0454F">
        <w:t>, First Report and Order, Further Notice of Proposed Rule Making, and Notic</w:t>
      </w:r>
      <w:r>
        <w:t xml:space="preserve">e of Inquiry, 30 FCC </w:t>
      </w:r>
      <w:r>
        <w:t>Rcd</w:t>
      </w:r>
      <w:r>
        <w:t xml:space="preserve"> 12145, 12152-54, paras. 15-17 </w:t>
      </w:r>
      <w:r w:rsidRPr="00D0454F">
        <w:t>(2015)</w:t>
      </w:r>
      <w:r>
        <w:t xml:space="preserve"> (</w:t>
      </w:r>
      <w:r w:rsidRPr="008636A9">
        <w:rPr>
          <w:i/>
        </w:rPr>
        <w:t>AMR First R&amp;O</w:t>
      </w:r>
      <w:r>
        <w:t>) (announcing two 2016 cross-service FM translator modification filing windows, to be followed by two 2017 auction filing windows for new cross-service FM translators (designated as Auction 99 and Auction 100), available to AM licensees and permittees that did not participate in the 2016 modification windows)</w:t>
      </w:r>
      <w:r w:rsidRPr="00D0454F">
        <w:t>.</w:t>
      </w:r>
    </w:p>
  </w:footnote>
  <w:footnote w:id="8">
    <w:p w:rsidR="00A65D02" w:rsidP="00A65D02" w14:paraId="2F75F523" w14:textId="29378A1E">
      <w:pPr>
        <w:pStyle w:val="FootnoteText"/>
      </w:pPr>
      <w:r>
        <w:rPr>
          <w:rStyle w:val="FootnoteReference"/>
        </w:rPr>
        <w:footnoteRef/>
      </w:r>
      <w:r>
        <w:t xml:space="preserve"> </w:t>
      </w:r>
      <w:r>
        <w:t>The long</w:t>
      </w:r>
      <w:r w:rsidR="00E5346D">
        <w:t>-</w:t>
      </w:r>
      <w:r>
        <w:t xml:space="preserve">form application was filed </w:t>
      </w:r>
      <w:r>
        <w:rPr>
          <w:szCs w:val="22"/>
        </w:rPr>
        <w:t>on May 8</w:t>
      </w:r>
      <w:r w:rsidRPr="007925F6">
        <w:rPr>
          <w:szCs w:val="22"/>
        </w:rPr>
        <w:t xml:space="preserve">, 2018, </w:t>
      </w:r>
      <w:r>
        <w:rPr>
          <w:szCs w:val="22"/>
        </w:rPr>
        <w:t xml:space="preserve">and placed on public notice thereafter.  </w:t>
      </w:r>
      <w:r>
        <w:rPr>
          <w:i/>
          <w:iCs/>
          <w:szCs w:val="22"/>
        </w:rPr>
        <w:t xml:space="preserve">See </w:t>
      </w:r>
      <w:r w:rsidRPr="00B43388">
        <w:rPr>
          <w:i/>
        </w:rPr>
        <w:t>Broadcast Applications</w:t>
      </w:r>
      <w:r>
        <w:t>, Public Notice, Report No. 29236 (MB May 15, 2018).</w:t>
      </w:r>
    </w:p>
  </w:footnote>
  <w:footnote w:id="9">
    <w:p w:rsidR="00A65D02" w:rsidP="00A65D02" w14:paraId="5B4A0DCA" w14:textId="77777777">
      <w:pPr>
        <w:pStyle w:val="FootnoteText"/>
      </w:pPr>
      <w:r>
        <w:rPr>
          <w:rStyle w:val="FootnoteReference"/>
        </w:rPr>
        <w:footnoteRef/>
      </w:r>
      <w:r>
        <w:t xml:space="preserve"> </w:t>
      </w:r>
      <w:r>
        <w:t xml:space="preserve">The Informal Objection filed by Objectors on May 16, 2018, sought dismissal of a total of 994 then-pending FM translator applications, including the Camden Application.  </w:t>
      </w:r>
      <w:r>
        <w:rPr>
          <w:szCs w:val="22"/>
        </w:rPr>
        <w:t>MPL did not file an Opposition to the Informal Objection which, as noted, was not directed specifically to its application.</w:t>
      </w:r>
    </w:p>
  </w:footnote>
  <w:footnote w:id="10">
    <w:p w:rsidR="00B40CD7" w14:paraId="78E19C28" w14:textId="1D2EEBDF">
      <w:pPr>
        <w:pStyle w:val="FootnoteText"/>
      </w:pPr>
      <w:r>
        <w:rPr>
          <w:rStyle w:val="FootnoteReference"/>
        </w:rPr>
        <w:footnoteRef/>
      </w:r>
      <w:r>
        <w:t xml:space="preserve"> </w:t>
      </w:r>
      <w:r>
        <w:rPr>
          <w:rFonts w:ascii="TimesNewRomanPS-ItalicMT" w:hAnsi="TimesNewRomanPS-ItalicMT" w:cs="TimesNewRomanPS-ItalicMT"/>
          <w:i/>
          <w:iCs/>
        </w:rPr>
        <w:t>Staff Decision</w:t>
      </w:r>
      <w:r>
        <w:rPr>
          <w:rFonts w:ascii="TimesNewRomanPSMT" w:hAnsi="TimesNewRomanPSMT" w:cs="TimesNewRomanPSMT"/>
        </w:rPr>
        <w:t xml:space="preserve">, 34 FCC </w:t>
      </w:r>
      <w:r>
        <w:rPr>
          <w:rFonts w:ascii="TimesNewRomanPSMT" w:hAnsi="TimesNewRomanPSMT" w:cs="TimesNewRomanPSMT"/>
        </w:rPr>
        <w:t>Rcd</w:t>
      </w:r>
      <w:r>
        <w:rPr>
          <w:rFonts w:ascii="TimesNewRomanPSMT" w:hAnsi="TimesNewRomanPSMT" w:cs="TimesNewRomanPSMT"/>
        </w:rPr>
        <w:t xml:space="preserve"> at 4594, 4600.</w:t>
      </w:r>
    </w:p>
  </w:footnote>
  <w:footnote w:id="11">
    <w:p w:rsidR="007A412A" w14:paraId="5AE2148C" w14:textId="1DBDD3B6">
      <w:pPr>
        <w:pStyle w:val="FootnoteText"/>
      </w:pPr>
      <w:r>
        <w:rPr>
          <w:rStyle w:val="FootnoteReference"/>
        </w:rPr>
        <w:footnoteRef/>
      </w:r>
      <w:r>
        <w:t xml:space="preserve"> </w:t>
      </w:r>
      <w:r>
        <w:rPr>
          <w:rFonts w:ascii="TimesNewRomanPS-ItalicMT" w:hAnsi="TimesNewRomanPS-ItalicMT" w:cs="TimesNewRomanPS-ItalicMT"/>
          <w:i/>
          <w:iCs/>
        </w:rPr>
        <w:t xml:space="preserve">See </w:t>
      </w:r>
      <w:r w:rsidRPr="009D7FC6" w:rsidR="009D7FC6">
        <w:rPr>
          <w:rFonts w:ascii="TimesNewRomanPSMT" w:hAnsi="TimesNewRomanPSMT" w:cs="TimesNewRomanPSMT"/>
          <w:i/>
          <w:iCs/>
        </w:rPr>
        <w:t>Broadcast Actions</w:t>
      </w:r>
      <w:r w:rsidR="009D7FC6">
        <w:rPr>
          <w:rFonts w:ascii="TimesNewRomanPSMT" w:hAnsi="TimesNewRomanPSMT" w:cs="TimesNewRomanPSMT"/>
        </w:rPr>
        <w:t>, Public Notice, Report No. 49258, at 50 (MB June 15, 2018)</w:t>
      </w:r>
      <w:r>
        <w:rPr>
          <w:rFonts w:ascii="TimesNewRomanPSMT" w:hAnsi="TimesNewRomanPSMT" w:cs="TimesNewRomanPSMT"/>
        </w:rPr>
        <w:t>.</w:t>
      </w:r>
    </w:p>
  </w:footnote>
  <w:footnote w:id="12">
    <w:p w:rsidR="007A412A" w14:paraId="389E04D8" w14:textId="6E340502">
      <w:pPr>
        <w:pStyle w:val="FootnoteText"/>
      </w:pPr>
      <w:r>
        <w:rPr>
          <w:rStyle w:val="FootnoteReference"/>
        </w:rPr>
        <w:footnoteRef/>
      </w:r>
      <w:r>
        <w:t xml:space="preserve"> </w:t>
      </w:r>
      <w:r>
        <w:rPr>
          <w:rFonts w:ascii="TimesNewRomanPS-ItalicMT" w:hAnsi="TimesNewRomanPS-ItalicMT" w:cs="TimesNewRomanPS-ItalicMT"/>
          <w:i/>
          <w:iCs/>
        </w:rPr>
        <w:t>Reconsideration Decision</w:t>
      </w:r>
      <w:r w:rsidR="003A54FA">
        <w:rPr>
          <w:rFonts w:ascii="TimesNewRomanPS-ItalicMT" w:hAnsi="TimesNewRomanPS-ItalicMT" w:cs="TimesNewRomanPS-ItalicMT"/>
        </w:rPr>
        <w:t xml:space="preserve">, 33 FCC </w:t>
      </w:r>
      <w:r w:rsidR="003A54FA">
        <w:rPr>
          <w:rFonts w:ascii="TimesNewRomanPS-ItalicMT" w:hAnsi="TimesNewRomanPS-ItalicMT" w:cs="TimesNewRomanPS-ItalicMT"/>
        </w:rPr>
        <w:t>Rcd</w:t>
      </w:r>
      <w:r>
        <w:rPr>
          <w:rFonts w:ascii="TimesNewRomanPS-ItalicMT" w:hAnsi="TimesNewRomanPS-ItalicMT" w:cs="TimesNewRomanPS-ItalicMT"/>
          <w:i/>
          <w:iCs/>
        </w:rPr>
        <w:t xml:space="preserve"> </w:t>
      </w:r>
      <w:r>
        <w:rPr>
          <w:rFonts w:ascii="TimesNewRomanPSMT" w:hAnsi="TimesNewRomanPSMT" w:cs="TimesNewRomanPSMT"/>
        </w:rPr>
        <w:t xml:space="preserve">at </w:t>
      </w:r>
      <w:r w:rsidR="003A54FA">
        <w:rPr>
          <w:rFonts w:ascii="TimesNewRomanPSMT" w:hAnsi="TimesNewRomanPSMT" w:cs="TimesNewRomanPSMT"/>
        </w:rPr>
        <w:t xml:space="preserve">6735; </w:t>
      </w:r>
      <w:r w:rsidRPr="00917668" w:rsidR="003A54FA">
        <w:rPr>
          <w:rFonts w:ascii="TimesNewRomanPSMT" w:hAnsi="TimesNewRomanPSMT" w:cs="TimesNewRomanPSMT"/>
          <w:i/>
          <w:iCs/>
        </w:rPr>
        <w:t>Camden Reconsideration Decision</w:t>
      </w:r>
      <w:r w:rsidR="003A54FA">
        <w:rPr>
          <w:rFonts w:ascii="TimesNewRomanPSMT" w:hAnsi="TimesNewRomanPSMT" w:cs="TimesNewRomanPSMT"/>
        </w:rPr>
        <w:t xml:space="preserve">, 35 FCC </w:t>
      </w:r>
      <w:r w:rsidR="003A54FA">
        <w:rPr>
          <w:rFonts w:ascii="TimesNewRomanPSMT" w:hAnsi="TimesNewRomanPSMT" w:cs="TimesNewRomanPSMT"/>
        </w:rPr>
        <w:t>Rcd</w:t>
      </w:r>
      <w:r w:rsidR="003A54FA">
        <w:rPr>
          <w:rFonts w:ascii="TimesNewRomanPSMT" w:hAnsi="TimesNewRomanPSMT" w:cs="TimesNewRomanPSMT"/>
        </w:rPr>
        <w:t xml:space="preserve"> at </w:t>
      </w:r>
      <w:r w:rsidR="00917668">
        <w:rPr>
          <w:rFonts w:ascii="TimesNewRomanPSMT" w:hAnsi="TimesNewRomanPSMT" w:cs="TimesNewRomanPSMT"/>
        </w:rPr>
        <w:t>187-88</w:t>
      </w:r>
      <w:r>
        <w:rPr>
          <w:rFonts w:ascii="TimesNewRomanPSMT" w:hAnsi="TimesNewRomanPSMT" w:cs="TimesNewRomanPSMT"/>
        </w:rPr>
        <w:t>.</w:t>
      </w:r>
    </w:p>
  </w:footnote>
  <w:footnote w:id="13">
    <w:p w:rsidR="00791D75" w14:paraId="69F402CE" w14:textId="137D4E68">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Application for Review</w:t>
      </w:r>
      <w:r w:rsidR="00D66EC0">
        <w:rPr>
          <w:rFonts w:ascii="TimesNewRomanPSMT" w:hAnsi="TimesNewRomanPSMT" w:cs="TimesNewRomanPSMT"/>
        </w:rPr>
        <w:t xml:space="preserve"> at 1-3</w:t>
      </w:r>
      <w:r>
        <w:rPr>
          <w:rFonts w:ascii="TimesNewRomanPSMT" w:hAnsi="TimesNewRomanPSMT" w:cs="TimesNewRomanPSMT"/>
        </w:rPr>
        <w:t>.</w:t>
      </w:r>
    </w:p>
  </w:footnote>
  <w:footnote w:id="14">
    <w:p w:rsidR="009D7FC6" w14:paraId="7A4194B5" w14:textId="2612C2BD">
      <w:pPr>
        <w:pStyle w:val="FootnoteText"/>
      </w:pPr>
      <w:r>
        <w:rPr>
          <w:rStyle w:val="FootnoteReference"/>
        </w:rPr>
        <w:footnoteRef/>
      </w:r>
      <w:r>
        <w:t xml:space="preserve"> </w:t>
      </w:r>
      <w:r w:rsidRPr="009429F3" w:rsidR="009429F3">
        <w:rPr>
          <w:i/>
          <w:iCs/>
        </w:rPr>
        <w:t>See Media Bureau Announces Availability of Construction Deadline Waivers for Certain FM Translator Stations Awarded in Auctions 99 and 100</w:t>
      </w:r>
      <w:r w:rsidR="009429F3">
        <w:t xml:space="preserve">, Public Notice, 35 FCC </w:t>
      </w:r>
      <w:r w:rsidR="009429F3">
        <w:t>Rcd</w:t>
      </w:r>
      <w:r w:rsidR="009429F3">
        <w:t xml:space="preserve"> 9555 (MB 2020).</w:t>
      </w:r>
    </w:p>
  </w:footnote>
  <w:footnote w:id="15">
    <w:p w:rsidR="004B4940" w14:paraId="576F6591" w14:textId="4FC93358">
      <w:pPr>
        <w:pStyle w:val="FootnoteText"/>
      </w:pPr>
      <w:r>
        <w:rPr>
          <w:rStyle w:val="FootnoteReference"/>
        </w:rPr>
        <w:footnoteRef/>
      </w:r>
      <w:r>
        <w:t xml:space="preserve"> </w:t>
      </w:r>
      <w:r w:rsidRPr="003E1C8D">
        <w:rPr>
          <w:i/>
          <w:iCs/>
        </w:rPr>
        <w:t>See</w:t>
      </w:r>
      <w:r>
        <w:t xml:space="preserve"> </w:t>
      </w:r>
      <w:r w:rsidR="003E1C8D">
        <w:t>E-Mail from Christina Parker, Industry Analyst, FCC Media Bureau, Audio Division, to Clarence Beverage and F. Reid Avett, Contact Representatives for Mega-Philadelphia LLC (Dec. 10, 2021, 5:00 p.m. EST).</w:t>
      </w:r>
    </w:p>
  </w:footnote>
  <w:footnote w:id="16">
    <w:p w:rsidR="00CC0523" w14:paraId="7534312A" w14:textId="2BEC365C">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47 CFR § 73.3598; File No. BPFT-</w:t>
      </w:r>
      <w:r w:rsidR="003E1C8D">
        <w:rPr>
          <w:rFonts w:ascii="TimesNewRomanPSMT" w:hAnsi="TimesNewRomanPSMT" w:cs="TimesNewRomanPSMT"/>
        </w:rPr>
        <w:t xml:space="preserve">20180508ABL, modified as </w:t>
      </w:r>
      <w:r w:rsidR="00FF4273">
        <w:rPr>
          <w:rFonts w:ascii="TimesNewRomanPSMT" w:hAnsi="TimesNewRomanPSMT" w:cs="TimesNewRomanPSMT"/>
        </w:rPr>
        <w:t>indicated</w:t>
      </w:r>
      <w:r w:rsidR="003E1C8D">
        <w:rPr>
          <w:rFonts w:ascii="TimesNewRomanPSMT" w:hAnsi="TimesNewRomanPSMT" w:cs="TimesNewRomanPSMT"/>
        </w:rPr>
        <w:t xml:space="preserve"> in note &lt;1</w:t>
      </w:r>
      <w:r w:rsidR="00CA34CC">
        <w:rPr>
          <w:rFonts w:ascii="TimesNewRomanPSMT" w:hAnsi="TimesNewRomanPSMT" w:cs="TimesNewRomanPSMT"/>
        </w:rPr>
        <w:t>3</w:t>
      </w:r>
      <w:r w:rsidR="003E1C8D">
        <w:rPr>
          <w:rFonts w:ascii="TimesNewRomanPSMT" w:hAnsi="TimesNewRomanPSMT" w:cs="TimesNewRomanPSMT"/>
        </w:rPr>
        <w:t xml:space="preserve">&gt;, </w:t>
      </w:r>
      <w:r w:rsidRPr="003E1C8D" w:rsidR="003E1C8D">
        <w:rPr>
          <w:rFonts w:ascii="TimesNewRomanPSMT" w:hAnsi="TimesNewRomanPSMT" w:cs="TimesNewRomanPSMT"/>
          <w:i/>
          <w:iCs/>
        </w:rPr>
        <w:t>supra</w:t>
      </w:r>
      <w:r w:rsidR="00FF4273">
        <w:rPr>
          <w:rFonts w:ascii="TimesNewRomanPSMT" w:hAnsi="TimesNewRomanPSMT" w:cs="TimesNewRomanPSMT"/>
        </w:rPr>
        <w:t>, and accompanying text</w:t>
      </w:r>
      <w:r>
        <w:rPr>
          <w:rFonts w:ascii="TimesNewRomanPSMT" w:hAnsi="TimesNewRomanPSMT" w:cs="TimesNewRomanPSMT"/>
        </w:rPr>
        <w:t>.</w:t>
      </w:r>
    </w:p>
  </w:footnote>
  <w:footnote w:id="17">
    <w:p w:rsidR="00FF32E5" w:rsidP="002249D1" w14:paraId="68F8B4FA" w14:textId="6EC800BD">
      <w:pPr>
        <w:autoSpaceDE w:val="0"/>
        <w:autoSpaceDN w:val="0"/>
        <w:adjustRightInd w:val="0"/>
      </w:pPr>
      <w:r>
        <w:rPr>
          <w:rStyle w:val="FootnoteReference"/>
        </w:rPr>
        <w:footnoteRef/>
      </w:r>
      <w:r>
        <w:t xml:space="preserve"> </w:t>
      </w:r>
      <w:r>
        <w:rPr>
          <w:rFonts w:ascii="TimesNewRomanPS-ItalicMT" w:hAnsi="TimesNewRomanPS-ItalicMT" w:cs="TimesNewRomanPS-ItalicMT"/>
          <w:i/>
          <w:iCs/>
        </w:rPr>
        <w:t xml:space="preserve">See </w:t>
      </w:r>
      <w:r w:rsidR="002249D1">
        <w:rPr>
          <w:rFonts w:ascii="TimesNewRomanPS-ItalicMT" w:hAnsi="TimesNewRomanPS-ItalicMT" w:cs="TimesNewRomanPS-ItalicMT"/>
        </w:rPr>
        <w:t xml:space="preserve">47 U.S.C. </w:t>
      </w:r>
      <w:r w:rsidR="002249D1">
        <w:t>§</w:t>
      </w:r>
      <w:r w:rsidR="002249D1">
        <w:rPr>
          <w:rFonts w:ascii="TimesNewRomanPS-ItalicMT" w:hAnsi="TimesNewRomanPS-ItalicMT" w:cs="TimesNewRomanPS-ItalicMT"/>
        </w:rPr>
        <w:t xml:space="preserve"> 319(b) (construction permit “shall provide that said permit will be automatically forfeited if the station is not ready for operation within the time specified or within such further time as the Commission may allow, unless prevented by causes not under the control of the grantee.”).  </w:t>
      </w:r>
      <w:r w:rsidRPr="002249D1" w:rsidR="002249D1">
        <w:rPr>
          <w:rFonts w:ascii="TimesNewRomanPS-ItalicMT" w:hAnsi="TimesNewRomanPS-ItalicMT" w:cs="TimesNewRomanPS-ItalicMT"/>
          <w:i/>
          <w:iCs/>
        </w:rPr>
        <w:t>See also</w:t>
      </w:r>
      <w:r w:rsidR="002249D1">
        <w:rPr>
          <w:rFonts w:ascii="TimesNewRomanPS-ItalicMT" w:hAnsi="TimesNewRomanPS-ItalicMT" w:cs="TimesNewRomanPS-ItalicMT"/>
        </w:rPr>
        <w:t xml:space="preserve"> </w:t>
      </w:r>
      <w:r>
        <w:rPr>
          <w:rFonts w:ascii="TimesNewRomanPSMT" w:hAnsi="TimesNewRomanPSMT" w:cs="TimesNewRomanPSMT"/>
        </w:rPr>
        <w:t>47 CFR § 73.3598(e) (“Any construction permit for which construction has not been completed and for which</w:t>
      </w:r>
      <w:r w:rsidR="002249D1">
        <w:rPr>
          <w:rFonts w:ascii="TimesNewRomanPSMT" w:hAnsi="TimesNewRomanPSMT" w:cs="TimesNewRomanPSMT"/>
        </w:rPr>
        <w:t xml:space="preserve"> </w:t>
      </w:r>
      <w:r>
        <w:rPr>
          <w:rFonts w:ascii="TimesNewRomanPSMT" w:hAnsi="TimesNewRomanPSMT" w:cs="TimesNewRomanPSMT"/>
        </w:rPr>
        <w:t>an application for license has not been filed, shall be automatically forfeited upon expiration without any further</w:t>
      </w:r>
      <w:r w:rsidR="002249D1">
        <w:rPr>
          <w:rFonts w:ascii="TimesNewRomanPSMT" w:hAnsi="TimesNewRomanPSMT" w:cs="TimesNewRomanPSMT"/>
        </w:rPr>
        <w:t xml:space="preserve"> </w:t>
      </w:r>
      <w:r>
        <w:rPr>
          <w:rFonts w:ascii="TimesNewRomanPSMT" w:hAnsi="TimesNewRomanPSMT" w:cs="TimesNewRomanPSMT"/>
        </w:rPr>
        <w:t>affirmative cancellation by the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P="00893FA5" w14:paraId="151C80AA" w14:textId="69694337">
    <w:pPr>
      <w:pStyle w:val="Header"/>
      <w:tabs>
        <w:tab w:val="clear" w:pos="4320"/>
        <w:tab w:val="clear" w:pos="8640"/>
      </w:tabs>
      <w:spacing w:before="360" w:line="228" w:lineRule="auto"/>
      <w:ind w:left="1440" w:firstLine="720"/>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893FA5">
      <w:rPr>
        <w:rFonts w:ascii="CG Times (W1)" w:hAnsi="CG Times (W1)"/>
        <w:sz w:val="28"/>
      </w:rPr>
      <w:t xml:space="preserve">     </w:t>
    </w:r>
    <w:r>
      <w:rPr>
        <w:rFonts w:ascii="CG Times (W1)" w:hAnsi="CG Times (W1)"/>
        <w:sz w:val="28"/>
      </w:rPr>
      <w:t>Federal Communications Commission</w:t>
    </w:r>
  </w:p>
  <w:p w:rsidR="002B54DB" w:rsidP="001333F1" w14:paraId="0180A4D9"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3F40B6F4" w14:textId="77777777">
    <w:pPr>
      <w:pStyle w:val="Header"/>
      <w:tabs>
        <w:tab w:val="clear" w:pos="4320"/>
      </w:tabs>
      <w:jc w:val="center"/>
      <w:rPr>
        <w:sz w:val="22"/>
      </w:rPr>
    </w:pPr>
  </w:p>
  <w:p w:rsidR="002B54DB" w14:paraId="0C187288" w14:textId="4BB4F650">
    <w:pPr>
      <w:pStyle w:val="Header"/>
      <w:tabs>
        <w:tab w:val="clear" w:pos="4320"/>
      </w:tabs>
      <w:jc w:val="center"/>
      <w:rPr>
        <w:sz w:val="24"/>
      </w:rPr>
    </w:pPr>
    <w:r>
      <w:rPr>
        <w:sz w:val="24"/>
      </w:rPr>
      <w:t xml:space="preserve">November </w:t>
    </w:r>
    <w:r w:rsidR="00F95EFC">
      <w:rPr>
        <w:sz w:val="24"/>
      </w:rPr>
      <w:t>10</w:t>
    </w:r>
    <w:r w:rsidR="00BA0649">
      <w:rPr>
        <w:sz w:val="24"/>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711757"/>
    <w:multiLevelType w:val="hybridMultilevel"/>
    <w:tmpl w:val="016E3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2B2490E"/>
    <w:multiLevelType w:val="hybridMultilevel"/>
    <w:tmpl w:val="F5FC60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26"/>
    <w:rsid w:val="00010AA8"/>
    <w:rsid w:val="00010C9C"/>
    <w:rsid w:val="000228F4"/>
    <w:rsid w:val="00023E6C"/>
    <w:rsid w:val="000254BF"/>
    <w:rsid w:val="00032FF8"/>
    <w:rsid w:val="000341C4"/>
    <w:rsid w:val="0003430A"/>
    <w:rsid w:val="00035EA3"/>
    <w:rsid w:val="00041AE9"/>
    <w:rsid w:val="000468FC"/>
    <w:rsid w:val="000472D9"/>
    <w:rsid w:val="00055B70"/>
    <w:rsid w:val="00064C77"/>
    <w:rsid w:val="000731C9"/>
    <w:rsid w:val="00082CDD"/>
    <w:rsid w:val="000A1FB9"/>
    <w:rsid w:val="000A4895"/>
    <w:rsid w:val="000A7135"/>
    <w:rsid w:val="000B3E9D"/>
    <w:rsid w:val="000B7C6E"/>
    <w:rsid w:val="000C1205"/>
    <w:rsid w:val="000C3A2E"/>
    <w:rsid w:val="000C6100"/>
    <w:rsid w:val="000D4FBF"/>
    <w:rsid w:val="000D5388"/>
    <w:rsid w:val="000D79F0"/>
    <w:rsid w:val="000D7AF2"/>
    <w:rsid w:val="000E0CEC"/>
    <w:rsid w:val="000E10C0"/>
    <w:rsid w:val="000F2654"/>
    <w:rsid w:val="000F47F0"/>
    <w:rsid w:val="000F79ED"/>
    <w:rsid w:val="00105318"/>
    <w:rsid w:val="001140BC"/>
    <w:rsid w:val="00132E44"/>
    <w:rsid w:val="001333F1"/>
    <w:rsid w:val="001433DB"/>
    <w:rsid w:val="00152D99"/>
    <w:rsid w:val="00153D11"/>
    <w:rsid w:val="00171094"/>
    <w:rsid w:val="001A3BE0"/>
    <w:rsid w:val="001A5E22"/>
    <w:rsid w:val="001C0777"/>
    <w:rsid w:val="001C6096"/>
    <w:rsid w:val="001E0194"/>
    <w:rsid w:val="001F0DF2"/>
    <w:rsid w:val="001F4118"/>
    <w:rsid w:val="001F63CA"/>
    <w:rsid w:val="00204CE3"/>
    <w:rsid w:val="002060C6"/>
    <w:rsid w:val="00216AD3"/>
    <w:rsid w:val="0022210A"/>
    <w:rsid w:val="002249D1"/>
    <w:rsid w:val="0022768C"/>
    <w:rsid w:val="002315B3"/>
    <w:rsid w:val="00232A48"/>
    <w:rsid w:val="002374AA"/>
    <w:rsid w:val="00242648"/>
    <w:rsid w:val="0024648C"/>
    <w:rsid w:val="0025192A"/>
    <w:rsid w:val="00256598"/>
    <w:rsid w:val="00257D00"/>
    <w:rsid w:val="00262CEE"/>
    <w:rsid w:val="00262E83"/>
    <w:rsid w:val="002676EC"/>
    <w:rsid w:val="0028117C"/>
    <w:rsid w:val="00282B6A"/>
    <w:rsid w:val="002934A8"/>
    <w:rsid w:val="00295A37"/>
    <w:rsid w:val="002A4720"/>
    <w:rsid w:val="002A541C"/>
    <w:rsid w:val="002B13C6"/>
    <w:rsid w:val="002B54DB"/>
    <w:rsid w:val="002C0577"/>
    <w:rsid w:val="002C2197"/>
    <w:rsid w:val="002C6D09"/>
    <w:rsid w:val="002D66CA"/>
    <w:rsid w:val="002F3D8E"/>
    <w:rsid w:val="002F5A6D"/>
    <w:rsid w:val="003051FF"/>
    <w:rsid w:val="00314F82"/>
    <w:rsid w:val="00317E48"/>
    <w:rsid w:val="00321D9B"/>
    <w:rsid w:val="003247CC"/>
    <w:rsid w:val="00326946"/>
    <w:rsid w:val="00327277"/>
    <w:rsid w:val="00332423"/>
    <w:rsid w:val="00335592"/>
    <w:rsid w:val="00341FF3"/>
    <w:rsid w:val="00345B37"/>
    <w:rsid w:val="003532D7"/>
    <w:rsid w:val="00357E5D"/>
    <w:rsid w:val="00362124"/>
    <w:rsid w:val="00363526"/>
    <w:rsid w:val="00366611"/>
    <w:rsid w:val="0037007D"/>
    <w:rsid w:val="00377554"/>
    <w:rsid w:val="003949D3"/>
    <w:rsid w:val="003A3D1C"/>
    <w:rsid w:val="003A54FA"/>
    <w:rsid w:val="003A7418"/>
    <w:rsid w:val="003C2547"/>
    <w:rsid w:val="003C358E"/>
    <w:rsid w:val="003E1C8D"/>
    <w:rsid w:val="003E2006"/>
    <w:rsid w:val="003F1E90"/>
    <w:rsid w:val="003F5128"/>
    <w:rsid w:val="00416765"/>
    <w:rsid w:val="0042469E"/>
    <w:rsid w:val="004261C6"/>
    <w:rsid w:val="0044309A"/>
    <w:rsid w:val="00446035"/>
    <w:rsid w:val="00453E41"/>
    <w:rsid w:val="00454463"/>
    <w:rsid w:val="004579A9"/>
    <w:rsid w:val="004618D0"/>
    <w:rsid w:val="00464B12"/>
    <w:rsid w:val="00467B34"/>
    <w:rsid w:val="00484CC4"/>
    <w:rsid w:val="00493D8D"/>
    <w:rsid w:val="004B0E21"/>
    <w:rsid w:val="004B4940"/>
    <w:rsid w:val="004B6EDF"/>
    <w:rsid w:val="004D3B53"/>
    <w:rsid w:val="004E3D31"/>
    <w:rsid w:val="004F3221"/>
    <w:rsid w:val="00500157"/>
    <w:rsid w:val="005003C3"/>
    <w:rsid w:val="00500856"/>
    <w:rsid w:val="00507A40"/>
    <w:rsid w:val="00510809"/>
    <w:rsid w:val="00513C78"/>
    <w:rsid w:val="00526428"/>
    <w:rsid w:val="00527EAC"/>
    <w:rsid w:val="00534588"/>
    <w:rsid w:val="00536173"/>
    <w:rsid w:val="00541C43"/>
    <w:rsid w:val="00556437"/>
    <w:rsid w:val="005634FF"/>
    <w:rsid w:val="00564DF1"/>
    <w:rsid w:val="005702A2"/>
    <w:rsid w:val="005809C7"/>
    <w:rsid w:val="0058211D"/>
    <w:rsid w:val="00585D78"/>
    <w:rsid w:val="005A4DE3"/>
    <w:rsid w:val="005C6594"/>
    <w:rsid w:val="005E7217"/>
    <w:rsid w:val="00605A35"/>
    <w:rsid w:val="00606F21"/>
    <w:rsid w:val="0061370D"/>
    <w:rsid w:val="00615871"/>
    <w:rsid w:val="00622C61"/>
    <w:rsid w:val="00622D71"/>
    <w:rsid w:val="0063541C"/>
    <w:rsid w:val="00643046"/>
    <w:rsid w:val="0064354C"/>
    <w:rsid w:val="00645D5F"/>
    <w:rsid w:val="006463D1"/>
    <w:rsid w:val="0065290A"/>
    <w:rsid w:val="00662013"/>
    <w:rsid w:val="0067223B"/>
    <w:rsid w:val="006735F9"/>
    <w:rsid w:val="006821E6"/>
    <w:rsid w:val="00683913"/>
    <w:rsid w:val="0068547F"/>
    <w:rsid w:val="00692610"/>
    <w:rsid w:val="006A1898"/>
    <w:rsid w:val="006B3C32"/>
    <w:rsid w:val="006C07C9"/>
    <w:rsid w:val="006C494D"/>
    <w:rsid w:val="006C7465"/>
    <w:rsid w:val="006D6598"/>
    <w:rsid w:val="006E1A98"/>
    <w:rsid w:val="006F0C03"/>
    <w:rsid w:val="006F4FED"/>
    <w:rsid w:val="006F5CEA"/>
    <w:rsid w:val="00712C76"/>
    <w:rsid w:val="00716344"/>
    <w:rsid w:val="00720183"/>
    <w:rsid w:val="00724C87"/>
    <w:rsid w:val="00726C31"/>
    <w:rsid w:val="00732902"/>
    <w:rsid w:val="00750B76"/>
    <w:rsid w:val="00750CAC"/>
    <w:rsid w:val="00751B71"/>
    <w:rsid w:val="007520E7"/>
    <w:rsid w:val="00757361"/>
    <w:rsid w:val="007607EA"/>
    <w:rsid w:val="0076161C"/>
    <w:rsid w:val="00763CE9"/>
    <w:rsid w:val="007776B0"/>
    <w:rsid w:val="00791D75"/>
    <w:rsid w:val="007925F6"/>
    <w:rsid w:val="007A3296"/>
    <w:rsid w:val="007A412A"/>
    <w:rsid w:val="007B039B"/>
    <w:rsid w:val="007B2A8A"/>
    <w:rsid w:val="007B3023"/>
    <w:rsid w:val="007B4CFD"/>
    <w:rsid w:val="007C3654"/>
    <w:rsid w:val="007C529C"/>
    <w:rsid w:val="007C7FB3"/>
    <w:rsid w:val="007D0DD4"/>
    <w:rsid w:val="007D3F02"/>
    <w:rsid w:val="007D76CF"/>
    <w:rsid w:val="007E50C3"/>
    <w:rsid w:val="007F5806"/>
    <w:rsid w:val="007F7818"/>
    <w:rsid w:val="00810302"/>
    <w:rsid w:val="0081475C"/>
    <w:rsid w:val="00823A9C"/>
    <w:rsid w:val="008268BC"/>
    <w:rsid w:val="00826F9D"/>
    <w:rsid w:val="008277BC"/>
    <w:rsid w:val="00832955"/>
    <w:rsid w:val="00837390"/>
    <w:rsid w:val="00847EAD"/>
    <w:rsid w:val="008505A4"/>
    <w:rsid w:val="00854C6E"/>
    <w:rsid w:val="00855691"/>
    <w:rsid w:val="008636A9"/>
    <w:rsid w:val="0086563B"/>
    <w:rsid w:val="0086633D"/>
    <w:rsid w:val="008722D7"/>
    <w:rsid w:val="00877DB1"/>
    <w:rsid w:val="00880E38"/>
    <w:rsid w:val="00883754"/>
    <w:rsid w:val="008900DB"/>
    <w:rsid w:val="00891A3A"/>
    <w:rsid w:val="00893FA5"/>
    <w:rsid w:val="0089683A"/>
    <w:rsid w:val="008B5BCD"/>
    <w:rsid w:val="008C0C13"/>
    <w:rsid w:val="008D6453"/>
    <w:rsid w:val="008E3EC6"/>
    <w:rsid w:val="008E4959"/>
    <w:rsid w:val="008F553C"/>
    <w:rsid w:val="008F7D9A"/>
    <w:rsid w:val="00904A3E"/>
    <w:rsid w:val="00904F7D"/>
    <w:rsid w:val="00915F15"/>
    <w:rsid w:val="00917668"/>
    <w:rsid w:val="00931AD3"/>
    <w:rsid w:val="00932C96"/>
    <w:rsid w:val="009354E6"/>
    <w:rsid w:val="009428AE"/>
    <w:rsid w:val="009429F3"/>
    <w:rsid w:val="009500E5"/>
    <w:rsid w:val="00950C32"/>
    <w:rsid w:val="00956D58"/>
    <w:rsid w:val="00961BEC"/>
    <w:rsid w:val="00963531"/>
    <w:rsid w:val="00974386"/>
    <w:rsid w:val="009775A7"/>
    <w:rsid w:val="00984221"/>
    <w:rsid w:val="009902DF"/>
    <w:rsid w:val="00992038"/>
    <w:rsid w:val="009954D6"/>
    <w:rsid w:val="009A0F73"/>
    <w:rsid w:val="009B23F6"/>
    <w:rsid w:val="009B75FE"/>
    <w:rsid w:val="009C389A"/>
    <w:rsid w:val="009D1050"/>
    <w:rsid w:val="009D1479"/>
    <w:rsid w:val="009D34E7"/>
    <w:rsid w:val="009D35F2"/>
    <w:rsid w:val="009D7FC6"/>
    <w:rsid w:val="009E172C"/>
    <w:rsid w:val="009E46AD"/>
    <w:rsid w:val="009F0745"/>
    <w:rsid w:val="009F40AC"/>
    <w:rsid w:val="00A00A34"/>
    <w:rsid w:val="00A011B0"/>
    <w:rsid w:val="00A02B35"/>
    <w:rsid w:val="00A0485B"/>
    <w:rsid w:val="00A06CAC"/>
    <w:rsid w:val="00A10787"/>
    <w:rsid w:val="00A210C7"/>
    <w:rsid w:val="00A3008F"/>
    <w:rsid w:val="00A34CE8"/>
    <w:rsid w:val="00A62BA0"/>
    <w:rsid w:val="00A65D02"/>
    <w:rsid w:val="00A729D9"/>
    <w:rsid w:val="00A72D45"/>
    <w:rsid w:val="00A951E7"/>
    <w:rsid w:val="00A97DAB"/>
    <w:rsid w:val="00AA2156"/>
    <w:rsid w:val="00AA4652"/>
    <w:rsid w:val="00AA70EF"/>
    <w:rsid w:val="00AA7677"/>
    <w:rsid w:val="00AB1B3D"/>
    <w:rsid w:val="00AC05DC"/>
    <w:rsid w:val="00AC74E4"/>
    <w:rsid w:val="00AD3529"/>
    <w:rsid w:val="00AE390F"/>
    <w:rsid w:val="00AE6139"/>
    <w:rsid w:val="00B30B49"/>
    <w:rsid w:val="00B31CCF"/>
    <w:rsid w:val="00B3205D"/>
    <w:rsid w:val="00B33559"/>
    <w:rsid w:val="00B33D9F"/>
    <w:rsid w:val="00B33F35"/>
    <w:rsid w:val="00B40CD7"/>
    <w:rsid w:val="00B420C1"/>
    <w:rsid w:val="00B43388"/>
    <w:rsid w:val="00B56D45"/>
    <w:rsid w:val="00B57CE8"/>
    <w:rsid w:val="00B6472F"/>
    <w:rsid w:val="00B66EF8"/>
    <w:rsid w:val="00B97A27"/>
    <w:rsid w:val="00BA0649"/>
    <w:rsid w:val="00BA150E"/>
    <w:rsid w:val="00BA2A00"/>
    <w:rsid w:val="00BA3EFD"/>
    <w:rsid w:val="00BD0287"/>
    <w:rsid w:val="00BD5C4A"/>
    <w:rsid w:val="00BD65AE"/>
    <w:rsid w:val="00BD740C"/>
    <w:rsid w:val="00BE077A"/>
    <w:rsid w:val="00BE299E"/>
    <w:rsid w:val="00BF0576"/>
    <w:rsid w:val="00BF5170"/>
    <w:rsid w:val="00BF552E"/>
    <w:rsid w:val="00BF7122"/>
    <w:rsid w:val="00C074AD"/>
    <w:rsid w:val="00C15498"/>
    <w:rsid w:val="00C2351C"/>
    <w:rsid w:val="00C318E5"/>
    <w:rsid w:val="00C31D27"/>
    <w:rsid w:val="00C472D4"/>
    <w:rsid w:val="00C50C13"/>
    <w:rsid w:val="00C53FBC"/>
    <w:rsid w:val="00C61919"/>
    <w:rsid w:val="00C76B75"/>
    <w:rsid w:val="00C81B50"/>
    <w:rsid w:val="00C85287"/>
    <w:rsid w:val="00C90C25"/>
    <w:rsid w:val="00C91453"/>
    <w:rsid w:val="00C9180C"/>
    <w:rsid w:val="00C9483B"/>
    <w:rsid w:val="00C95D7A"/>
    <w:rsid w:val="00C96808"/>
    <w:rsid w:val="00CA34CC"/>
    <w:rsid w:val="00CB0AAE"/>
    <w:rsid w:val="00CB1019"/>
    <w:rsid w:val="00CB6555"/>
    <w:rsid w:val="00CC0523"/>
    <w:rsid w:val="00CC0DAA"/>
    <w:rsid w:val="00CD2B5F"/>
    <w:rsid w:val="00CE0E6A"/>
    <w:rsid w:val="00CE7054"/>
    <w:rsid w:val="00CF5459"/>
    <w:rsid w:val="00D0454F"/>
    <w:rsid w:val="00D07DD7"/>
    <w:rsid w:val="00D108A3"/>
    <w:rsid w:val="00D11B95"/>
    <w:rsid w:val="00D14C58"/>
    <w:rsid w:val="00D30C77"/>
    <w:rsid w:val="00D3188D"/>
    <w:rsid w:val="00D32675"/>
    <w:rsid w:val="00D35C10"/>
    <w:rsid w:val="00D43D36"/>
    <w:rsid w:val="00D4443D"/>
    <w:rsid w:val="00D448B7"/>
    <w:rsid w:val="00D45DAD"/>
    <w:rsid w:val="00D56E9A"/>
    <w:rsid w:val="00D56F4F"/>
    <w:rsid w:val="00D57019"/>
    <w:rsid w:val="00D60579"/>
    <w:rsid w:val="00D66EC0"/>
    <w:rsid w:val="00D7570F"/>
    <w:rsid w:val="00D8530B"/>
    <w:rsid w:val="00DA1939"/>
    <w:rsid w:val="00DA55F8"/>
    <w:rsid w:val="00DB2E45"/>
    <w:rsid w:val="00DB5A06"/>
    <w:rsid w:val="00DC0B50"/>
    <w:rsid w:val="00DC3A24"/>
    <w:rsid w:val="00DC46AD"/>
    <w:rsid w:val="00DC7683"/>
    <w:rsid w:val="00DD0204"/>
    <w:rsid w:val="00DE5135"/>
    <w:rsid w:val="00E031F2"/>
    <w:rsid w:val="00E06DD5"/>
    <w:rsid w:val="00E11E4A"/>
    <w:rsid w:val="00E17D8A"/>
    <w:rsid w:val="00E17EC1"/>
    <w:rsid w:val="00E23AFA"/>
    <w:rsid w:val="00E35426"/>
    <w:rsid w:val="00E35556"/>
    <w:rsid w:val="00E414A9"/>
    <w:rsid w:val="00E51228"/>
    <w:rsid w:val="00E5249A"/>
    <w:rsid w:val="00E5346D"/>
    <w:rsid w:val="00E62CA0"/>
    <w:rsid w:val="00E6302F"/>
    <w:rsid w:val="00E6542F"/>
    <w:rsid w:val="00E90E38"/>
    <w:rsid w:val="00ED4D85"/>
    <w:rsid w:val="00EF3DBE"/>
    <w:rsid w:val="00EF541A"/>
    <w:rsid w:val="00F10753"/>
    <w:rsid w:val="00F149DB"/>
    <w:rsid w:val="00F14C93"/>
    <w:rsid w:val="00F24AFE"/>
    <w:rsid w:val="00F25A6A"/>
    <w:rsid w:val="00F30CC9"/>
    <w:rsid w:val="00F344F1"/>
    <w:rsid w:val="00F358E7"/>
    <w:rsid w:val="00F37389"/>
    <w:rsid w:val="00F42498"/>
    <w:rsid w:val="00F43CDE"/>
    <w:rsid w:val="00F44141"/>
    <w:rsid w:val="00F475FA"/>
    <w:rsid w:val="00F86B8F"/>
    <w:rsid w:val="00F928B2"/>
    <w:rsid w:val="00F93580"/>
    <w:rsid w:val="00F93718"/>
    <w:rsid w:val="00F95660"/>
    <w:rsid w:val="00F95EFC"/>
    <w:rsid w:val="00FA0AEB"/>
    <w:rsid w:val="00FB3E81"/>
    <w:rsid w:val="00FB755F"/>
    <w:rsid w:val="00FC0850"/>
    <w:rsid w:val="00FC1075"/>
    <w:rsid w:val="00FC3513"/>
    <w:rsid w:val="00FD27FD"/>
    <w:rsid w:val="00FD4FFF"/>
    <w:rsid w:val="00FE5DFA"/>
    <w:rsid w:val="00FF0EDE"/>
    <w:rsid w:val="00FF253F"/>
    <w:rsid w:val="00FF32E5"/>
    <w:rsid w:val="00FF42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FA5567"/>
  <w15:chartTrackingRefBased/>
  <w15:docId w15:val="{FE02E5A1-6F79-4460-919C-8B1DCA1C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6CF"/>
  </w:style>
  <w:style w:type="character" w:default="1" w:styleId="DefaultParagraphFont">
    <w:name w:val="Default Paragraph Font"/>
    <w:semiHidden/>
    <w:rsid w:val="007D76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76CF"/>
  </w:style>
  <w:style w:type="paragraph" w:styleId="Header">
    <w:name w:val="header"/>
    <w:basedOn w:val="Normal"/>
    <w:semiHidden/>
    <w:rsid w:val="007D76CF"/>
    <w:pPr>
      <w:tabs>
        <w:tab w:val="center" w:pos="4320"/>
        <w:tab w:val="right" w:pos="8640"/>
      </w:tabs>
    </w:pPr>
  </w:style>
  <w:style w:type="paragraph" w:styleId="Footer">
    <w:name w:val="footer"/>
    <w:basedOn w:val="Normal"/>
    <w:link w:val="FooterChar"/>
    <w:rsid w:val="007D76CF"/>
    <w:pPr>
      <w:tabs>
        <w:tab w:val="center" w:pos="4320"/>
        <w:tab w:val="right" w:pos="8640"/>
      </w:tabs>
    </w:p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autoRedefine/>
    <w:qFormat/>
    <w:rsid w:val="00D57019"/>
    <w:pPr>
      <w:widowControl w:val="0"/>
      <w:spacing w:after="120"/>
    </w:p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D57019"/>
  </w:style>
  <w:style w:type="character" w:styleId="FootnoteReference">
    <w:name w:val="footnote reference"/>
    <w:aliases w:val="(NECG) Footnote Reference,Appel note de bas de p,FR,Footnote Reference/,Style 12,Style 124,Style 13,Style 17,Style 3,Style 4,Style 6,Style 7,fr,o"/>
    <w:rsid w:val="00363526"/>
    <w:rPr>
      <w:rFonts w:cs="Times New Roman"/>
      <w:vertAlign w:val="superscript"/>
    </w:rPr>
  </w:style>
  <w:style w:type="paragraph" w:styleId="BodyTextIndent">
    <w:name w:val="Body Text Indent"/>
    <w:basedOn w:val="Normal"/>
    <w:link w:val="BodyTextIndentChar"/>
    <w:uiPriority w:val="99"/>
    <w:rsid w:val="00363526"/>
    <w:pPr>
      <w:tabs>
        <w:tab w:val="left" w:pos="-720"/>
      </w:tabs>
      <w:suppressAutoHyphens/>
      <w:ind w:firstLine="720"/>
    </w:pPr>
    <w:rPr>
      <w:rFonts w:ascii="CG Times" w:hAnsi="CG Times"/>
      <w:sz w:val="24"/>
    </w:rPr>
  </w:style>
  <w:style w:type="character" w:customStyle="1" w:styleId="BodyTextIndentChar">
    <w:name w:val="Body Text Indent Char"/>
    <w:link w:val="BodyTextIndent"/>
    <w:uiPriority w:val="99"/>
    <w:rsid w:val="00363526"/>
    <w:rPr>
      <w:rFonts w:ascii="CG Times" w:eastAsia="Calibri" w:hAnsi="CG Times"/>
      <w:sz w:val="24"/>
    </w:rPr>
  </w:style>
  <w:style w:type="character" w:styleId="Hyperlink">
    <w:name w:val="Hyperlink"/>
    <w:uiPriority w:val="99"/>
    <w:unhideWhenUsed/>
    <w:rsid w:val="00363526"/>
    <w:rPr>
      <w:color w:val="0563C1"/>
      <w:u w:val="single"/>
    </w:rPr>
  </w:style>
  <w:style w:type="character" w:styleId="UnresolvedMention">
    <w:name w:val="Unresolved Mention"/>
    <w:uiPriority w:val="99"/>
    <w:semiHidden/>
    <w:unhideWhenUsed/>
    <w:rsid w:val="00363526"/>
    <w:rPr>
      <w:color w:val="605E5C"/>
      <w:shd w:val="clear" w:color="auto" w:fill="E1DFDD"/>
    </w:rPr>
  </w:style>
  <w:style w:type="character" w:styleId="FollowedHyperlink">
    <w:name w:val="FollowedHyperlink"/>
    <w:uiPriority w:val="99"/>
    <w:semiHidden/>
    <w:unhideWhenUsed/>
    <w:rsid w:val="00363526"/>
    <w:rPr>
      <w:color w:val="954F72"/>
      <w:u w:val="single"/>
    </w:rPr>
  </w:style>
  <w:style w:type="paragraph" w:styleId="BalloonText">
    <w:name w:val="Balloon Text"/>
    <w:basedOn w:val="Normal"/>
    <w:link w:val="BalloonTextChar"/>
    <w:uiPriority w:val="99"/>
    <w:semiHidden/>
    <w:unhideWhenUsed/>
    <w:rsid w:val="003F5128"/>
    <w:rPr>
      <w:rFonts w:ascii="Segoe UI" w:hAnsi="Segoe UI" w:cs="Segoe UI"/>
      <w:sz w:val="18"/>
      <w:szCs w:val="18"/>
    </w:rPr>
  </w:style>
  <w:style w:type="character" w:customStyle="1" w:styleId="BalloonTextChar">
    <w:name w:val="Balloon Text Char"/>
    <w:link w:val="BalloonText"/>
    <w:uiPriority w:val="99"/>
    <w:semiHidden/>
    <w:rsid w:val="003F5128"/>
    <w:rPr>
      <w:rFonts w:ascii="Segoe UI" w:hAnsi="Segoe UI" w:cs="Segoe UI"/>
      <w:sz w:val="18"/>
      <w:szCs w:val="18"/>
    </w:rPr>
  </w:style>
  <w:style w:type="character" w:styleId="CommentReference">
    <w:name w:val="annotation reference"/>
    <w:basedOn w:val="DefaultParagraphFont"/>
    <w:unhideWhenUsed/>
    <w:rsid w:val="004E3D31"/>
    <w:rPr>
      <w:sz w:val="16"/>
      <w:szCs w:val="16"/>
    </w:rPr>
  </w:style>
  <w:style w:type="paragraph" w:styleId="CommentText">
    <w:name w:val="annotation text"/>
    <w:basedOn w:val="Normal"/>
    <w:link w:val="CommentTextChar"/>
    <w:unhideWhenUsed/>
    <w:rsid w:val="004E3D31"/>
  </w:style>
  <w:style w:type="character" w:customStyle="1" w:styleId="CommentTextChar">
    <w:name w:val="Comment Text Char"/>
    <w:basedOn w:val="DefaultParagraphFont"/>
    <w:link w:val="CommentText"/>
    <w:rsid w:val="004E3D31"/>
  </w:style>
  <w:style w:type="paragraph" w:styleId="CommentSubject">
    <w:name w:val="annotation subject"/>
    <w:basedOn w:val="CommentText"/>
    <w:next w:val="CommentText"/>
    <w:link w:val="CommentSubjectChar"/>
    <w:uiPriority w:val="99"/>
    <w:semiHidden/>
    <w:unhideWhenUsed/>
    <w:rsid w:val="004E3D31"/>
    <w:rPr>
      <w:b/>
      <w:bCs/>
    </w:rPr>
  </w:style>
  <w:style w:type="character" w:customStyle="1" w:styleId="CommentSubjectChar">
    <w:name w:val="Comment Subject Char"/>
    <w:basedOn w:val="CommentTextChar"/>
    <w:link w:val="CommentSubject"/>
    <w:uiPriority w:val="99"/>
    <w:semiHidden/>
    <w:rsid w:val="004E3D31"/>
    <w:rPr>
      <w:b/>
      <w:bCs/>
    </w:rPr>
  </w:style>
  <w:style w:type="paragraph" w:styleId="ListParagraph">
    <w:name w:val="List Paragraph"/>
    <w:basedOn w:val="Normal"/>
    <w:uiPriority w:val="34"/>
    <w:qFormat/>
    <w:rsid w:val="00615871"/>
    <w:pPr>
      <w:ind w:left="720"/>
      <w:contextualSpacing/>
    </w:pPr>
  </w:style>
  <w:style w:type="paragraph" w:styleId="Revision">
    <w:name w:val="Revision"/>
    <w:hidden/>
    <w:uiPriority w:val="99"/>
    <w:semiHidden/>
    <w:rsid w:val="009954D6"/>
  </w:style>
  <w:style w:type="character" w:customStyle="1" w:styleId="FooterChar">
    <w:name w:val="Footer Char"/>
    <w:basedOn w:val="DefaultParagraphFont"/>
    <w:link w:val="Footer"/>
    <w:rsid w:val="00FB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nfo@prometheusradio.org" TargetMode="External" /><Relationship Id="rId6" Type="http://schemas.openxmlformats.org/officeDocument/2006/relationships/hyperlink" Target="mailto:reid.avett@wbd-us.com" TargetMode="External" /><Relationship Id="rId7" Type="http://schemas.openxmlformats.org/officeDocument/2006/relationships/hyperlink" Target="mailto:cbeverage@commtechrf.com"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