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137DB" w14:paraId="67AC8A8B" w14:textId="77777777">
      <w:pPr>
        <w:jc w:val="right"/>
        <w:rPr>
          <w:sz w:val="24"/>
        </w:rPr>
      </w:pPr>
    </w:p>
    <w:p w:rsidR="00A137DB" w:rsidRPr="007B579B" w14:paraId="3A218FB7" w14:textId="6AE29CFF">
      <w:pPr>
        <w:jc w:val="right"/>
        <w:rPr>
          <w:b/>
          <w:sz w:val="24"/>
        </w:rPr>
      </w:pPr>
      <w:r w:rsidRPr="007B579B">
        <w:rPr>
          <w:b/>
          <w:sz w:val="24"/>
        </w:rPr>
        <w:t xml:space="preserve">DA </w:t>
      </w:r>
      <w:r w:rsidR="0028163C">
        <w:rPr>
          <w:b/>
          <w:sz w:val="24"/>
        </w:rPr>
        <w:t>22-1182</w:t>
      </w:r>
    </w:p>
    <w:p w:rsidR="00A137DB" w14:paraId="34933BF1" w14:textId="1885A2D6">
      <w:pPr>
        <w:spacing w:before="60"/>
        <w:jc w:val="right"/>
        <w:rPr>
          <w:b/>
          <w:sz w:val="24"/>
        </w:rPr>
      </w:pPr>
      <w:r w:rsidRPr="007B579B">
        <w:rPr>
          <w:b/>
          <w:sz w:val="24"/>
        </w:rPr>
        <w:t xml:space="preserve">Released:  </w:t>
      </w:r>
      <w:r w:rsidR="00C05F51">
        <w:rPr>
          <w:b/>
          <w:sz w:val="24"/>
        </w:rPr>
        <w:t xml:space="preserve">November </w:t>
      </w:r>
      <w:r w:rsidR="007B64EF">
        <w:rPr>
          <w:b/>
          <w:sz w:val="24"/>
        </w:rPr>
        <w:t>10</w:t>
      </w:r>
      <w:r w:rsidRPr="007B579B" w:rsidR="00407B48">
        <w:rPr>
          <w:b/>
          <w:sz w:val="24"/>
        </w:rPr>
        <w:t>, 2022</w:t>
      </w:r>
    </w:p>
    <w:p w:rsidR="00A137DB" w14:paraId="0F6F6BF0" w14:textId="77777777">
      <w:pPr>
        <w:jc w:val="right"/>
        <w:rPr>
          <w:sz w:val="24"/>
        </w:rPr>
      </w:pPr>
    </w:p>
    <w:p w:rsidR="00A137DB" w:rsidP="475C25DC" w14:paraId="408C926E" w14:textId="3848273A">
      <w:pPr>
        <w:spacing w:after="240"/>
        <w:jc w:val="center"/>
        <w:rPr>
          <w:rFonts w:ascii="Times New Roman Bold" w:hAnsi="Times New Roman Bold"/>
          <w:b/>
          <w:bCs/>
          <w:caps/>
          <w:sz w:val="24"/>
          <w:szCs w:val="24"/>
        </w:rPr>
      </w:pPr>
      <w:r w:rsidRPr="475C25DC">
        <w:rPr>
          <w:rFonts w:ascii="Times New Roman Bold" w:hAnsi="Times New Roman Bold"/>
          <w:b/>
          <w:bCs/>
          <w:caps/>
          <w:sz w:val="24"/>
          <w:szCs w:val="24"/>
        </w:rPr>
        <w:t xml:space="preserve">ROBOCALL </w:t>
      </w:r>
      <w:r w:rsidRPr="475C25DC" w:rsidR="00B000AE">
        <w:rPr>
          <w:rFonts w:ascii="Times New Roman Bold" w:hAnsi="Times New Roman Bold"/>
          <w:b/>
          <w:bCs/>
          <w:caps/>
          <w:sz w:val="24"/>
          <w:szCs w:val="24"/>
        </w:rPr>
        <w:t>ENFORCEMENT NOTICE</w:t>
      </w:r>
      <w:r w:rsidRPr="475C25DC" w:rsidR="00AA48B5">
        <w:rPr>
          <w:rFonts w:ascii="Times New Roman Bold" w:hAnsi="Times New Roman Bold"/>
          <w:b/>
          <w:bCs/>
          <w:caps/>
          <w:sz w:val="24"/>
          <w:szCs w:val="24"/>
        </w:rPr>
        <w:t xml:space="preserve"> TO ALL U.S.-BASED VOICE SERVICE PROVIDERS</w:t>
      </w:r>
    </w:p>
    <w:p w:rsidR="00A137DB" w:rsidP="475C25DC" w14:paraId="6BDA614C" w14:textId="02983B82">
      <w:pPr>
        <w:spacing w:after="240"/>
        <w:jc w:val="center"/>
        <w:rPr>
          <w:b/>
          <w:bCs/>
          <w:sz w:val="24"/>
          <w:szCs w:val="24"/>
        </w:rPr>
      </w:pPr>
      <w:r w:rsidRPr="475C25DC">
        <w:rPr>
          <w:b/>
          <w:bCs/>
          <w:sz w:val="24"/>
          <w:szCs w:val="24"/>
        </w:rPr>
        <w:t xml:space="preserve">FCC Enforcement Bureau </w:t>
      </w:r>
      <w:r w:rsidRPr="475C25DC" w:rsidR="00B000AE">
        <w:rPr>
          <w:b/>
          <w:bCs/>
          <w:sz w:val="24"/>
          <w:szCs w:val="24"/>
        </w:rPr>
        <w:t xml:space="preserve">Notifies </w:t>
      </w:r>
      <w:r w:rsidRPr="475C25DC" w:rsidR="005E338A">
        <w:rPr>
          <w:b/>
          <w:bCs/>
          <w:sz w:val="24"/>
          <w:szCs w:val="24"/>
        </w:rPr>
        <w:t xml:space="preserve">All U.S.-Based Providers </w:t>
      </w:r>
      <w:r w:rsidRPr="475C25DC" w:rsidR="00431BAF">
        <w:rPr>
          <w:b/>
          <w:bCs/>
          <w:sz w:val="24"/>
          <w:szCs w:val="24"/>
        </w:rPr>
        <w:t>They May</w:t>
      </w:r>
      <w:r w:rsidRPr="475C25DC" w:rsidR="00B000AE">
        <w:rPr>
          <w:b/>
          <w:bCs/>
          <w:sz w:val="24"/>
          <w:szCs w:val="24"/>
        </w:rPr>
        <w:t xml:space="preserve"> Block</w:t>
      </w:r>
      <w:r w:rsidR="00C05F51">
        <w:rPr>
          <w:b/>
          <w:bCs/>
          <w:sz w:val="24"/>
          <w:szCs w:val="24"/>
        </w:rPr>
        <w:t xml:space="preserve"> </w:t>
      </w:r>
      <w:r w:rsidR="00D23869">
        <w:rPr>
          <w:b/>
          <w:bCs/>
          <w:sz w:val="24"/>
          <w:szCs w:val="24"/>
        </w:rPr>
        <w:t>Robocalls</w:t>
      </w:r>
      <w:r w:rsidRPr="475C25DC" w:rsidR="00B000AE">
        <w:rPr>
          <w:b/>
          <w:bCs/>
          <w:sz w:val="24"/>
          <w:szCs w:val="24"/>
        </w:rPr>
        <w:t xml:space="preserve"> Originating From Certain Providers</w:t>
      </w:r>
    </w:p>
    <w:p w:rsidR="00A137DB" w14:paraId="33D38A8F" w14:textId="3D489BF3">
      <w:pPr>
        <w:jc w:val="center"/>
        <w:rPr>
          <w:b/>
          <w:sz w:val="24"/>
        </w:rPr>
      </w:pPr>
      <w:r>
        <w:rPr>
          <w:b/>
          <w:sz w:val="24"/>
        </w:rPr>
        <w:t xml:space="preserve">File No. </w:t>
      </w:r>
      <w:r w:rsidRPr="001418EB" w:rsidR="001418EB">
        <w:rPr>
          <w:b/>
          <w:bCs/>
          <w:color w:val="000000"/>
          <w:szCs w:val="22"/>
        </w:rPr>
        <w:t>EB-TCD-</w:t>
      </w:r>
      <w:r w:rsidRPr="00C05F51" w:rsidR="00C05F51">
        <w:rPr>
          <w:b/>
          <w:bCs/>
          <w:color w:val="000000"/>
          <w:szCs w:val="22"/>
        </w:rPr>
        <w:t>22-00034232</w:t>
      </w:r>
    </w:p>
    <w:p w:rsidR="00A137DB" w14:paraId="557763CB" w14:textId="77777777">
      <w:bookmarkStart w:id="0" w:name="TOChere"/>
    </w:p>
    <w:p w:rsidR="00290351" w:rsidP="001B20B6" w14:paraId="06F8D637" w14:textId="3068E47C">
      <w:pPr>
        <w:spacing w:after="220"/>
      </w:pPr>
      <w:r>
        <w:t xml:space="preserve">By </w:t>
      </w:r>
      <w:r>
        <w:t>the Chief, Enforcement Bureau:</w:t>
      </w:r>
    </w:p>
    <w:p w:rsidR="00692591" w:rsidP="00B61C6B" w14:paraId="6500B8AE" w14:textId="74490D3B">
      <w:pPr>
        <w:widowControl/>
        <w:spacing w:after="220"/>
      </w:pPr>
      <w:r>
        <w:t>The Enforcement Bureau (Bureau) of the Federal Communications Commission (FCC or Commission) issues t</w:t>
      </w:r>
      <w:r w:rsidR="00A31282">
        <w:t>his Public Notice</w:t>
      </w:r>
      <w:r>
        <w:t xml:space="preserve"> to </w:t>
      </w:r>
      <w:r w:rsidR="00CB632F">
        <w:t xml:space="preserve">notify </w:t>
      </w:r>
      <w:r w:rsidR="008C23DC">
        <w:t xml:space="preserve">all </w:t>
      </w:r>
      <w:r w:rsidR="00572C32">
        <w:t>U.S</w:t>
      </w:r>
      <w:r w:rsidR="001061E8">
        <w:t>.</w:t>
      </w:r>
      <w:r w:rsidR="008C23DC">
        <w:t>-based voice service providers about</w:t>
      </w:r>
      <w:r w:rsidR="00CB632F">
        <w:t xml:space="preserve"> substantial </w:t>
      </w:r>
      <w:r w:rsidR="00394CF1">
        <w:t xml:space="preserve">amounts of </w:t>
      </w:r>
      <w:r w:rsidR="00832CD6">
        <w:t xml:space="preserve">apparently unlawful </w:t>
      </w:r>
      <w:r w:rsidR="00C05F51">
        <w:t>student loan</w:t>
      </w:r>
      <w:r w:rsidR="00832CD6">
        <w:t>-related</w:t>
      </w:r>
      <w:r w:rsidR="00C05F51">
        <w:t xml:space="preserve"> robocalls originating from the Urth Access</w:t>
      </w:r>
      <w:r w:rsidR="00B16FD3">
        <w:t>, LLC (Urth Access)</w:t>
      </w:r>
      <w:r w:rsidR="00C05F51">
        <w:t>.</w:t>
      </w:r>
      <w:r w:rsidR="008D55CC">
        <w:t xml:space="preserve">  </w:t>
      </w:r>
      <w:r w:rsidR="00A62D7D">
        <w:rPr>
          <w:b/>
          <w:bCs/>
        </w:rPr>
        <w:t>Pursuant to section 64.1200(k)(4) of the Commission’s Rules, w</w:t>
      </w:r>
      <w:r w:rsidRPr="00510345" w:rsidR="008C47C1">
        <w:rPr>
          <w:b/>
          <w:bCs/>
        </w:rPr>
        <w:t xml:space="preserve">e </w:t>
      </w:r>
      <w:r w:rsidR="00663213">
        <w:rPr>
          <w:b/>
          <w:bCs/>
        </w:rPr>
        <w:t>hereby</w:t>
      </w:r>
      <w:r w:rsidR="008C47C1">
        <w:t xml:space="preserve"> </w:t>
      </w:r>
      <w:r w:rsidR="00126290">
        <w:rPr>
          <w:b/>
          <w:bCs/>
        </w:rPr>
        <w:t>notify</w:t>
      </w:r>
      <w:r w:rsidR="00ED61E3">
        <w:rPr>
          <w:b/>
          <w:bCs/>
        </w:rPr>
        <w:t xml:space="preserve"> all U.S.-based voice service providers</w:t>
      </w:r>
      <w:r w:rsidR="00044A61">
        <w:rPr>
          <w:b/>
          <w:bCs/>
        </w:rPr>
        <w:t xml:space="preserve"> </w:t>
      </w:r>
      <w:r w:rsidR="00126290">
        <w:rPr>
          <w:b/>
          <w:bCs/>
        </w:rPr>
        <w:t xml:space="preserve">that they </w:t>
      </w:r>
      <w:r w:rsidRPr="00126290" w:rsidR="00126290">
        <w:rPr>
          <w:b/>
          <w:bCs/>
        </w:rPr>
        <w:t xml:space="preserve">may block voice calls or cease to accept traffic from </w:t>
      </w:r>
      <w:r w:rsidR="00126290">
        <w:rPr>
          <w:b/>
          <w:bCs/>
        </w:rPr>
        <w:t>certain</w:t>
      </w:r>
      <w:r w:rsidR="00663213">
        <w:rPr>
          <w:b/>
          <w:bCs/>
        </w:rPr>
        <w:t xml:space="preserve"> originating/intermediate providers listed in this </w:t>
      </w:r>
      <w:r w:rsidR="00663213">
        <w:rPr>
          <w:b/>
          <w:bCs/>
          <w:i/>
          <w:iCs/>
        </w:rPr>
        <w:t>Notice</w:t>
      </w:r>
      <w:r w:rsidR="001E3327">
        <w:rPr>
          <w:b/>
          <w:bCs/>
          <w:i/>
          <w:iCs/>
        </w:rPr>
        <w:t>,</w:t>
      </w:r>
      <w:r w:rsidRPr="00126290" w:rsidR="00126290">
        <w:rPr>
          <w:b/>
          <w:bCs/>
        </w:rPr>
        <w:t xml:space="preserve"> without liability under the Communications Act or the Commission</w:t>
      </w:r>
      <w:r w:rsidR="00663213">
        <w:rPr>
          <w:b/>
          <w:bCs/>
        </w:rPr>
        <w:t>’</w:t>
      </w:r>
      <w:r w:rsidRPr="00126290" w:rsidR="00126290">
        <w:rPr>
          <w:b/>
          <w:bCs/>
        </w:rPr>
        <w:t>s rules</w:t>
      </w:r>
      <w:r w:rsidR="00663213">
        <w:rPr>
          <w:b/>
          <w:bCs/>
        </w:rPr>
        <w:t>.</w:t>
      </w:r>
      <w:r>
        <w:rPr>
          <w:rStyle w:val="FootnoteReference"/>
        </w:rPr>
        <w:footnoteReference w:id="3"/>
      </w:r>
      <w:r w:rsidR="00085277">
        <w:rPr>
          <w:b/>
          <w:bCs/>
        </w:rPr>
        <w:t xml:space="preserve">  </w:t>
      </w:r>
    </w:p>
    <w:p w:rsidR="009F6D5C" w:rsidP="00040A2A" w14:paraId="61C9B913" w14:textId="444F630E">
      <w:pPr>
        <w:keepNext/>
        <w:widowControl/>
        <w:spacing w:after="220"/>
      </w:pPr>
      <w:r>
        <w:t xml:space="preserve">Contemporaneous with this </w:t>
      </w:r>
      <w:r w:rsidR="00B16FD3">
        <w:rPr>
          <w:i/>
          <w:iCs/>
        </w:rPr>
        <w:t>Public Notice</w:t>
      </w:r>
      <w:r>
        <w:t>, the Bureau is issuing a cease-and</w:t>
      </w:r>
      <w:r w:rsidR="007A313E">
        <w:t>-</w:t>
      </w:r>
      <w:r>
        <w:t>desist letter to the following voice service provider (Originating Provider):</w:t>
      </w:r>
      <w:r>
        <w:rPr>
          <w:rStyle w:val="FootnoteReference"/>
        </w:rPr>
        <w:footnoteReference w:id="4"/>
      </w:r>
      <w:r>
        <w:t xml:space="preserve">  </w:t>
      </w:r>
    </w:p>
    <w:p w:rsidR="00431BAF" w:rsidRPr="00492BCC" w:rsidP="00B61C6B" w14:paraId="57D23395" w14:textId="2628B336">
      <w:pPr>
        <w:pStyle w:val="ListParagraph"/>
        <w:widowControl/>
        <w:numPr>
          <w:ilvl w:val="0"/>
          <w:numId w:val="7"/>
        </w:numPr>
        <w:spacing w:after="220"/>
        <w:contextualSpacing w:val="0"/>
        <w:rPr>
          <w:b/>
          <w:bCs/>
        </w:rPr>
      </w:pPr>
      <w:r>
        <w:rPr>
          <w:b/>
          <w:bCs/>
        </w:rPr>
        <w:t>Urth Access, LLC</w:t>
      </w:r>
    </w:p>
    <w:p w:rsidR="00A50A2A" w:rsidP="00B61C6B" w14:paraId="1F7B3872" w14:textId="33590B35">
      <w:pPr>
        <w:widowControl/>
        <w:spacing w:after="220"/>
      </w:pPr>
      <w:r>
        <w:t>The</w:t>
      </w:r>
      <w:r w:rsidR="00085277">
        <w:t xml:space="preserve"> </w:t>
      </w:r>
      <w:r w:rsidR="00492BCC">
        <w:t>USTelecom’s</w:t>
      </w:r>
      <w:r w:rsidR="00492BCC">
        <w:t xml:space="preserve"> Industry Traceback Group (Traceback Consortium)</w:t>
      </w:r>
      <w:r>
        <w:rPr>
          <w:rStyle w:val="FootnoteReference"/>
        </w:rPr>
        <w:footnoteReference w:id="5"/>
      </w:r>
      <w:r w:rsidR="00085277">
        <w:t xml:space="preserve"> </w:t>
      </w:r>
      <w:r>
        <w:t xml:space="preserve">identified Urth Access </w:t>
      </w:r>
      <w:r w:rsidR="00CB1DB0">
        <w:t>as the originator</w:t>
      </w:r>
      <w:r>
        <w:t xml:space="preserve"> for</w:t>
      </w:r>
      <w:r w:rsidR="00C05F51">
        <w:t xml:space="preserve"> substantial volumes of </w:t>
      </w:r>
      <w:r w:rsidR="00832CD6">
        <w:t xml:space="preserve">apparently unlawful </w:t>
      </w:r>
      <w:r w:rsidR="00C05F51">
        <w:t>student loan</w:t>
      </w:r>
      <w:r w:rsidR="00832CD6">
        <w:t>-related</w:t>
      </w:r>
      <w:r w:rsidR="00C05F51">
        <w:t xml:space="preserve"> robocalls.</w:t>
      </w:r>
      <w:r w:rsidR="00B16FD3">
        <w:t xml:space="preserve">  </w:t>
      </w:r>
      <w:r>
        <w:t xml:space="preserve">Pursuant to </w:t>
      </w:r>
      <w:r w:rsidR="00B000AE">
        <w:t>the cease-and-desist</w:t>
      </w:r>
      <w:r>
        <w:t xml:space="preserve"> letter, </w:t>
      </w:r>
      <w:r w:rsidR="001C40CA">
        <w:t>Urth Access</w:t>
      </w:r>
      <w:r>
        <w:t xml:space="preserve"> must </w:t>
      </w:r>
      <w:r w:rsidR="001E3327">
        <w:t xml:space="preserve">(1) </w:t>
      </w:r>
      <w:r>
        <w:t xml:space="preserve">immediately investigate and </w:t>
      </w:r>
      <w:r w:rsidR="00085277">
        <w:t xml:space="preserve">effectively </w:t>
      </w:r>
      <w:r>
        <w:t xml:space="preserve">mitigate the traffic identified in </w:t>
      </w:r>
      <w:r w:rsidR="001C40CA">
        <w:t xml:space="preserve">the </w:t>
      </w:r>
      <w:r>
        <w:t xml:space="preserve">letter, </w:t>
      </w:r>
      <w:r w:rsidR="001E3327">
        <w:t xml:space="preserve">(2) </w:t>
      </w:r>
      <w:r>
        <w:t>notify the Bureau and the Traceback Consortium</w:t>
      </w:r>
      <w:r w:rsidR="001E3327">
        <w:t>,</w:t>
      </w:r>
      <w:r>
        <w:t xml:space="preserve"> within 48 hours</w:t>
      </w:r>
      <w:r w:rsidR="001E3327">
        <w:t>,</w:t>
      </w:r>
      <w:r>
        <w:t xml:space="preserve"> of the steps taken to mitigate the identified traffic, and </w:t>
      </w:r>
      <w:r w:rsidR="001E3327">
        <w:t xml:space="preserve">(3) </w:t>
      </w:r>
      <w:r>
        <w:t>inform the Bureau and the Traceback Consortium</w:t>
      </w:r>
      <w:r w:rsidR="001E3327">
        <w:t>,</w:t>
      </w:r>
      <w:r>
        <w:t xml:space="preserve"> within 14 days</w:t>
      </w:r>
      <w:r w:rsidR="001E3327">
        <w:t>,</w:t>
      </w:r>
      <w:r>
        <w:t xml:space="preserve"> of the steps </w:t>
      </w:r>
      <w:r w:rsidR="00905198">
        <w:t xml:space="preserve">that </w:t>
      </w:r>
      <w:r w:rsidR="006A5D5A">
        <w:t>Urth Access</w:t>
      </w:r>
      <w:r w:rsidR="002465DB">
        <w:t xml:space="preserve"> </w:t>
      </w:r>
      <w:r w:rsidR="00905198">
        <w:t xml:space="preserve">has </w:t>
      </w:r>
      <w:r>
        <w:t xml:space="preserve">taken to prevent customers from using </w:t>
      </w:r>
      <w:r w:rsidR="006A5D5A">
        <w:t>its</w:t>
      </w:r>
      <w:r>
        <w:t xml:space="preserve"> network to transmit </w:t>
      </w:r>
      <w:r>
        <w:t>illegal robocalls.</w:t>
      </w:r>
      <w:r>
        <w:rPr>
          <w:rStyle w:val="FootnoteReference"/>
        </w:rPr>
        <w:footnoteReference w:id="6"/>
      </w:r>
      <w:r>
        <w:t xml:space="preserve">  If </w:t>
      </w:r>
      <w:r w:rsidR="002465DB">
        <w:t>Urth Access</w:t>
      </w:r>
      <w:r>
        <w:t xml:space="preserve"> fails to comply with the requirements set forth in the letters, it may be removed from the Robocall Mitigation Database, obligating all other providers to cease carrying</w:t>
      </w:r>
      <w:r w:rsidR="002465DB">
        <w:t xml:space="preserve"> all of its </w:t>
      </w:r>
      <w:r>
        <w:t>traffic.</w:t>
      </w:r>
      <w:r>
        <w:rPr>
          <w:rStyle w:val="FootnoteReference"/>
        </w:rPr>
        <w:footnoteReference w:id="7"/>
      </w:r>
    </w:p>
    <w:p w:rsidR="00986D14" w:rsidP="00986D14" w14:paraId="4FA0E46E" w14:textId="77777777">
      <w:pPr>
        <w:widowControl/>
        <w:spacing w:after="220"/>
      </w:pPr>
      <w:r w:rsidRPr="00F80DA2">
        <w:rPr>
          <w:i/>
          <w:iCs/>
        </w:rPr>
        <w:t>Purpose</w:t>
      </w:r>
      <w:r>
        <w:t xml:space="preserve">.  </w:t>
      </w:r>
      <w:r w:rsidR="00D847A3">
        <w:t xml:space="preserve">Protecting </w:t>
      </w:r>
      <w:r w:rsidR="007A313E">
        <w:t>individuals</w:t>
      </w:r>
      <w:r w:rsidR="001061E8">
        <w:t xml:space="preserve"> and entities</w:t>
      </w:r>
      <w:r w:rsidR="00D847A3">
        <w:t xml:space="preserve"> from the dangers of unwanted and illegal robocalls is the Commission’s top consumer protection priority.  As part of the Commission’s multi</w:t>
      </w:r>
      <w:r w:rsidR="003E2FDD">
        <w:t>-</w:t>
      </w:r>
      <w:r w:rsidR="00D847A3">
        <w:t>prong</w:t>
      </w:r>
      <w:r w:rsidR="003E2FDD">
        <w:t>ed</w:t>
      </w:r>
      <w:r w:rsidR="00D847A3">
        <w:t xml:space="preserve"> approach to combatting illegal robocalls, the Commission has</w:t>
      </w:r>
      <w:r w:rsidR="001B20B6">
        <w:t xml:space="preserve"> </w:t>
      </w:r>
      <w:r w:rsidR="00F97B7C">
        <w:t xml:space="preserve">taken steps to </w:t>
      </w:r>
      <w:r w:rsidR="0097012C">
        <w:rPr>
          <w:iCs/>
        </w:rPr>
        <w:t>encourage</w:t>
      </w:r>
      <w:r w:rsidRPr="00856B9F" w:rsidR="00F97B7C">
        <w:rPr>
          <w:i/>
        </w:rPr>
        <w:t xml:space="preserve"> </w:t>
      </w:r>
      <w:r w:rsidR="00F97B7C">
        <w:t>voice service providers to block suspected illegal robocalls.</w:t>
      </w:r>
      <w:r>
        <w:rPr>
          <w:rStyle w:val="FootnoteReference"/>
        </w:rPr>
        <w:footnoteReference w:id="8"/>
      </w:r>
      <w:r w:rsidR="00F97B7C">
        <w:t xml:space="preserve">  </w:t>
      </w:r>
      <w:r w:rsidR="001E3327">
        <w:t>T</w:t>
      </w:r>
      <w:r w:rsidR="00F97B7C">
        <w:t>he Commission permit</w:t>
      </w:r>
      <w:r w:rsidR="001E3327">
        <w:t>s</w:t>
      </w:r>
      <w:r w:rsidR="00F97B7C">
        <w:t xml:space="preserve"> voice service providers to block traffic from </w:t>
      </w:r>
      <w:r w:rsidR="00457A05">
        <w:t xml:space="preserve">other </w:t>
      </w:r>
      <w:r w:rsidR="00F97B7C">
        <w:t>voice service providers that</w:t>
      </w:r>
      <w:r w:rsidR="001E3327">
        <w:t xml:space="preserve"> the </w:t>
      </w:r>
      <w:r w:rsidR="008D2EB2">
        <w:t>Bureau</w:t>
      </w:r>
      <w:r w:rsidR="001E3327">
        <w:t xml:space="preserve"> has</w:t>
      </w:r>
      <w:r w:rsidR="00F97B7C">
        <w:t xml:space="preserve"> warned </w:t>
      </w:r>
      <w:r w:rsidR="001E3327">
        <w:t xml:space="preserve">are </w:t>
      </w:r>
      <w:r w:rsidR="00F97B7C">
        <w:t>transmitting suspected illegal robocalls.</w:t>
      </w:r>
      <w:r>
        <w:rPr>
          <w:rStyle w:val="FootnoteReference"/>
        </w:rPr>
        <w:footnoteReference w:id="9"/>
      </w:r>
      <w:r w:rsidR="00F97B7C">
        <w:t xml:space="preserve">  The Bureau has issued several “cease-and-desist” letters, warning voice providers that they were transmitting suspected illegal robocalls and could be subject to blocking.</w:t>
      </w:r>
      <w:r>
        <w:rPr>
          <w:rStyle w:val="FootnoteReference"/>
        </w:rPr>
        <w:footnoteReference w:id="10"/>
      </w:r>
    </w:p>
    <w:p w:rsidR="00DF3A5D" w:rsidP="00986D14" w14:paraId="7A0A6EDA" w14:textId="449CD4EA">
      <w:pPr>
        <w:widowControl/>
        <w:spacing w:after="220"/>
      </w:pPr>
      <w:r>
        <w:rPr>
          <w:i/>
          <w:iCs/>
        </w:rPr>
        <w:t>Nature of Apparently Unlawful Robocall Traffic.</w:t>
      </w:r>
      <w:r>
        <w:t xml:space="preserve"> </w:t>
      </w:r>
      <w:r w:rsidR="00D12C39">
        <w:t>The Department of Education has offered or extended forbearance on student loan repayments multiple times since March 20, 2020, in response to the COVID-19 pandemic; each time, telemarketers</w:t>
      </w:r>
      <w:r w:rsidR="002935ED">
        <w:t xml:space="preserve"> and scammers</w:t>
      </w:r>
      <w:r w:rsidR="00D12C39">
        <w:t xml:space="preserve"> have responded by flooding consumers with robocalls about student loans.</w:t>
      </w:r>
      <w:r>
        <w:rPr>
          <w:rStyle w:val="FootnoteReference"/>
        </w:rPr>
        <w:footnoteReference w:id="11"/>
      </w:r>
      <w:r w:rsidR="00D12C39">
        <w:t xml:space="preserve"> </w:t>
      </w:r>
      <w:r>
        <w:t xml:space="preserve"> </w:t>
      </w:r>
      <w:r w:rsidR="00264745">
        <w:t>On August 24, 2022, President Biden announced student loan forgiveness for millions of Americans and an extension of the loan forbearance period through December 31, 2022.</w:t>
      </w:r>
      <w:r>
        <w:rPr>
          <w:rStyle w:val="FootnoteReference"/>
        </w:rPr>
        <w:footnoteReference w:id="12"/>
      </w:r>
      <w:r w:rsidR="00264745">
        <w:t xml:space="preserve">  </w:t>
      </w:r>
      <w:r w:rsidR="00D12C39">
        <w:t xml:space="preserve">News reports and consumer complaints show that there has been an increase in </w:t>
      </w:r>
      <w:r w:rsidR="00AB58A7">
        <w:t>scams</w:t>
      </w:r>
      <w:r w:rsidR="00D12C39">
        <w:t xml:space="preserve"> regarding student loans since that announcement.</w:t>
      </w:r>
      <w:r>
        <w:rPr>
          <w:rStyle w:val="FootnoteReference"/>
        </w:rPr>
        <w:footnoteReference w:id="13"/>
      </w:r>
      <w:r w:rsidR="00001A8E">
        <w:t xml:space="preserve">  </w:t>
      </w:r>
      <w:r w:rsidRPr="000F34D5" w:rsidR="00001A8E">
        <w:t xml:space="preserve">Using data from </w:t>
      </w:r>
      <w:r w:rsidRPr="000F34D5" w:rsidR="00001A8E">
        <w:t>YouMail</w:t>
      </w:r>
      <w:r w:rsidRPr="000F34D5" w:rsidR="00001A8E">
        <w:t xml:space="preserve">, a call blocking application, the Bureau identified </w:t>
      </w:r>
      <w:r w:rsidR="004E08E7">
        <w:t xml:space="preserve">two </w:t>
      </w:r>
      <w:r w:rsidRPr="000F34D5" w:rsidR="00001A8E">
        <w:t xml:space="preserve">robocall campaigns representing </w:t>
      </w:r>
      <w:r w:rsidR="004E08E7">
        <w:t xml:space="preserve">approximately 40 </w:t>
      </w:r>
      <w:r w:rsidRPr="000F34D5" w:rsidR="00001A8E">
        <w:t>percent of all student loan</w:t>
      </w:r>
      <w:r w:rsidRPr="000F34D5" w:rsidR="00832CD6">
        <w:t>-related</w:t>
      </w:r>
      <w:r w:rsidRPr="000F34D5" w:rsidR="00001A8E">
        <w:t xml:space="preserve"> robocalls reaching </w:t>
      </w:r>
      <w:r w:rsidRPr="000F34D5" w:rsidR="00001A8E">
        <w:t>YouMail</w:t>
      </w:r>
      <w:r w:rsidRPr="000F34D5" w:rsidR="00001A8E">
        <w:t xml:space="preserve"> subscribers</w:t>
      </w:r>
      <w:r w:rsidRPr="000F34D5" w:rsidR="000F34D5">
        <w:t xml:space="preserve"> in October 2022</w:t>
      </w:r>
      <w:r w:rsidRPr="000F34D5" w:rsidR="00001A8E">
        <w:t>.</w:t>
      </w:r>
      <w:r w:rsidR="00264745">
        <w:t xml:space="preserve"> </w:t>
      </w:r>
      <w:r w:rsidRPr="009A4380">
        <w:t xml:space="preserve"> </w:t>
      </w:r>
      <w:r w:rsidR="004E08E7">
        <w:t>Nearly all</w:t>
      </w:r>
      <w:r>
        <w:t xml:space="preserve"> of these robocalls appear to be originating from Urth Access.</w:t>
      </w:r>
      <w:r>
        <w:rPr>
          <w:rStyle w:val="FootnoteReference"/>
        </w:rPr>
        <w:footnoteReference w:id="14"/>
      </w:r>
    </w:p>
    <w:p w:rsidR="00B03D49" w:rsidRPr="00FD23C5" w:rsidP="00B61C6B" w14:paraId="2241EADC" w14:textId="7B408705">
      <w:pPr>
        <w:pStyle w:val="ParaNum"/>
        <w:widowControl/>
        <w:numPr>
          <w:ilvl w:val="0"/>
          <w:numId w:val="0"/>
        </w:numPr>
      </w:pPr>
      <w:r w:rsidRPr="009A4380">
        <w:rPr>
          <w:szCs w:val="22"/>
        </w:rPr>
        <w:t xml:space="preserve">The robocalls </w:t>
      </w:r>
      <w:r w:rsidRPr="009A4380">
        <w:t>include</w:t>
      </w:r>
      <w:r w:rsidRPr="009A4380">
        <w:rPr>
          <w:szCs w:val="22"/>
        </w:rPr>
        <w:t xml:space="preserve"> prerecorded messages</w:t>
      </w:r>
      <w:r>
        <w:rPr>
          <w:szCs w:val="22"/>
        </w:rPr>
        <w:t xml:space="preserve"> </w:t>
      </w:r>
      <w:r w:rsidR="00847591">
        <w:rPr>
          <w:szCs w:val="22"/>
        </w:rPr>
        <w:t xml:space="preserve">purporting to </w:t>
      </w:r>
      <w:r w:rsidR="00DF3A5D">
        <w:rPr>
          <w:szCs w:val="22"/>
        </w:rPr>
        <w:t>offer student loan assistance</w:t>
      </w:r>
      <w:r w:rsidR="00832CD6">
        <w:rPr>
          <w:szCs w:val="22"/>
        </w:rPr>
        <w:t>,</w:t>
      </w:r>
      <w:r w:rsidR="00790AC9">
        <w:rPr>
          <w:szCs w:val="22"/>
        </w:rPr>
        <w:t xml:space="preserve"> including loan forgiveness</w:t>
      </w:r>
      <w:r>
        <w:rPr>
          <w:szCs w:val="22"/>
        </w:rPr>
        <w:t xml:space="preserve">.  </w:t>
      </w:r>
      <w:r w:rsidR="00790AC9">
        <w:rPr>
          <w:szCs w:val="22"/>
        </w:rPr>
        <w:t xml:space="preserve">Many of them reference </w:t>
      </w:r>
      <w:r w:rsidR="00D12C39">
        <w:rPr>
          <w:szCs w:val="22"/>
        </w:rPr>
        <w:t>an entity</w:t>
      </w:r>
      <w:r w:rsidR="008D2EB2">
        <w:rPr>
          <w:szCs w:val="22"/>
        </w:rPr>
        <w:t xml:space="preserve"> </w:t>
      </w:r>
      <w:r w:rsidR="00790AC9">
        <w:rPr>
          <w:szCs w:val="22"/>
        </w:rPr>
        <w:t>such as the “Student Loan Center.”</w:t>
      </w:r>
      <w:r>
        <w:rPr>
          <w:rStyle w:val="FootnoteReference"/>
          <w:szCs w:val="22"/>
        </w:rPr>
        <w:footnoteReference w:id="15"/>
      </w:r>
      <w:r w:rsidRPr="009A4380">
        <w:t xml:space="preserve">  </w:t>
      </w:r>
      <w:r>
        <w:t>For example, s</w:t>
      </w:r>
      <w:r w:rsidRPr="009A4380">
        <w:rPr>
          <w:szCs w:val="22"/>
        </w:rPr>
        <w:t xml:space="preserve">ome of the </w:t>
      </w:r>
      <w:r>
        <w:rPr>
          <w:szCs w:val="22"/>
        </w:rPr>
        <w:t>robo</w:t>
      </w:r>
      <w:r w:rsidRPr="009A4380">
        <w:rPr>
          <w:szCs w:val="22"/>
        </w:rPr>
        <w:t xml:space="preserve">calls contained the following message: </w:t>
      </w:r>
    </w:p>
    <w:p w:rsidR="00B03D49" w:rsidP="00790AC9" w14:paraId="55DBBA49" w14:textId="73932943">
      <w:pPr>
        <w:pStyle w:val="ParaNum"/>
        <w:widowControl/>
        <w:numPr>
          <w:ilvl w:val="0"/>
          <w:numId w:val="0"/>
        </w:numPr>
        <w:ind w:left="720" w:right="720"/>
      </w:pPr>
      <w:r w:rsidRPr="00790AC9">
        <w:rPr>
          <w:szCs w:val="22"/>
        </w:rPr>
        <w:t>Hello this is to inform you that the Student Loan payment suspension has been extended to December 31 of this year. Also, everyone is now going to get $10,000 dismissed upon income verification. If you do not verify your income, on January 1, your payments will start back up automatically. To receive the full dismissal, not just the $10,000 dismissal, a petition will be filed in your behalf so that your loan payments do not begin on January 1. If you</w:t>
      </w:r>
      <w:r w:rsidR="00A261F7">
        <w:rPr>
          <w:szCs w:val="22"/>
        </w:rPr>
        <w:t>’</w:t>
      </w:r>
      <w:r w:rsidRPr="00790AC9">
        <w:rPr>
          <w:szCs w:val="22"/>
        </w:rPr>
        <w:t>re being serviced by Nelnet, Navient, Fed loans or Great Lakes, please press 5 on your phone now. If your servic</w:t>
      </w:r>
      <w:r w:rsidR="007B64EF">
        <w:rPr>
          <w:szCs w:val="22"/>
        </w:rPr>
        <w:t xml:space="preserve">er </w:t>
      </w:r>
      <w:r w:rsidRPr="00790AC9">
        <w:rPr>
          <w:szCs w:val="22"/>
        </w:rPr>
        <w:t>was not listed, you can also receive a dismissal by pressing 5. If you have verified your income and received your partial or full dismissal already, please press 9 to stop your notifications. Thank you</w:t>
      </w:r>
      <w:r w:rsidRPr="009A4380">
        <w:rPr>
          <w:szCs w:val="22"/>
        </w:rPr>
        <w:t>.</w:t>
      </w:r>
      <w:r>
        <w:rPr>
          <w:rStyle w:val="FootnoteReference"/>
          <w:szCs w:val="22"/>
        </w:rPr>
        <w:footnoteReference w:id="16"/>
      </w:r>
      <w:r w:rsidRPr="009A4380">
        <w:t xml:space="preserve">  </w:t>
      </w:r>
    </w:p>
    <w:p w:rsidR="003F45A7" w:rsidP="00B61C6B" w14:paraId="5D5421C3" w14:textId="6C544C4F">
      <w:pPr>
        <w:pStyle w:val="ParaNum"/>
        <w:widowControl/>
        <w:numPr>
          <w:ilvl w:val="0"/>
          <w:numId w:val="0"/>
        </w:numPr>
      </w:pPr>
      <w:r>
        <w:rPr>
          <w:i/>
          <w:szCs w:val="22"/>
        </w:rPr>
        <w:t>Urth Access Apparently Lacked the Requisite Consent.</w:t>
      </w:r>
      <w:r w:rsidR="00AB58A7">
        <w:rPr>
          <w:i/>
          <w:szCs w:val="22"/>
        </w:rPr>
        <w:t xml:space="preserve">  </w:t>
      </w:r>
      <w:r w:rsidR="00AB58A7">
        <w:rPr>
          <w:szCs w:val="22"/>
        </w:rPr>
        <w:t xml:space="preserve">Urth Access’s student loan robocalls </w:t>
      </w:r>
      <w:r w:rsidRPr="00DF3A5D" w:rsidR="00EB65D5">
        <w:rPr>
          <w:szCs w:val="22"/>
        </w:rPr>
        <w:t>appear to violate the Telephone Consumer Protection Act of 1991</w:t>
      </w:r>
      <w:r w:rsidR="00EB65D5">
        <w:rPr>
          <w:szCs w:val="22"/>
        </w:rPr>
        <w:t xml:space="preserve"> (TCPA) </w:t>
      </w:r>
      <w:r w:rsidRPr="00DF3A5D" w:rsidR="00EB65D5">
        <w:rPr>
          <w:szCs w:val="22"/>
        </w:rPr>
        <w:t>codified in section 227 of the Communications Act.</w:t>
      </w:r>
      <w:r>
        <w:rPr>
          <w:rStyle w:val="FootnoteReference"/>
          <w:szCs w:val="22"/>
        </w:rPr>
        <w:footnoteReference w:id="17"/>
      </w:r>
      <w:r w:rsidRPr="00DF3A5D" w:rsidR="00EB65D5">
        <w:rPr>
          <w:szCs w:val="22"/>
        </w:rPr>
        <w:t xml:space="preserve">  </w:t>
      </w:r>
      <w:r w:rsidR="009F1217">
        <w:t>Urth Access</w:t>
      </w:r>
      <w:r w:rsidR="002A4321">
        <w:t xml:space="preserve"> </w:t>
      </w:r>
      <w:r w:rsidR="00832CD6">
        <w:t>claimed</w:t>
      </w:r>
      <w:r w:rsidR="00AB58A7">
        <w:t xml:space="preserve"> to the Traceback Consortium</w:t>
      </w:r>
      <w:r w:rsidR="00832CD6">
        <w:t xml:space="preserve"> </w:t>
      </w:r>
      <w:r w:rsidR="002A4321">
        <w:t>that its customer</w:t>
      </w:r>
      <w:r w:rsidR="00A4165F">
        <w:t>s</w:t>
      </w:r>
      <w:r w:rsidR="002A4321">
        <w:t xml:space="preserve"> had</w:t>
      </w:r>
      <w:r w:rsidR="00832CD6">
        <w:t xml:space="preserve"> obtained</w:t>
      </w:r>
      <w:r w:rsidR="002A4321">
        <w:t xml:space="preserve"> </w:t>
      </w:r>
      <w:r w:rsidR="00D12C39">
        <w:t xml:space="preserve">called parties’ </w:t>
      </w:r>
      <w:r w:rsidR="002A4321">
        <w:t>consent</w:t>
      </w:r>
      <w:r w:rsidR="00832CD6">
        <w:t xml:space="preserve"> </w:t>
      </w:r>
      <w:r w:rsidR="002A4321">
        <w:t>for the robocalls.</w:t>
      </w:r>
      <w:r>
        <w:rPr>
          <w:rStyle w:val="FootnoteReference"/>
        </w:rPr>
        <w:footnoteReference w:id="18"/>
      </w:r>
      <w:r w:rsidR="002A4321">
        <w:t xml:space="preserve">  </w:t>
      </w:r>
      <w:r w:rsidR="00832CD6">
        <w:t xml:space="preserve">Urth Access </w:t>
      </w:r>
      <w:r>
        <w:t>provided the Traceback Consortium</w:t>
      </w:r>
      <w:r w:rsidR="009F1217">
        <w:t xml:space="preserve"> </w:t>
      </w:r>
      <w:r w:rsidR="009F1217">
        <w:t>“consent log</w:t>
      </w:r>
      <w:r w:rsidR="009A56B3">
        <w:t>s</w:t>
      </w:r>
      <w:r w:rsidR="009F1217">
        <w:t xml:space="preserve">” </w:t>
      </w:r>
      <w:r w:rsidR="0073318D">
        <w:t xml:space="preserve">that included </w:t>
      </w:r>
      <w:r w:rsidR="00D86972">
        <w:t>website</w:t>
      </w:r>
      <w:r w:rsidR="009A56B3">
        <w:t xml:space="preserve"> addresses</w:t>
      </w:r>
      <w:r w:rsidR="009F1217">
        <w:t xml:space="preserve"> </w:t>
      </w:r>
      <w:r w:rsidR="00D12C39">
        <w:t xml:space="preserve">that </w:t>
      </w:r>
      <w:r w:rsidR="009F1217">
        <w:t xml:space="preserve">allegedly captured the </w:t>
      </w:r>
      <w:r w:rsidR="00AB58A7">
        <w:t xml:space="preserve">called party’s </w:t>
      </w:r>
      <w:r w:rsidRPr="00AB58A7" w:rsidR="009F1217">
        <w:t>consent</w:t>
      </w:r>
      <w:r w:rsidR="002A4321">
        <w:t>.</w:t>
      </w:r>
      <w:r>
        <w:rPr>
          <w:rStyle w:val="FootnoteReference"/>
        </w:rPr>
        <w:footnoteReference w:id="19"/>
      </w:r>
      <w:r>
        <w:t xml:space="preserve"> </w:t>
      </w:r>
      <w:r w:rsidR="002A4321">
        <w:t xml:space="preserve"> </w:t>
      </w:r>
      <w:r w:rsidR="009F1217">
        <w:t>Examples include</w:t>
      </w:r>
      <w:r w:rsidR="009A56B3">
        <w:t>d</w:t>
      </w:r>
      <w:r w:rsidR="009F1217">
        <w:t xml:space="preserve"> </w:t>
      </w:r>
      <w:r w:rsidR="00A261F7">
        <w:t>“</w:t>
      </w:r>
      <w:r w:rsidR="009F1217">
        <w:t>healthinsnow.org,</w:t>
      </w:r>
      <w:r w:rsidR="00A261F7">
        <w:t>”</w:t>
      </w:r>
      <w:r w:rsidR="009F1217">
        <w:t xml:space="preserve"> </w:t>
      </w:r>
      <w:r w:rsidR="00A261F7">
        <w:t>“</w:t>
      </w:r>
      <w:r w:rsidR="009F1217">
        <w:t>gohealth.healthcare</w:t>
      </w:r>
      <w:r w:rsidR="009F1217">
        <w:t>,</w:t>
      </w:r>
      <w:r w:rsidR="00A261F7">
        <w:t>”</w:t>
      </w:r>
      <w:r w:rsidR="009F1217">
        <w:t xml:space="preserve"> and </w:t>
      </w:r>
      <w:r w:rsidR="00A261F7">
        <w:t>“</w:t>
      </w:r>
      <w:r w:rsidR="009F1217">
        <w:t>healthme.live</w:t>
      </w:r>
      <w:r w:rsidR="009F1217">
        <w:t>.</w:t>
      </w:r>
      <w:r w:rsidR="00A261F7">
        <w:t>”</w:t>
      </w:r>
      <w:r w:rsidR="009F1217">
        <w:t xml:space="preserve"> </w:t>
      </w:r>
      <w:r w:rsidR="00816FE0">
        <w:t xml:space="preserve"> </w:t>
      </w:r>
      <w:r w:rsidR="00F8168C">
        <w:t xml:space="preserve">None of these websites </w:t>
      </w:r>
      <w:r w:rsidR="00816FE0">
        <w:t>appear to have</w:t>
      </w:r>
      <w:r w:rsidR="00F8168C">
        <w:t xml:space="preserve"> any connection with student loan</w:t>
      </w:r>
      <w:r w:rsidR="00816FE0">
        <w:t xml:space="preserve"> assistance</w:t>
      </w:r>
      <w:r w:rsidR="00F8168C">
        <w:t>.</w:t>
      </w:r>
      <w:r w:rsidR="0024670C">
        <w:t xml:space="preserve"> </w:t>
      </w:r>
      <w:r w:rsidR="00D564B0">
        <w:t xml:space="preserve"> </w:t>
      </w:r>
      <w:r w:rsidR="0073318D">
        <w:t xml:space="preserve">Instead, </w:t>
      </w:r>
      <w:r w:rsidR="00212C73">
        <w:t>all</w:t>
      </w:r>
      <w:r w:rsidR="0073318D">
        <w:t xml:space="preserve"> relate to health insurance or health care services.</w:t>
      </w:r>
      <w:r w:rsidR="004E08E7">
        <w:t xml:space="preserve">  Urth Access apparently knew that these </w:t>
      </w:r>
      <w:r w:rsidR="00A261F7">
        <w:t xml:space="preserve">student loan </w:t>
      </w:r>
      <w:r w:rsidR="004E08E7">
        <w:t xml:space="preserve">robocalls </w:t>
      </w:r>
      <w:r w:rsidR="00A261F7">
        <w:t>were not</w:t>
      </w:r>
      <w:r w:rsidR="004E08E7">
        <w:t xml:space="preserve"> relate</w:t>
      </w:r>
      <w:r w:rsidR="00A261F7">
        <w:t>d</w:t>
      </w:r>
      <w:r w:rsidR="004E08E7">
        <w:t xml:space="preserve"> to health insurance.</w:t>
      </w:r>
      <w:r>
        <w:rPr>
          <w:rStyle w:val="FootnoteReference"/>
        </w:rPr>
        <w:footnoteReference w:id="20"/>
      </w:r>
    </w:p>
    <w:p w:rsidR="00B03D49" w:rsidP="00B61C6B" w14:paraId="69865D7B" w14:textId="3436A63E">
      <w:pPr>
        <w:pStyle w:val="ParaNum"/>
        <w:widowControl/>
        <w:numPr>
          <w:ilvl w:val="0"/>
          <w:numId w:val="0"/>
        </w:numPr>
      </w:pPr>
      <w:r>
        <w:t xml:space="preserve">In </w:t>
      </w:r>
      <w:r w:rsidR="00FD54FA">
        <w:t>addition,</w:t>
      </w:r>
      <w:r w:rsidR="00F40925">
        <w:t xml:space="preserve"> the</w:t>
      </w:r>
      <w:r w:rsidR="009A56B3">
        <w:t xml:space="preserve"> consent logs </w:t>
      </w:r>
      <w:r w:rsidR="00F40925">
        <w:t>apparently fail to</w:t>
      </w:r>
      <w:r w:rsidR="00847591">
        <w:t xml:space="preserve"> provide adequate disclosure that would constitute consent.  For example, for telemarketing calls, the Commission requires the caller to</w:t>
      </w:r>
      <w:r w:rsidR="00F40925">
        <w:t xml:space="preserve"> </w:t>
      </w:r>
      <w:r w:rsidR="00F2766E">
        <w:t>provide</w:t>
      </w:r>
      <w:r w:rsidR="00D132A2">
        <w:t xml:space="preserve"> </w:t>
      </w:r>
      <w:r w:rsidR="009A56B3">
        <w:t>“clear and conspicuous</w:t>
      </w:r>
      <w:r w:rsidR="00D132A2">
        <w:t xml:space="preserve"> disclosure</w:t>
      </w:r>
      <w:r w:rsidR="009A56B3">
        <w:t>”</w:t>
      </w:r>
      <w:r w:rsidR="00D132A2">
        <w:t xml:space="preserve"> when obtaining prior </w:t>
      </w:r>
      <w:r w:rsidR="00F2766E">
        <w:t>express written</w:t>
      </w:r>
      <w:r w:rsidR="009A56B3">
        <w:t xml:space="preserve"> consent.</w:t>
      </w:r>
      <w:r>
        <w:rPr>
          <w:rStyle w:val="FootnoteReference"/>
        </w:rPr>
        <w:footnoteReference w:id="21"/>
      </w:r>
      <w:r w:rsidR="009A56B3">
        <w:t xml:space="preserve">  </w:t>
      </w:r>
      <w:r w:rsidR="00F40925">
        <w:t>T</w:t>
      </w:r>
      <w:r w:rsidR="009F1217">
        <w:t>he websites included TCP</w:t>
      </w:r>
      <w:r w:rsidR="009A56B3">
        <w:t>A</w:t>
      </w:r>
      <w:r w:rsidR="009F1217">
        <w:t xml:space="preserve"> consent disclosures whereby the consumer agreed to receive </w:t>
      </w:r>
      <w:r w:rsidR="00ED7EFB">
        <w:t>robocalls from “marketing partners</w:t>
      </w:r>
      <w:r w:rsidR="00F40925">
        <w:t>.</w:t>
      </w:r>
      <w:r w:rsidR="00ED7EFB">
        <w:t>”</w:t>
      </w:r>
      <w:r w:rsidR="00F40925">
        <w:t xml:space="preserve">  The consumer had to click on the</w:t>
      </w:r>
      <w:r w:rsidR="00ED7EFB">
        <w:t xml:space="preserve"> hyperlink</w:t>
      </w:r>
      <w:r w:rsidR="00F40925">
        <w:t xml:space="preserve"> associated with “marketing partners.”  Th</w:t>
      </w:r>
      <w:r w:rsidR="00E878E8">
        <w:t>e list of “marketing partners”</w:t>
      </w:r>
      <w:r w:rsidR="00711E1B">
        <w:t xml:space="preserve"> on that</w:t>
      </w:r>
      <w:r w:rsidR="00ED7EFB">
        <w:t xml:space="preserve"> second website contained the names of 5,329 entities.</w:t>
      </w:r>
      <w:r>
        <w:rPr>
          <w:rStyle w:val="FootnoteReference"/>
        </w:rPr>
        <w:footnoteReference w:id="22"/>
      </w:r>
      <w:r w:rsidR="005004BD">
        <w:t xml:space="preserve">  We find that </w:t>
      </w:r>
      <w:r w:rsidR="00847591">
        <w:t>listing more than</w:t>
      </w:r>
      <w:r w:rsidR="005004BD">
        <w:t xml:space="preserve"> 5,000 “marketing partners” on a secondary website is not </w:t>
      </w:r>
      <w:r w:rsidR="00847591">
        <w:t>sufficient to demonstrate that the called parties consented to the calls.</w:t>
      </w:r>
      <w:r w:rsidR="00ED7EFB">
        <w:t xml:space="preserve">  </w:t>
      </w:r>
      <w:r w:rsidR="00166371">
        <w:t>Consequently, b</w:t>
      </w:r>
      <w:r w:rsidR="005F3FB1">
        <w:t>ecause</w:t>
      </w:r>
      <w:r w:rsidR="00166371">
        <w:t>:</w:t>
      </w:r>
      <w:r w:rsidR="00C83E4E">
        <w:t xml:space="preserve"> (1) the websites that Urth Access has thus far referenced do not seek or obtain consent to receive robocalls about student loans</w:t>
      </w:r>
      <w:r w:rsidR="00166371">
        <w:t>;</w:t>
      </w:r>
      <w:r w:rsidR="00C83E4E">
        <w:t xml:space="preserve"> (2) the consent was accessible only if the consumer clicked on a hyperlink and reviewed a second webpage</w:t>
      </w:r>
      <w:r w:rsidR="00166371">
        <w:t>;</w:t>
      </w:r>
      <w:r w:rsidR="00C83E4E">
        <w:t xml:space="preserve"> and (3) the second</w:t>
      </w:r>
      <w:r w:rsidR="0037618A">
        <w:t xml:space="preserve"> webpage </w:t>
      </w:r>
      <w:r w:rsidR="00C83E4E">
        <w:t xml:space="preserve">listed </w:t>
      </w:r>
      <w:r w:rsidR="0037618A">
        <w:t>5,329</w:t>
      </w:r>
      <w:r w:rsidR="007D2F79">
        <w:t xml:space="preserve"> </w:t>
      </w:r>
      <w:r w:rsidR="007F73AF">
        <w:t>ostensible “marketing partners</w:t>
      </w:r>
      <w:r w:rsidR="00166371">
        <w:t>,</w:t>
      </w:r>
      <w:r w:rsidR="007F73AF">
        <w:t xml:space="preserve">” </w:t>
      </w:r>
      <w:r w:rsidR="00060D40">
        <w:t>we</w:t>
      </w:r>
      <w:r w:rsidR="00C83E4E">
        <w:t xml:space="preserve"> conclude</w:t>
      </w:r>
      <w:r w:rsidR="003F45A7">
        <w:t xml:space="preserve"> that Urth Access</w:t>
      </w:r>
      <w:r w:rsidR="005F3FB1">
        <w:t xml:space="preserve"> and it</w:t>
      </w:r>
      <w:r w:rsidR="00166371">
        <w:t>s</w:t>
      </w:r>
      <w:r w:rsidR="00664B5C">
        <w:t xml:space="preserve"> customers</w:t>
      </w:r>
      <w:r w:rsidR="00C83E4E">
        <w:t xml:space="preserve"> apparently lacked consent for the </w:t>
      </w:r>
      <w:r w:rsidR="003F45A7">
        <w:t>calls.</w:t>
      </w:r>
      <w:r>
        <w:rPr>
          <w:rStyle w:val="FootnoteReference"/>
        </w:rPr>
        <w:footnoteReference w:id="23"/>
      </w:r>
    </w:p>
    <w:p w:rsidR="003D68C4" w:rsidP="00B61C6B" w14:paraId="6DCD0C52" w14:textId="4D7B7EDA">
      <w:pPr>
        <w:widowControl/>
        <w:spacing w:after="220"/>
      </w:pPr>
      <w:bookmarkStart w:id="3" w:name="_Hlk90543882"/>
      <w:r>
        <w:rPr>
          <w:i/>
          <w:iCs/>
        </w:rPr>
        <w:t>Follow-Up Order.</w:t>
      </w:r>
      <w:r>
        <w:t xml:space="preserve">  </w:t>
      </w:r>
      <w:r w:rsidR="00B000AE">
        <w:t>In the event that</w:t>
      </w:r>
      <w:r w:rsidRPr="00F5668B" w:rsidR="00CB562F">
        <w:t xml:space="preserve"> the </w:t>
      </w:r>
      <w:r w:rsidR="00B000AE">
        <w:t>Originating Provider</w:t>
      </w:r>
      <w:r w:rsidRPr="00F5668B" w:rsidR="00CB562F">
        <w:t xml:space="preserve"> </w:t>
      </w:r>
      <w:r w:rsidRPr="00F5668B" w:rsidR="006D4454">
        <w:t>fail</w:t>
      </w:r>
      <w:r w:rsidR="00C83E4E">
        <w:t>s</w:t>
      </w:r>
      <w:r w:rsidRPr="00F5668B" w:rsidR="006D4454">
        <w:t xml:space="preserve"> to </w:t>
      </w:r>
      <w:r w:rsidRPr="00F5668B" w:rsidR="00CB562F">
        <w:t>comply with the</w:t>
      </w:r>
      <w:r w:rsidRPr="00F5668B" w:rsidR="00F513C8">
        <w:t xml:space="preserve"> requirements laid out in the relevant cease-and-desist letter</w:t>
      </w:r>
      <w:r w:rsidRPr="00F5668B" w:rsidR="006D4454">
        <w:t>,</w:t>
      </w:r>
      <w:r w:rsidRPr="00F5668B" w:rsidR="00F513C8">
        <w:t xml:space="preserve"> the Bureau will issue a follow-up</w:t>
      </w:r>
      <w:r w:rsidRPr="00F5668B" w:rsidR="006F514A">
        <w:t xml:space="preserve"> </w:t>
      </w:r>
      <w:r w:rsidR="00957A2E">
        <w:rPr>
          <w:i/>
          <w:iCs/>
        </w:rPr>
        <w:t>Order</w:t>
      </w:r>
      <w:r w:rsidRPr="00F5668B" w:rsidR="00957A2E">
        <w:t xml:space="preserve"> </w:t>
      </w:r>
      <w:r w:rsidRPr="00F5668B" w:rsidR="006F514A">
        <w:t xml:space="preserve">to all </w:t>
      </w:r>
      <w:r w:rsidR="00572C32">
        <w:t>U.S</w:t>
      </w:r>
      <w:r w:rsidR="001061E8">
        <w:t>.</w:t>
      </w:r>
      <w:r w:rsidRPr="00F5668B" w:rsidR="006F514A">
        <w:t xml:space="preserve">-based </w:t>
      </w:r>
      <w:r w:rsidRPr="00F5668B" w:rsidR="006D4454">
        <w:t>voice service providers</w:t>
      </w:r>
      <w:r w:rsidRPr="00F5668B" w:rsidR="006F514A">
        <w:t xml:space="preserve"> </w:t>
      </w:r>
      <w:r w:rsidR="00957A2E">
        <w:t>notifying</w:t>
      </w:r>
      <w:r w:rsidRPr="00F5668B" w:rsidR="00957A2E">
        <w:t xml:space="preserve"> </w:t>
      </w:r>
      <w:r w:rsidRPr="00F5668B" w:rsidR="006F514A">
        <w:t>them of this fact.</w:t>
      </w:r>
      <w:r w:rsidR="006F514A">
        <w:t xml:space="preserve">  </w:t>
      </w:r>
      <w:r w:rsidRPr="00010DA5" w:rsidR="006F514A">
        <w:rPr>
          <w:b/>
          <w:bCs/>
        </w:rPr>
        <w:t xml:space="preserve">In the event that </w:t>
      </w:r>
      <w:r w:rsidRPr="00010DA5" w:rsidR="00497E2A">
        <w:rPr>
          <w:b/>
          <w:bCs/>
        </w:rPr>
        <w:t xml:space="preserve">a follow-up </w:t>
      </w:r>
      <w:r w:rsidR="00FD0EAC">
        <w:rPr>
          <w:b/>
          <w:bCs/>
          <w:i/>
          <w:iCs/>
        </w:rPr>
        <w:t>Order</w:t>
      </w:r>
      <w:r w:rsidRPr="00010DA5" w:rsidR="00FD0EAC">
        <w:rPr>
          <w:b/>
          <w:bCs/>
        </w:rPr>
        <w:t xml:space="preserve"> </w:t>
      </w:r>
      <w:r w:rsidRPr="00010DA5" w:rsidR="00497E2A">
        <w:rPr>
          <w:b/>
          <w:bCs/>
        </w:rPr>
        <w:t xml:space="preserve">is issued by the Bureau in this matter, </w:t>
      </w:r>
      <w:r w:rsidR="00B000AE">
        <w:rPr>
          <w:b/>
          <w:bCs/>
        </w:rPr>
        <w:t xml:space="preserve">pursuant to section 64.1200(n)(2) of the Commission’s Rules, </w:t>
      </w:r>
      <w:r w:rsidRPr="00010DA5" w:rsidR="00497E2A">
        <w:rPr>
          <w:b/>
          <w:bCs/>
        </w:rPr>
        <w:t xml:space="preserve">all </w:t>
      </w:r>
      <w:r w:rsidR="00572C32">
        <w:rPr>
          <w:b/>
          <w:bCs/>
        </w:rPr>
        <w:t>U.S</w:t>
      </w:r>
      <w:r w:rsidR="001061E8">
        <w:rPr>
          <w:b/>
          <w:bCs/>
        </w:rPr>
        <w:t>.</w:t>
      </w:r>
      <w:r w:rsidRPr="00010DA5" w:rsidR="00497E2A">
        <w:rPr>
          <w:b/>
          <w:bCs/>
        </w:rPr>
        <w:t xml:space="preserve">-based voice service providers </w:t>
      </w:r>
      <w:r w:rsidR="00B000AE">
        <w:rPr>
          <w:b/>
          <w:bCs/>
        </w:rPr>
        <w:t>shall be required to “[t]</w:t>
      </w:r>
      <w:bookmarkStart w:id="4" w:name="_Hlk117776174"/>
      <w:r w:rsidRPr="00B000AE" w:rsidR="00B000AE">
        <w:rPr>
          <w:b/>
          <w:bCs/>
        </w:rPr>
        <w:t>ake</w:t>
      </w:r>
      <w:r w:rsidRPr="00B000AE" w:rsidR="00B000AE">
        <w:rPr>
          <w:b/>
          <w:bCs/>
        </w:rPr>
        <w:t xml:space="preserve"> steps to effectively mitigate illegal traffic</w:t>
      </w:r>
      <w:bookmarkEnd w:id="4"/>
      <w:r w:rsidR="00B000AE">
        <w:rPr>
          <w:b/>
          <w:bCs/>
        </w:rPr>
        <w:t>,” including investigating and taking steps</w:t>
      </w:r>
      <w:r w:rsidR="008744EE">
        <w:rPr>
          <w:b/>
          <w:bCs/>
        </w:rPr>
        <w:t xml:space="preserve">—up </w:t>
      </w:r>
      <w:r w:rsidR="00301B90">
        <w:rPr>
          <w:b/>
          <w:bCs/>
        </w:rPr>
        <w:t>to and including blocking</w:t>
      </w:r>
      <w:r w:rsidR="00047274">
        <w:rPr>
          <w:b/>
          <w:bCs/>
        </w:rPr>
        <w:t>, if necessary</w:t>
      </w:r>
      <w:r w:rsidR="00301B90">
        <w:rPr>
          <w:b/>
          <w:bCs/>
        </w:rPr>
        <w:t>—to</w:t>
      </w:r>
      <w:r w:rsidR="00B000AE">
        <w:rPr>
          <w:b/>
          <w:bCs/>
        </w:rPr>
        <w:t xml:space="preserve"> </w:t>
      </w:r>
      <w:r w:rsidR="00A7215B">
        <w:rPr>
          <w:b/>
          <w:bCs/>
        </w:rPr>
        <w:t xml:space="preserve">prevent </w:t>
      </w:r>
      <w:r w:rsidR="009F3565">
        <w:rPr>
          <w:b/>
          <w:bCs/>
        </w:rPr>
        <w:t>the source of the illegal traffic from continuing to</w:t>
      </w:r>
      <w:r w:rsidR="008744EE">
        <w:rPr>
          <w:b/>
          <w:bCs/>
        </w:rPr>
        <w:t xml:space="preserve"> originate such traffic</w:t>
      </w:r>
      <w:r w:rsidRPr="00B1730F" w:rsidR="00B000AE">
        <w:rPr>
          <w:b/>
          <w:bCs/>
        </w:rPr>
        <w:t>.</w:t>
      </w:r>
      <w:bookmarkEnd w:id="0"/>
      <w:bookmarkEnd w:id="3"/>
      <w:r>
        <w:rPr>
          <w:rStyle w:val="FootnoteReference"/>
          <w:b/>
          <w:bCs/>
        </w:rPr>
        <w:footnoteReference w:id="24"/>
      </w:r>
    </w:p>
    <w:p w:rsidR="00F80DA2" w:rsidP="00040A2A" w14:paraId="6F927A4D" w14:textId="598EA849">
      <w:pPr>
        <w:keepNext/>
        <w:widowControl/>
        <w:spacing w:after="220"/>
      </w:pPr>
      <w:r w:rsidRPr="00F80DA2">
        <w:rPr>
          <w:i/>
          <w:iCs/>
        </w:rPr>
        <w:t>Contact Information</w:t>
      </w:r>
      <w:r w:rsidRPr="00F80DA2">
        <w:t>. For further information, please contact</w:t>
      </w:r>
      <w:r>
        <w:t xml:space="preserve"> Kristi Thompson, </w:t>
      </w:r>
      <w:r w:rsidR="00EB72A6">
        <w:t xml:space="preserve">Division Chief, </w:t>
      </w:r>
      <w:r>
        <w:t>Enforcement Bureau,</w:t>
      </w:r>
      <w:r w:rsidR="007C4BE1">
        <w:t xml:space="preserve"> Telecommunications Consumers Division, at 202-418-1318 or by email at </w:t>
      </w:r>
      <w:hyperlink r:id="rId5" w:history="1">
        <w:r w:rsidRPr="00536A47" w:rsidR="007C4BE1">
          <w:rPr>
            <w:rStyle w:val="Hyperlink"/>
          </w:rPr>
          <w:t>Kristi.Thompson@fcc.gov</w:t>
        </w:r>
      </w:hyperlink>
      <w:r w:rsidR="00EB72A6">
        <w:t xml:space="preserve">; Lisa Zaina, Asst. Chief, Enforcement Bureau, Telecommunications Consumers Division, at </w:t>
      </w:r>
      <w:r w:rsidR="00B4528B">
        <w:t xml:space="preserve">202-418-2803 or by email at </w:t>
      </w:r>
      <w:hyperlink r:id="rId6" w:history="1">
        <w:r w:rsidRPr="00536A47" w:rsidR="00B4528B">
          <w:rPr>
            <w:rStyle w:val="Hyperlink"/>
          </w:rPr>
          <w:t>Lisa.Zaina@fcc.gov</w:t>
        </w:r>
      </w:hyperlink>
      <w:r w:rsidR="00B4528B">
        <w:t>; or Daniel Stepanicich, Enforcement Bureau, Telecommunications Consumers Division, at 202-418-</w:t>
      </w:r>
      <w:r w:rsidR="001218F2">
        <w:t xml:space="preserve">7451 or by email at </w:t>
      </w:r>
      <w:hyperlink r:id="rId7" w:history="1">
        <w:r w:rsidRPr="00536A47" w:rsidR="002E5792">
          <w:rPr>
            <w:rStyle w:val="Hyperlink"/>
          </w:rPr>
          <w:t>Daniel.Stepanicich@fcc.gov</w:t>
        </w:r>
      </w:hyperlink>
      <w:r w:rsidR="002E5792">
        <w:t>.</w:t>
      </w:r>
    </w:p>
    <w:p w:rsidR="002E5792" w:rsidP="00040A2A" w14:paraId="50DAF174" w14:textId="7A6DCF6C">
      <w:pPr>
        <w:keepNext/>
        <w:widowControl/>
        <w:spacing w:after="220"/>
      </w:pPr>
    </w:p>
    <w:p w:rsidR="002E5792" w:rsidP="00040A2A" w14:paraId="61BB4BBB" w14:textId="77777777">
      <w:pPr>
        <w:keepNext/>
        <w:widowControl/>
        <w:spacing w:after="220"/>
      </w:pPr>
    </w:p>
    <w:p w:rsidR="008B0727" w:rsidP="00323850" w14:paraId="6A7BBEC0" w14:textId="3C17C162">
      <w:pPr>
        <w:keepNext/>
        <w:widowControl/>
        <w:ind w:left="4680"/>
      </w:pPr>
      <w:r>
        <w:t>ENFORCEMENT BUREAU</w:t>
      </w:r>
    </w:p>
    <w:p w:rsidR="008B0727" w:rsidP="00323850" w14:paraId="15E02FBF" w14:textId="7B401658">
      <w:pPr>
        <w:keepNext/>
        <w:widowControl/>
        <w:ind w:left="4680"/>
      </w:pPr>
      <w:r>
        <w:t xml:space="preserve">Loyaan </w:t>
      </w:r>
      <w:r w:rsidR="00B02635">
        <w:t xml:space="preserve">A. </w:t>
      </w:r>
      <w:r>
        <w:t>Egal</w:t>
      </w:r>
    </w:p>
    <w:p w:rsidR="008B0727" w:rsidP="00323850" w14:paraId="015AF293" w14:textId="463EF59B">
      <w:pPr>
        <w:ind w:left="4680"/>
      </w:pPr>
      <w:r>
        <w:t>Chief</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010FBE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A137DB" w14:paraId="541099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7ED203DC" w14:textId="77777777">
    <w:pPr>
      <w:pStyle w:val="Footer"/>
      <w:jc w:val="center"/>
    </w:pPr>
    <w:r>
      <w:fldChar w:fldCharType="begin"/>
    </w:r>
    <w:r>
      <w:instrText xml:space="preserve"> PAGE   \* MERGEFORMAT </w:instrText>
    </w:r>
    <w:r>
      <w:fldChar w:fldCharType="separate"/>
    </w:r>
    <w:r w:rsidR="00C61BB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7AE89E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1E37" w14:paraId="5A493D85" w14:textId="77777777">
      <w:r>
        <w:separator/>
      </w:r>
    </w:p>
  </w:footnote>
  <w:footnote w:type="continuationSeparator" w:id="1">
    <w:p w:rsidR="00951E37" w14:paraId="507F6BCD" w14:textId="77777777">
      <w:pPr>
        <w:rPr>
          <w:sz w:val="20"/>
        </w:rPr>
      </w:pPr>
      <w:r>
        <w:rPr>
          <w:sz w:val="20"/>
        </w:rPr>
        <w:t xml:space="preserve">(Continued from previous page)  </w:t>
      </w:r>
      <w:r>
        <w:rPr>
          <w:sz w:val="20"/>
        </w:rPr>
        <w:separator/>
      </w:r>
    </w:p>
  </w:footnote>
  <w:footnote w:type="continuationNotice" w:id="2">
    <w:p w:rsidR="00951E37" w14:paraId="0C5DDED7" w14:textId="77777777">
      <w:pPr>
        <w:jc w:val="right"/>
        <w:rPr>
          <w:sz w:val="20"/>
        </w:rPr>
      </w:pPr>
      <w:r>
        <w:rPr>
          <w:sz w:val="20"/>
        </w:rPr>
        <w:t>(continued….)</w:t>
      </w:r>
    </w:p>
  </w:footnote>
  <w:footnote w:id="3">
    <w:p w:rsidR="00BC6741" w:rsidP="00BC6741" w14:paraId="79D66B2F" w14:textId="77777777">
      <w:pPr>
        <w:pStyle w:val="FootnoteText"/>
      </w:pPr>
      <w:r>
        <w:rPr>
          <w:rStyle w:val="FootnoteReference"/>
        </w:rPr>
        <w:footnoteRef/>
      </w:r>
      <w:r>
        <w:t xml:space="preserve"> 47 CFR § 64.1200(k)(4).  We remind downstream voice service providers that taking advantage of this safe harbor and blocking calls from recipients of cease-and-desist letters that fail to take mitigation measures assists both Commission and industry efforts to reduce the impact of illegal robocalls on consumers.</w:t>
      </w:r>
    </w:p>
  </w:footnote>
  <w:footnote w:id="4">
    <w:p w:rsidR="00A50A2A" w:rsidP="00A50A2A" w14:paraId="5D3149AC" w14:textId="7F037186">
      <w:pPr>
        <w:pStyle w:val="FootnoteText"/>
      </w:pPr>
      <w:r>
        <w:rPr>
          <w:rStyle w:val="FootnoteReference"/>
        </w:rPr>
        <w:footnoteRef/>
      </w:r>
      <w:r>
        <w:t xml:space="preserve"> </w:t>
      </w:r>
      <w:r w:rsidRPr="00040A2A" w:rsidR="00040A2A">
        <w:t>Letter from Loyaan A. Egal, Chief, FCC Enforcement Bureau, to</w:t>
      </w:r>
      <w:r w:rsidR="007B64EF">
        <w:t xml:space="preserve"> Fawaz Saleem, CEO</w:t>
      </w:r>
      <w:r w:rsidRPr="00040A2A" w:rsidR="00040A2A">
        <w:t xml:space="preserve">, </w:t>
      </w:r>
      <w:r w:rsidR="00C05F51">
        <w:t>Urth Access,</w:t>
      </w:r>
      <w:r w:rsidRPr="00040A2A" w:rsidR="00040A2A">
        <w:t xml:space="preserve"> LLC (</w:t>
      </w:r>
      <w:r w:rsidR="00C05F51">
        <w:t xml:space="preserve">Nov. </w:t>
      </w:r>
      <w:r w:rsidR="007B64EF">
        <w:t>10</w:t>
      </w:r>
      <w:r w:rsidRPr="00040A2A" w:rsidR="00040A2A">
        <w:t>, 2022)</w:t>
      </w:r>
      <w:r w:rsidR="00C05F51">
        <w:t xml:space="preserve">.  </w:t>
      </w:r>
      <w:r w:rsidRPr="00040A2A" w:rsidR="00040A2A">
        <w:t xml:space="preserve">These letters are available on the Commission's website at </w:t>
      </w:r>
      <w:hyperlink r:id="rId1" w:history="1">
        <w:r w:rsidRPr="006567FE" w:rsidR="00040A2A">
          <w:rPr>
            <w:rStyle w:val="Hyperlink"/>
          </w:rPr>
          <w:t>https://www.fcc.gov/robocall-facilitators-must-cease-and-desist</w:t>
        </w:r>
      </w:hyperlink>
      <w:r w:rsidR="00040A2A">
        <w:t>.</w:t>
      </w:r>
    </w:p>
  </w:footnote>
  <w:footnote w:id="5">
    <w:p w:rsidR="00492BCC" w:rsidP="00492BCC" w14:paraId="72DC34F0" w14:textId="490D69A7">
      <w:pPr>
        <w:pStyle w:val="FootnoteText"/>
      </w:pPr>
      <w:r>
        <w:rPr>
          <w:rStyle w:val="FootnoteReference"/>
        </w:rPr>
        <w:footnoteRef/>
      </w:r>
      <w:r>
        <w:t xml:space="preserve"> </w:t>
      </w:r>
      <w:r>
        <w:t>USTelecom’s</w:t>
      </w:r>
      <w:r>
        <w:t xml:space="preserve"> Industry Traceback Group is the registered industry consortium selected pursuant to the TRACED Act, to conduct tracebacks to identify suspected bad actors. </w:t>
      </w:r>
      <w:r>
        <w:rPr>
          <w:i/>
          <w:iCs/>
        </w:rPr>
        <w:t>Implementing Section 13(d) of the Pallone-Thune Telephone Robocall Abuse Criminal Enforcement and Deterrence Act (TRACED Act)</w:t>
      </w:r>
      <w:r>
        <w:t xml:space="preserve">, EB Docket No. 20-22, Report and Order, DA </w:t>
      </w:r>
      <w:r w:rsidR="002935ED">
        <w:t>22-870</w:t>
      </w:r>
      <w:r>
        <w:t xml:space="preserve"> (EB 202</w:t>
      </w:r>
      <w:r w:rsidR="002935ED">
        <w:t>2</w:t>
      </w:r>
      <w:r>
        <w:t>) (</w:t>
      </w:r>
      <w:r w:rsidRPr="00025D54">
        <w:rPr>
          <w:i/>
          <w:iCs/>
        </w:rPr>
        <w:t>202</w:t>
      </w:r>
      <w:r w:rsidR="002935ED">
        <w:rPr>
          <w:i/>
          <w:iCs/>
        </w:rPr>
        <w:t>2</w:t>
      </w:r>
      <w:r w:rsidRPr="00025D54">
        <w:rPr>
          <w:i/>
          <w:iCs/>
        </w:rPr>
        <w:t xml:space="preserve"> Consortium Selection Order</w:t>
      </w:r>
      <w:r>
        <w:t xml:space="preserve">).  </w:t>
      </w:r>
      <w:r>
        <w:rPr>
          <w:i/>
          <w:iCs/>
        </w:rPr>
        <w:t xml:space="preserve">See also </w:t>
      </w:r>
      <w:r>
        <w:t>TRACED Act § 13(d).</w:t>
      </w:r>
    </w:p>
  </w:footnote>
  <w:footnote w:id="6">
    <w:p w:rsidR="00A50A2A" w:rsidRPr="007C12C5" w:rsidP="00A50A2A" w14:paraId="46E442EC" w14:textId="6A683E7A">
      <w:pPr>
        <w:pStyle w:val="FootnoteText"/>
      </w:pPr>
      <w:r>
        <w:rPr>
          <w:rStyle w:val="FootnoteReference"/>
        </w:rPr>
        <w:footnoteRef/>
      </w:r>
      <w:r>
        <w:t xml:space="preserve"> </w:t>
      </w:r>
      <w:r>
        <w:rPr>
          <w:i/>
          <w:iCs/>
        </w:rPr>
        <w:t>See</w:t>
      </w:r>
      <w:r w:rsidR="000C3F16">
        <w:rPr>
          <w:i/>
          <w:iCs/>
        </w:rPr>
        <w:t xml:space="preserve"> </w:t>
      </w:r>
      <w:r w:rsidRPr="00040A2A" w:rsidR="00DF3A5D">
        <w:t xml:space="preserve">Letter from Loyaan A. Egal, Chief, FCC Enforcement Bureau, to </w:t>
      </w:r>
      <w:r w:rsidR="007B64EF">
        <w:t>Fawaz Saleem, CEO</w:t>
      </w:r>
      <w:r w:rsidRPr="00040A2A" w:rsidR="00DF3A5D">
        <w:t xml:space="preserve">, </w:t>
      </w:r>
      <w:r w:rsidR="00DF3A5D">
        <w:t>Urth Access,</w:t>
      </w:r>
      <w:r w:rsidRPr="00040A2A" w:rsidR="00DF3A5D">
        <w:t xml:space="preserve"> LLC (</w:t>
      </w:r>
      <w:r w:rsidR="00DF3A5D">
        <w:t xml:space="preserve">Nov. </w:t>
      </w:r>
      <w:r w:rsidR="007B64EF">
        <w:t>10</w:t>
      </w:r>
      <w:r w:rsidRPr="00040A2A" w:rsidR="00DF3A5D">
        <w:t>, 2022</w:t>
      </w:r>
      <w:r w:rsidR="00986D14">
        <w:t>)</w:t>
      </w:r>
      <w:r>
        <w:t xml:space="preserve">; </w:t>
      </w:r>
      <w:r>
        <w:rPr>
          <w:i/>
          <w:iCs/>
        </w:rPr>
        <w:t>see also</w:t>
      </w:r>
      <w:r>
        <w:t xml:space="preserve"> 47 CFR § 64.1200(k)(4).</w:t>
      </w:r>
      <w:r w:rsidR="00085277">
        <w:t xml:space="preserve">  </w:t>
      </w:r>
      <w:bookmarkStart w:id="1" w:name="_Hlk118125870"/>
      <w:r w:rsidR="00085277">
        <w:t>In the circumstances set forth in</w:t>
      </w:r>
      <w:r w:rsidR="007B6DDC">
        <w:t xml:space="preserve"> this</w:t>
      </w:r>
      <w:r w:rsidR="00085277">
        <w:t xml:space="preserve"> cease</w:t>
      </w:r>
      <w:r w:rsidR="00492BCC">
        <w:t>-</w:t>
      </w:r>
      <w:r w:rsidR="00085277">
        <w:t>and</w:t>
      </w:r>
      <w:r w:rsidR="00492BCC">
        <w:t>-</w:t>
      </w:r>
      <w:r w:rsidR="00085277">
        <w:t>desist letter, we construe “effective mitigation measures” to mean taking all action necessary to cease carrying any such illegal traffic.</w:t>
      </w:r>
      <w:bookmarkEnd w:id="1"/>
    </w:p>
  </w:footnote>
  <w:footnote w:id="7">
    <w:p w:rsidR="00A50A2A" w:rsidRPr="00971F86" w:rsidP="00A50A2A" w14:paraId="3DE81FBE" w14:textId="562DF129">
      <w:pPr>
        <w:pStyle w:val="FootnoteText"/>
      </w:pPr>
      <w:r>
        <w:rPr>
          <w:rStyle w:val="FootnoteReference"/>
        </w:rPr>
        <w:footnoteRef/>
      </w:r>
      <w:r>
        <w:t xml:space="preserve"> </w:t>
      </w:r>
      <w:r w:rsidRPr="00971F86">
        <w:rPr>
          <w:i/>
          <w:iCs/>
          <w:color w:val="201F1E"/>
          <w:shd w:val="clear" w:color="auto" w:fill="FFFFFF"/>
        </w:rPr>
        <w:t>See</w:t>
      </w:r>
      <w:r w:rsidR="00EC0C15">
        <w:rPr>
          <w:color w:val="201F1E"/>
          <w:shd w:val="clear" w:color="auto" w:fill="FFFFFF"/>
        </w:rPr>
        <w:t xml:space="preserve"> 47 CFR § 64.6305(</w:t>
      </w:r>
      <w:r w:rsidR="00E72B4D">
        <w:rPr>
          <w:color w:val="201F1E"/>
          <w:shd w:val="clear" w:color="auto" w:fill="FFFFFF"/>
        </w:rPr>
        <w:t>e</w:t>
      </w:r>
      <w:r w:rsidR="00EC0C15">
        <w:rPr>
          <w:color w:val="201F1E"/>
          <w:shd w:val="clear" w:color="auto" w:fill="FFFFFF"/>
        </w:rPr>
        <w:t xml:space="preserve">) (stating that intermediate </w:t>
      </w:r>
      <w:r w:rsidRPr="00E224B7" w:rsidR="00E224B7">
        <w:rPr>
          <w:color w:val="201F1E"/>
          <w:shd w:val="clear" w:color="auto" w:fill="FFFFFF"/>
        </w:rPr>
        <w:t>providers</w:t>
      </w:r>
      <w:r w:rsidR="00E224B7">
        <w:rPr>
          <w:color w:val="201F1E"/>
          <w:shd w:val="clear" w:color="auto" w:fill="FFFFFF"/>
        </w:rPr>
        <w:t xml:space="preserve"> </w:t>
      </w:r>
      <w:r w:rsidR="00EC0C15">
        <w:rPr>
          <w:color w:val="201F1E"/>
          <w:shd w:val="clear" w:color="auto" w:fill="FFFFFF"/>
        </w:rPr>
        <w:t xml:space="preserve">and terminating voice service providers may </w:t>
      </w:r>
      <w:r w:rsidR="009222A1">
        <w:rPr>
          <w:color w:val="201F1E"/>
          <w:shd w:val="clear" w:color="auto" w:fill="FFFFFF"/>
        </w:rPr>
        <w:t xml:space="preserve">only </w:t>
      </w:r>
      <w:r w:rsidR="00EC0C15">
        <w:rPr>
          <w:color w:val="201F1E"/>
          <w:shd w:val="clear" w:color="auto" w:fill="FFFFFF"/>
        </w:rPr>
        <w:t xml:space="preserve">accept </w:t>
      </w:r>
      <w:r w:rsidR="009222A1">
        <w:rPr>
          <w:color w:val="201F1E"/>
          <w:shd w:val="clear" w:color="auto" w:fill="FFFFFF"/>
        </w:rPr>
        <w:t>calls from an originating</w:t>
      </w:r>
      <w:r w:rsidR="00456261">
        <w:rPr>
          <w:color w:val="201F1E"/>
          <w:shd w:val="clear" w:color="auto" w:fill="FFFFFF"/>
        </w:rPr>
        <w:t xml:space="preserve"> voice service provider whose filing appears in the Robocall Mitigation Database);</w:t>
      </w:r>
      <w:r w:rsidRPr="00971F86">
        <w:rPr>
          <w:i/>
          <w:iCs/>
          <w:color w:val="201F1E"/>
          <w:shd w:val="clear" w:color="auto" w:fill="FFFFFF"/>
        </w:rPr>
        <w:t xml:space="preserve"> Call Authentication Trust Anchor</w:t>
      </w:r>
      <w:r w:rsidRPr="00971F86">
        <w:rPr>
          <w:color w:val="201F1E"/>
          <w:shd w:val="clear" w:color="auto" w:fill="FFFFFF"/>
        </w:rPr>
        <w:t xml:space="preserve">, WC Docket No. 17-97, Second Report and Order, 36 FCC </w:t>
      </w:r>
      <w:r w:rsidRPr="00971F86">
        <w:rPr>
          <w:color w:val="201F1E"/>
          <w:shd w:val="clear" w:color="auto" w:fill="FFFFFF"/>
        </w:rPr>
        <w:t>Rcd</w:t>
      </w:r>
      <w:r w:rsidRPr="00971F86">
        <w:rPr>
          <w:color w:val="201F1E"/>
          <w:shd w:val="clear" w:color="auto" w:fill="FFFFFF"/>
        </w:rPr>
        <w:t xml:space="preserve"> 1859, 1902-03, paras. 82-83 (2020) (allowing the Enforcement Bureau to remove deficient originating or terminating voice service provider certifications from the Robocall Mitigation Database)</w:t>
      </w:r>
      <w:r w:rsidR="00CF1950">
        <w:rPr>
          <w:color w:val="201F1E"/>
          <w:shd w:val="clear" w:color="auto" w:fill="FFFFFF"/>
        </w:rPr>
        <w:t xml:space="preserve">; </w:t>
      </w:r>
      <w:r w:rsidR="00CF1950">
        <w:rPr>
          <w:i/>
          <w:iCs/>
          <w:color w:val="201F1E"/>
          <w:shd w:val="clear" w:color="auto" w:fill="FFFFFF"/>
        </w:rPr>
        <w:t>see also</w:t>
      </w:r>
      <w:r w:rsidRPr="00971F86">
        <w:rPr>
          <w:color w:val="201F1E"/>
          <w:shd w:val="clear" w:color="auto" w:fill="FFFFFF"/>
        </w:rPr>
        <w:t> </w:t>
      </w:r>
      <w:r w:rsidRPr="00971F86">
        <w:rPr>
          <w:i/>
          <w:iCs/>
          <w:color w:val="201F1E"/>
          <w:shd w:val="clear" w:color="auto" w:fill="FFFFFF"/>
        </w:rPr>
        <w:t>Advanced Methods to Target and Eliminate Unlawful Robocalls, Call Authentication Trust Anchor</w:t>
      </w:r>
      <w:r w:rsidRPr="00971F86">
        <w:rPr>
          <w:color w:val="201F1E"/>
          <w:shd w:val="clear" w:color="auto" w:fill="FFFFFF"/>
        </w:rPr>
        <w:t>, 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FCC 22-37, paras. 35 &amp; 40 (2022)</w:t>
      </w:r>
      <w:r w:rsidR="00F951C3">
        <w:rPr>
          <w:color w:val="201F1E"/>
          <w:shd w:val="clear" w:color="auto" w:fill="FFFFFF"/>
        </w:rPr>
        <w:t xml:space="preserve"> (extending the requirement to submit certifications to the Robocall Mitigation Database to gateway providers)</w:t>
      </w:r>
      <w:r w:rsidRPr="00971F86">
        <w:rPr>
          <w:color w:val="201F1E"/>
          <w:shd w:val="clear" w:color="auto" w:fill="FFFFFF"/>
        </w:rPr>
        <w:t xml:space="preserve">.  </w:t>
      </w:r>
    </w:p>
  </w:footnote>
  <w:footnote w:id="8">
    <w:p w:rsidR="00F97B7C" w:rsidP="00F97B7C" w14:paraId="73ECDB76" w14:textId="77777777">
      <w:pPr>
        <w:pStyle w:val="FootnoteText"/>
      </w:pPr>
      <w:r>
        <w:rPr>
          <w:rStyle w:val="FootnoteReference"/>
        </w:rPr>
        <w:footnoteRef/>
      </w:r>
      <w:r>
        <w:t xml:space="preserve"> </w:t>
      </w:r>
      <w:r>
        <w:rPr>
          <w:i/>
          <w:iCs/>
        </w:rPr>
        <w:t xml:space="preserve">See </w:t>
      </w:r>
      <w:r>
        <w:t xml:space="preserve">47 CFR § 64.1200(k); </w:t>
      </w:r>
      <w:r>
        <w:rPr>
          <w:i/>
          <w:iCs/>
        </w:rPr>
        <w:t>Advanced Methods to Target and Eliminate Unlawful Robocalls</w:t>
      </w:r>
      <w:r>
        <w:t xml:space="preserve">, CG Docket No. 17-59, Third Report and Order, Order on Reconsideration, and Fourth Further Notice of Proposed Rulemaking, 35 FCC </w:t>
      </w:r>
      <w:r>
        <w:t>Rcd</w:t>
      </w:r>
      <w:r>
        <w:t xml:space="preserve"> 7614, 7622, para. 19 (2020) (</w:t>
      </w:r>
      <w:r>
        <w:rPr>
          <w:i/>
          <w:iCs/>
        </w:rPr>
        <w:t>July 2020 Call Blocking Order</w:t>
      </w:r>
      <w:r>
        <w:t>) (establishing safe harbor for blocking traffic from bad-actor upstream voice service providers);</w:t>
      </w:r>
      <w:r>
        <w:rPr>
          <w:i/>
          <w:iCs/>
        </w:rPr>
        <w:t xml:space="preserve"> Advanced Methods to Target and Eliminate Unlawful Robocalls; Call Authentication Trust Anchor</w:t>
      </w:r>
      <w:r>
        <w:t xml:space="preserve">, CG Docket No 17-59, WC Docket No. 17-97, Declaratory Ruling and Third Further Notice of Proposed Rulemaking, 34 FCC </w:t>
      </w:r>
      <w:r>
        <w:t>Rcd</w:t>
      </w:r>
      <w:r>
        <w:t xml:space="preserve"> 4876, 4887-88, paras. 34-46 (2019) (</w:t>
      </w:r>
      <w:r>
        <w:rPr>
          <w:i/>
          <w:iCs/>
        </w:rPr>
        <w:t>2019 Call Blocking Order</w:t>
      </w:r>
      <w:r>
        <w:t>) (blocking based on reasonable analytics with consumer op-out and consumer white lists);</w:t>
      </w:r>
      <w:r>
        <w:rPr>
          <w:i/>
          <w:iCs/>
        </w:rPr>
        <w:t xml:space="preserve"> Advanced Methods to Target and Eliminate Unlawful Robocalls</w:t>
      </w:r>
      <w:r>
        <w:t xml:space="preserve">, CG Docket No. 17-59, Report and Order and Further Notice of Proposed Rulemaking, 32 FCC </w:t>
      </w:r>
      <w:r>
        <w:t>Rcd</w:t>
      </w:r>
      <w:r>
        <w:t xml:space="preserve"> 9706, 9709, para. 9 (2017) (</w:t>
      </w:r>
      <w:r>
        <w:rPr>
          <w:i/>
          <w:iCs/>
        </w:rPr>
        <w:t>2017 Call Blocking Order</w:t>
      </w:r>
      <w:r>
        <w:t>) (blocking of certain categories of calls highly likely to be illegal).</w:t>
      </w:r>
    </w:p>
  </w:footnote>
  <w:footnote w:id="9">
    <w:p w:rsidR="00F97B7C" w:rsidP="00F97B7C" w14:paraId="60AC4629" w14:textId="2B3DE952">
      <w:pPr>
        <w:pStyle w:val="FootnoteText"/>
      </w:pPr>
      <w:r>
        <w:rPr>
          <w:rStyle w:val="FootnoteReference"/>
        </w:rPr>
        <w:footnoteRef/>
      </w:r>
      <w:r>
        <w:t xml:space="preserve"> </w:t>
      </w:r>
      <w:r>
        <w:rPr>
          <w:i/>
          <w:iCs/>
        </w:rPr>
        <w:t>July 2020 Call Blocking Order</w:t>
      </w:r>
      <w:r>
        <w:t xml:space="preserve">, 35 FCC </w:t>
      </w:r>
      <w:r>
        <w:t>Rcd</w:t>
      </w:r>
      <w:r>
        <w:t xml:space="preserve"> at 7628-29, para. 36-39; </w:t>
      </w:r>
      <w:r>
        <w:rPr>
          <w:i/>
          <w:iCs/>
        </w:rPr>
        <w:t>see</w:t>
      </w:r>
      <w:r>
        <w:t xml:space="preserve"> 47 CFR § 64.1200(k)(4).</w:t>
      </w:r>
      <w:r w:rsidR="0097012C">
        <w:t xml:space="preserve">  </w:t>
      </w:r>
    </w:p>
  </w:footnote>
  <w:footnote w:id="10">
    <w:p w:rsidR="00F97B7C" w:rsidRPr="00905198" w:rsidP="00F97B7C" w14:paraId="4C0C7C51" w14:textId="19FFEC29">
      <w:pPr>
        <w:pStyle w:val="FootnoteText"/>
        <w:rPr>
          <w:i/>
          <w:iCs/>
        </w:rPr>
      </w:pPr>
      <w:r>
        <w:rPr>
          <w:rStyle w:val="FootnoteReference"/>
        </w:rPr>
        <w:footnoteRef/>
      </w:r>
      <w:r>
        <w:t xml:space="preserve"> </w:t>
      </w:r>
      <w:r>
        <w:rPr>
          <w:i/>
          <w:iCs/>
        </w:rPr>
        <w:t>See, e.g.</w:t>
      </w:r>
      <w:r>
        <w:t xml:space="preserve">, </w:t>
      </w:r>
      <w:r w:rsidRPr="00B4653C">
        <w:t xml:space="preserve">Letter from </w:t>
      </w:r>
      <w:r>
        <w:t>Rosemary Harold</w:t>
      </w:r>
      <w:r w:rsidRPr="00B4653C">
        <w:t>,</w:t>
      </w:r>
      <w:r>
        <w:t xml:space="preserve"> Chief,</w:t>
      </w:r>
      <w:r w:rsidRPr="00B4653C">
        <w:t xml:space="preserve"> FCC Enforcement Bureau, to </w:t>
      </w:r>
      <w:r>
        <w:t>Omar Luna, CEO, R Squared Telecom LLC</w:t>
      </w:r>
      <w:r w:rsidRPr="00B4653C">
        <w:t xml:space="preserve"> (</w:t>
      </w:r>
      <w:r>
        <w:t>Apr</w:t>
      </w:r>
      <w:r w:rsidR="00492BCC">
        <w:t>.</w:t>
      </w:r>
      <w:r>
        <w:t xml:space="preserve"> 13, 2021</w:t>
      </w:r>
      <w:r w:rsidRPr="00B4653C">
        <w:t>)</w:t>
      </w:r>
      <w:r>
        <w:t xml:space="preserve">; </w:t>
      </w:r>
      <w:r w:rsidRPr="00B4653C">
        <w:t xml:space="preserve">Letter from </w:t>
      </w:r>
      <w:r>
        <w:t>Rosemary Harold</w:t>
      </w:r>
      <w:r w:rsidRPr="00B4653C">
        <w:t>,</w:t>
      </w:r>
      <w:r>
        <w:t xml:space="preserve"> Chief,</w:t>
      </w:r>
      <w:r w:rsidRPr="00B4653C">
        <w:t xml:space="preserve"> FCC Enforcement Bureau, to </w:t>
      </w:r>
      <w:r>
        <w:t xml:space="preserve">Vitaly Potapov, CEO, </w:t>
      </w:r>
      <w:r>
        <w:t>RSCom</w:t>
      </w:r>
      <w:r>
        <w:t xml:space="preserve"> LTD</w:t>
      </w:r>
      <w:r w:rsidRPr="00B4653C">
        <w:t xml:space="preserve"> (</w:t>
      </w:r>
      <w:r>
        <w:t>Mar. 17, 2021</w:t>
      </w:r>
      <w:r w:rsidRPr="00B4653C">
        <w:t>).</w:t>
      </w:r>
      <w:r w:rsidR="0011461C">
        <w:t xml:space="preserve">  The Bureau uses data obtained from </w:t>
      </w:r>
      <w:r w:rsidR="00457A05">
        <w:t xml:space="preserve">the Traceback Consortium.  </w:t>
      </w:r>
      <w:r w:rsidR="0011461C">
        <w:t>The Commission uses</w:t>
      </w:r>
      <w:r w:rsidRPr="007C12C5" w:rsidR="0011461C">
        <w:t xml:space="preserve"> the term “bad actor” when discussing an originating or terminating provider that fails to take appropriate steps to prevent their network from being used to originate or transmit illegal calls.</w:t>
      </w:r>
      <w:r w:rsidR="0011461C">
        <w:t xml:space="preserve">  </w:t>
      </w:r>
      <w:r w:rsidR="0011461C">
        <w:rPr>
          <w:i/>
          <w:iCs/>
        </w:rPr>
        <w:t>See</w:t>
      </w:r>
      <w:r w:rsidR="0011461C">
        <w:t xml:space="preserve"> </w:t>
      </w:r>
      <w:r w:rsidR="0011461C">
        <w:rPr>
          <w:i/>
          <w:iCs/>
        </w:rPr>
        <w:t>July 2020 Call Blocking Order</w:t>
      </w:r>
      <w:r w:rsidR="0011461C">
        <w:t xml:space="preserve">, 35 FCC </w:t>
      </w:r>
      <w:r w:rsidR="0011461C">
        <w:t>Rcd</w:t>
      </w:r>
      <w:r w:rsidR="0011461C">
        <w:t xml:space="preserve"> at 7623, para. 19, n.57.</w:t>
      </w:r>
      <w:r w:rsidRPr="00AD3718" w:rsidR="00AD3718">
        <w:t xml:space="preserve"> </w:t>
      </w:r>
      <w:r w:rsidR="00AD3718">
        <w:t xml:space="preserve"> More recent cease-and-desist letters have also warned the bad actor that continued origination of illegal robocalls following the letter will be used as evidence of a defective Robocall Mitigation Database certification, and the Bureau may initiate proceedings to remove the bad actor’s certification from the database.</w:t>
      </w:r>
      <w:r w:rsidRPr="00AD3718" w:rsidR="00AD3718">
        <w:t xml:space="preserve"> </w:t>
      </w:r>
      <w:r w:rsidR="00AD3718">
        <w:t xml:space="preserve"> </w:t>
      </w:r>
      <w:r w:rsidR="008D4235">
        <w:rPr>
          <w:i/>
          <w:iCs/>
        </w:rPr>
        <w:t>See, e.g.</w:t>
      </w:r>
      <w:r w:rsidR="008D4235">
        <w:t xml:space="preserve">, </w:t>
      </w:r>
      <w:r w:rsidRPr="00B4653C" w:rsidR="00AD3718">
        <w:t xml:space="preserve">Letter from </w:t>
      </w:r>
      <w:r w:rsidR="00AD3718">
        <w:t>Rosemary Harold</w:t>
      </w:r>
      <w:r w:rsidRPr="00B4653C" w:rsidR="00AD3718">
        <w:t>,</w:t>
      </w:r>
      <w:r w:rsidR="00AD3718">
        <w:t xml:space="preserve"> Chief,</w:t>
      </w:r>
      <w:r w:rsidRPr="00B4653C" w:rsidR="00AD3718">
        <w:t xml:space="preserve"> FCC Enforcement Bureau, to </w:t>
      </w:r>
      <w:r w:rsidR="00AD3718">
        <w:t>Prince Anand, CEO, PZ/Illum Telecommunication LLC (Oct. 21, 2021)</w:t>
      </w:r>
      <w:r w:rsidR="008D4235">
        <w:t xml:space="preserve">.  </w:t>
      </w:r>
      <w:r w:rsidR="00AD3718">
        <w:rPr>
          <w:i/>
          <w:iCs/>
        </w:rPr>
        <w:t>See also</w:t>
      </w:r>
      <w:r w:rsidR="00AD3718">
        <w:t xml:space="preserve"> 47 CFR §</w:t>
      </w:r>
      <w:r w:rsidR="00DA39D3">
        <w:t> </w:t>
      </w:r>
      <w:r w:rsidR="00AD3718">
        <w:t>64.6305(</w:t>
      </w:r>
      <w:r w:rsidR="00EE45FB">
        <w:t>e</w:t>
      </w:r>
      <w:r w:rsidR="00AD3718">
        <w:t>).</w:t>
      </w:r>
      <w:r w:rsidR="008D2EB2">
        <w:t xml:space="preserve">  The Bureau has also issued a </w:t>
      </w:r>
      <w:r w:rsidR="008D2EB2">
        <w:rPr>
          <w:i/>
          <w:iCs/>
        </w:rPr>
        <w:t>Public Notice</w:t>
      </w:r>
      <w:r w:rsidR="008D2EB2">
        <w:t xml:space="preserve"> and </w:t>
      </w:r>
      <w:r w:rsidR="008D2EB2">
        <w:rPr>
          <w:i/>
          <w:iCs/>
        </w:rPr>
        <w:t>Order</w:t>
      </w:r>
      <w:r w:rsidR="008D2EB2">
        <w:t xml:space="preserve"> </w:t>
      </w:r>
      <w:r w:rsidR="00924CAA">
        <w:t>directing</w:t>
      </w:r>
      <w:r w:rsidR="00456C33">
        <w:t xml:space="preserve"> downstream</w:t>
      </w:r>
      <w:r w:rsidR="008D2EB2">
        <w:t xml:space="preserve"> voice service </w:t>
      </w:r>
      <w:r w:rsidR="00135247">
        <w:t>providers</w:t>
      </w:r>
      <w:r w:rsidR="008D2EB2">
        <w:t xml:space="preserve"> to take steps to effectively mitigate illegal traffic from recipients of cease-and-desist letters</w:t>
      </w:r>
      <w:r w:rsidR="00456C33">
        <w:t xml:space="preserve"> that failed to take appropriate steps to prevent their networks from being used to originate </w:t>
      </w:r>
      <w:r w:rsidR="00924CAA">
        <w:t>apparently illegal auto warranty robocalls</w:t>
      </w:r>
      <w:r w:rsidR="008D2EB2">
        <w:t xml:space="preserve">.  </w:t>
      </w:r>
      <w:r w:rsidR="008D2EB2">
        <w:rPr>
          <w:i/>
          <w:iCs/>
        </w:rPr>
        <w:t>Robocall Enforcement Notice to All U.S.-Based Voice Service Providers</w:t>
      </w:r>
      <w:r w:rsidR="008D2EB2">
        <w:t>, Public Notice DA 22-727 at 1-2 (EB 2022)</w:t>
      </w:r>
      <w:r w:rsidR="008D2EB2">
        <w:rPr>
          <w:i/>
          <w:iCs/>
        </w:rPr>
        <w:t>; FCC Enforcement Bureau Warns All U.S.-Based Voice Service Providers to Avoid or Cease Carriage of Auto Warranty Robocall Traffic from Cox/Jones/</w:t>
      </w:r>
      <w:r w:rsidR="008D2EB2">
        <w:rPr>
          <w:i/>
          <w:iCs/>
        </w:rPr>
        <w:t>Sumco</w:t>
      </w:r>
      <w:r w:rsidR="008D2EB2">
        <w:rPr>
          <w:i/>
          <w:iCs/>
        </w:rPr>
        <w:t xml:space="preserve"> Panama Operation</w:t>
      </w:r>
      <w:r w:rsidR="008D2EB2">
        <w:t xml:space="preserve">, Order, DA 22-784 at 1 (EB 2022); </w:t>
      </w:r>
    </w:p>
  </w:footnote>
  <w:footnote w:id="11">
    <w:p w:rsidR="00E31B57" w:rsidRPr="005D7D83" w14:paraId="3AC653B0" w14:textId="417CAE7A">
      <w:pPr>
        <w:pStyle w:val="FootnoteText"/>
      </w:pPr>
      <w:r>
        <w:rPr>
          <w:rStyle w:val="FootnoteReference"/>
        </w:rPr>
        <w:footnoteRef/>
      </w:r>
      <w:r>
        <w:t xml:space="preserve"> </w:t>
      </w:r>
      <w:r w:rsidR="005D7D83">
        <w:rPr>
          <w:i/>
          <w:iCs/>
        </w:rPr>
        <w:t>Providers Must Aggressively Police Unlawful Robocalls Regarding Student Loans</w:t>
      </w:r>
      <w:r w:rsidR="005D7D83">
        <w:t>, Enforcement Advisory, DA 22-1145 (EB 2022).</w:t>
      </w:r>
    </w:p>
  </w:footnote>
  <w:footnote w:id="12">
    <w:p w:rsidR="00E31B57" w14:paraId="19EB4895" w14:textId="4DB3B9D6">
      <w:pPr>
        <w:pStyle w:val="FootnoteText"/>
      </w:pPr>
      <w:r>
        <w:rPr>
          <w:rStyle w:val="FootnoteReference"/>
        </w:rPr>
        <w:footnoteRef/>
      </w:r>
      <w:r>
        <w:t xml:space="preserve"> </w:t>
      </w:r>
      <w:r w:rsidR="005D7D83">
        <w:rPr>
          <w:i/>
          <w:iCs/>
        </w:rPr>
        <w:t xml:space="preserve">See </w:t>
      </w:r>
      <w:r w:rsidR="005D7D83">
        <w:t xml:space="preserve">Fact Sheet, The White House, President Biden Announces Student Loan Relief for Borrowers Who Need it Most (Aug. 24, 2022), </w:t>
      </w:r>
      <w:hyperlink r:id="rId2" w:history="1">
        <w:r w:rsidRPr="00826F63" w:rsidR="005D7D83">
          <w:rPr>
            <w:rStyle w:val="Hyperlink"/>
          </w:rPr>
          <w:t>https://www.whitehouse.gov/briefing-room/statements-releases/2022/08/24/fact-sheet-president-biden-announces-student-loan-relief-for-borrowers-who-need-it-most/</w:t>
        </w:r>
      </w:hyperlink>
      <w:r w:rsidRPr="007B64EF" w:rsidR="00445082">
        <w:rPr>
          <w:rStyle w:val="Hyperlink"/>
          <w:color w:val="auto"/>
          <w:u w:val="none"/>
        </w:rPr>
        <w:t xml:space="preserve">; </w:t>
      </w:r>
      <w:r w:rsidRPr="007B64EF" w:rsidR="00445082">
        <w:rPr>
          <w:rStyle w:val="Hyperlink"/>
          <w:i/>
          <w:iCs/>
          <w:color w:val="auto"/>
          <w:u w:val="none"/>
        </w:rPr>
        <w:t>see also</w:t>
      </w:r>
      <w:r w:rsidR="00445082">
        <w:rPr>
          <w:rStyle w:val="Hyperlink"/>
          <w:u w:val="none"/>
        </w:rPr>
        <w:t xml:space="preserve"> </w:t>
      </w:r>
      <w:r w:rsidRPr="00D12CF4" w:rsidR="005D7D83">
        <w:t xml:space="preserve">Press Release, </w:t>
      </w:r>
      <w:r w:rsidRPr="00D12CF4" w:rsidR="005D7D83">
        <w:t>Dep</w:t>
      </w:r>
      <w:r w:rsidR="00445082">
        <w:t>’t</w:t>
      </w:r>
      <w:r w:rsidRPr="00D12CF4" w:rsidR="005D7D83">
        <w:t xml:space="preserve"> of Education, Biden-Harris Administration Announces Final Student Loan Pause Extension Through December 31 and Targeted Debt Cancellation to Smooth Transition to Repayment (Aug. 24, 2022), </w:t>
      </w:r>
      <w:hyperlink r:id="rId3" w:history="1">
        <w:r w:rsidRPr="00D12CF4" w:rsidR="005D7D83">
          <w:rPr>
            <w:rStyle w:val="Hyperlink"/>
          </w:rPr>
          <w:t>https://www.ed.gov/news/press-releases/biden-harris-administration-announces-final-student-loan-pause-extension-through-december-31-and-targeted-debt-cancellation-smooth-transition-repayment</w:t>
        </w:r>
      </w:hyperlink>
      <w:r w:rsidRPr="00716BFA" w:rsidR="005D7D83">
        <w:t xml:space="preserve"> </w:t>
      </w:r>
      <w:r w:rsidR="005D7D83">
        <w:t>.</w:t>
      </w:r>
    </w:p>
  </w:footnote>
  <w:footnote w:id="13">
    <w:p w:rsidR="00C57546" w14:paraId="4B7072FE" w14:textId="1A62F91E">
      <w:pPr>
        <w:pStyle w:val="FootnoteText"/>
      </w:pPr>
      <w:r>
        <w:rPr>
          <w:rStyle w:val="FootnoteReference"/>
        </w:rPr>
        <w:footnoteRef/>
      </w:r>
      <w:r>
        <w:t xml:space="preserve"> </w:t>
      </w:r>
      <w:r w:rsidRPr="00905198">
        <w:rPr>
          <w:i/>
          <w:iCs/>
        </w:rPr>
        <w:t>See</w:t>
      </w:r>
      <w:r w:rsidRPr="00C57546">
        <w:t xml:space="preserve"> Sequoia Carrillo, </w:t>
      </w:r>
      <w:r w:rsidRPr="00905198">
        <w:rPr>
          <w:i/>
          <w:iCs/>
        </w:rPr>
        <w:t>Waiting For Student Loan Forgiveness, Borrowers Are Targets For Scammers</w:t>
      </w:r>
      <w:r w:rsidRPr="00C57546">
        <w:t>, NPR (Sept. 19, 2022)</w:t>
      </w:r>
      <w:r>
        <w:t>,</w:t>
      </w:r>
      <w:r w:rsidRPr="00C57546">
        <w:t xml:space="preserve"> https://www.npr.org/2022/09/19/1123488226/waiting-for-loan-forgiveness-borrowers-are-targets-for-scammers.</w:t>
      </w:r>
    </w:p>
  </w:footnote>
  <w:footnote w:id="14">
    <w:p w:rsidR="00D12C39" w14:paraId="01155C33" w14:textId="3FC08A0C">
      <w:pPr>
        <w:pStyle w:val="FootnoteText"/>
      </w:pPr>
      <w:r>
        <w:rPr>
          <w:rStyle w:val="FootnoteReference"/>
        </w:rPr>
        <w:footnoteRef/>
      </w:r>
      <w:r>
        <w:t xml:space="preserve"> </w:t>
      </w:r>
      <w:r w:rsidR="00C57546">
        <w:t xml:space="preserve">Traceback Consortium </w:t>
      </w:r>
      <w:r w:rsidRPr="00C57546" w:rsidR="00C57546">
        <w:t>Subpoena Response</w:t>
      </w:r>
      <w:r w:rsidR="00C57546">
        <w:t xml:space="preserve"> on file at</w:t>
      </w:r>
      <w:r w:rsidRPr="00C57546" w:rsidR="00C57546">
        <w:t xml:space="preserve"> EB-TCD-22-00034232 (</w:t>
      </w:r>
      <w:r w:rsidR="00C57546">
        <w:t>Oct. 25, 2022</w:t>
      </w:r>
      <w:r w:rsidRPr="00C57546" w:rsidR="00C57546">
        <w:t>).</w:t>
      </w:r>
    </w:p>
  </w:footnote>
  <w:footnote w:id="15">
    <w:p w:rsidR="00790AC9" w14:paraId="29219B37" w14:textId="5EF0A56B">
      <w:pPr>
        <w:pStyle w:val="FootnoteText"/>
      </w:pPr>
      <w:r>
        <w:rPr>
          <w:rStyle w:val="FootnoteReference"/>
        </w:rPr>
        <w:footnoteRef/>
      </w:r>
      <w:r>
        <w:t xml:space="preserve"> </w:t>
      </w:r>
      <w:r w:rsidRPr="009A4380">
        <w:rPr>
          <w:i/>
          <w:iCs/>
        </w:rPr>
        <w:t xml:space="preserve">See </w:t>
      </w:r>
      <w:r w:rsidR="008D4235">
        <w:t>The Forbearance Period</w:t>
      </w:r>
      <w:r>
        <w:t xml:space="preserve"> </w:t>
      </w:r>
      <w:r w:rsidRPr="009A4380">
        <w:t xml:space="preserve">Recording on file at </w:t>
      </w:r>
      <w:r>
        <w:t xml:space="preserve">FCC File No. </w:t>
      </w:r>
      <w:r w:rsidRPr="009A4380">
        <w:t>EB</w:t>
      </w:r>
      <w:r>
        <w:t>-TCD</w:t>
      </w:r>
      <w:r w:rsidRPr="009A4380">
        <w:t>-</w:t>
      </w:r>
      <w:r w:rsidRPr="00DF3A5D">
        <w:t>22-00034232</w:t>
      </w:r>
      <w:r w:rsidR="008D4235">
        <w:t xml:space="preserve">; Petition Will be Filed </w:t>
      </w:r>
      <w:r w:rsidRPr="009A4380" w:rsidR="008D4235">
        <w:t xml:space="preserve">Recording on file at </w:t>
      </w:r>
      <w:r w:rsidR="008D4235">
        <w:t xml:space="preserve">FCC File No. </w:t>
      </w:r>
      <w:r w:rsidRPr="009A4380" w:rsidR="008D4235">
        <w:t>EB</w:t>
      </w:r>
      <w:r w:rsidR="008D4235">
        <w:t>-TCD</w:t>
      </w:r>
      <w:r w:rsidRPr="009A4380" w:rsidR="008D4235">
        <w:t>-</w:t>
      </w:r>
      <w:r w:rsidRPr="00DF3A5D" w:rsidR="008D4235">
        <w:t>22-00034232</w:t>
      </w:r>
      <w:r w:rsidRPr="009A4380" w:rsidR="008D4235">
        <w:t>.</w:t>
      </w:r>
    </w:p>
  </w:footnote>
  <w:footnote w:id="16">
    <w:p w:rsidR="00B03D49" w:rsidRPr="009A4380" w:rsidP="00B03D49" w14:paraId="62BD2527" w14:textId="1BC75A9A">
      <w:pPr>
        <w:pStyle w:val="FootnoteText"/>
      </w:pPr>
      <w:r w:rsidRPr="009A4380">
        <w:rPr>
          <w:rStyle w:val="FootnoteReference"/>
        </w:rPr>
        <w:footnoteRef/>
      </w:r>
      <w:r w:rsidRPr="009A4380">
        <w:t xml:space="preserve"> </w:t>
      </w:r>
      <w:r w:rsidRPr="009A4380">
        <w:rPr>
          <w:i/>
          <w:iCs/>
        </w:rPr>
        <w:t xml:space="preserve">See </w:t>
      </w:r>
      <w:r w:rsidR="00790AC9">
        <w:t xml:space="preserve">Petition Will be Filed </w:t>
      </w:r>
      <w:r w:rsidRPr="009A4380">
        <w:t xml:space="preserve">Recording on file at </w:t>
      </w:r>
      <w:r w:rsidR="00FD0EAC">
        <w:t xml:space="preserve">FCC </w:t>
      </w:r>
      <w:r>
        <w:t xml:space="preserve">File No. </w:t>
      </w:r>
      <w:r w:rsidRPr="009A4380">
        <w:t>EB</w:t>
      </w:r>
      <w:r w:rsidR="00DF3A5D">
        <w:t>-TCD</w:t>
      </w:r>
      <w:r w:rsidRPr="009A4380">
        <w:t>-</w:t>
      </w:r>
      <w:r w:rsidRPr="00DF3A5D" w:rsidR="00DF3A5D">
        <w:t>22-00034232</w:t>
      </w:r>
      <w:r w:rsidRPr="009A4380">
        <w:t>.</w:t>
      </w:r>
    </w:p>
  </w:footnote>
  <w:footnote w:id="17">
    <w:p w:rsidR="00EB65D5" w:rsidRPr="00FD0EAC" w:rsidP="00EB65D5" w14:paraId="4C9E1BF9" w14:textId="44DDE257">
      <w:pPr>
        <w:pStyle w:val="FootnoteText"/>
      </w:pPr>
      <w:r>
        <w:rPr>
          <w:rStyle w:val="FootnoteReference"/>
        </w:rPr>
        <w:footnoteRef/>
      </w:r>
      <w:r>
        <w:t xml:space="preserve"> 47 U.S.C. § 227.  </w:t>
      </w:r>
      <w:r>
        <w:rPr>
          <w:i/>
          <w:iCs/>
        </w:rPr>
        <w:t>See</w:t>
      </w:r>
      <w:r>
        <w:t xml:space="preserve"> </w:t>
      </w:r>
      <w:r w:rsidRPr="00040A2A">
        <w:t xml:space="preserve">Letter from Loyaan A. Egal, Chief, FCC Enforcement Bureau, to </w:t>
      </w:r>
      <w:r w:rsidR="007B64EF">
        <w:t>Fawaz Saleem, CEO</w:t>
      </w:r>
      <w:r w:rsidRPr="00040A2A">
        <w:t xml:space="preserve">, </w:t>
      </w:r>
      <w:r>
        <w:t>Urth Access,</w:t>
      </w:r>
      <w:r w:rsidRPr="00040A2A">
        <w:t xml:space="preserve"> LLC (</w:t>
      </w:r>
      <w:r>
        <w:t xml:space="preserve">Nov. </w:t>
      </w:r>
      <w:r w:rsidR="007B64EF">
        <w:t>10</w:t>
      </w:r>
      <w:r w:rsidRPr="00040A2A">
        <w:t>, 2022)</w:t>
      </w:r>
      <w:r w:rsidR="002331C2">
        <w:t xml:space="preserve">.  </w:t>
      </w:r>
      <w:r w:rsidRPr="00040A2A">
        <w:t xml:space="preserve">These letters are available on the Commission's website at </w:t>
      </w:r>
      <w:hyperlink r:id="rId1" w:history="1">
        <w:r w:rsidRPr="006567FE">
          <w:rPr>
            <w:rStyle w:val="Hyperlink"/>
          </w:rPr>
          <w:t>https://www.fcc.gov/robocall-facilitators-must-cease-and-desist</w:t>
        </w:r>
      </w:hyperlink>
      <w:r>
        <w:t>.</w:t>
      </w:r>
    </w:p>
  </w:footnote>
  <w:footnote w:id="18">
    <w:p w:rsidR="002331C2" w14:paraId="7A0DEC95" w14:textId="312BC243">
      <w:pPr>
        <w:pStyle w:val="FootnoteText"/>
      </w:pPr>
      <w:r>
        <w:rPr>
          <w:rStyle w:val="FootnoteReference"/>
        </w:rPr>
        <w:footnoteRef/>
      </w:r>
      <w:r>
        <w:t xml:space="preserve"> </w:t>
      </w:r>
      <w:r w:rsidR="003F1479">
        <w:t xml:space="preserve">Traceback Consortium </w:t>
      </w:r>
      <w:r w:rsidRPr="00C57546" w:rsidR="003F1479">
        <w:t>Subpoena Response</w:t>
      </w:r>
      <w:r w:rsidR="003F1479">
        <w:t xml:space="preserve"> on file at</w:t>
      </w:r>
      <w:r w:rsidRPr="00C57546" w:rsidR="003F1479">
        <w:t xml:space="preserve"> EB-TCD-22-00034232 (</w:t>
      </w:r>
      <w:r w:rsidR="003F1479">
        <w:t>Oct. 25, 2022</w:t>
      </w:r>
      <w:r w:rsidRPr="00C57546" w:rsidR="003F1479">
        <w:t>).</w:t>
      </w:r>
    </w:p>
  </w:footnote>
  <w:footnote w:id="19">
    <w:p w:rsidR="00F40925" w:rsidP="00F40925" w14:paraId="75469280" w14:textId="77777777">
      <w:pPr>
        <w:pStyle w:val="FootnoteText"/>
      </w:pPr>
      <w:r>
        <w:rPr>
          <w:rStyle w:val="FootnoteReference"/>
        </w:rPr>
        <w:footnoteRef/>
      </w:r>
      <w:r>
        <w:t xml:space="preserve"> A consent log includes identifying information about a consumer such as name, telephone number, and address that the consumer allegedly entered into an online form consenting to receive robocalls.</w:t>
      </w:r>
    </w:p>
  </w:footnote>
  <w:footnote w:id="20">
    <w:p w:rsidR="004E08E7" w14:paraId="6EDB9335" w14:textId="639DDCA9">
      <w:pPr>
        <w:pStyle w:val="FootnoteText"/>
      </w:pPr>
      <w:r>
        <w:rPr>
          <w:rStyle w:val="FootnoteReference"/>
        </w:rPr>
        <w:footnoteRef/>
      </w:r>
      <w:r>
        <w:t xml:space="preserve"> The Traceback Consortium notices informed Urth Access that the calls involved student loans.</w:t>
      </w:r>
      <w:r w:rsidR="00AD2128">
        <w:t xml:space="preserve">  Traceback Consortium </w:t>
      </w:r>
      <w:r w:rsidRPr="00C57546" w:rsidR="00AD2128">
        <w:t>Subpoena Response</w:t>
      </w:r>
      <w:r w:rsidR="00AD2128">
        <w:t xml:space="preserve"> on file at</w:t>
      </w:r>
      <w:r w:rsidRPr="00C57546" w:rsidR="00AD2128">
        <w:t xml:space="preserve"> EB-TCD-22-00034232 (</w:t>
      </w:r>
      <w:r w:rsidR="00AD2128">
        <w:t>Oct. 25, 2022</w:t>
      </w:r>
      <w:r w:rsidRPr="00C57546" w:rsidR="00AD2128">
        <w:t>)</w:t>
      </w:r>
      <w:r w:rsidR="00AD2128">
        <w:t xml:space="preserve">; Traceback Consortium </w:t>
      </w:r>
      <w:r w:rsidRPr="00C57546" w:rsidR="00AD2128">
        <w:t>Subpoena Response</w:t>
      </w:r>
      <w:r w:rsidR="00AD2128">
        <w:t xml:space="preserve"> on file at</w:t>
      </w:r>
      <w:r w:rsidRPr="00C57546" w:rsidR="00AD2128">
        <w:t xml:space="preserve"> EB-TCD-22-00034232 (</w:t>
      </w:r>
      <w:r w:rsidR="00AD2128">
        <w:t>Oct. 3, 2022</w:t>
      </w:r>
      <w:r w:rsidRPr="00C57546" w:rsidR="00AD2128">
        <w:t>).</w:t>
      </w:r>
      <w:r w:rsidRPr="00AD2128" w:rsidR="00AD2128">
        <w:t xml:space="preserve"> </w:t>
      </w:r>
      <w:r w:rsidR="00AD2128">
        <w:t xml:space="preserve"> Furthermore, it appears that Urth Access and its customers are the same entity.  The persons who registered the “customer” websites are individuals who appear to be employees or agents of Nathan Dawood and his companies. These individuals and companies share the same Orange County, California address as Urth Access.  </w:t>
      </w:r>
      <w:r w:rsidRPr="002331C2" w:rsidR="00AD2128">
        <w:rPr>
          <w:i/>
          <w:iCs/>
        </w:rPr>
        <w:t xml:space="preserve">See </w:t>
      </w:r>
      <w:r w:rsidRPr="002331C2" w:rsidR="00AD2128">
        <w:t xml:space="preserve">Statement of Information, Global </w:t>
      </w:r>
      <w:r w:rsidRPr="002331C2" w:rsidR="00AD2128">
        <w:t>Lynks</w:t>
      </w:r>
      <w:r w:rsidRPr="002331C2" w:rsidR="00AD2128">
        <w:t xml:space="preserve"> LLC, Cal. Sec’y of State (June 13, 2022); Articles of Incorporation, Urth Access, Wyo. Sec’y of State (Jan. 13, 2022); Statement of Information, Fire Data LLC, Cal. Sec’y of State (Dec. 29, 2021); Statement of Information, Dawood &amp; Company, Cal. Sec’y of State (Oct. 26, 2021); Statement of Information, US Acquisitions LLC, Cal. Sec’y of State (Sept. 8, 2021); Contact Us, Dawood &amp; Dawood, </w:t>
      </w:r>
      <w:hyperlink r:id="rId4" w:history="1">
        <w:r w:rsidRPr="00641ACD" w:rsidR="00AD2128">
          <w:rPr>
            <w:rStyle w:val="Hyperlink"/>
          </w:rPr>
          <w:t>http://dawoodanddawood.com/contact/</w:t>
        </w:r>
      </w:hyperlink>
      <w:r w:rsidR="00AD2128">
        <w:t xml:space="preserve"> </w:t>
      </w:r>
      <w:r w:rsidRPr="002331C2" w:rsidR="00AD2128">
        <w:t>(last visited Nov. 2, 2022).</w:t>
      </w:r>
      <w:r w:rsidR="00AD2128">
        <w:t xml:space="preserve">  These individuals are also officers or agents of Global </w:t>
      </w:r>
      <w:r w:rsidR="00AD2128">
        <w:t>Lynks</w:t>
      </w:r>
      <w:r w:rsidR="00AD2128">
        <w:t xml:space="preserve"> LLC and Call Pipe, LLC, which were the targets of the Bureau’s auto warranty enforcement actions.  </w:t>
      </w:r>
      <w:r w:rsidR="0029220F">
        <w:rPr>
          <w:i/>
          <w:iCs/>
        </w:rPr>
        <w:t>See Robocall Enforcement Notice to All U.S.-Based Voice Service Providers</w:t>
      </w:r>
      <w:r w:rsidR="0029220F">
        <w:t>, Public Notice DA 22-727 at 1-2 (EB 2022)</w:t>
      </w:r>
      <w:r w:rsidR="0029220F">
        <w:rPr>
          <w:i/>
          <w:iCs/>
        </w:rPr>
        <w:t>; FCC Enforcement Bureau Warns All U.S.-Based Voice Service Providers to Avoid or Cease Carriage of Auto Warranty Robocall Traffic from Cox/Jones/</w:t>
      </w:r>
      <w:r w:rsidR="0029220F">
        <w:rPr>
          <w:i/>
          <w:iCs/>
        </w:rPr>
        <w:t>Sumco</w:t>
      </w:r>
      <w:r w:rsidR="0029220F">
        <w:rPr>
          <w:i/>
          <w:iCs/>
        </w:rPr>
        <w:t xml:space="preserve"> Panama Operation</w:t>
      </w:r>
      <w:r w:rsidR="0029220F">
        <w:t>, Order, DA 22-784 at 1 (EB 2022);</w:t>
      </w:r>
    </w:p>
  </w:footnote>
  <w:footnote w:id="21">
    <w:p w:rsidR="007468C1" w14:paraId="2CB6C6D9" w14:textId="7C3BCA26">
      <w:pPr>
        <w:pStyle w:val="FootnoteText"/>
      </w:pPr>
      <w:r>
        <w:rPr>
          <w:rStyle w:val="FootnoteReference"/>
        </w:rPr>
        <w:footnoteRef/>
      </w:r>
      <w:r>
        <w:t xml:space="preserve"> </w:t>
      </w:r>
      <w:r w:rsidR="000B450D">
        <w:t xml:space="preserve">47 CFR </w:t>
      </w:r>
      <w:r w:rsidR="00605E3B">
        <w:t>§ 64.1200(f)(9)</w:t>
      </w:r>
      <w:r w:rsidR="005004BD">
        <w:rPr>
          <w:i/>
          <w:iCs/>
        </w:rPr>
        <w:t xml:space="preserve">; </w:t>
      </w:r>
      <w:bookmarkStart w:id="2" w:name="_Hlk118905450"/>
      <w:r w:rsidR="005004BD">
        <w:rPr>
          <w:i/>
          <w:iCs/>
        </w:rPr>
        <w:t>Rules and Regulations Implementing the Telephone Consumer Protection Act of 1991</w:t>
      </w:r>
      <w:r w:rsidR="005004BD">
        <w:t xml:space="preserve">, CG Docket No. 02-278, Report and Order, 27 FCC </w:t>
      </w:r>
      <w:r w:rsidR="005004BD">
        <w:t>Rcd</w:t>
      </w:r>
      <w:r w:rsidR="005004BD">
        <w:t xml:space="preserve"> 1830, 1844, para. 33 (2012).</w:t>
      </w:r>
      <w:bookmarkEnd w:id="2"/>
    </w:p>
  </w:footnote>
  <w:footnote w:id="22">
    <w:p w:rsidR="003F45A7" w:rsidRPr="003F45A7" w14:paraId="3608637E" w14:textId="6A994D9E">
      <w:pPr>
        <w:pStyle w:val="FootnoteText"/>
      </w:pPr>
      <w:r>
        <w:rPr>
          <w:rStyle w:val="FootnoteReference"/>
        </w:rPr>
        <w:footnoteRef/>
      </w:r>
      <w:r>
        <w:t xml:space="preserve"> Marketing Partners, </w:t>
      </w:r>
      <w:hyperlink r:id="rId5" w:history="1">
        <w:r w:rsidRPr="004A5380" w:rsidR="007B64EF">
          <w:rPr>
            <w:rStyle w:val="Hyperlink"/>
          </w:rPr>
          <w:t>http://marketingpartners.business</w:t>
        </w:r>
      </w:hyperlink>
      <w:r w:rsidR="007B64EF">
        <w:t xml:space="preserve"> </w:t>
      </w:r>
      <w:r>
        <w:t xml:space="preserve">(last visited Oct. 27, 2022). </w:t>
      </w:r>
    </w:p>
  </w:footnote>
  <w:footnote w:id="23">
    <w:p w:rsidR="005004BD" w14:paraId="495DEBAD" w14:textId="24F6CD30">
      <w:pPr>
        <w:pStyle w:val="FootnoteText"/>
      </w:pPr>
      <w:r>
        <w:rPr>
          <w:rStyle w:val="FootnoteReference"/>
        </w:rPr>
        <w:footnoteRef/>
      </w:r>
      <w:r>
        <w:t xml:space="preserve"> </w:t>
      </w:r>
      <w:r w:rsidRPr="005004BD">
        <w:t>The Commission’s rules provide that, to be “clear and conspicuous,” the disclosure must inform consumers that they will “receive future calls that deliver prerecorded messages by or on behalf of a specific seller</w:t>
      </w:r>
      <w:r w:rsidRPr="007B64EF">
        <w:t xml:space="preserve">.”  </w:t>
      </w:r>
      <w:r w:rsidRPr="00C61BBB">
        <w:rPr>
          <w:i/>
          <w:iCs/>
        </w:rPr>
        <w:t>Rules and Regulations Implementing the Telephone Consumer Protection Act of 1991</w:t>
      </w:r>
      <w:r w:rsidRPr="005004BD">
        <w:t xml:space="preserve">, 27 FCC </w:t>
      </w:r>
      <w:r w:rsidRPr="005004BD">
        <w:t>Rcd</w:t>
      </w:r>
      <w:r>
        <w:t xml:space="preserve"> at </w:t>
      </w:r>
      <w:r w:rsidRPr="005004BD">
        <w:t>1844, para. 33.</w:t>
      </w:r>
    </w:p>
  </w:footnote>
  <w:footnote w:id="24">
    <w:p w:rsidR="00152641" w14:paraId="12F72CEC" w14:textId="53CE821B">
      <w:pPr>
        <w:pStyle w:val="FootnoteText"/>
      </w:pPr>
      <w:r>
        <w:rPr>
          <w:rStyle w:val="FootnoteReference"/>
        </w:rPr>
        <w:footnoteRef/>
      </w:r>
      <w:r>
        <w:t xml:space="preserve"> 47 CFR</w:t>
      </w:r>
      <w:r w:rsidR="00301B90">
        <w:t xml:space="preserve"> §</w:t>
      </w:r>
      <w:r>
        <w:t xml:space="preserve"> 64.1200(n)(2)</w:t>
      </w:r>
      <w:r w:rsidR="00301B90">
        <w:t xml:space="preserve">; </w:t>
      </w:r>
      <w:r w:rsidR="00301B90">
        <w:rPr>
          <w:i/>
          <w:iCs/>
        </w:rPr>
        <w:t>see also</w:t>
      </w:r>
      <w:r w:rsidR="00301B90">
        <w:t xml:space="preserve"> 47 CFR § 64.1200(f)(18)</w:t>
      </w:r>
      <w:r w:rsidR="00047274">
        <w:t xml:space="preserve">; </w:t>
      </w:r>
      <w:r w:rsidR="009B14A8">
        <w:rPr>
          <w:i/>
          <w:iCs/>
        </w:rPr>
        <w:t>Advanced Methods to Target and Eliminate Unlawful Robocalls</w:t>
      </w:r>
      <w:r w:rsidR="009B14A8">
        <w:t xml:space="preserve">, Fourth Report and Order, 35 FCC </w:t>
      </w:r>
      <w:r w:rsidR="009B14A8">
        <w:t>Rcd</w:t>
      </w:r>
      <w:r w:rsidR="00316D3F">
        <w:t xml:space="preserve"> 15221,</w:t>
      </w:r>
      <w:r w:rsidR="00530DE6">
        <w:t xml:space="preserve"> 15231,</w:t>
      </w:r>
      <w:r w:rsidR="00316D3F">
        <w:t xml:space="preserve"> paras. 26-27 (2020)</w:t>
      </w:r>
      <w:r w:rsidR="006761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79B" w:rsidRPr="007B579B" w14:paraId="0A8E9849" w14:textId="71E1082C">
    <w:pPr>
      <w:tabs>
        <w:tab w:val="center" w:pos="4680"/>
        <w:tab w:val="right" w:pos="9360"/>
      </w:tabs>
      <w:rPr>
        <w:b/>
      </w:rPr>
    </w:pPr>
    <w:r>
      <w:rPr>
        <w:b/>
      </w:rPr>
      <w:tab/>
      <w:t>Federal Communications Commission</w:t>
    </w:r>
    <w:r>
      <w:rPr>
        <w:b/>
      </w:rPr>
      <w:tab/>
    </w:r>
    <w:r>
      <w:rPr>
        <w:b/>
      </w:rPr>
      <w:t xml:space="preserve">DA </w:t>
    </w:r>
    <w:r w:rsidR="0028163C">
      <w:rPr>
        <w:b/>
      </w:rPr>
      <w:t>22-1182</w:t>
    </w:r>
  </w:p>
  <w:p w:rsidR="00A137DB" w:rsidRPr="0028163C" w:rsidP="0028163C" w14:paraId="05BD26FD" w14:textId="61037A1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2A6DC7D7" w14:textId="331893B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9B93833"/>
    <w:multiLevelType w:val="hybridMultilevel"/>
    <w:tmpl w:val="9802F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4"/>
    <w:rsid w:val="00001A8E"/>
    <w:rsid w:val="00002732"/>
    <w:rsid w:val="00006E81"/>
    <w:rsid w:val="00010DA5"/>
    <w:rsid w:val="00014512"/>
    <w:rsid w:val="0001604F"/>
    <w:rsid w:val="00025D54"/>
    <w:rsid w:val="00026DA7"/>
    <w:rsid w:val="00033045"/>
    <w:rsid w:val="00040A2A"/>
    <w:rsid w:val="0004312C"/>
    <w:rsid w:val="00044A61"/>
    <w:rsid w:val="00047274"/>
    <w:rsid w:val="00052393"/>
    <w:rsid w:val="000526EC"/>
    <w:rsid w:val="00057421"/>
    <w:rsid w:val="00060D40"/>
    <w:rsid w:val="0006711A"/>
    <w:rsid w:val="00074AB1"/>
    <w:rsid w:val="00074EE3"/>
    <w:rsid w:val="00085277"/>
    <w:rsid w:val="00085B28"/>
    <w:rsid w:val="0009369A"/>
    <w:rsid w:val="000B450D"/>
    <w:rsid w:val="000C3F16"/>
    <w:rsid w:val="000C6930"/>
    <w:rsid w:val="000C7469"/>
    <w:rsid w:val="000D331E"/>
    <w:rsid w:val="000E72BB"/>
    <w:rsid w:val="000F34D5"/>
    <w:rsid w:val="001061E8"/>
    <w:rsid w:val="0010689B"/>
    <w:rsid w:val="00110740"/>
    <w:rsid w:val="0011461C"/>
    <w:rsid w:val="001218F2"/>
    <w:rsid w:val="00126290"/>
    <w:rsid w:val="001267E4"/>
    <w:rsid w:val="001303D4"/>
    <w:rsid w:val="0013521F"/>
    <w:rsid w:val="00135247"/>
    <w:rsid w:val="001418EB"/>
    <w:rsid w:val="00142A3B"/>
    <w:rsid w:val="001431C1"/>
    <w:rsid w:val="00152641"/>
    <w:rsid w:val="00166371"/>
    <w:rsid w:val="0017386A"/>
    <w:rsid w:val="00185281"/>
    <w:rsid w:val="001A1AD1"/>
    <w:rsid w:val="001B20B6"/>
    <w:rsid w:val="001C40CA"/>
    <w:rsid w:val="001D5674"/>
    <w:rsid w:val="001E3327"/>
    <w:rsid w:val="001F67EF"/>
    <w:rsid w:val="00203786"/>
    <w:rsid w:val="002068CA"/>
    <w:rsid w:val="00212C73"/>
    <w:rsid w:val="002331C2"/>
    <w:rsid w:val="00236E5F"/>
    <w:rsid w:val="00240BF2"/>
    <w:rsid w:val="00242164"/>
    <w:rsid w:val="00242756"/>
    <w:rsid w:val="00245CFD"/>
    <w:rsid w:val="002465DB"/>
    <w:rsid w:val="0024670C"/>
    <w:rsid w:val="0025010B"/>
    <w:rsid w:val="00253878"/>
    <w:rsid w:val="00262047"/>
    <w:rsid w:val="00264745"/>
    <w:rsid w:val="0028163C"/>
    <w:rsid w:val="00286808"/>
    <w:rsid w:val="00290351"/>
    <w:rsid w:val="0029220F"/>
    <w:rsid w:val="002935ED"/>
    <w:rsid w:val="002954BE"/>
    <w:rsid w:val="002A1FCD"/>
    <w:rsid w:val="002A4321"/>
    <w:rsid w:val="002A47BC"/>
    <w:rsid w:val="002A5234"/>
    <w:rsid w:val="002B4FBB"/>
    <w:rsid w:val="002C051E"/>
    <w:rsid w:val="002D3B7A"/>
    <w:rsid w:val="002E5792"/>
    <w:rsid w:val="002F2AF8"/>
    <w:rsid w:val="002F72E0"/>
    <w:rsid w:val="00301B90"/>
    <w:rsid w:val="00302AD9"/>
    <w:rsid w:val="003079DF"/>
    <w:rsid w:val="00316D3F"/>
    <w:rsid w:val="00323850"/>
    <w:rsid w:val="003351B7"/>
    <w:rsid w:val="00346D3F"/>
    <w:rsid w:val="0035304B"/>
    <w:rsid w:val="0035381B"/>
    <w:rsid w:val="00363A95"/>
    <w:rsid w:val="003646CA"/>
    <w:rsid w:val="00366D52"/>
    <w:rsid w:val="00373989"/>
    <w:rsid w:val="00374018"/>
    <w:rsid w:val="0037618A"/>
    <w:rsid w:val="00376BEE"/>
    <w:rsid w:val="00383B6F"/>
    <w:rsid w:val="00385488"/>
    <w:rsid w:val="00394CF1"/>
    <w:rsid w:val="003B0CC9"/>
    <w:rsid w:val="003B6948"/>
    <w:rsid w:val="003C3A09"/>
    <w:rsid w:val="003C42DB"/>
    <w:rsid w:val="003D5019"/>
    <w:rsid w:val="003D68C4"/>
    <w:rsid w:val="003D784D"/>
    <w:rsid w:val="003E2FDD"/>
    <w:rsid w:val="003F1479"/>
    <w:rsid w:val="003F45A7"/>
    <w:rsid w:val="003F562F"/>
    <w:rsid w:val="00407B48"/>
    <w:rsid w:val="00413A1D"/>
    <w:rsid w:val="0042061B"/>
    <w:rsid w:val="00420D14"/>
    <w:rsid w:val="00431BAF"/>
    <w:rsid w:val="00445082"/>
    <w:rsid w:val="00445CFD"/>
    <w:rsid w:val="00456261"/>
    <w:rsid w:val="00456C33"/>
    <w:rsid w:val="00457A05"/>
    <w:rsid w:val="00465CE1"/>
    <w:rsid w:val="00476420"/>
    <w:rsid w:val="004822E7"/>
    <w:rsid w:val="004829A0"/>
    <w:rsid w:val="004923BD"/>
    <w:rsid w:val="00492BCC"/>
    <w:rsid w:val="00497E2A"/>
    <w:rsid w:val="004A11AD"/>
    <w:rsid w:val="004A5380"/>
    <w:rsid w:val="004B05BD"/>
    <w:rsid w:val="004C209F"/>
    <w:rsid w:val="004C6009"/>
    <w:rsid w:val="004E08E7"/>
    <w:rsid w:val="005004BD"/>
    <w:rsid w:val="00510345"/>
    <w:rsid w:val="0051195B"/>
    <w:rsid w:val="005179E7"/>
    <w:rsid w:val="00530DE6"/>
    <w:rsid w:val="00531C42"/>
    <w:rsid w:val="00535379"/>
    <w:rsid w:val="00536A47"/>
    <w:rsid w:val="005436DE"/>
    <w:rsid w:val="00550121"/>
    <w:rsid w:val="005638D3"/>
    <w:rsid w:val="00565031"/>
    <w:rsid w:val="00572C32"/>
    <w:rsid w:val="005757B3"/>
    <w:rsid w:val="00584965"/>
    <w:rsid w:val="00591E86"/>
    <w:rsid w:val="005A0395"/>
    <w:rsid w:val="005B67CF"/>
    <w:rsid w:val="005B6A3D"/>
    <w:rsid w:val="005C241A"/>
    <w:rsid w:val="005C3DB6"/>
    <w:rsid w:val="005C72E1"/>
    <w:rsid w:val="005D04A7"/>
    <w:rsid w:val="005D1052"/>
    <w:rsid w:val="005D7D83"/>
    <w:rsid w:val="005E0F10"/>
    <w:rsid w:val="005E338A"/>
    <w:rsid w:val="005F18D3"/>
    <w:rsid w:val="005F3FB1"/>
    <w:rsid w:val="00600F2F"/>
    <w:rsid w:val="00605E3B"/>
    <w:rsid w:val="00615CFA"/>
    <w:rsid w:val="00624036"/>
    <w:rsid w:val="00626E82"/>
    <w:rsid w:val="00641ACD"/>
    <w:rsid w:val="00641CF8"/>
    <w:rsid w:val="006567FE"/>
    <w:rsid w:val="00663213"/>
    <w:rsid w:val="00664B5C"/>
    <w:rsid w:val="006737CF"/>
    <w:rsid w:val="00676160"/>
    <w:rsid w:val="00692591"/>
    <w:rsid w:val="00692F36"/>
    <w:rsid w:val="00695BA3"/>
    <w:rsid w:val="006A2FA4"/>
    <w:rsid w:val="006A5925"/>
    <w:rsid w:val="006A5D5A"/>
    <w:rsid w:val="006C77F7"/>
    <w:rsid w:val="006D4454"/>
    <w:rsid w:val="006D47E4"/>
    <w:rsid w:val="006D4DD2"/>
    <w:rsid w:val="006D5374"/>
    <w:rsid w:val="006E4045"/>
    <w:rsid w:val="006F2B23"/>
    <w:rsid w:val="006F514A"/>
    <w:rsid w:val="00711E1B"/>
    <w:rsid w:val="00716BFA"/>
    <w:rsid w:val="00725570"/>
    <w:rsid w:val="00727E38"/>
    <w:rsid w:val="0073318D"/>
    <w:rsid w:val="007468C1"/>
    <w:rsid w:val="007536B2"/>
    <w:rsid w:val="00770BBE"/>
    <w:rsid w:val="007777E2"/>
    <w:rsid w:val="00784E03"/>
    <w:rsid w:val="00785478"/>
    <w:rsid w:val="00790AC9"/>
    <w:rsid w:val="0079237F"/>
    <w:rsid w:val="00792F04"/>
    <w:rsid w:val="00797DBA"/>
    <w:rsid w:val="007A313E"/>
    <w:rsid w:val="007A4278"/>
    <w:rsid w:val="007B2A48"/>
    <w:rsid w:val="007B579B"/>
    <w:rsid w:val="007B64EF"/>
    <w:rsid w:val="007B6DDC"/>
    <w:rsid w:val="007B7799"/>
    <w:rsid w:val="007C12C5"/>
    <w:rsid w:val="007C1E55"/>
    <w:rsid w:val="007C20F0"/>
    <w:rsid w:val="007C4BE1"/>
    <w:rsid w:val="007D2F79"/>
    <w:rsid w:val="007D5B45"/>
    <w:rsid w:val="007F5B79"/>
    <w:rsid w:val="007F722A"/>
    <w:rsid w:val="007F73AF"/>
    <w:rsid w:val="00803ED3"/>
    <w:rsid w:val="00813F2D"/>
    <w:rsid w:val="00816FE0"/>
    <w:rsid w:val="00826F63"/>
    <w:rsid w:val="00832CD6"/>
    <w:rsid w:val="00841E2A"/>
    <w:rsid w:val="008437C9"/>
    <w:rsid w:val="00847591"/>
    <w:rsid w:val="00847D76"/>
    <w:rsid w:val="008514D9"/>
    <w:rsid w:val="00855F40"/>
    <w:rsid w:val="00856B9F"/>
    <w:rsid w:val="008744EE"/>
    <w:rsid w:val="00885E78"/>
    <w:rsid w:val="0089467A"/>
    <w:rsid w:val="008A1328"/>
    <w:rsid w:val="008A247A"/>
    <w:rsid w:val="008A2DEB"/>
    <w:rsid w:val="008A5539"/>
    <w:rsid w:val="008A5E26"/>
    <w:rsid w:val="008B0727"/>
    <w:rsid w:val="008B23BC"/>
    <w:rsid w:val="008B4466"/>
    <w:rsid w:val="008C23DC"/>
    <w:rsid w:val="008C47C1"/>
    <w:rsid w:val="008C7B9B"/>
    <w:rsid w:val="008D2EB2"/>
    <w:rsid w:val="008D34A9"/>
    <w:rsid w:val="008D4235"/>
    <w:rsid w:val="008D55CC"/>
    <w:rsid w:val="008D775A"/>
    <w:rsid w:val="008E18F4"/>
    <w:rsid w:val="008E720D"/>
    <w:rsid w:val="008F1652"/>
    <w:rsid w:val="00903324"/>
    <w:rsid w:val="00904733"/>
    <w:rsid w:val="00905198"/>
    <w:rsid w:val="00915FEC"/>
    <w:rsid w:val="00916995"/>
    <w:rsid w:val="00920DCC"/>
    <w:rsid w:val="009222A1"/>
    <w:rsid w:val="00924CAA"/>
    <w:rsid w:val="009342BB"/>
    <w:rsid w:val="0093486A"/>
    <w:rsid w:val="00940C64"/>
    <w:rsid w:val="00944683"/>
    <w:rsid w:val="00950277"/>
    <w:rsid w:val="00950D7D"/>
    <w:rsid w:val="00951E37"/>
    <w:rsid w:val="00957A2E"/>
    <w:rsid w:val="00964535"/>
    <w:rsid w:val="00965E5D"/>
    <w:rsid w:val="0097012C"/>
    <w:rsid w:val="00971F86"/>
    <w:rsid w:val="00975211"/>
    <w:rsid w:val="00977A35"/>
    <w:rsid w:val="00985D47"/>
    <w:rsid w:val="00986D14"/>
    <w:rsid w:val="00993C4D"/>
    <w:rsid w:val="009A0D14"/>
    <w:rsid w:val="009A4380"/>
    <w:rsid w:val="009A56B3"/>
    <w:rsid w:val="009B14A8"/>
    <w:rsid w:val="009B3B50"/>
    <w:rsid w:val="009B47B6"/>
    <w:rsid w:val="009C0FE2"/>
    <w:rsid w:val="009C4B35"/>
    <w:rsid w:val="009C540B"/>
    <w:rsid w:val="009C7249"/>
    <w:rsid w:val="009D6B15"/>
    <w:rsid w:val="009E0607"/>
    <w:rsid w:val="009F1217"/>
    <w:rsid w:val="009F3565"/>
    <w:rsid w:val="009F6D5C"/>
    <w:rsid w:val="00A137DB"/>
    <w:rsid w:val="00A17518"/>
    <w:rsid w:val="00A25C8E"/>
    <w:rsid w:val="00A261F7"/>
    <w:rsid w:val="00A31282"/>
    <w:rsid w:val="00A353C2"/>
    <w:rsid w:val="00A40ACA"/>
    <w:rsid w:val="00A4165F"/>
    <w:rsid w:val="00A42414"/>
    <w:rsid w:val="00A46DCA"/>
    <w:rsid w:val="00A50A2A"/>
    <w:rsid w:val="00A62D7D"/>
    <w:rsid w:val="00A7215B"/>
    <w:rsid w:val="00A85962"/>
    <w:rsid w:val="00A914ED"/>
    <w:rsid w:val="00AA089F"/>
    <w:rsid w:val="00AA48B5"/>
    <w:rsid w:val="00AA5746"/>
    <w:rsid w:val="00AB0298"/>
    <w:rsid w:val="00AB58A7"/>
    <w:rsid w:val="00AC4F2B"/>
    <w:rsid w:val="00AD2128"/>
    <w:rsid w:val="00AD3718"/>
    <w:rsid w:val="00AE0F89"/>
    <w:rsid w:val="00AE1E7A"/>
    <w:rsid w:val="00AE6FB6"/>
    <w:rsid w:val="00AF206A"/>
    <w:rsid w:val="00AF560E"/>
    <w:rsid w:val="00B000AE"/>
    <w:rsid w:val="00B02635"/>
    <w:rsid w:val="00B02EB2"/>
    <w:rsid w:val="00B03D49"/>
    <w:rsid w:val="00B16FD3"/>
    <w:rsid w:val="00B1730F"/>
    <w:rsid w:val="00B17C0D"/>
    <w:rsid w:val="00B20319"/>
    <w:rsid w:val="00B2787E"/>
    <w:rsid w:val="00B368EE"/>
    <w:rsid w:val="00B36C06"/>
    <w:rsid w:val="00B4528B"/>
    <w:rsid w:val="00B4653C"/>
    <w:rsid w:val="00B52B67"/>
    <w:rsid w:val="00B61C6B"/>
    <w:rsid w:val="00B756D3"/>
    <w:rsid w:val="00B915A8"/>
    <w:rsid w:val="00B92450"/>
    <w:rsid w:val="00BA5243"/>
    <w:rsid w:val="00BB2D2D"/>
    <w:rsid w:val="00BC2097"/>
    <w:rsid w:val="00BC4090"/>
    <w:rsid w:val="00BC6741"/>
    <w:rsid w:val="00BD0428"/>
    <w:rsid w:val="00BD7AFF"/>
    <w:rsid w:val="00BF307C"/>
    <w:rsid w:val="00C05F51"/>
    <w:rsid w:val="00C22664"/>
    <w:rsid w:val="00C3062C"/>
    <w:rsid w:val="00C33E3A"/>
    <w:rsid w:val="00C344EF"/>
    <w:rsid w:val="00C40B93"/>
    <w:rsid w:val="00C51529"/>
    <w:rsid w:val="00C51E7C"/>
    <w:rsid w:val="00C57546"/>
    <w:rsid w:val="00C61BBB"/>
    <w:rsid w:val="00C62B91"/>
    <w:rsid w:val="00C73C71"/>
    <w:rsid w:val="00C80DD2"/>
    <w:rsid w:val="00C83E4E"/>
    <w:rsid w:val="00C95C06"/>
    <w:rsid w:val="00C977FE"/>
    <w:rsid w:val="00CB1DB0"/>
    <w:rsid w:val="00CB562F"/>
    <w:rsid w:val="00CB5D09"/>
    <w:rsid w:val="00CB632F"/>
    <w:rsid w:val="00CD7236"/>
    <w:rsid w:val="00CE579F"/>
    <w:rsid w:val="00CF13EB"/>
    <w:rsid w:val="00CF1950"/>
    <w:rsid w:val="00CF3419"/>
    <w:rsid w:val="00D12C39"/>
    <w:rsid w:val="00D12CF4"/>
    <w:rsid w:val="00D132A2"/>
    <w:rsid w:val="00D23869"/>
    <w:rsid w:val="00D26768"/>
    <w:rsid w:val="00D370B2"/>
    <w:rsid w:val="00D37BC7"/>
    <w:rsid w:val="00D41226"/>
    <w:rsid w:val="00D50A43"/>
    <w:rsid w:val="00D564B0"/>
    <w:rsid w:val="00D71772"/>
    <w:rsid w:val="00D720F4"/>
    <w:rsid w:val="00D74E95"/>
    <w:rsid w:val="00D847A3"/>
    <w:rsid w:val="00D85B5E"/>
    <w:rsid w:val="00D86972"/>
    <w:rsid w:val="00DA39D3"/>
    <w:rsid w:val="00DB2239"/>
    <w:rsid w:val="00DB739B"/>
    <w:rsid w:val="00DC00F2"/>
    <w:rsid w:val="00DC4CF7"/>
    <w:rsid w:val="00DF3A5D"/>
    <w:rsid w:val="00E00BFD"/>
    <w:rsid w:val="00E01F79"/>
    <w:rsid w:val="00E224B7"/>
    <w:rsid w:val="00E31B57"/>
    <w:rsid w:val="00E62BE5"/>
    <w:rsid w:val="00E66419"/>
    <w:rsid w:val="00E66D36"/>
    <w:rsid w:val="00E72B4D"/>
    <w:rsid w:val="00E83857"/>
    <w:rsid w:val="00E859DE"/>
    <w:rsid w:val="00E878E8"/>
    <w:rsid w:val="00E90463"/>
    <w:rsid w:val="00E9482D"/>
    <w:rsid w:val="00E96ED6"/>
    <w:rsid w:val="00E975EA"/>
    <w:rsid w:val="00EA375A"/>
    <w:rsid w:val="00EB65D5"/>
    <w:rsid w:val="00EB72A6"/>
    <w:rsid w:val="00EC0C15"/>
    <w:rsid w:val="00EC2969"/>
    <w:rsid w:val="00EC4A1C"/>
    <w:rsid w:val="00ED61E3"/>
    <w:rsid w:val="00ED7EFB"/>
    <w:rsid w:val="00EE2F1A"/>
    <w:rsid w:val="00EE45FB"/>
    <w:rsid w:val="00EE6498"/>
    <w:rsid w:val="00EF2A6B"/>
    <w:rsid w:val="00F030C8"/>
    <w:rsid w:val="00F04C46"/>
    <w:rsid w:val="00F06FDE"/>
    <w:rsid w:val="00F2766E"/>
    <w:rsid w:val="00F32D03"/>
    <w:rsid w:val="00F37631"/>
    <w:rsid w:val="00F40925"/>
    <w:rsid w:val="00F410E6"/>
    <w:rsid w:val="00F42812"/>
    <w:rsid w:val="00F513C8"/>
    <w:rsid w:val="00F5668B"/>
    <w:rsid w:val="00F61EB6"/>
    <w:rsid w:val="00F64CE8"/>
    <w:rsid w:val="00F75D1B"/>
    <w:rsid w:val="00F80DA2"/>
    <w:rsid w:val="00F8168C"/>
    <w:rsid w:val="00F81D2C"/>
    <w:rsid w:val="00F951C3"/>
    <w:rsid w:val="00F97B7C"/>
    <w:rsid w:val="00FA68C9"/>
    <w:rsid w:val="00FC323C"/>
    <w:rsid w:val="00FD0EAC"/>
    <w:rsid w:val="00FD23C5"/>
    <w:rsid w:val="00FD54FA"/>
    <w:rsid w:val="00FD5B56"/>
    <w:rsid w:val="00FD7CB1"/>
    <w:rsid w:val="00FE1102"/>
    <w:rsid w:val="475C25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890337"/>
  <w15:docId w15:val="{360A8A48-9CA2-4C69-A6A9-79772CA8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F97B7C"/>
  </w:style>
  <w:style w:type="table" w:styleId="TableGrid">
    <w:name w:val="Table Grid"/>
    <w:basedOn w:val="TableNormal"/>
    <w:uiPriority w:val="59"/>
    <w:rsid w:val="00D4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E0F89"/>
    <w:rPr>
      <w:sz w:val="16"/>
      <w:szCs w:val="16"/>
    </w:rPr>
  </w:style>
  <w:style w:type="paragraph" w:styleId="CommentText">
    <w:name w:val="annotation text"/>
    <w:basedOn w:val="Normal"/>
    <w:link w:val="CommentTextChar"/>
    <w:uiPriority w:val="99"/>
    <w:unhideWhenUsed/>
    <w:rsid w:val="00AE0F89"/>
    <w:rPr>
      <w:sz w:val="20"/>
    </w:rPr>
  </w:style>
  <w:style w:type="character" w:customStyle="1" w:styleId="CommentTextChar">
    <w:name w:val="Comment Text Char"/>
    <w:link w:val="CommentText"/>
    <w:uiPriority w:val="99"/>
    <w:rsid w:val="00AE0F89"/>
    <w:rPr>
      <w:snapToGrid w:val="0"/>
      <w:kern w:val="28"/>
    </w:rPr>
  </w:style>
  <w:style w:type="paragraph" w:styleId="CommentSubject">
    <w:name w:val="annotation subject"/>
    <w:basedOn w:val="CommentText"/>
    <w:next w:val="CommentText"/>
    <w:link w:val="CommentSubjectChar"/>
    <w:uiPriority w:val="99"/>
    <w:semiHidden/>
    <w:unhideWhenUsed/>
    <w:rsid w:val="00AE0F89"/>
    <w:rPr>
      <w:b/>
      <w:bCs/>
    </w:rPr>
  </w:style>
  <w:style w:type="character" w:customStyle="1" w:styleId="CommentSubjectChar">
    <w:name w:val="Comment Subject Char"/>
    <w:link w:val="CommentSubject"/>
    <w:uiPriority w:val="99"/>
    <w:semiHidden/>
    <w:rsid w:val="00AE0F89"/>
    <w:rPr>
      <w:b/>
      <w:bCs/>
      <w:snapToGrid w:val="0"/>
      <w:kern w:val="28"/>
    </w:rPr>
  </w:style>
  <w:style w:type="paragraph" w:customStyle="1" w:styleId="xmsonormal">
    <w:name w:val="x_msonormal"/>
    <w:basedOn w:val="Normal"/>
    <w:rsid w:val="008E720D"/>
    <w:pPr>
      <w:widowControl/>
      <w:spacing w:before="100" w:beforeAutospacing="1" w:after="100" w:afterAutospacing="1"/>
    </w:pPr>
    <w:rPr>
      <w:rFonts w:ascii="Calibri" w:eastAsia="Calibri" w:hAnsi="Calibri" w:cs="Calibri"/>
      <w:snapToGrid/>
      <w:kern w:val="0"/>
      <w:szCs w:val="22"/>
    </w:rPr>
  </w:style>
  <w:style w:type="character" w:customStyle="1" w:styleId="FootnoteTextChar1CharChar2">
    <w:name w:val="Footnote Text Char1 Char Char2"/>
    <w:aliases w:val="Footnote Text Char Char Char Char Char Char2,Footnote Text Char Char Char Char2,Footnote Text Char1 Char Char Char Char2,Styl Char1,Style 5 Char Char Char2,f Char1,rrfootnote Char Char Char2"/>
    <w:rsid w:val="00BD04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7DBA"/>
    <w:rPr>
      <w:rFonts w:ascii="Tahoma" w:hAnsi="Tahoma" w:cs="Tahoma"/>
      <w:sz w:val="16"/>
      <w:szCs w:val="16"/>
    </w:rPr>
  </w:style>
  <w:style w:type="character" w:customStyle="1" w:styleId="BalloonTextChar">
    <w:name w:val="Balloon Text Char"/>
    <w:basedOn w:val="DefaultParagraphFont"/>
    <w:link w:val="BalloonText"/>
    <w:uiPriority w:val="99"/>
    <w:semiHidden/>
    <w:rsid w:val="00797DBA"/>
    <w:rPr>
      <w:rFonts w:ascii="Tahoma" w:hAnsi="Tahoma" w:cs="Tahoma"/>
      <w:snapToGrid w:val="0"/>
      <w:kern w:val="28"/>
      <w:sz w:val="16"/>
      <w:szCs w:val="16"/>
    </w:rPr>
  </w:style>
  <w:style w:type="paragraph" w:styleId="Revision">
    <w:name w:val="Revision"/>
    <w:hidden/>
    <w:uiPriority w:val="99"/>
    <w:semiHidden/>
    <w:rsid w:val="008E18F4"/>
    <w:rPr>
      <w:snapToGrid w:val="0"/>
      <w:kern w:val="28"/>
      <w:sz w:val="22"/>
    </w:rPr>
  </w:style>
  <w:style w:type="paragraph" w:styleId="ListParagraph">
    <w:name w:val="List Paragraph"/>
    <w:basedOn w:val="Normal"/>
    <w:uiPriority w:val="34"/>
    <w:qFormat/>
    <w:rsid w:val="00431BAF"/>
    <w:pPr>
      <w:ind w:left="720"/>
      <w:contextualSpacing/>
    </w:pPr>
  </w:style>
  <w:style w:type="character" w:customStyle="1" w:styleId="UnresolvedMention2">
    <w:name w:val="Unresolved Mention2"/>
    <w:basedOn w:val="DefaultParagraphFont"/>
    <w:uiPriority w:val="99"/>
    <w:semiHidden/>
    <w:unhideWhenUsed/>
    <w:rsid w:val="00040A2A"/>
    <w:rPr>
      <w:color w:val="605E5C"/>
      <w:shd w:val="clear" w:color="auto" w:fill="E1DFDD"/>
    </w:rPr>
  </w:style>
  <w:style w:type="character" w:customStyle="1" w:styleId="UnresolvedMention3">
    <w:name w:val="Unresolved Mention3"/>
    <w:basedOn w:val="DefaultParagraphFont"/>
    <w:uiPriority w:val="99"/>
    <w:semiHidden/>
    <w:unhideWhenUsed/>
    <w:rsid w:val="00E66419"/>
    <w:rPr>
      <w:color w:val="605E5C"/>
      <w:shd w:val="clear" w:color="auto" w:fill="E1DFDD"/>
    </w:rPr>
  </w:style>
  <w:style w:type="character" w:customStyle="1" w:styleId="UnresolvedMention4">
    <w:name w:val="Unresolved Mention4"/>
    <w:basedOn w:val="DefaultParagraphFont"/>
    <w:uiPriority w:val="99"/>
    <w:semiHidden/>
    <w:unhideWhenUsed/>
    <w:rsid w:val="004E08E7"/>
    <w:rPr>
      <w:color w:val="605E5C"/>
      <w:shd w:val="clear" w:color="auto" w:fill="E1DFDD"/>
    </w:rPr>
  </w:style>
  <w:style w:type="character" w:styleId="UnresolvedMention">
    <w:name w:val="Unresolved Mention"/>
    <w:basedOn w:val="DefaultParagraphFont"/>
    <w:uiPriority w:val="99"/>
    <w:semiHidden/>
    <w:unhideWhenUsed/>
    <w:rsid w:val="00166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Lisa.Zaina@fcc.gov" TargetMode="External" /><Relationship Id="rId7" Type="http://schemas.openxmlformats.org/officeDocument/2006/relationships/hyperlink" Target="mailto:Daniel.Stepanicic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obocall-facilitators-must-cease-and-desist" TargetMode="External" /><Relationship Id="rId2" Type="http://schemas.openxmlformats.org/officeDocument/2006/relationships/hyperlink" Target="https://www.whitehouse.gov/briefing-room/statements-releases/2022/08/24/fact-sheet-president-biden-announces-student-loan-relief-for-borrowers-who-need-it-most/" TargetMode="External" /><Relationship Id="rId3" Type="http://schemas.openxmlformats.org/officeDocument/2006/relationships/hyperlink" Target="https://www.ed.gov/news/press-releases/biden-harris-administration-announces-final-student-loan-pause-extension-through-december-31-and-targeted-debt-cancellation-smooth-transition-repayment" TargetMode="External" /><Relationship Id="rId4" Type="http://schemas.openxmlformats.org/officeDocument/2006/relationships/hyperlink" Target="http://dawoodanddawood.com/contact/" TargetMode="External" /><Relationship Id="rId5" Type="http://schemas.openxmlformats.org/officeDocument/2006/relationships/hyperlink" Target="http://marketingpartners.busines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