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A0F86" w:rsidP="00AA0F86" w14:paraId="4C23F2FB" w14:textId="77777777">
      <w:pPr>
        <w:jc w:val="center"/>
        <w:rPr>
          <w:b/>
        </w:rPr>
      </w:pPr>
      <w:r w:rsidRPr="0070224F">
        <w:rPr>
          <w:rFonts w:ascii="Times New Roman Bold" w:hAnsi="Times New Roman Bold"/>
          <w:b/>
          <w:kern w:val="0"/>
          <w:szCs w:val="22"/>
        </w:rPr>
        <w:t>Before</w:t>
      </w:r>
      <w:r>
        <w:rPr>
          <w:b/>
        </w:rPr>
        <w:t xml:space="preserve"> the</w:t>
      </w:r>
    </w:p>
    <w:p w:rsidR="00AA0F86" w:rsidP="00AA0F86" w14:paraId="1A2D745B" w14:textId="77777777">
      <w:pPr>
        <w:pStyle w:val="StyleBoldCentered"/>
      </w:pPr>
      <w:r>
        <w:t>F</w:t>
      </w:r>
      <w:r>
        <w:rPr>
          <w:caps w:val="0"/>
        </w:rPr>
        <w:t>ederal Communications Commission</w:t>
      </w:r>
    </w:p>
    <w:p w:rsidR="00AA0F86" w:rsidP="00AA0F86" w14:paraId="5CD5937C" w14:textId="77777777">
      <w:pPr>
        <w:pStyle w:val="StyleBoldCentered"/>
      </w:pPr>
      <w:r>
        <w:rPr>
          <w:caps w:val="0"/>
        </w:rPr>
        <w:t>Washington, D.C. 20554</w:t>
      </w:r>
    </w:p>
    <w:p w:rsidR="00AA0F86" w:rsidP="00AA0F86" w14:paraId="0887E061" w14:textId="798D8ECB">
      <w:pPr>
        <w:tabs>
          <w:tab w:val="left" w:pos="1040"/>
        </w:tabs>
      </w:pPr>
      <w:r>
        <w:tab/>
      </w:r>
    </w:p>
    <w:p w:rsidR="00AA0F86" w:rsidP="00AA0F86" w14:paraId="5FB7A508" w14:textId="77777777"/>
    <w:tbl>
      <w:tblPr>
        <w:tblW w:w="0" w:type="auto"/>
        <w:tblLayout w:type="fixed"/>
        <w:tblLook w:val="0000"/>
      </w:tblPr>
      <w:tblGrid>
        <w:gridCol w:w="4698"/>
        <w:gridCol w:w="630"/>
        <w:gridCol w:w="4248"/>
      </w:tblGrid>
      <w:tr w14:paraId="7B700917" w14:textId="77777777" w:rsidTr="006F43A1">
        <w:tblPrEx>
          <w:tblW w:w="0" w:type="auto"/>
          <w:tblLayout w:type="fixed"/>
          <w:tblLook w:val="0000"/>
        </w:tblPrEx>
        <w:tc>
          <w:tcPr>
            <w:tcW w:w="4698" w:type="dxa"/>
          </w:tcPr>
          <w:p w:rsidR="00AA0F86" w:rsidP="006F43A1" w14:paraId="2342FBCD" w14:textId="77777777">
            <w:pPr>
              <w:tabs>
                <w:tab w:val="center" w:pos="4680"/>
              </w:tabs>
              <w:suppressAutoHyphens/>
              <w:rPr>
                <w:spacing w:val="-2"/>
              </w:rPr>
            </w:pPr>
            <w:r>
              <w:rPr>
                <w:spacing w:val="-2"/>
              </w:rPr>
              <w:t>In the Matter of</w:t>
            </w:r>
          </w:p>
          <w:p w:rsidR="00AA0F86" w:rsidP="006F43A1" w14:paraId="5BC29D6B" w14:textId="77777777">
            <w:pPr>
              <w:tabs>
                <w:tab w:val="center" w:pos="4680"/>
              </w:tabs>
              <w:suppressAutoHyphens/>
              <w:rPr>
                <w:spacing w:val="-2"/>
              </w:rPr>
            </w:pPr>
          </w:p>
          <w:p w:rsidR="00AA0F86" w:rsidRPr="007115F7" w:rsidP="006F43A1" w14:paraId="541E09AE" w14:textId="77777777">
            <w:pPr>
              <w:tabs>
                <w:tab w:val="center" w:pos="4680"/>
              </w:tabs>
              <w:suppressAutoHyphens/>
              <w:rPr>
                <w:spacing w:val="-2"/>
              </w:rPr>
            </w:pPr>
            <w:r>
              <w:rPr>
                <w:spacing w:val="-2"/>
              </w:rPr>
              <w:t>Facilitating Shared Use in the 3100-3550 MHz Band</w:t>
            </w:r>
          </w:p>
        </w:tc>
        <w:tc>
          <w:tcPr>
            <w:tcW w:w="630" w:type="dxa"/>
          </w:tcPr>
          <w:p w:rsidR="00AA0F86" w:rsidP="006F43A1" w14:paraId="1F664310" w14:textId="77777777">
            <w:pPr>
              <w:tabs>
                <w:tab w:val="center" w:pos="4680"/>
              </w:tabs>
              <w:suppressAutoHyphens/>
              <w:rPr>
                <w:b/>
                <w:spacing w:val="-2"/>
              </w:rPr>
            </w:pPr>
            <w:r>
              <w:rPr>
                <w:b/>
                <w:spacing w:val="-2"/>
              </w:rPr>
              <w:t>)</w:t>
            </w:r>
          </w:p>
          <w:p w:rsidR="00AA0F86" w:rsidP="006F43A1" w14:paraId="3127710A" w14:textId="77777777">
            <w:pPr>
              <w:tabs>
                <w:tab w:val="center" w:pos="4680"/>
              </w:tabs>
              <w:suppressAutoHyphens/>
              <w:rPr>
                <w:b/>
                <w:spacing w:val="-2"/>
              </w:rPr>
            </w:pPr>
            <w:r>
              <w:rPr>
                <w:b/>
                <w:spacing w:val="-2"/>
              </w:rPr>
              <w:t>)</w:t>
            </w:r>
          </w:p>
          <w:p w:rsidR="00AA0F86" w:rsidP="006F43A1" w14:paraId="51285743" w14:textId="77777777">
            <w:pPr>
              <w:tabs>
                <w:tab w:val="center" w:pos="4680"/>
              </w:tabs>
              <w:suppressAutoHyphens/>
              <w:rPr>
                <w:b/>
                <w:spacing w:val="-2"/>
              </w:rPr>
            </w:pPr>
            <w:r>
              <w:rPr>
                <w:b/>
                <w:spacing w:val="-2"/>
              </w:rPr>
              <w:t>)</w:t>
            </w:r>
          </w:p>
          <w:p w:rsidR="00AA0F86" w:rsidP="006F43A1" w14:paraId="13A87BE3" w14:textId="77777777">
            <w:pPr>
              <w:tabs>
                <w:tab w:val="center" w:pos="4680"/>
              </w:tabs>
              <w:suppressAutoHyphens/>
              <w:rPr>
                <w:b/>
                <w:spacing w:val="-2"/>
              </w:rPr>
            </w:pPr>
            <w:r>
              <w:rPr>
                <w:b/>
                <w:spacing w:val="-2"/>
              </w:rPr>
              <w:t>)</w:t>
            </w:r>
          </w:p>
          <w:p w:rsidR="00AA0F86" w:rsidP="006F43A1" w14:paraId="41A55F13" w14:textId="77777777">
            <w:pPr>
              <w:tabs>
                <w:tab w:val="center" w:pos="4680"/>
              </w:tabs>
              <w:suppressAutoHyphens/>
              <w:rPr>
                <w:spacing w:val="-2"/>
              </w:rPr>
            </w:pPr>
          </w:p>
        </w:tc>
        <w:tc>
          <w:tcPr>
            <w:tcW w:w="4248" w:type="dxa"/>
          </w:tcPr>
          <w:p w:rsidR="00AA0F86" w:rsidP="006F43A1" w14:paraId="003D2ACE" w14:textId="77777777">
            <w:pPr>
              <w:tabs>
                <w:tab w:val="center" w:pos="4680"/>
              </w:tabs>
              <w:suppressAutoHyphens/>
              <w:rPr>
                <w:spacing w:val="-2"/>
              </w:rPr>
            </w:pPr>
          </w:p>
          <w:p w:rsidR="00AA0F86" w:rsidP="006F43A1" w14:paraId="459FDE94" w14:textId="77777777">
            <w:pPr>
              <w:pStyle w:val="TOAHeading"/>
              <w:tabs>
                <w:tab w:val="center" w:pos="4680"/>
                <w:tab w:val="clear" w:pos="9360"/>
              </w:tabs>
              <w:rPr>
                <w:spacing w:val="-2"/>
              </w:rPr>
            </w:pPr>
          </w:p>
          <w:p w:rsidR="00AA0F86" w:rsidP="006F43A1" w14:paraId="212AA105" w14:textId="77777777">
            <w:pPr>
              <w:tabs>
                <w:tab w:val="center" w:pos="4680"/>
              </w:tabs>
              <w:suppressAutoHyphens/>
              <w:rPr>
                <w:spacing w:val="-2"/>
              </w:rPr>
            </w:pPr>
            <w:r>
              <w:rPr>
                <w:spacing w:val="-2"/>
              </w:rPr>
              <w:t>WT Docket No. 19-348</w:t>
            </w:r>
          </w:p>
        </w:tc>
      </w:tr>
    </w:tbl>
    <w:p w:rsidR="00AA0F86" w:rsidP="00AA0F86" w14:paraId="1419B41D" w14:textId="77777777"/>
    <w:p w:rsidR="00AA0F86" w:rsidP="00AA0F86" w14:paraId="391F80A5" w14:textId="77777777">
      <w:pPr>
        <w:pStyle w:val="StyleBoldCentered"/>
      </w:pPr>
      <w:r>
        <w:rPr>
          <w:rFonts w:ascii="Times New Roman" w:hAnsi="Times New Roman"/>
        </w:rPr>
        <w:t>ORDER</w:t>
      </w:r>
    </w:p>
    <w:p w:rsidR="00AA0F86" w:rsidP="00AA0F86" w14:paraId="0897180E" w14:textId="77777777">
      <w:pPr>
        <w:tabs>
          <w:tab w:val="left" w:pos="-720"/>
        </w:tabs>
        <w:suppressAutoHyphens/>
        <w:spacing w:line="227" w:lineRule="auto"/>
        <w:rPr>
          <w:spacing w:val="-2"/>
        </w:rPr>
      </w:pPr>
    </w:p>
    <w:p w:rsidR="00AA0F86" w:rsidP="00AA0F86" w14:paraId="278289F5" w14:textId="1C0DB1BA">
      <w:pPr>
        <w:tabs>
          <w:tab w:val="left" w:pos="720"/>
          <w:tab w:val="right" w:pos="9360"/>
        </w:tabs>
        <w:suppressAutoHyphens/>
        <w:spacing w:line="227" w:lineRule="auto"/>
        <w:rPr>
          <w:spacing w:val="-2"/>
        </w:rPr>
      </w:pPr>
      <w:r>
        <w:rPr>
          <w:b/>
          <w:spacing w:val="-2"/>
        </w:rPr>
        <w:t>Adopted:  November 10, 2022</w:t>
      </w:r>
      <w:r>
        <w:rPr>
          <w:b/>
          <w:spacing w:val="-2"/>
        </w:rPr>
        <w:tab/>
        <w:t>Released:  November 10, 2022</w:t>
      </w:r>
    </w:p>
    <w:p w:rsidR="00AA0F86" w:rsidP="00AA0F86" w14:paraId="55F350AC" w14:textId="77777777"/>
    <w:p w:rsidR="00AA0F86" w:rsidP="00AA0F86" w14:paraId="726ABA10" w14:textId="77777777">
      <w:pPr>
        <w:rPr>
          <w:spacing w:val="-2"/>
        </w:rPr>
      </w:pPr>
      <w:r>
        <w:t>By the Wireless Telecommunications Bureau</w:t>
      </w:r>
      <w:r>
        <w:rPr>
          <w:spacing w:val="-2"/>
        </w:rPr>
        <w:t>:</w:t>
      </w:r>
    </w:p>
    <w:p w:rsidR="00AA0F86" w:rsidP="00AA0F86" w14:paraId="0370E104" w14:textId="77777777">
      <w:pPr>
        <w:rPr>
          <w:spacing w:val="-2"/>
        </w:rPr>
      </w:pPr>
    </w:p>
    <w:p w:rsidR="00AA0F86" w:rsidP="00AA0F86" w14:paraId="1C750AD5" w14:textId="77777777">
      <w:pPr>
        <w:pStyle w:val="TOCTitle"/>
      </w:pPr>
      <w:bookmarkStart w:id="0" w:name="TOChere"/>
      <w:r>
        <w:t>Table of Contents</w:t>
      </w:r>
    </w:p>
    <w:p w:rsidR="00AA0F86" w:rsidP="00AA0F86" w14:paraId="512D3F95" w14:textId="77777777">
      <w:pPr>
        <w:pStyle w:val="Paratitle"/>
      </w:pPr>
      <w:r>
        <w:t>Heading</w:t>
      </w:r>
      <w:r>
        <w:tab/>
        <w:t>Paragraph #</w:t>
      </w:r>
      <w:bookmarkStart w:id="1" w:name="start_here"/>
      <w:bookmarkEnd w:id="1"/>
    </w:p>
    <w:p w:rsidR="00AA0F86" w:rsidRPr="00AA0F86" w:rsidP="00AA0F86" w14:paraId="4FED056E" w14:textId="77777777">
      <w:pPr>
        <w:pStyle w:val="TOC1"/>
        <w:rPr>
          <w:rFonts w:ascii="Calibri" w:hAnsi="Calibri"/>
          <w:caps w:val="0"/>
          <w:snapToGrid/>
          <w:kern w:val="0"/>
          <w:szCs w:val="22"/>
        </w:rPr>
      </w:pPr>
      <w:r>
        <w:t>I.</w:t>
      </w:r>
      <w:r w:rsidRPr="00AA0F86">
        <w:rPr>
          <w:rFonts w:ascii="Calibri" w:hAnsi="Calibri"/>
          <w:caps w:val="0"/>
          <w:snapToGrid/>
          <w:kern w:val="0"/>
          <w:szCs w:val="22"/>
        </w:rPr>
        <w:tab/>
      </w:r>
      <w:r>
        <w:t>introduction</w:t>
      </w:r>
      <w:r>
        <w:tab/>
        <w:t>1</w:t>
      </w:r>
    </w:p>
    <w:p w:rsidR="00AA0F86" w:rsidRPr="00AA0F86" w:rsidP="00AA0F86" w14:paraId="52F61FAE" w14:textId="77777777">
      <w:pPr>
        <w:pStyle w:val="TOC1"/>
        <w:rPr>
          <w:rFonts w:ascii="Calibri" w:hAnsi="Calibri"/>
          <w:caps w:val="0"/>
          <w:snapToGrid/>
          <w:kern w:val="0"/>
          <w:szCs w:val="22"/>
        </w:rPr>
      </w:pPr>
      <w:r>
        <w:t>II.</w:t>
      </w:r>
      <w:r w:rsidRPr="00AA0F86">
        <w:rPr>
          <w:rFonts w:ascii="Calibri" w:hAnsi="Calibri"/>
          <w:caps w:val="0"/>
          <w:snapToGrid/>
          <w:kern w:val="0"/>
          <w:szCs w:val="22"/>
        </w:rPr>
        <w:tab/>
      </w:r>
      <w:r>
        <w:t>background</w:t>
      </w:r>
      <w:r>
        <w:tab/>
        <w:t>2</w:t>
      </w:r>
    </w:p>
    <w:p w:rsidR="00AA0F86" w:rsidRPr="00AA0F86" w:rsidP="00AA0F86" w14:paraId="472A446E" w14:textId="77777777">
      <w:pPr>
        <w:pStyle w:val="TOC1"/>
        <w:rPr>
          <w:rFonts w:ascii="Calibri" w:hAnsi="Calibri"/>
          <w:caps w:val="0"/>
          <w:snapToGrid/>
          <w:kern w:val="0"/>
          <w:szCs w:val="22"/>
        </w:rPr>
      </w:pPr>
      <w:r>
        <w:t>III.</w:t>
      </w:r>
      <w:r w:rsidRPr="00AA0F86">
        <w:rPr>
          <w:rFonts w:ascii="Calibri" w:hAnsi="Calibri"/>
          <w:caps w:val="0"/>
          <w:snapToGrid/>
          <w:kern w:val="0"/>
          <w:szCs w:val="22"/>
        </w:rPr>
        <w:tab/>
      </w:r>
      <w:r>
        <w:t>discussion</w:t>
      </w:r>
      <w:r>
        <w:tab/>
        <w:t>5</w:t>
      </w:r>
    </w:p>
    <w:p w:rsidR="00AA0F86" w:rsidRPr="00AA0F86" w:rsidP="00AA0F86" w14:paraId="3B901138" w14:textId="77777777">
      <w:pPr>
        <w:pStyle w:val="TOC2"/>
        <w:tabs>
          <w:tab w:val="left" w:pos="360"/>
        </w:tabs>
        <w:rPr>
          <w:rFonts w:ascii="Calibri" w:hAnsi="Calibri"/>
          <w:snapToGrid/>
          <w:kern w:val="0"/>
          <w:szCs w:val="22"/>
        </w:rPr>
      </w:pPr>
      <w:r>
        <w:t>A.</w:t>
      </w:r>
      <w:r w:rsidRPr="00AA0F86">
        <w:rPr>
          <w:rFonts w:ascii="Calibri" w:hAnsi="Calibri"/>
          <w:snapToGrid/>
          <w:kern w:val="0"/>
          <w:szCs w:val="22"/>
        </w:rPr>
        <w:tab/>
      </w:r>
      <w:r>
        <w:t>Composition of the Clearinghouse Search Committee</w:t>
      </w:r>
      <w:r>
        <w:tab/>
        <w:t>5</w:t>
      </w:r>
    </w:p>
    <w:p w:rsidR="00AA0F86" w:rsidRPr="00AA0F86" w:rsidP="00AA0F86" w14:paraId="20F16258" w14:textId="77777777">
      <w:pPr>
        <w:pStyle w:val="TOC3"/>
        <w:tabs>
          <w:tab w:val="left" w:pos="360"/>
        </w:tabs>
        <w:rPr>
          <w:rFonts w:ascii="Calibri" w:hAnsi="Calibri"/>
          <w:snapToGrid/>
          <w:kern w:val="0"/>
          <w:szCs w:val="22"/>
        </w:rPr>
      </w:pPr>
      <w:r>
        <w:t>1.</w:t>
      </w:r>
      <w:r w:rsidRPr="00AA0F86">
        <w:rPr>
          <w:rFonts w:ascii="Calibri" w:hAnsi="Calibri"/>
          <w:snapToGrid/>
          <w:kern w:val="0"/>
          <w:szCs w:val="22"/>
        </w:rPr>
        <w:tab/>
      </w:r>
      <w:r>
        <w:t>Representation of Interests.</w:t>
      </w:r>
      <w:r>
        <w:tab/>
        <w:t>7</w:t>
      </w:r>
    </w:p>
    <w:p w:rsidR="00AA0F86" w:rsidRPr="00AA0F86" w:rsidP="00AA0F86" w14:paraId="67568B01" w14:textId="77777777">
      <w:pPr>
        <w:pStyle w:val="TOC3"/>
        <w:tabs>
          <w:tab w:val="left" w:pos="360"/>
        </w:tabs>
        <w:rPr>
          <w:rFonts w:ascii="Calibri" w:hAnsi="Calibri"/>
          <w:snapToGrid/>
          <w:kern w:val="0"/>
          <w:szCs w:val="22"/>
        </w:rPr>
      </w:pPr>
      <w:r>
        <w:t>2.</w:t>
      </w:r>
      <w:r w:rsidRPr="00AA0F86">
        <w:rPr>
          <w:rFonts w:ascii="Calibri" w:hAnsi="Calibri"/>
          <w:snapToGrid/>
          <w:kern w:val="0"/>
          <w:szCs w:val="22"/>
        </w:rPr>
        <w:tab/>
      </w:r>
      <w:r>
        <w:t>Number of Seats and Membership</w:t>
      </w:r>
      <w:r>
        <w:tab/>
        <w:t>12</w:t>
      </w:r>
    </w:p>
    <w:p w:rsidR="00AA0F86" w:rsidRPr="00AA0F86" w:rsidP="00AA0F86" w14:paraId="7E1F98AD" w14:textId="77777777">
      <w:pPr>
        <w:pStyle w:val="TOC2"/>
        <w:tabs>
          <w:tab w:val="left" w:pos="360"/>
        </w:tabs>
        <w:rPr>
          <w:rFonts w:ascii="Calibri" w:hAnsi="Calibri"/>
          <w:snapToGrid/>
          <w:kern w:val="0"/>
          <w:szCs w:val="22"/>
        </w:rPr>
      </w:pPr>
      <w:r>
        <w:t>B.</w:t>
      </w:r>
      <w:r w:rsidRPr="00AA0F86">
        <w:rPr>
          <w:rFonts w:ascii="Calibri" w:hAnsi="Calibri"/>
          <w:snapToGrid/>
          <w:kern w:val="0"/>
          <w:szCs w:val="22"/>
        </w:rPr>
        <w:tab/>
      </w:r>
      <w:r>
        <w:t>Search Committee’s Selection of the Clearinghouse</w:t>
      </w:r>
      <w:r>
        <w:tab/>
        <w:t>15</w:t>
      </w:r>
    </w:p>
    <w:p w:rsidR="00AA0F86" w:rsidRPr="00AA0F86" w:rsidP="00AA0F86" w14:paraId="1D311398" w14:textId="77777777">
      <w:pPr>
        <w:pStyle w:val="TOC2"/>
        <w:tabs>
          <w:tab w:val="left" w:pos="360"/>
        </w:tabs>
        <w:rPr>
          <w:rFonts w:ascii="Calibri" w:hAnsi="Calibri"/>
          <w:snapToGrid/>
          <w:kern w:val="0"/>
          <w:szCs w:val="22"/>
        </w:rPr>
      </w:pPr>
      <w:r>
        <w:t>C.</w:t>
      </w:r>
      <w:r w:rsidRPr="00AA0F86">
        <w:rPr>
          <w:rFonts w:ascii="Calibri" w:hAnsi="Calibri"/>
          <w:snapToGrid/>
          <w:kern w:val="0"/>
          <w:szCs w:val="22"/>
        </w:rPr>
        <w:tab/>
      </w:r>
      <w:r>
        <w:t>Clearinghouse Selection Process Deadlines</w:t>
      </w:r>
      <w:r>
        <w:tab/>
        <w:t>29</w:t>
      </w:r>
    </w:p>
    <w:p w:rsidR="00AA0F86" w:rsidRPr="00AA0F86" w:rsidP="00AA0F86" w14:paraId="7EC973AC" w14:textId="77777777">
      <w:pPr>
        <w:pStyle w:val="TOC2"/>
        <w:tabs>
          <w:tab w:val="left" w:pos="360"/>
        </w:tabs>
        <w:rPr>
          <w:rFonts w:ascii="Calibri" w:hAnsi="Calibri"/>
          <w:snapToGrid/>
          <w:kern w:val="0"/>
          <w:szCs w:val="22"/>
        </w:rPr>
      </w:pPr>
      <w:r>
        <w:t>D.</w:t>
      </w:r>
      <w:r w:rsidRPr="00AA0F86">
        <w:rPr>
          <w:rFonts w:ascii="Calibri" w:hAnsi="Calibri"/>
          <w:snapToGrid/>
          <w:kern w:val="0"/>
          <w:szCs w:val="22"/>
        </w:rPr>
        <w:tab/>
      </w:r>
      <w:r>
        <w:t>Duties of the Clearinghouse</w:t>
      </w:r>
      <w:r>
        <w:tab/>
        <w:t>30</w:t>
      </w:r>
    </w:p>
    <w:p w:rsidR="00AA0F86" w:rsidRPr="00AA0F86" w:rsidP="00AA0F86" w14:paraId="11679C4D" w14:textId="77777777">
      <w:pPr>
        <w:pStyle w:val="TOC2"/>
        <w:tabs>
          <w:tab w:val="left" w:pos="360"/>
        </w:tabs>
        <w:rPr>
          <w:rFonts w:ascii="Calibri" w:hAnsi="Calibri"/>
          <w:snapToGrid/>
          <w:kern w:val="0"/>
          <w:szCs w:val="22"/>
        </w:rPr>
      </w:pPr>
      <w:r>
        <w:t>E.</w:t>
      </w:r>
      <w:r w:rsidRPr="00AA0F86">
        <w:rPr>
          <w:rFonts w:ascii="Calibri" w:hAnsi="Calibri"/>
          <w:snapToGrid/>
          <w:kern w:val="0"/>
          <w:szCs w:val="22"/>
        </w:rPr>
        <w:tab/>
      </w:r>
      <w:r>
        <w:t>Safeguards for Clearinghouse Operation</w:t>
      </w:r>
      <w:r>
        <w:tab/>
        <w:t>43</w:t>
      </w:r>
    </w:p>
    <w:p w:rsidR="00AA0F86" w:rsidRPr="00AA0F86" w:rsidP="00AA0F86" w14:paraId="4EE3F18A" w14:textId="77777777">
      <w:pPr>
        <w:pStyle w:val="TOC2"/>
        <w:tabs>
          <w:tab w:val="left" w:pos="360"/>
        </w:tabs>
        <w:rPr>
          <w:rFonts w:ascii="Calibri" w:hAnsi="Calibri"/>
          <w:snapToGrid/>
          <w:kern w:val="0"/>
          <w:szCs w:val="22"/>
        </w:rPr>
      </w:pPr>
      <w:r>
        <w:t>F.</w:t>
      </w:r>
      <w:r w:rsidRPr="00AA0F86">
        <w:rPr>
          <w:rFonts w:ascii="Calibri" w:hAnsi="Calibri"/>
          <w:snapToGrid/>
          <w:kern w:val="0"/>
          <w:szCs w:val="22"/>
        </w:rPr>
        <w:tab/>
      </w:r>
      <w:r>
        <w:t>CTIA Waiver Requests</w:t>
      </w:r>
      <w:r>
        <w:tab/>
        <w:t>46</w:t>
      </w:r>
    </w:p>
    <w:p w:rsidR="00AA0F86" w:rsidRPr="00AA0F86" w:rsidP="00AA0F86" w14:paraId="19B6247C" w14:textId="77777777">
      <w:pPr>
        <w:pStyle w:val="TOC1"/>
        <w:rPr>
          <w:rFonts w:ascii="Calibri" w:hAnsi="Calibri"/>
          <w:caps w:val="0"/>
          <w:snapToGrid/>
          <w:kern w:val="0"/>
          <w:szCs w:val="22"/>
        </w:rPr>
      </w:pPr>
      <w:r>
        <w:t>IV.</w:t>
      </w:r>
      <w:r w:rsidRPr="00AA0F86">
        <w:rPr>
          <w:rFonts w:ascii="Calibri" w:hAnsi="Calibri"/>
          <w:caps w:val="0"/>
          <w:snapToGrid/>
          <w:kern w:val="0"/>
          <w:szCs w:val="22"/>
        </w:rPr>
        <w:tab/>
      </w:r>
      <w:r>
        <w:t>procedural matters</w:t>
      </w:r>
      <w:r>
        <w:tab/>
        <w:t>47</w:t>
      </w:r>
    </w:p>
    <w:p w:rsidR="00AA0F86" w:rsidP="00AA0F86" w14:paraId="7BA26B5B" w14:textId="77777777">
      <w:pPr>
        <w:pStyle w:val="TOC1"/>
      </w:pPr>
      <w:r>
        <w:t>V.</w:t>
      </w:r>
      <w:r w:rsidRPr="00AA0F86">
        <w:rPr>
          <w:rFonts w:ascii="Calibri" w:hAnsi="Calibri"/>
          <w:caps w:val="0"/>
          <w:snapToGrid/>
          <w:kern w:val="0"/>
          <w:szCs w:val="22"/>
        </w:rPr>
        <w:tab/>
      </w:r>
      <w:r>
        <w:t>ordering clauses</w:t>
      </w:r>
      <w:r>
        <w:tab/>
        <w:t>50</w:t>
      </w:r>
    </w:p>
    <w:p w:rsidR="00AA0F86" w:rsidRPr="00AA0F86" w:rsidP="00AA0F86" w14:paraId="370E0670" w14:textId="77777777"/>
    <w:p w:rsidR="00AA0F86" w:rsidP="00AA0F86" w14:paraId="3019C25E" w14:textId="77777777">
      <w:pPr>
        <w:pStyle w:val="Heading1"/>
      </w:pPr>
      <w:bookmarkStart w:id="2" w:name="_Toc108151708"/>
      <w:bookmarkStart w:id="3" w:name="_Toc108152427"/>
      <w:bookmarkStart w:id="4" w:name="_Toc109307211"/>
      <w:bookmarkStart w:id="5" w:name="_Toc118724026"/>
      <w:bookmarkEnd w:id="0"/>
      <w:r>
        <w:t>introduction</w:t>
      </w:r>
      <w:bookmarkEnd w:id="2"/>
      <w:bookmarkEnd w:id="3"/>
      <w:bookmarkEnd w:id="4"/>
      <w:bookmarkEnd w:id="5"/>
    </w:p>
    <w:p w:rsidR="00AA0F86" w:rsidRPr="003979F8" w:rsidP="00AA0F86" w14:paraId="67425528" w14:textId="77777777">
      <w:pPr>
        <w:pStyle w:val="ParaNum"/>
        <w:numPr>
          <w:ilvl w:val="0"/>
          <w:numId w:val="21"/>
        </w:numPr>
        <w:tabs>
          <w:tab w:val="clear" w:pos="1080"/>
          <w:tab w:val="num" w:pos="1440"/>
        </w:tabs>
      </w:pPr>
      <w:r>
        <w:t xml:space="preserve">With this Order, the Wireless Telecommunications Bureau (Bureau) identifies four entities that will form a search committee to select </w:t>
      </w:r>
      <w:r w:rsidRPr="0057399E">
        <w:rPr>
          <w:szCs w:val="22"/>
        </w:rPr>
        <w:t>a Reimbursement Clearinghouse (Clearinghouse) to oversee the reimbursement of relocation expenses for certain secondary</w:t>
      </w:r>
      <w:r>
        <w:rPr>
          <w:szCs w:val="22"/>
        </w:rPr>
        <w:t>,</w:t>
      </w:r>
      <w:r w:rsidRPr="0057399E">
        <w:rPr>
          <w:szCs w:val="22"/>
        </w:rPr>
        <w:t xml:space="preserve"> non-federal radiolocation licensees in the 3.45-3.55 GHz band (3.45 GHz band).</w:t>
      </w:r>
      <w:r>
        <w:rPr>
          <w:szCs w:val="22"/>
        </w:rPr>
        <w:t xml:space="preserve">  These entities are NBCUniversal, Nexstar Broadcasting (Nexstar), CTIA, and the Competitive Carriers Association (CCA).  In addition, the Bureau adopts certain requirements regarding the Clearinghouse search committee process and the operation of the Clearinghouse.  These requirements support the prevention of waste, fraud, and abuse in the handling of reimbursement funds and will protect confidential information.</w:t>
      </w:r>
    </w:p>
    <w:p w:rsidR="00AA0F86" w:rsidP="00AA0F86" w14:paraId="76C9C488" w14:textId="77777777">
      <w:pPr>
        <w:pStyle w:val="Heading1"/>
      </w:pPr>
      <w:bookmarkStart w:id="6" w:name="_Toc108151709"/>
      <w:bookmarkStart w:id="7" w:name="_Toc108152428"/>
      <w:bookmarkStart w:id="8" w:name="_Toc109307212"/>
      <w:bookmarkStart w:id="9" w:name="_Toc118724027"/>
      <w:r>
        <w:t>background</w:t>
      </w:r>
      <w:bookmarkEnd w:id="6"/>
      <w:bookmarkEnd w:id="7"/>
      <w:bookmarkEnd w:id="8"/>
      <w:bookmarkEnd w:id="9"/>
    </w:p>
    <w:p w:rsidR="00AA0F86" w:rsidP="00AA0F86" w14:paraId="35858FEA" w14:textId="77777777">
      <w:pPr>
        <w:pStyle w:val="ParaNum"/>
        <w:numPr>
          <w:ilvl w:val="0"/>
          <w:numId w:val="21"/>
        </w:numPr>
        <w:tabs>
          <w:tab w:val="clear" w:pos="1080"/>
          <w:tab w:val="num" w:pos="1440"/>
        </w:tabs>
      </w:pPr>
      <w:r w:rsidRPr="0057399E">
        <w:rPr>
          <w:szCs w:val="22"/>
        </w:rPr>
        <w:t xml:space="preserve">In the </w:t>
      </w:r>
      <w:r w:rsidRPr="0057399E">
        <w:rPr>
          <w:i/>
          <w:iCs/>
          <w:szCs w:val="22"/>
        </w:rPr>
        <w:t>3.45 GHz Band Second R&amp;O</w:t>
      </w:r>
      <w:r w:rsidRPr="0057399E">
        <w:rPr>
          <w:szCs w:val="22"/>
        </w:rPr>
        <w:t xml:space="preserve">, the Commission adopted rules to make 100 megahertz of mid-band spectrum available </w:t>
      </w:r>
      <w:r w:rsidRPr="00686EFB">
        <w:t>for</w:t>
      </w:r>
      <w:r w:rsidRPr="0057399E">
        <w:rPr>
          <w:szCs w:val="22"/>
        </w:rPr>
        <w:t xml:space="preserve"> flexible use throughout the contiguous United States.</w:t>
      </w:r>
      <w:r>
        <w:rPr>
          <w:szCs w:val="22"/>
          <w:vertAlign w:val="superscript"/>
        </w:rPr>
        <w:footnoteReference w:id="3"/>
      </w:r>
      <w:r w:rsidRPr="0057399E">
        <w:rPr>
          <w:szCs w:val="22"/>
        </w:rPr>
        <w:t xml:space="preserve">  </w:t>
      </w:r>
      <w:r>
        <w:t xml:space="preserve">To </w:t>
      </w:r>
      <w:r>
        <w:t xml:space="preserve">facilitate this goal, the Commission previously had determined </w:t>
      </w:r>
      <w:r w:rsidRPr="00D14C14">
        <w:t>that secondary</w:t>
      </w:r>
      <w:r>
        <w:t>, non-federal</w:t>
      </w:r>
      <w:r w:rsidRPr="00D14C14">
        <w:t xml:space="preserve"> radiolocation licensees </w:t>
      </w:r>
      <w:r>
        <w:t xml:space="preserve">in the band </w:t>
      </w:r>
      <w:r w:rsidRPr="00D14C14">
        <w:t>would be relocated to the 2.9-3.0 GHz band</w:t>
      </w:r>
      <w:r>
        <w:t>.</w:t>
      </w:r>
      <w:r>
        <w:rPr>
          <w:rStyle w:val="FootnoteReference"/>
        </w:rPr>
        <w:footnoteReference w:id="4"/>
      </w:r>
      <w:r>
        <w:t xml:space="preserve">  In the </w:t>
      </w:r>
      <w:r w:rsidRPr="0057399E">
        <w:rPr>
          <w:i/>
          <w:iCs/>
          <w:szCs w:val="22"/>
        </w:rPr>
        <w:t>3.45 GHz Band Second R&amp;O</w:t>
      </w:r>
      <w:r w:rsidRPr="0057399E">
        <w:rPr>
          <w:szCs w:val="22"/>
        </w:rPr>
        <w:t>,</w:t>
      </w:r>
      <w:r>
        <w:rPr>
          <w:szCs w:val="22"/>
        </w:rPr>
        <w:t xml:space="preserve"> the Commission further determined that </w:t>
      </w:r>
      <w:r w:rsidRPr="00D14C14">
        <w:t>secondary</w:t>
      </w:r>
      <w:r>
        <w:t>, non-federal</w:t>
      </w:r>
      <w:r w:rsidRPr="00D14C14">
        <w:t xml:space="preserve"> radiolocation</w:t>
      </w:r>
      <w:r>
        <w:t xml:space="preserve"> authorizations would sunset 180 days after new 3.45 GHz Service licenses are granted in the band.</w:t>
      </w:r>
      <w:r>
        <w:rPr>
          <w:rStyle w:val="FootnoteReference"/>
        </w:rPr>
        <w:footnoteReference w:id="5"/>
      </w:r>
      <w:r>
        <w:t xml:space="preserve">  Because these licenses were granted on May 4, 2022,</w:t>
      </w:r>
      <w:r>
        <w:rPr>
          <w:rStyle w:val="FootnoteReference"/>
        </w:rPr>
        <w:footnoteReference w:id="6"/>
      </w:r>
      <w:r>
        <w:t xml:space="preserve"> the non-federal radiolocation authorizations sunset on October 31, 2022.</w:t>
      </w:r>
      <w:r>
        <w:rPr>
          <w:rStyle w:val="FootnoteReference"/>
        </w:rPr>
        <w:footnoteReference w:id="7"/>
      </w:r>
      <w:r>
        <w:t xml:space="preserve">  In addition, the Commission in the </w:t>
      </w:r>
      <w:r w:rsidRPr="0057399E">
        <w:rPr>
          <w:i/>
          <w:iCs/>
          <w:szCs w:val="22"/>
        </w:rPr>
        <w:t>3.45 GHz Band Second R&amp;O</w:t>
      </w:r>
      <w:r>
        <w:t xml:space="preserve"> required “</w:t>
      </w:r>
      <w:r w:rsidRPr="00AE1B15">
        <w:t>new flexible-use licensees in the 3.45 GHz Service to reimburse secondary, non-federal radiolocation licensees for reasonable costs related to the relocation of those operations to the 2.9-3.0 GHz band, including the costs of a relocation clearinghouse’s administration of the reimbursement.</w:t>
      </w:r>
      <w:r>
        <w:t>”</w:t>
      </w:r>
      <w:r>
        <w:rPr>
          <w:rStyle w:val="FootnoteReference"/>
        </w:rPr>
        <w:footnoteReference w:id="8"/>
      </w:r>
      <w:r>
        <w:t xml:space="preserve">  Specifically, each new 3.45 GHz Service licensee “</w:t>
      </w:r>
      <w:r w:rsidRPr="006143FB">
        <w:t xml:space="preserve">will be responsible for reimbursement of a </w:t>
      </w:r>
      <w:r w:rsidRPr="006143FB">
        <w:rPr>
          <w:i/>
        </w:rPr>
        <w:t>pro rata</w:t>
      </w:r>
      <w:r w:rsidRPr="006143FB">
        <w:t xml:space="preserve"> share of reasonable relocation costs of non-federal radiolocation operations</w:t>
      </w:r>
      <w:r>
        <w:t>.”</w:t>
      </w:r>
      <w:r>
        <w:rPr>
          <w:rStyle w:val="FootnoteReference"/>
        </w:rPr>
        <w:footnoteReference w:id="9"/>
      </w:r>
    </w:p>
    <w:p w:rsidR="00AA0F86" w:rsidP="00AA0F86" w14:paraId="5FEEDD3F" w14:textId="77777777">
      <w:pPr>
        <w:pStyle w:val="ParaNum"/>
        <w:numPr>
          <w:ilvl w:val="0"/>
          <w:numId w:val="21"/>
        </w:numPr>
        <w:tabs>
          <w:tab w:val="clear" w:pos="1080"/>
          <w:tab w:val="num" w:pos="1440"/>
        </w:tabs>
      </w:pPr>
      <w:r>
        <w:rPr>
          <w:szCs w:val="22"/>
        </w:rPr>
        <w:t>T</w:t>
      </w:r>
      <w:r w:rsidRPr="0057399E">
        <w:rPr>
          <w:szCs w:val="22"/>
        </w:rPr>
        <w:t xml:space="preserve">he </w:t>
      </w:r>
      <w:r w:rsidRPr="00686EFB">
        <w:t>Commission</w:t>
      </w:r>
      <w:r>
        <w:rPr>
          <w:szCs w:val="22"/>
        </w:rPr>
        <w:t xml:space="preserve"> in the </w:t>
      </w:r>
      <w:r w:rsidRPr="0057399E">
        <w:rPr>
          <w:i/>
          <w:iCs/>
          <w:szCs w:val="22"/>
        </w:rPr>
        <w:t>3.45 GHz Band Second R&amp;O</w:t>
      </w:r>
      <w:r w:rsidRPr="0057399E">
        <w:rPr>
          <w:szCs w:val="22"/>
        </w:rPr>
        <w:t xml:space="preserve"> </w:t>
      </w:r>
      <w:r>
        <w:rPr>
          <w:szCs w:val="22"/>
        </w:rPr>
        <w:t xml:space="preserve">delegated authority to the Bureau, </w:t>
      </w:r>
      <w:r w:rsidRPr="00B24813">
        <w:rPr>
          <w:szCs w:val="22"/>
        </w:rPr>
        <w:t>working in coordination with the Office of the Managing Director, to develop and implement a clearinghouse selection process similar to the process used in the 3.7 GHz proceeding</w:t>
      </w:r>
      <w:r>
        <w:rPr>
          <w:szCs w:val="22"/>
        </w:rPr>
        <w:t>.</w:t>
      </w:r>
      <w:r>
        <w:rPr>
          <w:rStyle w:val="FootnoteReference"/>
          <w:szCs w:val="22"/>
        </w:rPr>
        <w:footnoteReference w:id="10"/>
      </w:r>
      <w:r>
        <w:rPr>
          <w:szCs w:val="22"/>
        </w:rPr>
        <w:t xml:space="preserve">  The Commission’s </w:t>
      </w:r>
      <w:r>
        <w:t xml:space="preserve">delegation also included the “authority to seek notice and comment on the parameters of </w:t>
      </w:r>
      <w:r w:rsidRPr="001A3A6F">
        <w:t>additional considerations</w:t>
      </w:r>
      <w:r>
        <w:t xml:space="preserve"> that should inform the creation and administration of the cost-sharing plan to help implement [the Commission’s] decision </w:t>
      </w:r>
      <w:r w:rsidRPr="00B01D45">
        <w:t xml:space="preserve">and, if necessary for the purposes of the more limited relocation </w:t>
      </w:r>
      <w:r>
        <w:t>[in the 3.45 GHz Service]</w:t>
      </w:r>
      <w:r w:rsidRPr="00B01D45">
        <w:t xml:space="preserve">, to adjust the procedures adopted in </w:t>
      </w:r>
      <w:r>
        <w:t>[the 3.7 GHz]</w:t>
      </w:r>
      <w:r w:rsidRPr="00B01D45">
        <w:t xml:space="preserve"> proceeding to tailor them to the relocation in </w:t>
      </w:r>
      <w:r>
        <w:t>[the 3.45 GHz]</w:t>
      </w:r>
      <w:r w:rsidRPr="00B01D45">
        <w:t xml:space="preserve"> proceeding</w:t>
      </w:r>
      <w:r>
        <w:t>.”</w:t>
      </w:r>
      <w:r>
        <w:rPr>
          <w:rStyle w:val="FootnoteReference"/>
        </w:rPr>
        <w:footnoteReference w:id="11"/>
      </w:r>
      <w:r>
        <w:t xml:space="preserve">  </w:t>
      </w:r>
      <w:r>
        <w:rPr>
          <w:szCs w:val="22"/>
        </w:rPr>
        <w:t xml:space="preserve">As in the 3.7 GHz proceeding, the Commission in the </w:t>
      </w:r>
      <w:r>
        <w:rPr>
          <w:i/>
          <w:iCs/>
          <w:szCs w:val="22"/>
        </w:rPr>
        <w:t>3.45 GHz Band Second R&amp;O</w:t>
      </w:r>
      <w:r>
        <w:rPr>
          <w:szCs w:val="22"/>
        </w:rPr>
        <w:t xml:space="preserve"> </w:t>
      </w:r>
      <w:r w:rsidRPr="0057399E">
        <w:rPr>
          <w:szCs w:val="22"/>
        </w:rPr>
        <w:t xml:space="preserve">provided for the creation of a neutral, independent </w:t>
      </w:r>
      <w:r>
        <w:rPr>
          <w:szCs w:val="22"/>
        </w:rPr>
        <w:t>c</w:t>
      </w:r>
      <w:r w:rsidRPr="0057399E">
        <w:rPr>
          <w:szCs w:val="22"/>
        </w:rPr>
        <w:t>learinghouse</w:t>
      </w:r>
      <w:r>
        <w:rPr>
          <w:szCs w:val="22"/>
        </w:rPr>
        <w:t xml:space="preserve"> </w:t>
      </w:r>
      <w:r w:rsidRPr="0057399E">
        <w:rPr>
          <w:szCs w:val="22"/>
        </w:rPr>
        <w:t xml:space="preserve">to oversee </w:t>
      </w:r>
      <w:r>
        <w:rPr>
          <w:szCs w:val="22"/>
        </w:rPr>
        <w:t xml:space="preserve">the </w:t>
      </w:r>
      <w:r w:rsidRPr="0057399E">
        <w:rPr>
          <w:szCs w:val="22"/>
        </w:rPr>
        <w:t>collecti</w:t>
      </w:r>
      <w:r>
        <w:rPr>
          <w:szCs w:val="22"/>
        </w:rPr>
        <w:t>on and distribution of</w:t>
      </w:r>
      <w:r w:rsidRPr="0057399E">
        <w:rPr>
          <w:szCs w:val="22"/>
        </w:rPr>
        <w:t xml:space="preserve"> relocation </w:t>
      </w:r>
      <w:r>
        <w:rPr>
          <w:szCs w:val="22"/>
        </w:rPr>
        <w:t xml:space="preserve">reimbursement </w:t>
      </w:r>
      <w:r w:rsidRPr="0057399E">
        <w:rPr>
          <w:szCs w:val="22"/>
        </w:rPr>
        <w:t xml:space="preserve">payments from new </w:t>
      </w:r>
      <w:r>
        <w:rPr>
          <w:szCs w:val="22"/>
        </w:rPr>
        <w:t>3.45</w:t>
      </w:r>
      <w:r w:rsidRPr="0057399E">
        <w:rPr>
          <w:szCs w:val="22"/>
        </w:rPr>
        <w:t xml:space="preserve"> GHz Service licensees to </w:t>
      </w:r>
      <w:r>
        <w:rPr>
          <w:szCs w:val="22"/>
        </w:rPr>
        <w:t xml:space="preserve">non-federal secondary radiolocation </w:t>
      </w:r>
      <w:r w:rsidRPr="0057399E">
        <w:rPr>
          <w:szCs w:val="22"/>
        </w:rPr>
        <w:t>incumbents.</w:t>
      </w:r>
      <w:r>
        <w:rPr>
          <w:rStyle w:val="FootnoteReference"/>
          <w:szCs w:val="22"/>
        </w:rPr>
        <w:footnoteReference w:id="12"/>
      </w:r>
      <w:r w:rsidRPr="0057399E">
        <w:rPr>
          <w:szCs w:val="22"/>
        </w:rPr>
        <w:t xml:space="preserve">  </w:t>
      </w:r>
      <w:r>
        <w:rPr>
          <w:szCs w:val="22"/>
        </w:rPr>
        <w:t>Unlike in</w:t>
      </w:r>
      <w:r w:rsidRPr="0057399E">
        <w:rPr>
          <w:szCs w:val="22"/>
        </w:rPr>
        <w:t xml:space="preserve"> the </w:t>
      </w:r>
      <w:r w:rsidRPr="00813267">
        <w:rPr>
          <w:szCs w:val="22"/>
        </w:rPr>
        <w:t>3.7 GHz</w:t>
      </w:r>
      <w:r>
        <w:rPr>
          <w:szCs w:val="22"/>
        </w:rPr>
        <w:t xml:space="preserve"> context, however</w:t>
      </w:r>
      <w:r w:rsidRPr="0057399E">
        <w:rPr>
          <w:szCs w:val="22"/>
        </w:rPr>
        <w:t>,</w:t>
      </w:r>
      <w:r>
        <w:rPr>
          <w:szCs w:val="22"/>
        </w:rPr>
        <w:t xml:space="preserve"> in the 3.45 GHz proceeding,</w:t>
      </w:r>
      <w:r w:rsidRPr="0057399E">
        <w:rPr>
          <w:szCs w:val="22"/>
        </w:rPr>
        <w:t xml:space="preserve"> the Commission </w:t>
      </w:r>
      <w:r>
        <w:rPr>
          <w:szCs w:val="22"/>
        </w:rPr>
        <w:t xml:space="preserve">did not identify the specific industry stakeholders who would compose the search committee to </w:t>
      </w:r>
      <w:r w:rsidRPr="0057399E">
        <w:rPr>
          <w:szCs w:val="22"/>
        </w:rPr>
        <w:t>select the Clearinghouse.</w:t>
      </w:r>
      <w:r>
        <w:rPr>
          <w:rStyle w:val="FootnoteReference"/>
          <w:szCs w:val="22"/>
        </w:rPr>
        <w:footnoteReference w:id="13"/>
      </w:r>
    </w:p>
    <w:p w:rsidR="00AA0F86" w:rsidP="00276002" w14:paraId="69AAA089" w14:textId="77777777">
      <w:pPr>
        <w:pStyle w:val="ParaNum"/>
        <w:widowControl/>
        <w:numPr>
          <w:ilvl w:val="0"/>
          <w:numId w:val="21"/>
        </w:numPr>
        <w:tabs>
          <w:tab w:val="clear" w:pos="1080"/>
          <w:tab w:val="num" w:pos="1440"/>
        </w:tabs>
      </w:pPr>
      <w:r>
        <w:t>On August 20, 2021, the Bureau released a Public Notice seeking comment on the selection process for, and operation of, the Clearinghouse.</w:t>
      </w:r>
      <w:r>
        <w:rPr>
          <w:rStyle w:val="FootnoteReference"/>
        </w:rPr>
        <w:footnoteReference w:id="14"/>
      </w:r>
      <w:r>
        <w:t xml:space="preserve">  Comments and replies were due on September 30, 2021, and October 12, 2021, respectively.  The Bureau received comments from Nexstar, NBCUniversal, and CTIA; a reply from the Wireless Infrastructure Association (WIA); and a subsequent </w:t>
      </w:r>
      <w:r>
        <w:rPr>
          <w:i/>
          <w:iCs/>
        </w:rPr>
        <w:t xml:space="preserve">ex </w:t>
      </w:r>
      <w:r>
        <w:rPr>
          <w:i/>
          <w:iCs/>
        </w:rPr>
        <w:t>parte</w:t>
      </w:r>
      <w:r>
        <w:rPr>
          <w:i/>
          <w:iCs/>
        </w:rPr>
        <w:t xml:space="preserve"> </w:t>
      </w:r>
      <w:r>
        <w:t>letter from CCA.</w:t>
      </w:r>
    </w:p>
    <w:p w:rsidR="00AA0F86" w:rsidP="00AA0F86" w14:paraId="51DDA220" w14:textId="77777777">
      <w:pPr>
        <w:pStyle w:val="Heading1"/>
      </w:pPr>
      <w:bookmarkStart w:id="10" w:name="_Toc108151710"/>
      <w:bookmarkStart w:id="11" w:name="_Toc108152429"/>
      <w:bookmarkStart w:id="12" w:name="_Toc109307213"/>
      <w:bookmarkStart w:id="13" w:name="_Toc118724028"/>
      <w:r>
        <w:t>discussion</w:t>
      </w:r>
      <w:bookmarkEnd w:id="10"/>
      <w:bookmarkEnd w:id="11"/>
      <w:bookmarkEnd w:id="12"/>
      <w:bookmarkEnd w:id="13"/>
    </w:p>
    <w:p w:rsidR="00AA0F86" w:rsidP="00276002" w14:paraId="3EA19737" w14:textId="77777777">
      <w:pPr>
        <w:pStyle w:val="Heading2"/>
      </w:pPr>
      <w:bookmarkStart w:id="14" w:name="_Toc108151711"/>
      <w:bookmarkStart w:id="15" w:name="_Toc108152430"/>
      <w:bookmarkStart w:id="16" w:name="_Toc109307214"/>
      <w:bookmarkStart w:id="17" w:name="_Toc118724029"/>
      <w:r>
        <w:t>Composition of the Clearinghouse Search Committee</w:t>
      </w:r>
      <w:bookmarkEnd w:id="14"/>
      <w:bookmarkEnd w:id="15"/>
      <w:bookmarkEnd w:id="16"/>
      <w:bookmarkEnd w:id="17"/>
    </w:p>
    <w:p w:rsidR="00AA0F86" w:rsidP="00AA0F86" w14:paraId="583300E8" w14:textId="77777777">
      <w:pPr>
        <w:pStyle w:val="ParaNum"/>
        <w:numPr>
          <w:ilvl w:val="0"/>
          <w:numId w:val="21"/>
        </w:numPr>
        <w:tabs>
          <w:tab w:val="clear" w:pos="1080"/>
          <w:tab w:val="num" w:pos="1440"/>
        </w:tabs>
      </w:pPr>
      <w:r>
        <w:t>As noted above, the Commission delegated authority to the Bureau to implement a clearinghouse selection process similar to the process used in the 3.7 GHz band transition.</w:t>
      </w:r>
      <w:r>
        <w:rPr>
          <w:rStyle w:val="FootnoteReference"/>
        </w:rPr>
        <w:footnoteReference w:id="15"/>
      </w:r>
      <w:r>
        <w:t xml:space="preserve">  </w:t>
      </w:r>
      <w:r w:rsidRPr="41845804">
        <w:t>In the 3.7 GHz proceeding</w:t>
      </w:r>
      <w:r>
        <w:rPr>
          <w:szCs w:val="22"/>
        </w:rPr>
        <w:t>,</w:t>
      </w:r>
      <w:r w:rsidRPr="41845804">
        <w:t xml:space="preserve"> the Commission determined that</w:t>
      </w:r>
      <w:r>
        <w:rPr>
          <w:szCs w:val="22"/>
        </w:rPr>
        <w:t xml:space="preserve"> </w:t>
      </w:r>
      <w:r w:rsidRPr="41845804">
        <w:t xml:space="preserve">the clearinghouse </w:t>
      </w:r>
      <w:r>
        <w:t xml:space="preserve">search </w:t>
      </w:r>
      <w:r w:rsidRPr="41845804">
        <w:t>committee would be composed of nine members appointed by nine entities that the Commission found, collectively, reasonably represented the interests of the stakeholders in the 3.7 GHz band transition.</w:t>
      </w:r>
      <w:r>
        <w:rPr>
          <w:rStyle w:val="FootnoteReference"/>
        </w:rPr>
        <w:footnoteReference w:id="16"/>
      </w:r>
      <w:r w:rsidRPr="41845804">
        <w:t xml:space="preserve">  These entities represented incumbents in the band</w:t>
      </w:r>
      <w:r>
        <w:rPr>
          <w:szCs w:val="22"/>
        </w:rPr>
        <w:t xml:space="preserve"> (</w:t>
      </w:r>
      <w:r w:rsidRPr="41845804">
        <w:t>space</w:t>
      </w:r>
      <w:r>
        <w:rPr>
          <w:szCs w:val="22"/>
        </w:rPr>
        <w:t xml:space="preserve"> </w:t>
      </w:r>
      <w:r w:rsidRPr="41845804">
        <w:t>station operators—three entities</w:t>
      </w:r>
      <w:r>
        <w:rPr>
          <w:szCs w:val="22"/>
        </w:rPr>
        <w:t xml:space="preserve">, </w:t>
      </w:r>
      <w:r w:rsidRPr="41845804">
        <w:t>and earth station operators—three entities</w:t>
      </w:r>
      <w:r>
        <w:rPr>
          <w:szCs w:val="22"/>
        </w:rPr>
        <w:t>)</w:t>
      </w:r>
      <w:r w:rsidRPr="41845804">
        <w:t xml:space="preserve"> </w:t>
      </w:r>
      <w:r>
        <w:t>as well as</w:t>
      </w:r>
      <w:r w:rsidRPr="41845804">
        <w:t xml:space="preserve"> prospective flexible-use licensees (three entities).</w:t>
      </w:r>
      <w:r>
        <w:rPr>
          <w:rStyle w:val="FootnoteReference"/>
        </w:rPr>
        <w:footnoteReference w:id="17"/>
      </w:r>
      <w:r>
        <w:rPr>
          <w:szCs w:val="22"/>
        </w:rPr>
        <w:t xml:space="preserve">  </w:t>
      </w:r>
      <w:r w:rsidRPr="41845804">
        <w:t>The Commission determined that the range of entities it had chosen would fairly represent the broad interests of the relevant stakeholders in the 3.7 GHz band transition.</w:t>
      </w:r>
      <w:r>
        <w:rPr>
          <w:rStyle w:val="FootnoteReference"/>
        </w:rPr>
        <w:footnoteReference w:id="18"/>
      </w:r>
      <w:r>
        <w:rPr>
          <w:szCs w:val="22"/>
        </w:rPr>
        <w:t xml:space="preserve">  </w:t>
      </w:r>
      <w:r>
        <w:t xml:space="preserve">Since the clearinghouse search committee was not similarly identified in the </w:t>
      </w:r>
      <w:r w:rsidRPr="00402665">
        <w:rPr>
          <w:i/>
          <w:iCs/>
        </w:rPr>
        <w:t>3.45 GHz Second Report and Order</w:t>
      </w:r>
      <w:r>
        <w:t>, the Bureau sought comment on the optimal number of members and which appropriate industry stakeholders should be included on the search committee for the 3.45 GHz band transition.</w:t>
      </w:r>
      <w:r>
        <w:rPr>
          <w:rStyle w:val="FootnoteReference"/>
        </w:rPr>
        <w:footnoteReference w:id="19"/>
      </w:r>
      <w:r>
        <w:t xml:space="preserve"> </w:t>
      </w:r>
    </w:p>
    <w:p w:rsidR="00AA0F86" w:rsidP="00276002" w14:paraId="37B69BA6" w14:textId="77777777">
      <w:pPr>
        <w:pStyle w:val="ParaNum"/>
        <w:widowControl/>
        <w:numPr>
          <w:ilvl w:val="0"/>
          <w:numId w:val="21"/>
        </w:numPr>
        <w:tabs>
          <w:tab w:val="clear" w:pos="1080"/>
          <w:tab w:val="num" w:pos="1440"/>
        </w:tabs>
      </w:pPr>
      <w:r>
        <w:t>NBCUniversal and Nexstar, the two secondary, non-federal incumbents in the 3.45 GHz band, both seek representation on the search committee.</w:t>
      </w:r>
      <w:r>
        <w:rPr>
          <w:rStyle w:val="FootnoteReference"/>
        </w:rPr>
        <w:footnoteReference w:id="20"/>
      </w:r>
      <w:r>
        <w:t xml:space="preserve">  Due to the difference between the use and size of their operations, NBCUniversal and Nexstar favor each company having its own seat, rather than a shared incumbent representative.</w:t>
      </w:r>
      <w:r>
        <w:rPr>
          <w:rStyle w:val="FootnoteReference"/>
        </w:rPr>
        <w:footnoteReference w:id="21"/>
      </w:r>
      <w:r>
        <w:t xml:space="preserve">  Similarly, CTIA volunteered to</w:t>
      </w:r>
      <w:r>
        <w:t xml:space="preserve"> </w:t>
      </w:r>
      <w:r>
        <w:t>represent</w:t>
      </w:r>
      <w:r>
        <w:t xml:space="preserve"> </w:t>
      </w:r>
      <w:r>
        <w:t>traditional wireless providers on the search committee</w:t>
      </w:r>
      <w:r w:rsidRPr="00D701C3">
        <w:t>.</w:t>
      </w:r>
      <w:r>
        <w:rPr>
          <w:rStyle w:val="FootnoteReference"/>
        </w:rPr>
        <w:footnoteReference w:id="22"/>
      </w:r>
      <w:r w:rsidRPr="00D701C3">
        <w:t xml:space="preserve">  </w:t>
      </w:r>
      <w:r>
        <w:t>CTIA also acknowledged the need for another representative to advocate for new entrants in the band that would not be covered by its own membership.</w:t>
      </w:r>
      <w:r>
        <w:rPr>
          <w:rStyle w:val="FootnoteReference"/>
        </w:rPr>
        <w:footnoteReference w:id="23"/>
      </w:r>
      <w:r>
        <w:t xml:space="preserve">  WIA likewise supported representation for both small- and large-market new entrants, in addition to incumbents, suggesting two seats for the incumbents and two for new entrants to represent small and large auction winners.</w:t>
      </w:r>
      <w:r>
        <w:rPr>
          <w:rStyle w:val="FootnoteReference"/>
        </w:rPr>
        <w:footnoteReference w:id="24"/>
      </w:r>
      <w:r>
        <w:t xml:space="preserve">  Although CCA did not initially file comments in this portion of the proceeding, CCA has since </w:t>
      </w:r>
      <w:r>
        <w:t>indicated an interest in serving on the search committee to represent the small-market segment of new entrants.</w:t>
      </w:r>
      <w:r>
        <w:rPr>
          <w:rStyle w:val="FootnoteReference"/>
        </w:rPr>
        <w:footnoteReference w:id="25"/>
      </w:r>
    </w:p>
    <w:p w:rsidR="00AA0F86" w:rsidRPr="00230A7F" w:rsidP="00AA0F86" w14:paraId="737E0133" w14:textId="77777777">
      <w:pPr>
        <w:pStyle w:val="Heading3"/>
      </w:pPr>
      <w:bookmarkStart w:id="18" w:name="_Toc108151712"/>
      <w:bookmarkStart w:id="19" w:name="_Toc108152431"/>
      <w:bookmarkStart w:id="20" w:name="_Toc109307215"/>
      <w:bookmarkStart w:id="21" w:name="_Toc118724030"/>
      <w:r>
        <w:t>Representation of Interests.</w:t>
      </w:r>
      <w:bookmarkEnd w:id="18"/>
      <w:bookmarkEnd w:id="19"/>
      <w:bookmarkEnd w:id="20"/>
      <w:bookmarkEnd w:id="21"/>
    </w:p>
    <w:p w:rsidR="00AA0F86" w:rsidP="00AA0F86" w14:paraId="4400EFD2" w14:textId="77777777">
      <w:pPr>
        <w:pStyle w:val="ParaNum"/>
        <w:numPr>
          <w:ilvl w:val="0"/>
          <w:numId w:val="21"/>
        </w:numPr>
        <w:tabs>
          <w:tab w:val="clear" w:pos="1080"/>
          <w:tab w:val="num" w:pos="1440"/>
        </w:tabs>
      </w:pPr>
      <w:r>
        <w:t>We find that equal representation of both interest groups present in the instant transition—incumbent radiolocation systems and new-entrant flexible-use licensees—is both consistent with the 3.7 GHz band transition and will ensure a fair and transparent Clearinghouse selection process in this proceeding.  Specifically, each interest group will have two seats: two incumbent seats to represent NBCUniversal’s and Nexstar’s differing business models, and two new-entrant seats to represent both small- and large-market flexible-use licensees.</w:t>
      </w:r>
    </w:p>
    <w:p w:rsidR="00AA0F86" w:rsidRPr="00402665" w:rsidP="00AA0F86" w14:paraId="72FD3383" w14:textId="77777777">
      <w:pPr>
        <w:pStyle w:val="ParaNum"/>
        <w:numPr>
          <w:ilvl w:val="0"/>
          <w:numId w:val="21"/>
        </w:numPr>
        <w:tabs>
          <w:tab w:val="clear" w:pos="1080"/>
          <w:tab w:val="num" w:pos="1440"/>
        </w:tabs>
        <w:rPr>
          <w:i/>
        </w:rPr>
      </w:pPr>
      <w:r w:rsidRPr="0062500C">
        <w:rPr>
          <w:i/>
          <w:iCs/>
        </w:rPr>
        <w:t>First</w:t>
      </w:r>
      <w:r w:rsidRPr="00402665">
        <w:t xml:space="preserve">, </w:t>
      </w:r>
      <w:r>
        <w:t xml:space="preserve">we find that </w:t>
      </w:r>
      <w:r w:rsidRPr="00402665">
        <w:t xml:space="preserve">equal representation </w:t>
      </w:r>
      <w:r>
        <w:t xml:space="preserve">of both interest groups </w:t>
      </w:r>
      <w:r w:rsidRPr="00402665">
        <w:t xml:space="preserve">is consistent with the approach used in </w:t>
      </w:r>
      <w:r>
        <w:t>the 3.7 GHz band proceeding</w:t>
      </w:r>
      <w:r w:rsidRPr="00AC7E85">
        <w:rPr>
          <w:i/>
          <w:iCs/>
        </w:rPr>
        <w:t xml:space="preserve">. </w:t>
      </w:r>
      <w:r w:rsidRPr="00402665">
        <w:t xml:space="preserve"> </w:t>
      </w:r>
      <w:r>
        <w:t>There, the search committee was comprised of nine members representing three distinct interest groups:  incumbent space station operators,</w:t>
      </w:r>
      <w:r>
        <w:t xml:space="preserve"> </w:t>
      </w:r>
      <w:r>
        <w:t>incumbent earth station operators, and prospective flexible-use licensees.</w:t>
      </w:r>
      <w:r>
        <w:rPr>
          <w:rStyle w:val="FootnoteReference"/>
        </w:rPr>
        <w:footnoteReference w:id="26"/>
      </w:r>
      <w:r>
        <w:t xml:space="preserve">  Each interest group received three representatives on the search committee, which included seats for smaller and larger interests within each interest group segment.</w:t>
      </w:r>
      <w:r>
        <w:rPr>
          <w:rStyle w:val="FootnoteReference"/>
        </w:rPr>
        <w:footnoteReference w:id="27"/>
      </w:r>
      <w:r>
        <w:t xml:space="preserve">  The corollary of the 3.7 GHz band approach here is thus equal representation of the two interest groups in the 3.45 GHz transition: non-federal radiolocation incumbents and new entrants, with two seats on each side.  We agree with WIA that new entrants are a diverse group that would be best served by representatives for both smaller and larger new entrants.</w:t>
      </w:r>
      <w:r>
        <w:rPr>
          <w:rStyle w:val="FootnoteReference"/>
        </w:rPr>
        <w:footnoteReference w:id="28"/>
      </w:r>
      <w:r>
        <w:t xml:space="preserve"> </w:t>
      </w:r>
    </w:p>
    <w:p w:rsidR="00AA0F86" w:rsidRPr="009A3EFA" w:rsidP="00AA0F86" w14:paraId="76AE1BD4" w14:textId="77777777">
      <w:pPr>
        <w:pStyle w:val="ParaNum"/>
        <w:numPr>
          <w:ilvl w:val="0"/>
          <w:numId w:val="21"/>
        </w:numPr>
        <w:tabs>
          <w:tab w:val="clear" w:pos="1080"/>
          <w:tab w:val="num" w:pos="1440"/>
        </w:tabs>
        <w:rPr>
          <w:i/>
          <w:iCs/>
        </w:rPr>
      </w:pPr>
      <w:r w:rsidRPr="00402665">
        <w:rPr>
          <w:i/>
          <w:iCs/>
        </w:rPr>
        <w:t>Second</w:t>
      </w:r>
      <w:r w:rsidRPr="00046F39">
        <w:t xml:space="preserve">, </w:t>
      </w:r>
      <w:r>
        <w:t xml:space="preserve">we find that </w:t>
      </w:r>
      <w:r w:rsidRPr="00046F39">
        <w:t>equal representation will foster compromise</w:t>
      </w:r>
      <w:r>
        <w:t>.  By having equal representation from both interest groups on the search committee, no one group can act unilaterally in the selection process, ensuring that the resulting Clearinghouse fairly facilitates the transition process.  We agree with WIA that having equal representation for both interest groups on the search committee will provide “confidence that the clearinghouse selected remains impartial and will seek an equitable outcome for all the parties involved in the relocation.”</w:t>
      </w:r>
      <w:r>
        <w:rPr>
          <w:rStyle w:val="FootnoteReference"/>
        </w:rPr>
        <w:footnoteReference w:id="29"/>
      </w:r>
    </w:p>
    <w:p w:rsidR="00AA0F86" w:rsidRPr="005303E6" w:rsidP="00276002" w14:paraId="106E7BF2" w14:textId="77777777">
      <w:pPr>
        <w:pStyle w:val="ParaNum"/>
        <w:widowControl/>
        <w:numPr>
          <w:ilvl w:val="0"/>
          <w:numId w:val="21"/>
        </w:numPr>
        <w:tabs>
          <w:tab w:val="clear" w:pos="1080"/>
          <w:tab w:val="num" w:pos="1440"/>
        </w:tabs>
        <w:rPr>
          <w:i/>
        </w:rPr>
      </w:pPr>
      <w:r>
        <w:t xml:space="preserve">While this approach deviates from our proposal in the </w:t>
      </w:r>
      <w:r w:rsidRPr="009D6B7D">
        <w:rPr>
          <w:i/>
          <w:iCs/>
        </w:rPr>
        <w:t>Public Notice</w:t>
      </w:r>
      <w:r>
        <w:rPr>
          <w:i/>
          <w:iCs/>
        </w:rPr>
        <w:t xml:space="preserve"> </w:t>
      </w:r>
      <w:r>
        <w:t>to have an odd number of members on the search committee, the Bureau sought comment on the optimal number of members to include on the search committee.</w:t>
      </w:r>
      <w:r>
        <w:rPr>
          <w:rStyle w:val="FootnoteReference"/>
        </w:rPr>
        <w:footnoteReference w:id="30"/>
      </w:r>
      <w:r>
        <w:t xml:space="preserve">  Further, we specifically recognized that the 3.45 GHz relocation would be less complex than that in the 3.7 GHz band, and suggested that a smaller committee might be more efficient.</w:t>
      </w:r>
      <w:r>
        <w:rPr>
          <w:rStyle w:val="FootnoteReference"/>
        </w:rPr>
        <w:footnoteReference w:id="31"/>
      </w:r>
      <w:r>
        <w:t xml:space="preserve">  We find that a search committee comprised of four members, two incumbent representatives and two new entrant representatives, will accurately reflect the interests present in the 3.45 GHz band, is responsive to suggestions raised by commenters, and is well-positioned to facilitate compromise.  In the event that equal representation leads to deadlock despite our instruction to proceed by consensus,</w:t>
      </w:r>
      <w:r>
        <w:rPr>
          <w:rStyle w:val="FootnoteReference"/>
        </w:rPr>
        <w:footnoteReference w:id="32"/>
      </w:r>
      <w:r>
        <w:t xml:space="preserve"> the search committee shall inform the Bureau</w:t>
      </w:r>
      <w:r>
        <w:t xml:space="preserve"> </w:t>
      </w:r>
      <w:r>
        <w:t xml:space="preserve">and the Bureau </w:t>
      </w:r>
      <w:r w:rsidRPr="006432A4">
        <w:t xml:space="preserve">may then consider additional measures, including resolution by majority vote or appointment of an additional </w:t>
      </w:r>
      <w:r>
        <w:t xml:space="preserve">search </w:t>
      </w:r>
      <w:r>
        <w:t xml:space="preserve">committee </w:t>
      </w:r>
      <w:r w:rsidRPr="006432A4">
        <w:t>member</w:t>
      </w:r>
      <w:r>
        <w:t>.  The Bureau shall act on such request within 30 days, and the search process shall continue consistent with this Order and the Commission’s rules.</w:t>
      </w:r>
    </w:p>
    <w:p w:rsidR="00AA0F86" w:rsidRPr="002237F7" w:rsidP="00AA0F86" w14:paraId="7995A3FD" w14:textId="77777777">
      <w:pPr>
        <w:pStyle w:val="ParaNum"/>
        <w:numPr>
          <w:ilvl w:val="0"/>
          <w:numId w:val="21"/>
        </w:numPr>
        <w:tabs>
          <w:tab w:val="clear" w:pos="1080"/>
          <w:tab w:val="num" w:pos="1440"/>
        </w:tabs>
        <w:rPr>
          <w:i/>
          <w:iCs/>
        </w:rPr>
      </w:pPr>
      <w:r>
        <w:t>We disagree with Nexstar that the approach most consistent with the 3.7 GHz band process would be to have two-thirds of the search committee seats here represented by incumbent interests.</w:t>
      </w:r>
      <w:r>
        <w:rPr>
          <w:rStyle w:val="FootnoteReference"/>
        </w:rPr>
        <w:footnoteReference w:id="33"/>
      </w:r>
      <w:r>
        <w:t xml:space="preserve">  While two-thirds of the 3.7 GHz band search committee was comprised of incumbents, the incumbent space station operators and earth station operators represent distinct industry segments.  For example, in the 3.7 GHz band space station operators provide downlink signals to various types of earth stations,</w:t>
      </w:r>
      <w:r>
        <w:rPr>
          <w:rStyle w:val="FootnoteReference"/>
        </w:rPr>
        <w:footnoteReference w:id="34"/>
      </w:r>
      <w:r>
        <w:t xml:space="preserve"> and the earth station operators in turn deliver programming to television and radio broadcasters and telephone and data services to consumers.</w:t>
      </w:r>
      <w:r>
        <w:rPr>
          <w:rStyle w:val="FootnoteReference"/>
        </w:rPr>
        <w:footnoteReference w:id="35"/>
      </w:r>
      <w:r>
        <w:t xml:space="preserve">  Each incumbent group was given its own equal representation on the 3.7 GHz band search committee to reflect the differences in their interests with respect to the transition process.</w:t>
      </w:r>
      <w:r>
        <w:rPr>
          <w:rStyle w:val="FootnoteReference"/>
        </w:rPr>
        <w:footnoteReference w:id="36"/>
      </w:r>
      <w:r>
        <w:t xml:space="preserve">  We apply the same logic here, and thus have designated equal representation of both the incumbent and new entrant interest groups in the 3.45 GHz band. </w:t>
      </w:r>
    </w:p>
    <w:p w:rsidR="00AA0F86" w:rsidP="00AA0F86" w14:paraId="7CC12023" w14:textId="77777777">
      <w:pPr>
        <w:pStyle w:val="Heading3"/>
      </w:pPr>
      <w:bookmarkStart w:id="22" w:name="_Toc108151713"/>
      <w:bookmarkStart w:id="23" w:name="_Toc108152432"/>
      <w:bookmarkStart w:id="24" w:name="_Toc109307216"/>
      <w:bookmarkStart w:id="25" w:name="_Toc118724031"/>
      <w:r>
        <w:t>Number of Seats and Membership</w:t>
      </w:r>
      <w:bookmarkEnd w:id="22"/>
      <w:bookmarkEnd w:id="23"/>
      <w:bookmarkEnd w:id="24"/>
      <w:bookmarkEnd w:id="25"/>
    </w:p>
    <w:p w:rsidR="00AA0F86" w:rsidRPr="00BF366C" w:rsidP="00AA0F86" w14:paraId="17FAC90A" w14:textId="77777777">
      <w:pPr>
        <w:pStyle w:val="ParaNum"/>
        <w:numPr>
          <w:ilvl w:val="0"/>
          <w:numId w:val="21"/>
        </w:numPr>
        <w:tabs>
          <w:tab w:val="clear" w:pos="1080"/>
          <w:tab w:val="num" w:pos="1440"/>
        </w:tabs>
        <w:rPr>
          <w:i/>
          <w:iCs/>
        </w:rPr>
      </w:pPr>
      <w:r>
        <w:t xml:space="preserve">As discussed above, we find that here the appropriate implementation of equal representation is two search committee seats for the incumbents and two for the new entrants.  Specifically, we find that the four-member Clearinghouse search committee will be comprised of representatives from NBCUniversal, Nexstar, CTIA, and </w:t>
      </w:r>
      <w:r w:rsidRPr="00793DF7">
        <w:t>CCA</w:t>
      </w:r>
      <w:r>
        <w:t xml:space="preserve">.  As proposed in the </w:t>
      </w:r>
      <w:r>
        <w:rPr>
          <w:i/>
          <w:iCs/>
        </w:rPr>
        <w:t>Search Committee Public Notice</w:t>
      </w:r>
      <w:r>
        <w:t>, each entity shall nominate one individual to serve on the search committee.</w:t>
      </w:r>
      <w:r>
        <w:rPr>
          <w:rStyle w:val="FootnoteReference"/>
        </w:rPr>
        <w:footnoteReference w:id="37"/>
      </w:r>
      <w:r>
        <w:t xml:space="preserve">  WIA, the commenter to most directly address this issue, supports this process, and states that such representation will promote confidence that the selected clearinghouse will be fair to all parties in the transition.</w:t>
      </w:r>
      <w:r>
        <w:rPr>
          <w:rStyle w:val="FootnoteReference"/>
        </w:rPr>
        <w:footnoteReference w:id="38"/>
      </w:r>
    </w:p>
    <w:p w:rsidR="00AA0F86" w:rsidRPr="00FA0B08" w:rsidP="00AA0F86" w14:paraId="0AFF54E2" w14:textId="77777777">
      <w:pPr>
        <w:pStyle w:val="ParaNum"/>
        <w:numPr>
          <w:ilvl w:val="0"/>
          <w:numId w:val="21"/>
        </w:numPr>
        <w:tabs>
          <w:tab w:val="clear" w:pos="1080"/>
          <w:tab w:val="num" w:pos="1440"/>
        </w:tabs>
        <w:rPr>
          <w:i/>
          <w:iCs/>
        </w:rPr>
      </w:pPr>
      <w:r>
        <w:t xml:space="preserve">NBCUniversal and Nexstar, both of which volunteered to be on the search committee, will represent their own respective interests as secondary incumbent radiolocation service users.  We find that CTIA and CCA together will best represent the interests of new entrants given their diverse memberships.  CTIA, which also volunteered to be on the search committee, will represent the larger- new entrant interests to the band.  CCA </w:t>
      </w:r>
      <w:r w:rsidRPr="004214BD">
        <w:t>indicated an interest in serving on the search committee</w:t>
      </w:r>
      <w:r>
        <w:t xml:space="preserve"> and will represent the interests of smaller and rural entities.</w:t>
      </w:r>
    </w:p>
    <w:p w:rsidR="00AA0F86" w:rsidRPr="00BF366C" w:rsidP="00AA0F86" w14:paraId="00682A30" w14:textId="77777777">
      <w:pPr>
        <w:pStyle w:val="ParaNum"/>
        <w:numPr>
          <w:ilvl w:val="0"/>
          <w:numId w:val="21"/>
        </w:numPr>
        <w:tabs>
          <w:tab w:val="clear" w:pos="1080"/>
          <w:tab w:val="num" w:pos="1440"/>
        </w:tabs>
        <w:rPr>
          <w:i/>
          <w:iCs/>
        </w:rPr>
      </w:pPr>
      <w:r>
        <w:t xml:space="preserve">We find that </w:t>
      </w:r>
      <w:r w:rsidRPr="006A71B3">
        <w:t>CCA</w:t>
      </w:r>
      <w:r>
        <w:t xml:space="preserve"> is best positioned to serve as the second new-entrant representative on the search committee.  We agree with WIA that the new entrants’ interests are diverse and that it is important to have the interests of smaller and rural providers represented on the search committee.  CCA notes that its members include “small, rural carriers serving fewer than 5,000 customers” and also indicates that some of its members are license winners in the 3.45 GHz band.</w:t>
      </w:r>
      <w:r>
        <w:rPr>
          <w:rStyle w:val="FootnoteReference"/>
        </w:rPr>
        <w:footnoteReference w:id="39"/>
      </w:r>
      <w:r>
        <w:t xml:space="preserve">  Thus, we find that CCA is well-situated to represent the smaller and rural new entrants in the band.</w:t>
      </w:r>
      <w:r>
        <w:rPr>
          <w:rStyle w:val="FootnoteReference"/>
        </w:rPr>
        <w:footnoteReference w:id="40"/>
      </w:r>
      <w:r>
        <w:t xml:space="preserve"> </w:t>
      </w:r>
    </w:p>
    <w:p w:rsidR="00AA0F86" w:rsidRPr="00D701C3" w:rsidP="00276002" w14:paraId="37271CE0" w14:textId="77777777">
      <w:pPr>
        <w:pStyle w:val="Heading2"/>
      </w:pPr>
      <w:bookmarkStart w:id="26" w:name="_Toc108151714"/>
      <w:bookmarkStart w:id="27" w:name="_Toc108152433"/>
      <w:bookmarkStart w:id="28" w:name="_Toc109307217"/>
      <w:bookmarkStart w:id="29" w:name="_Toc118724032"/>
      <w:r>
        <w:t>Search Committee’s Selection of the Clearinghouse</w:t>
      </w:r>
      <w:bookmarkEnd w:id="26"/>
      <w:bookmarkEnd w:id="27"/>
      <w:bookmarkEnd w:id="28"/>
      <w:bookmarkEnd w:id="29"/>
    </w:p>
    <w:p w:rsidR="00AA0F86" w:rsidP="00276002" w14:paraId="728B8202" w14:textId="77777777">
      <w:pPr>
        <w:pStyle w:val="ParaNum"/>
        <w:widowControl/>
        <w:numPr>
          <w:ilvl w:val="0"/>
          <w:numId w:val="21"/>
        </w:numPr>
        <w:tabs>
          <w:tab w:val="clear" w:pos="1080"/>
          <w:tab w:val="num" w:pos="1440"/>
        </w:tabs>
      </w:pPr>
      <w:r>
        <w:t>In the 3.7 GHz proceeding, t</w:t>
      </w:r>
      <w:r w:rsidRPr="41845804">
        <w:t>he Commission directed the search committee to proceed by consensus, but noted that if a vote on the selection of a clearinghouse was required, it would be by a majority vote.</w:t>
      </w:r>
      <w:r>
        <w:rPr>
          <w:rStyle w:val="FootnoteReference"/>
        </w:rPr>
        <w:footnoteReference w:id="41"/>
      </w:r>
      <w:r>
        <w:t xml:space="preserve">  Likewise here, as proposed in the </w:t>
      </w:r>
      <w:r>
        <w:rPr>
          <w:i/>
          <w:iCs/>
        </w:rPr>
        <w:t>Search Committee Public Notice</w:t>
      </w:r>
      <w:r>
        <w:t>, we direct the search committee to proceed by consensus.</w:t>
      </w:r>
      <w:r>
        <w:rPr>
          <w:rStyle w:val="FootnoteReference"/>
        </w:rPr>
        <w:footnoteReference w:id="42"/>
      </w:r>
      <w:r>
        <w:t xml:space="preserve">  In the event of deadlock, however, we direct the search committee to notify the Bureau.  As noted above, in the event of deadlock under the current composition, the search committee shall inform the Bureau</w:t>
      </w:r>
      <w:r>
        <w:t xml:space="preserve"> </w:t>
      </w:r>
      <w:r>
        <w:t xml:space="preserve">and the Bureau </w:t>
      </w:r>
      <w:r w:rsidRPr="006432A4">
        <w:t>may then consider additional measures</w:t>
      </w:r>
      <w:r>
        <w:t xml:space="preserve"> to resolve the deadlock.  Further, the Bureau shall act on such request within 30 days of the search committee’s request, and the search process shall continue consistent with the Commission’s rules.  </w:t>
      </w:r>
    </w:p>
    <w:p w:rsidR="00AA0F86" w:rsidP="00AA0F86" w14:paraId="6D077DA3" w14:textId="77777777">
      <w:pPr>
        <w:pStyle w:val="ParaNum"/>
        <w:numPr>
          <w:ilvl w:val="0"/>
          <w:numId w:val="21"/>
        </w:numPr>
        <w:tabs>
          <w:tab w:val="clear" w:pos="1080"/>
          <w:tab w:val="num" w:pos="1440"/>
        </w:tabs>
      </w:pPr>
      <w:r>
        <w:t xml:space="preserve">We require each search committee member to certify that they have reviewed and understand the Commission’s rules and requirements contained in this Order and the </w:t>
      </w:r>
      <w:r>
        <w:rPr>
          <w:i/>
          <w:iCs/>
        </w:rPr>
        <w:t>Second R&amp;O</w:t>
      </w:r>
      <w:r>
        <w:t>.  Such certifications must be filed in the docket of this proceeding prior to the first meeting of the selection committee, but no later than January 5, 2023.  In the event that a new search committee member is added, its certification must be filed in the docket of this proceeding no later than 30 days after the Bureau releases a Public Notice identifying the new search committee member.</w:t>
      </w:r>
    </w:p>
    <w:p w:rsidR="00AA0F86" w:rsidP="00AA0F86" w14:paraId="536BBA3E" w14:textId="77777777">
      <w:pPr>
        <w:pStyle w:val="ParaNum"/>
        <w:numPr>
          <w:ilvl w:val="0"/>
          <w:numId w:val="21"/>
        </w:numPr>
        <w:tabs>
          <w:tab w:val="clear" w:pos="1080"/>
          <w:tab w:val="num" w:pos="1440"/>
        </w:tabs>
      </w:pPr>
      <w:r>
        <w:t>The search committee must meet no later than January 5, 2023 .  In addition, by March 6, 2023, the search committee must release and file with the Bureau a Request for Proposal (RFP), or similar solicitation for Clearinghouse applications.  Such solicitation must explain in detail the selection criteria for the position of Clearinghouse and must be consistent with the qualifications, roles, and duties of the Clearinghouse as set forth in the Commission’s rules and this Order.  Entities responding to the RFP must describe how they will comply with these criteria and rules adopted by the Commission.</w:t>
      </w:r>
      <w:r>
        <w:rPr>
          <w:rStyle w:val="FootnoteReference"/>
        </w:rPr>
        <w:footnoteReference w:id="43"/>
      </w:r>
      <w:r>
        <w:t xml:space="preserve">  The search committee should ensure that the Clearinghouse meets the relevant best practices and standards in its operation to ensure an effective and efficient transition.</w:t>
      </w:r>
    </w:p>
    <w:p w:rsidR="00AA0F86" w:rsidP="00AA0F86" w14:paraId="66D4C93E" w14:textId="77777777">
      <w:pPr>
        <w:pStyle w:val="ParaNum"/>
        <w:numPr>
          <w:ilvl w:val="0"/>
          <w:numId w:val="21"/>
        </w:numPr>
        <w:tabs>
          <w:tab w:val="clear" w:pos="1080"/>
          <w:tab w:val="num" w:pos="1440"/>
        </w:tabs>
      </w:pPr>
      <w:bookmarkStart w:id="30" w:name="_Hlk78817534"/>
      <w:r>
        <w:t>Thus, at a minimum, the search committee’s solicitation for the Clearinghouse must include the following requirements</w:t>
      </w:r>
      <w:r w:rsidRPr="0067273B">
        <w:t xml:space="preserve"> to</w:t>
      </w:r>
      <w:r>
        <w:t>:</w:t>
      </w:r>
      <w:r w:rsidRPr="0067273B">
        <w:t xml:space="preserve"> (1) engage in strategic planning and adopt goals and metrics to evaluate its performance</w:t>
      </w:r>
      <w:r>
        <w:t>;</w:t>
      </w:r>
      <w:r w:rsidRPr="0067273B">
        <w:t xml:space="preserve"> (2) adopt internal controls for its operations</w:t>
      </w:r>
      <w:r>
        <w:t>;</w:t>
      </w:r>
      <w:r w:rsidRPr="0067273B">
        <w:t xml:space="preserve"> (3) use enterprise risk management practices</w:t>
      </w:r>
      <w:r>
        <w:t>;</w:t>
      </w:r>
      <w:r w:rsidRPr="0067273B">
        <w:t xml:space="preserve"> and (4) use best practices to protect against improper payments and to prevent fraud, waste, and abuse in its handling of funds</w:t>
      </w:r>
      <w:r w:rsidRPr="00F75795">
        <w:t>.</w:t>
      </w:r>
      <w:r>
        <w:t xml:space="preserve">  In addition, the Clearinghouse must be required to create written procedures for its operations, using the Government Accountability Office’s (GAO) Green Book</w:t>
      </w:r>
      <w:r>
        <w:rPr>
          <w:rStyle w:val="FootnoteReference"/>
          <w:sz w:val="24"/>
          <w:szCs w:val="24"/>
        </w:rPr>
        <w:footnoteReference w:id="44"/>
      </w:r>
      <w:r>
        <w:t xml:space="preserve"> to serve as a guide in satisfying such requirements.</w:t>
      </w:r>
    </w:p>
    <w:bookmarkEnd w:id="30"/>
    <w:p w:rsidR="00AA0F86" w:rsidP="00AA0F86" w14:paraId="0C393EDF" w14:textId="77777777">
      <w:pPr>
        <w:pStyle w:val="ParaNum"/>
        <w:numPr>
          <w:ilvl w:val="0"/>
          <w:numId w:val="21"/>
        </w:numPr>
        <w:tabs>
          <w:tab w:val="clear" w:pos="1080"/>
          <w:tab w:val="num" w:pos="1440"/>
        </w:tabs>
      </w:pPr>
      <w:r>
        <w:t>CTIA asks that the selected Clearinghouse be required to enter into contracts with stakeholders—i.e., with incumbents and new entrants.</w:t>
      </w:r>
      <w:r>
        <w:rPr>
          <w:rStyle w:val="FootnoteReference"/>
        </w:rPr>
        <w:footnoteReference w:id="45"/>
      </w:r>
      <w:r>
        <w:t xml:space="preserve">  CTIA explains that “contracts between new 3.45 GHz Service licensees and the Clearinghouse help ensure that the Clearinghouse’s management of clearing funds has appropriate oversight.”</w:t>
      </w:r>
      <w:r>
        <w:rPr>
          <w:rStyle w:val="FootnoteReference"/>
        </w:rPr>
        <w:footnoteReference w:id="46"/>
      </w:r>
      <w:r>
        <w:t xml:space="preserve">  CTIA notes, however, that requiring contracts between the Clearinghouse and </w:t>
      </w:r>
      <w:r w:rsidRPr="004E74ED">
        <w:rPr>
          <w:i/>
        </w:rPr>
        <w:t>all</w:t>
      </w:r>
      <w:r>
        <w:t xml:space="preserve"> stakeholders may stall the reimbursement process if some parties are hold outs because they lack the incentives to undertake the cost of negotiating a contract, which could significantly </w:t>
      </w:r>
      <w:r>
        <w:t>exceed their reimbursement liability.</w:t>
      </w:r>
      <w:r>
        <w:rPr>
          <w:rStyle w:val="FootnoteReference"/>
        </w:rPr>
        <w:footnoteReference w:id="47"/>
      </w:r>
      <w:r>
        <w:t xml:space="preserve">  Instead, CTIA maintains that “appropriate oversight of the Clearinghouse can be assured by confirming that licensees covering some reasonable proportion of the total relocation liability have negotiated contracts with the Clearinghouse.”</w:t>
      </w:r>
      <w:r>
        <w:rPr>
          <w:rStyle w:val="FootnoteReference"/>
        </w:rPr>
        <w:footnoteReference w:id="48"/>
      </w:r>
      <w:r>
        <w:t xml:space="preserve">  In addition, CTIA proposes that “the Clearinghouse should be required to contract with any licensee that so desires on terms and conditions that are materially the same as those negotiated by other licensees.”</w:t>
      </w:r>
      <w:r>
        <w:rPr>
          <w:rStyle w:val="FootnoteReference"/>
        </w:rPr>
        <w:footnoteReference w:id="49"/>
      </w:r>
    </w:p>
    <w:p w:rsidR="00AA0F86" w:rsidP="00AA0F86" w14:paraId="0B2DA158" w14:textId="77777777">
      <w:pPr>
        <w:pStyle w:val="ParaNum"/>
        <w:numPr>
          <w:ilvl w:val="0"/>
          <w:numId w:val="21"/>
        </w:numPr>
        <w:tabs>
          <w:tab w:val="clear" w:pos="1080"/>
          <w:tab w:val="num" w:pos="1440"/>
        </w:tabs>
      </w:pPr>
      <w:r>
        <w:t>We believe this proposal has merit and will require such contracts here.  Thus, we require the Clearinghouse to enter into contracts with both incumbents and sufficient licensees that hold the majority of 3.45 GHz Service licenses.</w:t>
      </w:r>
      <w:r>
        <w:rPr>
          <w:rStyle w:val="FootnoteReference"/>
        </w:rPr>
        <w:footnoteReference w:id="50"/>
      </w:r>
      <w:r>
        <w:t xml:space="preserve">  We note that while contracts were not required in the 3.7 GHz band context, that framework “expected” that contracts would be entered into between the selected Clearinghouse and the stakeholders.</w:t>
      </w:r>
      <w:r>
        <w:rPr>
          <w:rStyle w:val="FootnoteReference"/>
        </w:rPr>
        <w:footnoteReference w:id="51"/>
      </w:r>
      <w:r>
        <w:t xml:space="preserve">  Accordingly, we find that it is both consistent with past precedent</w:t>
      </w:r>
      <w:r>
        <w:rPr>
          <w:rStyle w:val="FootnoteReference"/>
        </w:rPr>
        <w:footnoteReference w:id="52"/>
      </w:r>
      <w:r>
        <w:t xml:space="preserve"> and appropriate here to require the Clearinghouse to enter into contracts with the two incumbents and a sufficient number of new entrant licensees holding the majority of 3.45 Service licenses.  </w:t>
      </w:r>
    </w:p>
    <w:p w:rsidR="00AA0F86" w:rsidP="00AA0F86" w14:paraId="70936683" w14:textId="77777777">
      <w:pPr>
        <w:pStyle w:val="ParaNum"/>
        <w:numPr>
          <w:ilvl w:val="0"/>
          <w:numId w:val="21"/>
        </w:numPr>
        <w:tabs>
          <w:tab w:val="clear" w:pos="1080"/>
          <w:tab w:val="num" w:pos="1440"/>
        </w:tabs>
      </w:pPr>
      <w:r>
        <w:t>In addition, the Clearinghouse must enter into a contract with any licensee that so requests on terms and conditions that are materially the same as those negotiated by other licensees.</w:t>
      </w:r>
      <w:r>
        <w:rPr>
          <w:rStyle w:val="FootnoteReference"/>
        </w:rPr>
        <w:footnoteReference w:id="53"/>
      </w:r>
      <w:r>
        <w:t xml:space="preserve">  To this end, we require the search committee to include a requirement in its RFP or other similar solicitation document that the selected Clearinghouse will be required to enter into contracts with stakeholders based on and consistent with the Commission’s rules and this Order, the terms of the RFP, and the applicant’s responses to the RFP, as described herein.  Further, as part of its response to the RFP, the Clearinghouse selectee must affirmatively represent that it will enter into such contracts with two incumbents and a sufficient number of new entrant licensees holding the majority of 3.45 Service licenses.</w:t>
      </w:r>
    </w:p>
    <w:p w:rsidR="00AA0F86" w:rsidP="00AA0F86" w14:paraId="61D09C9C" w14:textId="77777777">
      <w:pPr>
        <w:pStyle w:val="ParaNum"/>
        <w:numPr>
          <w:ilvl w:val="0"/>
          <w:numId w:val="21"/>
        </w:numPr>
        <w:tabs>
          <w:tab w:val="clear" w:pos="1080"/>
          <w:tab w:val="num" w:pos="1440"/>
        </w:tabs>
      </w:pPr>
      <w:r>
        <w:t>We note that CTIA also asks that such contracts “be on based on commercially reasonable terms for fiduciaries acting in the capacity of the 3.45 GHz Clearinghouse”</w:t>
      </w:r>
      <w:r>
        <w:rPr>
          <w:rStyle w:val="FootnoteReference"/>
        </w:rPr>
        <w:footnoteReference w:id="54"/>
      </w:r>
      <w:r>
        <w:t xml:space="preserve"> and that the Clearinghouse recognize “</w:t>
      </w:r>
      <w:r w:rsidRPr="00463BEF">
        <w:rPr>
          <w:rStyle w:val="markedcontent"/>
          <w:szCs w:val="22"/>
        </w:rPr>
        <w:t>that it owes f</w:t>
      </w:r>
      <w:r w:rsidRPr="00463BEF">
        <w:rPr>
          <w:rStyle w:val="highlight"/>
          <w:szCs w:val="22"/>
        </w:rPr>
        <w:t>iduci</w:t>
      </w:r>
      <w:r w:rsidRPr="00463BEF">
        <w:rPr>
          <w:rStyle w:val="markedcontent"/>
          <w:szCs w:val="22"/>
        </w:rPr>
        <w:t>ary duties to both incumbents and new entrants.</w:t>
      </w:r>
      <w:r>
        <w:rPr>
          <w:rStyle w:val="markedcontent"/>
          <w:szCs w:val="22"/>
        </w:rPr>
        <w:t>”</w:t>
      </w:r>
      <w:r>
        <w:rPr>
          <w:rStyle w:val="FootnoteReference"/>
          <w:szCs w:val="22"/>
        </w:rPr>
        <w:footnoteReference w:id="55"/>
      </w:r>
      <w:r>
        <w:t xml:space="preserve"> </w:t>
      </w:r>
      <w:r>
        <w:t xml:space="preserve"> We believe that requiring contracts between the Clearinghouse and licensee stakeholders has merit in the context of this proceeding, and such </w:t>
      </w:r>
      <w:r w:rsidRPr="00FA43DE">
        <w:t>contractual relationships and obligations will provide appropriate safeguards</w:t>
      </w:r>
      <w:r>
        <w:t>.  Thus,</w:t>
      </w:r>
      <w:r w:rsidRPr="00FA43DE">
        <w:t xml:space="preserve"> we do not need to reach a decision on </w:t>
      </w:r>
      <w:r>
        <w:t>CTIA’s</w:t>
      </w:r>
      <w:r w:rsidRPr="00FA43DE">
        <w:t xml:space="preserve"> request for imposing a fiduciary duty</w:t>
      </w:r>
      <w:r>
        <w:t xml:space="preserve">. </w:t>
      </w:r>
    </w:p>
    <w:p w:rsidR="00AA0F86" w:rsidRPr="00DC4EDB" w:rsidP="00276002" w14:paraId="1B14F19A" w14:textId="77777777">
      <w:pPr>
        <w:pStyle w:val="ParaNum"/>
        <w:widowControl/>
        <w:numPr>
          <w:ilvl w:val="0"/>
          <w:numId w:val="21"/>
        </w:numPr>
        <w:tabs>
          <w:tab w:val="clear" w:pos="1080"/>
          <w:tab w:val="num" w:pos="1440"/>
        </w:tabs>
      </w:pPr>
      <w:r w:rsidRPr="00DC6E3F">
        <w:t>The search committee</w:t>
      </w:r>
      <w:r>
        <w:t>’s solicitation shall</w:t>
      </w:r>
      <w:r w:rsidRPr="00DC6E3F">
        <w:t xml:space="preserve"> also </w:t>
      </w:r>
      <w:r>
        <w:t>require</w:t>
      </w:r>
      <w:r w:rsidRPr="00DC6E3F">
        <w:t xml:space="preserve"> that the Clearinghouse adopt robust privacy and data security best practices in its operations</w:t>
      </w:r>
      <w:r w:rsidRPr="00F75795">
        <w:t>,</w:t>
      </w:r>
      <w:r>
        <w:t xml:space="preserve"> given that it will receive and process information critical to ensuring a successful and expeditious transition.  The Clearinghouse shall therefore also comply with, on an ongoing basis, all applicable laws and Federal government guidance on privacy and information security requirements such as relevant provisions in the Federal Information Security Management Act (FISMA),</w:t>
      </w:r>
      <w:r>
        <w:rPr>
          <w:rStyle w:val="FootnoteReference"/>
          <w:sz w:val="24"/>
          <w:szCs w:val="24"/>
        </w:rPr>
        <w:footnoteReference w:id="56"/>
      </w:r>
      <w:r>
        <w:t xml:space="preserve"> National Institute of Standards and Technology (NIST) publications, and Office of Management and Budget guidance.  </w:t>
      </w:r>
      <w:r w:rsidRPr="00C006F3">
        <w:t xml:space="preserve">The Clearinghouse </w:t>
      </w:r>
      <w:r>
        <w:t>must</w:t>
      </w:r>
      <w:r w:rsidRPr="00C006F3">
        <w:t xml:space="preserve"> hire a third-party firm to independently audit and verify, on an annual basis, the Clearinghouse’s compliance with privacy and information security requirements and to provide recommendations based on any audit findings; to correct any negative audit findings and adopt any additional practices suggested by the auditor; and to report the results to the Bureau</w:t>
      </w:r>
      <w:r>
        <w:t xml:space="preserve"> annually beginning April 1, 2024</w:t>
      </w:r>
      <w:r w:rsidRPr="00803AE4">
        <w:t>.</w:t>
      </w:r>
    </w:p>
    <w:p w:rsidR="00AA0F86" w:rsidP="00AA0F86" w14:paraId="0D856E20" w14:textId="77777777">
      <w:pPr>
        <w:pStyle w:val="ParaNum"/>
        <w:numPr>
          <w:ilvl w:val="0"/>
          <w:numId w:val="21"/>
        </w:numPr>
        <w:tabs>
          <w:tab w:val="clear" w:pos="1080"/>
          <w:tab w:val="num" w:pos="1440"/>
        </w:tabs>
      </w:pPr>
      <w:r>
        <w:t>The Bureau will issue a Public Notice notifying the public that the search committee has published criteria for the selection of the Clearinghouse.  The Public Notice will announce a closing date of April 2, 2023 for submission of responses to the RFP.</w:t>
      </w:r>
    </w:p>
    <w:p w:rsidR="00AA0F86" w:rsidP="00AA0F86" w14:paraId="52DE788C" w14:textId="77777777">
      <w:pPr>
        <w:pStyle w:val="ParaNum"/>
        <w:numPr>
          <w:ilvl w:val="0"/>
          <w:numId w:val="21"/>
        </w:numPr>
        <w:tabs>
          <w:tab w:val="clear" w:pos="1080"/>
          <w:tab w:val="num" w:pos="1440"/>
        </w:tabs>
      </w:pPr>
      <w:r>
        <w:t>The search committee shall notify the Bureau of its tentative choice for the Clearinghouse by May 2, 2023.  This notification shall: (1) be contingent on the selectee’s agreement to enter into contracts with incumbent and new, flexible-use licensee stakeholders prior to finalization of the selection; (2) fully disclose any actual or potential organizational or personal conflicts of interest or appearance of such conflict of interest of the Clearinghouse or its officers, directors, employees, and/or contractors; and (3) set out in detail the salary and benefits associated with each position.  The Clearinghouse shall have an ongoing obligation to update this information as soon as possible after any relevant changes are made.</w:t>
      </w:r>
    </w:p>
    <w:p w:rsidR="00AA0F86" w:rsidP="00AA0F86" w14:paraId="3BC3722B" w14:textId="77777777">
      <w:pPr>
        <w:pStyle w:val="ParaNum"/>
        <w:numPr>
          <w:ilvl w:val="0"/>
          <w:numId w:val="21"/>
        </w:numPr>
        <w:tabs>
          <w:tab w:val="clear" w:pos="1080"/>
          <w:tab w:val="num" w:pos="1440"/>
        </w:tabs>
      </w:pPr>
      <w:r>
        <w:t>Once the search committee has notified the Bureau of its tentative selection, the selectee must negotiate one or more contracts with stakeholder licensees.  Specifically, by July 3,</w:t>
      </w:r>
      <w:r w:rsidRPr="001C5877">
        <w:t xml:space="preserve"> 2023</w:t>
      </w:r>
      <w:r>
        <w:t>, the selectee must submit negotiated and executed contracts to the search committee.</w:t>
      </w:r>
      <w:r>
        <w:rPr>
          <w:rStyle w:val="FootnoteReference"/>
        </w:rPr>
        <w:footnoteReference w:id="57"/>
      </w:r>
      <w:r>
        <w:t xml:space="preserve">  The contracts should be consistent with the requirements of this Order and the Commission’s rules, the RFP, and the selectee’s RFP responses.  Such contracts should address issues such as any limitations on liability,</w:t>
      </w:r>
      <w:r>
        <w:rPr>
          <w:rStyle w:val="FootnoteReference"/>
        </w:rPr>
        <w:footnoteReference w:id="58"/>
      </w:r>
      <w:r>
        <w:t xml:space="preserve"> audits, and any such other commercially reasonable terms as may be expected to be included in contracts of this nature.  After submission of contracts to the search committee, the search committee must review the contracts for compliance with the Commission’s rules, the RFP, and the selectee’s proposal by August 1, 2023.  If the search committee determines contracts are in compliance, the search committee will notify the Bureau that it has finalized the selection of the Clearinghouse and will submit copies of the selectee’s RFP response and contracts in the docket.</w:t>
      </w:r>
      <w:r>
        <w:rPr>
          <w:rStyle w:val="FootnoteReference"/>
        </w:rPr>
        <w:footnoteReference w:id="59"/>
      </w:r>
      <w:r>
        <w:t xml:space="preserve">  We acknowledge that requiring contracts for all 3.45 GHz Service licensees to be executed prior to the finalization of the Clearinghouse selectee may unduly delay the </w:t>
      </w:r>
      <w:r>
        <w:t>selection process.  Thus, if the search committee has determined that the submitted contracts are in compliance and such contracts have been submitted for both incumbents and sufficient licensees that hold the majority of 3.45 GHz Service licenses, the search committee may submit the Clearinghouse selectee for final confirmation by the Bureau.</w:t>
      </w:r>
    </w:p>
    <w:p w:rsidR="00AA0F86" w:rsidP="00AA0F86" w14:paraId="53FFB742" w14:textId="77777777">
      <w:pPr>
        <w:pStyle w:val="ParaNum"/>
        <w:numPr>
          <w:ilvl w:val="0"/>
          <w:numId w:val="21"/>
        </w:numPr>
        <w:tabs>
          <w:tab w:val="clear" w:pos="1080"/>
          <w:tab w:val="num" w:pos="1440"/>
        </w:tabs>
      </w:pPr>
      <w:r>
        <w:t>After receipt of the search committee’s notification of its final selection, the Bureau will issue a Public Notice announcing the entity selected and inviting public comment on whether the selectee satisfies the criteria set out in this Order and in the Commission’s rules.  Following the comment period and submission of the RFP response and contracts in the docket, the Bureau will issue a determination as to whether the criteria for the Clearinghouse either have or have not been satisfied.  Should the Bureau be unable to find the criteria have been satisfied, the selection process will start over and the search committee will submit a new proposed entity.  The search committee shall remain in place at least until the Bureau issues its determination confirming the selection of the Clearinghouse.</w:t>
      </w:r>
    </w:p>
    <w:p w:rsidR="00AA0F86" w:rsidRPr="008612D9" w:rsidP="00AA0F86" w14:paraId="14263E70" w14:textId="77777777">
      <w:pPr>
        <w:pStyle w:val="ParaNum"/>
        <w:numPr>
          <w:ilvl w:val="0"/>
          <w:numId w:val="21"/>
        </w:numPr>
        <w:tabs>
          <w:tab w:val="clear" w:pos="1080"/>
          <w:tab w:val="num" w:pos="1440"/>
        </w:tabs>
      </w:pPr>
      <w:r>
        <w:t xml:space="preserve">In the event that: (1) the </w:t>
      </w:r>
      <w:r w:rsidRPr="00A37535">
        <w:t>C</w:t>
      </w:r>
      <w:r w:rsidRPr="0048326A">
        <w:t>learinghouse</w:t>
      </w:r>
      <w:r>
        <w:t xml:space="preserve"> selectee has not reached agreement with the two incumbent radiolocation service licensees and sufficient licensees that hold the majority of 3.45 GHz Service licenses; (2) the Bureau determines that the submitted contracts do not comply with the relevant requirements; or (3) the Bureau determines that the Clearinghouse selectee has otherwise not satisfied the selection criteria, the Bureau may in its discretion elect to give the parties 30 days to cure such noncompliance or instruct the search committee to reconvene and select a new Clearinghouse candidate, thus restarting the above process.  </w:t>
      </w:r>
    </w:p>
    <w:p w:rsidR="00AA0F86" w:rsidP="00276002" w14:paraId="1A3611E7" w14:textId="77777777">
      <w:pPr>
        <w:pStyle w:val="Heading2"/>
      </w:pPr>
      <w:bookmarkStart w:id="31" w:name="_Toc108151715"/>
      <w:bookmarkStart w:id="32" w:name="_Toc108152434"/>
      <w:bookmarkStart w:id="33" w:name="_Toc109307218"/>
      <w:bookmarkStart w:id="34" w:name="_Toc118724033"/>
      <w:r>
        <w:t>Clearinghouse Selection Process Deadlines</w:t>
      </w:r>
      <w:bookmarkEnd w:id="31"/>
      <w:bookmarkEnd w:id="32"/>
      <w:bookmarkEnd w:id="33"/>
      <w:bookmarkEnd w:id="34"/>
    </w:p>
    <w:p w:rsidR="00AA0F86" w:rsidP="00AA0F86" w14:paraId="27597BC6" w14:textId="77777777">
      <w:pPr>
        <w:pStyle w:val="ParaNum"/>
        <w:numPr>
          <w:ilvl w:val="0"/>
          <w:numId w:val="21"/>
        </w:numPr>
        <w:tabs>
          <w:tab w:val="clear" w:pos="1080"/>
        </w:tabs>
      </w:pPr>
      <w:r>
        <w:t>Consistent with the terms of this Order and the Commission’s rules, the Clearinghouse selection process must comply with the following deadlines:</w:t>
      </w:r>
    </w:p>
    <w:p w:rsidR="00AA0F86" w:rsidP="00AA0F86" w14:paraId="2EEE1EE4" w14:textId="77777777">
      <w:pPr>
        <w:pStyle w:val="ParaNum"/>
        <w:numPr>
          <w:ilvl w:val="0"/>
          <w:numId w:val="8"/>
        </w:numPr>
      </w:pPr>
      <w:r>
        <w:rPr>
          <w:i/>
          <w:iCs/>
          <w:u w:val="single"/>
        </w:rPr>
        <w:t xml:space="preserve">January 5, 2023 </w:t>
      </w:r>
      <w:r w:rsidRPr="00140B15">
        <w:rPr>
          <w:i/>
          <w:iCs/>
          <w:u w:val="single"/>
        </w:rPr>
        <w:t>, or prior to first meeting</w:t>
      </w:r>
      <w:r>
        <w:t>: search committee members must file certifications in WT Docket No. 19-348.</w:t>
      </w:r>
    </w:p>
    <w:p w:rsidR="00AA0F86" w:rsidP="00AA0F86" w14:paraId="0023E101" w14:textId="77777777">
      <w:pPr>
        <w:pStyle w:val="ParaNum"/>
        <w:numPr>
          <w:ilvl w:val="0"/>
          <w:numId w:val="8"/>
        </w:numPr>
      </w:pPr>
      <w:r>
        <w:rPr>
          <w:i/>
          <w:iCs/>
          <w:u w:val="single"/>
        </w:rPr>
        <w:t xml:space="preserve"> January 5, 2023</w:t>
      </w:r>
      <w:r>
        <w:t>: the search committee must meet.</w:t>
      </w:r>
    </w:p>
    <w:p w:rsidR="00AA0F86" w:rsidP="00AA0F86" w14:paraId="7B7BA479" w14:textId="77777777">
      <w:pPr>
        <w:pStyle w:val="ParaNum"/>
        <w:numPr>
          <w:ilvl w:val="0"/>
          <w:numId w:val="8"/>
        </w:numPr>
      </w:pPr>
      <w:r>
        <w:rPr>
          <w:i/>
          <w:iCs/>
          <w:u w:val="single"/>
        </w:rPr>
        <w:t xml:space="preserve"> March 6, 2023</w:t>
      </w:r>
      <w:r>
        <w:t>: the search committee must prepare and submit the RFP to the Bureau.</w:t>
      </w:r>
    </w:p>
    <w:p w:rsidR="00AA0F86" w:rsidP="00AA0F86" w14:paraId="5161B03E" w14:textId="77777777">
      <w:pPr>
        <w:pStyle w:val="ParaNum"/>
        <w:numPr>
          <w:ilvl w:val="0"/>
          <w:numId w:val="8"/>
        </w:numPr>
      </w:pPr>
      <w:r>
        <w:rPr>
          <w:i/>
          <w:iCs/>
          <w:u w:val="single"/>
        </w:rPr>
        <w:t xml:space="preserve"> April 3, 2023</w:t>
      </w:r>
      <w:r>
        <w:t>: deadline for applicants to submit responses to the RFP.</w:t>
      </w:r>
    </w:p>
    <w:p w:rsidR="00AA0F86" w:rsidP="00AA0F86" w14:paraId="2BB30D2C" w14:textId="77777777">
      <w:pPr>
        <w:pStyle w:val="ParaNum"/>
        <w:numPr>
          <w:ilvl w:val="0"/>
          <w:numId w:val="8"/>
        </w:numPr>
      </w:pPr>
      <w:r>
        <w:rPr>
          <w:i/>
          <w:iCs/>
          <w:u w:val="single"/>
        </w:rPr>
        <w:t xml:space="preserve"> May 2, 2023 </w:t>
      </w:r>
      <w:r>
        <w:t>: the search committee must notify the Bureau of its tentative Clearinghouse selectee.</w:t>
      </w:r>
    </w:p>
    <w:p w:rsidR="00AA0F86" w:rsidP="00AA0F86" w14:paraId="0F0D11E0" w14:textId="77777777">
      <w:pPr>
        <w:pStyle w:val="ParaNum"/>
        <w:numPr>
          <w:ilvl w:val="0"/>
          <w:numId w:val="8"/>
        </w:numPr>
      </w:pPr>
      <w:r>
        <w:rPr>
          <w:i/>
          <w:iCs/>
          <w:u w:val="single"/>
        </w:rPr>
        <w:t>July 3, 2023</w:t>
      </w:r>
      <w:r>
        <w:t xml:space="preserve">: the Clearinghouse selectee must enter into contracts with incumbents and new entrants and submit such contracts to the search committee.  For good cause shown, the search committee may request one brief extension of this deadline.  </w:t>
      </w:r>
    </w:p>
    <w:p w:rsidR="00AA0F86" w:rsidRPr="007078BD" w:rsidP="00AA0F86" w14:paraId="03737D65" w14:textId="77777777">
      <w:pPr>
        <w:pStyle w:val="ParaNum"/>
        <w:numPr>
          <w:ilvl w:val="0"/>
          <w:numId w:val="8"/>
        </w:numPr>
      </w:pPr>
      <w:r>
        <w:rPr>
          <w:i/>
          <w:iCs/>
          <w:u w:val="single"/>
        </w:rPr>
        <w:t xml:space="preserve"> August 1</w:t>
      </w:r>
      <w:r>
        <w:rPr>
          <w:i/>
          <w:u w:val="single"/>
        </w:rPr>
        <w:t>, 2023</w:t>
      </w:r>
      <w:r>
        <w:t xml:space="preserve">: the search committee must review contracts and notify the Bureau whether or not the contracts are approved and whether or not the Clearinghouse selection is finalized, subject to the Bureau determination that the selection criteria have been satisfied.  </w:t>
      </w:r>
    </w:p>
    <w:p w:rsidR="00AA0F86" w:rsidP="00276002" w14:paraId="009E35F5" w14:textId="77777777">
      <w:pPr>
        <w:pStyle w:val="Heading2"/>
      </w:pPr>
      <w:bookmarkStart w:id="35" w:name="_Toc108151716"/>
      <w:bookmarkStart w:id="36" w:name="_Toc108152435"/>
      <w:bookmarkStart w:id="37" w:name="_Toc109307219"/>
      <w:bookmarkStart w:id="38" w:name="_Toc118724034"/>
      <w:r>
        <w:t>Duties of the Clearinghouse</w:t>
      </w:r>
      <w:bookmarkEnd w:id="35"/>
      <w:bookmarkEnd w:id="36"/>
      <w:bookmarkEnd w:id="37"/>
      <w:bookmarkEnd w:id="38"/>
    </w:p>
    <w:p w:rsidR="00AA0F86" w:rsidP="00276002" w14:paraId="50889633" w14:textId="77777777">
      <w:pPr>
        <w:pStyle w:val="ParaNum"/>
        <w:widowControl/>
        <w:numPr>
          <w:ilvl w:val="0"/>
          <w:numId w:val="21"/>
        </w:numPr>
        <w:tabs>
          <w:tab w:val="clear" w:pos="1080"/>
          <w:tab w:val="num" w:pos="1440"/>
        </w:tabs>
      </w:pPr>
      <w:r>
        <w:t xml:space="preserve">Consistent with the delegation of authority in the </w:t>
      </w:r>
      <w:r w:rsidRPr="008D688B">
        <w:rPr>
          <w:i/>
          <w:iCs/>
        </w:rPr>
        <w:t xml:space="preserve">3.45 GHz Band </w:t>
      </w:r>
      <w:r>
        <w:rPr>
          <w:i/>
          <w:iCs/>
        </w:rPr>
        <w:t xml:space="preserve">Second R&amp;O </w:t>
      </w:r>
      <w:r>
        <w:t>and the Commission’s rules,</w:t>
      </w:r>
      <w:r>
        <w:rPr>
          <w:rStyle w:val="FootnoteReference"/>
        </w:rPr>
        <w:footnoteReference w:id="60"/>
      </w:r>
      <w:r>
        <w:t xml:space="preserve"> the Bureau herein sets forth the duties of the Clearinghouse.  As in other spectrum band transition processes, we find that an independent clearinghouse that oversees the reimbursement process for the 3.45 GHz band transition in a “fair, and transparent manner will best serve the public </w:t>
      </w:r>
      <w:r>
        <w:t>interest.”</w:t>
      </w:r>
      <w:r>
        <w:rPr>
          <w:rStyle w:val="FootnoteReference"/>
        </w:rPr>
        <w:footnoteReference w:id="61"/>
      </w:r>
      <w:r>
        <w:t xml:space="preserve">  To that end, below we establish procedures to prevent waste, fraud, and abuse in connection with relocation reimbursement disbursements.</w:t>
      </w:r>
      <w:r>
        <w:rPr>
          <w:rStyle w:val="FootnoteReference"/>
        </w:rPr>
        <w:footnoteReference w:id="62"/>
      </w:r>
      <w:r>
        <w:t xml:space="preserve">  </w:t>
      </w:r>
    </w:p>
    <w:p w:rsidR="00AA0F86" w:rsidP="00AA0F86" w14:paraId="22F70416" w14:textId="77777777">
      <w:pPr>
        <w:pStyle w:val="ParaNum"/>
        <w:numPr>
          <w:ilvl w:val="0"/>
          <w:numId w:val="21"/>
        </w:numPr>
        <w:tabs>
          <w:tab w:val="clear" w:pos="1080"/>
          <w:tab w:val="num" w:pos="1440"/>
        </w:tabs>
      </w:pPr>
      <w:r>
        <w:rPr>
          <w:i/>
          <w:iCs/>
        </w:rPr>
        <w:t>Collection of reimbursement requests and supporting documentation.</w:t>
      </w:r>
      <w:r>
        <w:t xml:space="preserve"> The Clearinghouse will be responsible for collecting from the two incumbent radiolocation operators a showing of their relocation costs for the transition as well as a demonstration of the reasonableness of those costs.</w:t>
      </w:r>
      <w:r>
        <w:rPr>
          <w:rStyle w:val="FootnoteReference"/>
        </w:rPr>
        <w:footnoteReference w:id="63"/>
      </w:r>
      <w:r>
        <w:t xml:space="preserve">  </w:t>
      </w:r>
      <w:r w:rsidRPr="009175CA">
        <w:t xml:space="preserve">The </w:t>
      </w:r>
      <w:r>
        <w:t>Clearinghouse</w:t>
      </w:r>
      <w:r w:rsidRPr="009175CA">
        <w:t xml:space="preserve"> will determine in the first instance whether costs submitted for reimbursement are reasonable.</w:t>
      </w:r>
      <w:r>
        <w:rPr>
          <w:rStyle w:val="FootnoteReference"/>
        </w:rPr>
        <w:footnoteReference w:id="64"/>
      </w:r>
      <w:r>
        <w:t xml:space="preserve">  </w:t>
      </w:r>
      <w:r w:rsidRPr="009175CA">
        <w:t>Parties seeking reimbursement for actual costs</w:t>
      </w:r>
      <w:r>
        <w:t xml:space="preserve"> </w:t>
      </w:r>
      <w:r w:rsidRPr="009175CA">
        <w:t xml:space="preserve">must submit to the </w:t>
      </w:r>
      <w:r>
        <w:t xml:space="preserve">Clearinghouse </w:t>
      </w:r>
      <w:r w:rsidRPr="009175CA">
        <w:t>a claim for reimbursement, complete with sufficient documentation to justify the amount.</w:t>
      </w:r>
      <w:r>
        <w:rPr>
          <w:rStyle w:val="FootnoteReference"/>
        </w:rPr>
        <w:footnoteReference w:id="65"/>
      </w:r>
      <w:r w:rsidRPr="009175CA">
        <w:t xml:space="preserve">  The </w:t>
      </w:r>
      <w:r>
        <w:t>Clearinghouse</w:t>
      </w:r>
      <w:r w:rsidRPr="009175CA">
        <w:t xml:space="preserve"> shall review reimbursement requests to determine whether the</w:t>
      </w:r>
      <w:r>
        <w:t xml:space="preserve"> costs</w:t>
      </w:r>
      <w:r w:rsidRPr="009175CA">
        <w:t xml:space="preserve"> are reasonable and to ensure they comply with the requirements adopted in </w:t>
      </w:r>
      <w:r>
        <w:t xml:space="preserve">the </w:t>
      </w:r>
      <w:r w:rsidRPr="008D688B">
        <w:rPr>
          <w:i/>
          <w:iCs/>
        </w:rPr>
        <w:t xml:space="preserve">3.45 GHz Band </w:t>
      </w:r>
      <w:r>
        <w:rPr>
          <w:i/>
          <w:iCs/>
        </w:rPr>
        <w:t>Second R&amp;O</w:t>
      </w:r>
      <w:r w:rsidRPr="009175CA">
        <w:t>.</w:t>
      </w:r>
      <w:r>
        <w:rPr>
          <w:rStyle w:val="FootnoteReference"/>
        </w:rPr>
        <w:footnoteReference w:id="66"/>
      </w:r>
      <w:r w:rsidRPr="009175CA">
        <w:t xml:space="preserve">  The</w:t>
      </w:r>
      <w:r w:rsidRPr="009175CA">
        <w:t xml:space="preserve"> </w:t>
      </w:r>
      <w:r>
        <w:t>Clearinghouse</w:t>
      </w:r>
      <w:r w:rsidRPr="009175CA">
        <w:t xml:space="preserve"> shall give parties the opportunity to supplement any reimbursement claims that the </w:t>
      </w:r>
      <w:r>
        <w:t>Clearinghouse</w:t>
      </w:r>
      <w:r w:rsidRPr="009175CA">
        <w:t xml:space="preserve"> deems deficient.</w:t>
      </w:r>
    </w:p>
    <w:p w:rsidR="00AA0F86" w:rsidRPr="009175CA" w:rsidP="00AA0F86" w14:paraId="796491F6" w14:textId="77777777">
      <w:pPr>
        <w:pStyle w:val="ParaNum"/>
        <w:numPr>
          <w:ilvl w:val="0"/>
          <w:numId w:val="21"/>
        </w:numPr>
        <w:tabs>
          <w:tab w:val="clear" w:pos="1080"/>
          <w:tab w:val="num" w:pos="1440"/>
        </w:tabs>
      </w:pPr>
      <w:r>
        <w:t>Incumbents</w:t>
      </w:r>
      <w:r w:rsidRPr="009175CA">
        <w:t xml:space="preserve"> seeking reimbursement for their actual costs shall provide justification for those costs.</w:t>
      </w:r>
      <w:r>
        <w:rPr>
          <w:rStyle w:val="FootnoteReference"/>
        </w:rPr>
        <w:footnoteReference w:id="67"/>
      </w:r>
      <w:r w:rsidRPr="009175CA">
        <w:t xml:space="preserve">  </w:t>
      </w:r>
      <w:r>
        <w:t xml:space="preserve">The Clearinghouse shall specify a procedure for the submission of relocation cost documentation.  </w:t>
      </w:r>
      <w:r w:rsidRPr="009175CA">
        <w:t xml:space="preserve">Entities must document their actual expenses </w:t>
      </w:r>
      <w:r>
        <w:t>and shall submit such documentation pursuant to the procedures specified by the Clearinghouse at any time after those expenses have been incurred.  T</w:t>
      </w:r>
      <w:r w:rsidRPr="009175CA">
        <w:t xml:space="preserve">he </w:t>
      </w:r>
      <w:r>
        <w:t>Clearinghouse</w:t>
      </w:r>
      <w:r w:rsidRPr="009175CA">
        <w:t xml:space="preserve"> may conduct audits of entities that receive reimbursements.</w:t>
      </w:r>
      <w:r>
        <w:rPr>
          <w:vertAlign w:val="superscript"/>
        </w:rPr>
        <w:footnoteReference w:id="68"/>
      </w:r>
      <w:r w:rsidRPr="009175CA">
        <w:t xml:space="preserve">  </w:t>
      </w:r>
      <w:r>
        <w:t>Incumbents</w:t>
      </w:r>
      <w:r w:rsidRPr="009175CA">
        <w:t xml:space="preserve"> receiving reimbursements must make available all relevant documentation upon request from the </w:t>
      </w:r>
      <w:r>
        <w:t>Clearinghouse</w:t>
      </w:r>
      <w:r w:rsidRPr="009175CA">
        <w:t>.</w:t>
      </w:r>
    </w:p>
    <w:p w:rsidR="00AA0F86" w:rsidP="00AA0F86" w14:paraId="22407FA2" w14:textId="77777777">
      <w:pPr>
        <w:pStyle w:val="ParaNum"/>
        <w:numPr>
          <w:ilvl w:val="0"/>
          <w:numId w:val="21"/>
        </w:numPr>
        <w:tabs>
          <w:tab w:val="clear" w:pos="1080"/>
          <w:tab w:val="num" w:pos="1440"/>
        </w:tabs>
      </w:pPr>
      <w:r w:rsidRPr="009175CA">
        <w:t xml:space="preserve">To determine the reasonableness of reimbursement requests, the </w:t>
      </w:r>
      <w:r>
        <w:t>Clearinghouse</w:t>
      </w:r>
      <w:r w:rsidRPr="009175CA">
        <w:t xml:space="preserve"> may consider the submission and supporting documentation and any relevant comparable reimbursement submissions.  If the </w:t>
      </w:r>
      <w:r>
        <w:t>Clearinghouse</w:t>
      </w:r>
      <w:r w:rsidRPr="009175CA">
        <w:t xml:space="preserve"> determines that the amount sought for reimbursement is </w:t>
      </w:r>
      <w:r>
        <w:t xml:space="preserve">impermissible or </w:t>
      </w:r>
      <w:r w:rsidRPr="009175CA">
        <w:t xml:space="preserve">unreasonable, it shall notify the party of </w:t>
      </w:r>
      <w:r>
        <w:t>any</w:t>
      </w:r>
      <w:r w:rsidRPr="009175CA">
        <w:t xml:space="preserve"> amount </w:t>
      </w:r>
      <w:r>
        <w:t xml:space="preserve">that </w:t>
      </w:r>
      <w:r w:rsidRPr="009175CA">
        <w:t>it deems eligible for reimbursement.</w:t>
      </w:r>
      <w:r w:rsidRPr="1419DE64">
        <w:t xml:space="preserve">  </w:t>
      </w:r>
      <w:r>
        <w:t>Approved, adjusted, or denied claims shall be simultaneously invoiced to the relevant claimant and the 3.45 Service licensees, allowing 30 days for review.  To the extent that either a claimant or an 3.45 Service licensee wishes to dispute a final Clearinghouse decision, it may do so by providing written notice to the Bureau in the above-captioned docket within 30 days of invoice issuance.</w:t>
      </w:r>
      <w:r>
        <w:rPr>
          <w:rStyle w:val="FootnoteReference"/>
        </w:rPr>
        <w:footnoteReference w:id="69"/>
      </w:r>
      <w:r>
        <w:t xml:space="preserve">  T</w:t>
      </w:r>
      <w:r w:rsidRPr="009175CA">
        <w:t xml:space="preserve">he </w:t>
      </w:r>
      <w:r>
        <w:t>Bureau</w:t>
      </w:r>
      <w:r w:rsidRPr="009175CA">
        <w:t xml:space="preserve"> </w:t>
      </w:r>
      <w:r>
        <w:t>shall resolve any such dispute.</w:t>
      </w:r>
      <w:r>
        <w:rPr>
          <w:rStyle w:val="FootnoteReference"/>
        </w:rPr>
        <w:footnoteReference w:id="70"/>
      </w:r>
      <w:r>
        <w:t xml:space="preserve">  To the extent necessary, the Bureau may establish supplemental procedures for the resolution of any disputes that may arise during the transition.  Once the 30-day invoice review period has run and absent any dispute, the Clearinghouse shall disburse approved claims from the reimbursement fund.</w:t>
      </w:r>
    </w:p>
    <w:p w:rsidR="00AA0F86" w:rsidP="00AA0F86" w14:paraId="1F6D27AB" w14:textId="77777777">
      <w:pPr>
        <w:pStyle w:val="ParaNum"/>
        <w:numPr>
          <w:ilvl w:val="0"/>
          <w:numId w:val="21"/>
        </w:numPr>
        <w:tabs>
          <w:tab w:val="clear" w:pos="1080"/>
          <w:tab w:val="num" w:pos="1440"/>
        </w:tabs>
      </w:pPr>
      <w:r>
        <w:rPr>
          <w:i/>
          <w:iCs/>
        </w:rPr>
        <w:t xml:space="preserve">Apportionment of Costs Among 3.45 GHz Service Licensees.  </w:t>
      </w:r>
      <w:r>
        <w:t>The Clearinghouse shall</w:t>
      </w:r>
      <w:r w:rsidRPr="003D0157">
        <w:t xml:space="preserve"> apportion costs among </w:t>
      </w:r>
      <w:r>
        <w:t>3.45 GHz Service</w:t>
      </w:r>
      <w:r w:rsidRPr="003D0157">
        <w:t xml:space="preserve"> licensees and distribute payments</w:t>
      </w:r>
      <w:r>
        <w:t xml:space="preserve"> </w:t>
      </w:r>
      <w:r w:rsidRPr="003D0157">
        <w:t xml:space="preserve">to </w:t>
      </w:r>
      <w:r>
        <w:t xml:space="preserve">incumbent radiolocation licensees pursuant to the cost allocation structure established in the </w:t>
      </w:r>
      <w:r w:rsidRPr="008D688B">
        <w:rPr>
          <w:i/>
          <w:iCs/>
        </w:rPr>
        <w:t xml:space="preserve">3.45 GHz Band </w:t>
      </w:r>
      <w:r>
        <w:rPr>
          <w:i/>
          <w:iCs/>
        </w:rPr>
        <w:t xml:space="preserve">Second R&amp;O </w:t>
      </w:r>
      <w:r>
        <w:t xml:space="preserve">and the </w:t>
      </w:r>
      <w:r>
        <w:t>Commission’s rules</w:t>
      </w:r>
      <w:r w:rsidRPr="003D0157">
        <w:t>.</w:t>
      </w:r>
      <w:r>
        <w:rPr>
          <w:rStyle w:val="FootnoteReference"/>
        </w:rPr>
        <w:footnoteReference w:id="71"/>
      </w:r>
      <w:r w:rsidRPr="003D0157">
        <w:t xml:space="preserve"> </w:t>
      </w:r>
      <w:r>
        <w:t xml:space="preserve"> Specifically, each 3.45 GHz Service licensee that is granted an initial license (not a renewal) “</w:t>
      </w:r>
      <w:r>
        <w:rPr>
          <w:color w:val="000000"/>
        </w:rPr>
        <w:t xml:space="preserve">must pay a </w:t>
      </w:r>
      <w:r>
        <w:rPr>
          <w:i/>
          <w:iCs/>
          <w:color w:val="000000"/>
        </w:rPr>
        <w:t>pro rata</w:t>
      </w:r>
      <w:r>
        <w:rPr>
          <w:color w:val="000000"/>
        </w:rPr>
        <w:t xml:space="preserve"> portion to reimburse the costs incurred by authorized non-federal, secondary radiolocation licensees for relocating from the 3.3-3.55 GHz band.”</w:t>
      </w:r>
      <w:r>
        <w:rPr>
          <w:rStyle w:val="FootnoteReference"/>
        </w:rPr>
        <w:footnoteReference w:id="72"/>
      </w:r>
      <w:r>
        <w:t xml:space="preserve">  </w:t>
      </w:r>
      <w:r w:rsidRPr="00DD659F">
        <w:rPr>
          <w:color w:val="000000"/>
        </w:rPr>
        <w:t xml:space="preserve">These costs </w:t>
      </w:r>
      <w:r>
        <w:rPr>
          <w:color w:val="000000"/>
        </w:rPr>
        <w:t xml:space="preserve">shall </w:t>
      </w:r>
      <w:r w:rsidRPr="00DD659F">
        <w:rPr>
          <w:color w:val="000000"/>
        </w:rPr>
        <w:t xml:space="preserve">include </w:t>
      </w:r>
      <w:r>
        <w:rPr>
          <w:color w:val="000000"/>
        </w:rPr>
        <w:t>“</w:t>
      </w:r>
      <w:r w:rsidRPr="00DD659F">
        <w:rPr>
          <w:color w:val="000000"/>
        </w:rPr>
        <w:t>the cost of a clearinghouse’s administration of the reimbursement, which the radiolocation licensees will pay initially and include in their reimbursable costs</w:t>
      </w:r>
      <w:r>
        <w:rPr>
          <w:color w:val="000000"/>
        </w:rPr>
        <w:t>.”</w:t>
      </w:r>
      <w:r>
        <w:rPr>
          <w:rStyle w:val="FootnoteReference"/>
        </w:rPr>
        <w:footnoteReference w:id="73"/>
      </w:r>
      <w:r w:rsidRPr="009175CA">
        <w:t xml:space="preserve"> </w:t>
      </w:r>
      <w:r>
        <w:t xml:space="preserve"> The Clearinghouse shall determine a licensee’s </w:t>
      </w:r>
      <w:r w:rsidRPr="008E7B8B">
        <w:rPr>
          <w:i/>
        </w:rPr>
        <w:t>pro rata</w:t>
      </w:r>
      <w:r>
        <w:t xml:space="preserve"> share of relocation costs by dividing the total actual costs of the incumbents’ relocation (as approved by the Clearinghouse), “</w:t>
      </w:r>
      <w:r>
        <w:rPr>
          <w:color w:val="000000"/>
        </w:rPr>
        <w:t>by the total number of 3.45 GHz Service licenses granted, multiplied by the number of such licenses [a] Licensee will hold.”</w:t>
      </w:r>
      <w:r>
        <w:rPr>
          <w:rStyle w:val="FootnoteReference"/>
        </w:rPr>
        <w:footnoteReference w:id="74"/>
      </w:r>
      <w:r>
        <w:rPr>
          <w:color w:val="000000"/>
        </w:rPr>
        <w:t xml:space="preserve"> </w:t>
      </w:r>
      <w:r w:rsidRPr="009175CA">
        <w:t xml:space="preserve"> </w:t>
      </w:r>
      <w:r>
        <w:t xml:space="preserve">Forty-five days after the Clearinghouse has entered into contracts with incumbents and new licensees, </w:t>
      </w:r>
      <w:r w:rsidRPr="009175CA">
        <w:t xml:space="preserve">the </w:t>
      </w:r>
      <w:r>
        <w:t>Clearinghouse</w:t>
      </w:r>
      <w:r w:rsidRPr="009175CA">
        <w:t xml:space="preserve"> shall calculate the share of each </w:t>
      </w:r>
      <w:r>
        <w:t>3.45 Service</w:t>
      </w:r>
      <w:r w:rsidRPr="009175CA">
        <w:t xml:space="preserve"> licensee</w:t>
      </w:r>
      <w:r>
        <w:t xml:space="preserve"> based upon the reimbursement documentation received from the incumbents</w:t>
      </w:r>
      <w:r w:rsidRPr="009175CA">
        <w:t xml:space="preserve">.  The initial </w:t>
      </w:r>
      <w:r>
        <w:t>share</w:t>
      </w:r>
      <w:r w:rsidRPr="009175CA">
        <w:t xml:space="preserve"> shall incorporate </w:t>
      </w:r>
      <w:r>
        <w:t>any</w:t>
      </w:r>
      <w:r w:rsidRPr="009175CA">
        <w:t xml:space="preserve"> </w:t>
      </w:r>
      <w:r>
        <w:t xml:space="preserve">relocation-related </w:t>
      </w:r>
      <w:r w:rsidRPr="009175CA">
        <w:t xml:space="preserve">costs incurred prior to </w:t>
      </w:r>
      <w:r>
        <w:t>the issuance of new flexible-use licenses</w:t>
      </w:r>
      <w:r w:rsidRPr="009175CA">
        <w:t xml:space="preserve"> </w:t>
      </w:r>
      <w:r>
        <w:t xml:space="preserve">(May 4, 2022) </w:t>
      </w:r>
      <w:r w:rsidRPr="009175CA">
        <w:t xml:space="preserve">as well as </w:t>
      </w:r>
      <w:r>
        <w:t>from the time of issuance until the time of calculation</w:t>
      </w:r>
      <w:r w:rsidRPr="009175CA">
        <w:t>.</w:t>
      </w:r>
      <w:r>
        <w:t xml:space="preserve">  </w:t>
      </w:r>
      <w:r>
        <w:rPr>
          <w:color w:val="000000"/>
        </w:rPr>
        <w:t xml:space="preserve">3.45 GHz Service licensees </w:t>
      </w:r>
      <w:r w:rsidRPr="009175CA">
        <w:t>shall pay their</w:t>
      </w:r>
      <w:r w:rsidRPr="1419DE64">
        <w:t xml:space="preserve"> </w:t>
      </w:r>
      <w:r w:rsidRPr="009175CA">
        <w:t xml:space="preserve">share of </w:t>
      </w:r>
      <w:r>
        <w:t>the initial</w:t>
      </w:r>
      <w:r w:rsidRPr="009175CA">
        <w:t xml:space="preserve"> </w:t>
      </w:r>
      <w:r>
        <w:t>relocation</w:t>
      </w:r>
      <w:r w:rsidRPr="009175CA">
        <w:t xml:space="preserve"> </w:t>
      </w:r>
      <w:r>
        <w:t>payments</w:t>
      </w:r>
      <w:r w:rsidRPr="009175CA">
        <w:t xml:space="preserve"> into a reimbursement fund, administered by the </w:t>
      </w:r>
      <w:r>
        <w:t>Clearinghouse</w:t>
      </w:r>
      <w:r w:rsidRPr="009175CA">
        <w:t xml:space="preserve">, </w:t>
      </w:r>
      <w:r>
        <w:t>w</w:t>
      </w:r>
      <w:r w:rsidRPr="009175CA">
        <w:t xml:space="preserve">ithin </w:t>
      </w:r>
      <w:r>
        <w:t>3</w:t>
      </w:r>
      <w:r w:rsidRPr="009175CA">
        <w:t xml:space="preserve">0 days of receiving </w:t>
      </w:r>
      <w:r>
        <w:t xml:space="preserve">an invoice or other written notification of </w:t>
      </w:r>
      <w:r w:rsidRPr="009175CA">
        <w:t xml:space="preserve">the calculation of their initial share.  The </w:t>
      </w:r>
      <w:r>
        <w:t>Clearinghouse</w:t>
      </w:r>
      <w:r w:rsidRPr="009175CA">
        <w:t xml:space="preserve"> shall draw from the reimbursement fund to pay approved, invoiced claims</w:t>
      </w:r>
      <w:r>
        <w:t xml:space="preserve"> that are not subject to a dispute before the Bureau</w:t>
      </w:r>
      <w:r w:rsidRPr="009175CA">
        <w:t>.</w:t>
      </w:r>
    </w:p>
    <w:p w:rsidR="00AA0F86" w:rsidP="00AA0F86" w14:paraId="39979F57" w14:textId="77777777">
      <w:pPr>
        <w:pStyle w:val="ParaNum"/>
        <w:numPr>
          <w:ilvl w:val="0"/>
          <w:numId w:val="21"/>
        </w:numPr>
        <w:tabs>
          <w:tab w:val="clear" w:pos="1080"/>
          <w:tab w:val="num" w:pos="1440"/>
        </w:tabs>
      </w:pPr>
      <w:r w:rsidRPr="009175CA">
        <w:t xml:space="preserve">Going forward, the </w:t>
      </w:r>
      <w:r>
        <w:t>Clearinghouse</w:t>
      </w:r>
      <w:r w:rsidRPr="009175CA">
        <w:t xml:space="preserve"> shall calculate the </w:t>
      </w:r>
      <w:r>
        <w:t>3.45 GHz Service</w:t>
      </w:r>
      <w:r w:rsidRPr="009175CA">
        <w:t xml:space="preserve"> licensees’ share of </w:t>
      </w:r>
      <w:r>
        <w:t>relocation</w:t>
      </w:r>
      <w:r w:rsidRPr="009175CA">
        <w:t xml:space="preserve"> costs </w:t>
      </w:r>
      <w:r>
        <w:t>at least every six months,</w:t>
      </w:r>
      <w:r w:rsidRPr="009175CA">
        <w:t xml:space="preserve"> </w:t>
      </w:r>
      <w:r>
        <w:t xml:space="preserve">with the discretion to calculate the share on a more frequent basis as needed, </w:t>
      </w:r>
      <w:r w:rsidRPr="009175CA">
        <w:t xml:space="preserve">and provide </w:t>
      </w:r>
      <w:r>
        <w:t xml:space="preserve">each </w:t>
      </w:r>
      <w:r w:rsidRPr="009175CA">
        <w:t xml:space="preserve">licensee with the amount </w:t>
      </w:r>
      <w:r>
        <w:t xml:space="preserve">it </w:t>
      </w:r>
      <w:r w:rsidRPr="009175CA">
        <w:t>owe</w:t>
      </w:r>
      <w:r>
        <w:t>s</w:t>
      </w:r>
      <w:r w:rsidRPr="009175CA">
        <w:t xml:space="preserve"> </w:t>
      </w:r>
      <w:r>
        <w:t>no more than</w:t>
      </w:r>
      <w:r w:rsidRPr="009175CA">
        <w:t xml:space="preserve"> </w:t>
      </w:r>
      <w:r>
        <w:t>3</w:t>
      </w:r>
      <w:r w:rsidRPr="009175CA">
        <w:t xml:space="preserve">0 days </w:t>
      </w:r>
      <w:r>
        <w:t>after</w:t>
      </w:r>
      <w:r w:rsidRPr="009175CA">
        <w:t xml:space="preserve"> each </w:t>
      </w:r>
      <w:r>
        <w:t xml:space="preserve">period </w:t>
      </w:r>
      <w:r w:rsidRPr="009B14C8">
        <w:t>that it calculates the licensees’ share of relocation costs</w:t>
      </w:r>
      <w:r w:rsidRPr="009175CA">
        <w:t xml:space="preserve">.  Within </w:t>
      </w:r>
      <w:r>
        <w:t>3</w:t>
      </w:r>
      <w:r w:rsidRPr="009175CA">
        <w:t xml:space="preserve">0 days of receiving the </w:t>
      </w:r>
      <w:r>
        <w:t>invoice or other written notification of</w:t>
      </w:r>
      <w:r w:rsidRPr="009175CA">
        <w:t xml:space="preserve"> the calculation of</w:t>
      </w:r>
      <w:r>
        <w:t xml:space="preserve"> its</w:t>
      </w:r>
      <w:r w:rsidRPr="009175CA">
        <w:t xml:space="preserve"> share, </w:t>
      </w:r>
      <w:r>
        <w:t>each 3.45 GHz Service</w:t>
      </w:r>
      <w:r w:rsidRPr="009175CA">
        <w:t xml:space="preserve"> licensee shall pay </w:t>
      </w:r>
      <w:r>
        <w:t>its</w:t>
      </w:r>
      <w:r w:rsidRPr="009175CA">
        <w:t xml:space="preserve"> share of costs into the reimbursement fund.  The </w:t>
      </w:r>
      <w:r>
        <w:t>Clearinghouse</w:t>
      </w:r>
      <w:r w:rsidRPr="009175CA">
        <w:t xml:space="preserve"> shall draw from the reimbursement fund to pay approved reimbursement claims.</w:t>
      </w:r>
      <w:r>
        <w:t xml:space="preserve">  </w:t>
      </w:r>
      <w:r w:rsidRPr="009175CA">
        <w:t xml:space="preserve">The </w:t>
      </w:r>
      <w:r>
        <w:t xml:space="preserve">Clearinghouse </w:t>
      </w:r>
      <w:r w:rsidRPr="009175CA">
        <w:t xml:space="preserve">shall pay approved claims 30 days </w:t>
      </w:r>
      <w:r>
        <w:t>after</w:t>
      </w:r>
      <w:r w:rsidRPr="009175CA">
        <w:t xml:space="preserve"> invoice submission </w:t>
      </w:r>
      <w:r>
        <w:t>to the relevant claimant and 3.45 GHz Service licensees for their review so long as: (1) funding is available; and (2) there is no dispute regarding the underlying Clearinghouse decision before the Bureau</w:t>
      </w:r>
      <w:r w:rsidRPr="009175CA">
        <w:t xml:space="preserve">.  If the reimbursement fund does not have sufficient funds to pay approved claims before a six-month replenishment, the </w:t>
      </w:r>
      <w:r>
        <w:t>Clearinghouse</w:t>
      </w:r>
      <w:r w:rsidRPr="009175CA">
        <w:t xml:space="preserve"> shall provide </w:t>
      </w:r>
      <w:r>
        <w:t>3.45 GHz Service</w:t>
      </w:r>
      <w:r w:rsidRPr="009175CA">
        <w:t xml:space="preserve"> licensees with </w:t>
      </w:r>
      <w:r>
        <w:t>3</w:t>
      </w:r>
      <w:r w:rsidRPr="009175CA">
        <w:t xml:space="preserve">0 days’ notice of the additional shares </w:t>
      </w:r>
      <w:r>
        <w:t xml:space="preserve"> each </w:t>
      </w:r>
      <w:r w:rsidRPr="009175CA">
        <w:t xml:space="preserve"> must contribute.  </w:t>
      </w:r>
      <w:r>
        <w:t xml:space="preserve">Any interest arising from the reimbursement fund shall be used to defray the costs of the transition for all 3.45 GHz Service licensees on a </w:t>
      </w:r>
      <w:r w:rsidRPr="00111D29">
        <w:rPr>
          <w:i/>
          <w:iCs/>
        </w:rPr>
        <w:t>pro rata</w:t>
      </w:r>
      <w:r>
        <w:t xml:space="preserve"> basis.  </w:t>
      </w:r>
      <w:r w:rsidRPr="009175CA">
        <w:t xml:space="preserve">At the end of the transition, the </w:t>
      </w:r>
      <w:r>
        <w:t>Clearinghouse</w:t>
      </w:r>
      <w:r w:rsidRPr="009175CA">
        <w:t xml:space="preserve"> shall return any unused amounts to </w:t>
      </w:r>
      <w:r>
        <w:t xml:space="preserve">the 3.45 GHz Service </w:t>
      </w:r>
      <w:r w:rsidRPr="009175CA">
        <w:t>licensees according to their</w:t>
      </w:r>
      <w:r>
        <w:t xml:space="preserve"> </w:t>
      </w:r>
      <w:r w:rsidRPr="00DE7E2F">
        <w:rPr>
          <w:i/>
          <w:iCs/>
        </w:rPr>
        <w:t>pro rata</w:t>
      </w:r>
      <w:r w:rsidRPr="009175CA">
        <w:t xml:space="preserve"> shares.</w:t>
      </w:r>
    </w:p>
    <w:p w:rsidR="00AA0F86" w:rsidP="00AA0F86" w14:paraId="08C8ACBE" w14:textId="77777777">
      <w:pPr>
        <w:pStyle w:val="ParaNum"/>
        <w:numPr>
          <w:ilvl w:val="0"/>
          <w:numId w:val="21"/>
        </w:numPr>
        <w:tabs>
          <w:tab w:val="clear" w:pos="1080"/>
          <w:tab w:val="num" w:pos="1440"/>
        </w:tabs>
      </w:pPr>
      <w:r>
        <w:t xml:space="preserve">If a </w:t>
      </w:r>
      <w:r>
        <w:rPr>
          <w:color w:val="000000"/>
        </w:rPr>
        <w:t>3.45 GHz Service license</w:t>
      </w:r>
      <w:r>
        <w:t xml:space="preserve"> is relinquished to the Commission prior to all relocation cost reimbursements being paid, the remaining payments will be distributed among the remaining 3.45 GHz Service licensees.  If a new license is issued for the previously relinquished rights prior to final transition payments becoming due, the new </w:t>
      </w:r>
      <w:r>
        <w:rPr>
          <w:color w:val="000000"/>
        </w:rPr>
        <w:t xml:space="preserve">3.45 GHz Service </w:t>
      </w:r>
      <w:r>
        <w:t xml:space="preserve">licensee will be responsible for the same </w:t>
      </w:r>
      <w:r>
        <w:rPr>
          <w:i/>
          <w:iCs/>
        </w:rPr>
        <w:t>pro rata</w:t>
      </w:r>
      <w:r>
        <w:t xml:space="preserve"> share of relocation costs as the initial </w:t>
      </w:r>
      <w:r>
        <w:rPr>
          <w:color w:val="000000"/>
        </w:rPr>
        <w:t xml:space="preserve">3.45 GHz Service </w:t>
      </w:r>
      <w:r>
        <w:t xml:space="preserve">licensee on a going forward basis from the new license grant date.  If a </w:t>
      </w:r>
      <w:r>
        <w:rPr>
          <w:color w:val="000000"/>
        </w:rPr>
        <w:t xml:space="preserve">3.45 GHz Service </w:t>
      </w:r>
      <w:r>
        <w:t xml:space="preserve">licensee assigns its rights through the secondary market, the new </w:t>
      </w:r>
      <w:r>
        <w:rPr>
          <w:color w:val="000000"/>
        </w:rPr>
        <w:t xml:space="preserve">3.45 GHz Service </w:t>
      </w:r>
      <w:r>
        <w:t>licensee will be obligated to fulfill all outstanding and future transition payment obligations associated with the license.</w:t>
      </w:r>
    </w:p>
    <w:p w:rsidR="00AA0F86" w:rsidP="00AA0F86" w14:paraId="1597AA3A" w14:textId="77777777">
      <w:pPr>
        <w:pStyle w:val="ParaNum"/>
        <w:numPr>
          <w:ilvl w:val="0"/>
          <w:numId w:val="21"/>
        </w:numPr>
        <w:tabs>
          <w:tab w:val="clear" w:pos="1080"/>
          <w:tab w:val="num" w:pos="1440"/>
        </w:tabs>
      </w:pPr>
      <w:r>
        <w:rPr>
          <w:color w:val="000000"/>
        </w:rPr>
        <w:t xml:space="preserve">3.45 GHz Service </w:t>
      </w:r>
      <w:r>
        <w:t>licensees will, collectively, pay for the services of the Clearinghouse and staff.</w:t>
      </w:r>
      <w:r>
        <w:rPr>
          <w:rStyle w:val="FootnoteReference"/>
        </w:rPr>
        <w:footnoteReference w:id="75"/>
      </w:r>
      <w:r>
        <w:t xml:space="preserve">  </w:t>
      </w:r>
      <w:r w:rsidRPr="009175CA">
        <w:t xml:space="preserve">The </w:t>
      </w:r>
      <w:r>
        <w:t xml:space="preserve">Clearinghouse </w:t>
      </w:r>
      <w:r w:rsidRPr="009175CA">
        <w:t xml:space="preserve">shall include </w:t>
      </w:r>
      <w:r>
        <w:t xml:space="preserve">and itemize </w:t>
      </w:r>
      <w:r w:rsidRPr="009175CA">
        <w:t xml:space="preserve">its own reasonable costs in </w:t>
      </w:r>
      <w:r>
        <w:t xml:space="preserve">the cost estimates it </w:t>
      </w:r>
      <w:r>
        <w:t xml:space="preserve">uses to collect reimbursement fund payments from </w:t>
      </w:r>
      <w:r>
        <w:rPr>
          <w:color w:val="000000"/>
        </w:rPr>
        <w:t xml:space="preserve">3.45 GHz Service </w:t>
      </w:r>
      <w:r>
        <w:t>licensees</w:t>
      </w:r>
      <w:r w:rsidRPr="009175CA">
        <w:t>.</w:t>
      </w:r>
      <w:r>
        <w:rPr>
          <w:rStyle w:val="FootnoteReference"/>
        </w:rPr>
        <w:footnoteReference w:id="76"/>
      </w:r>
      <w:r>
        <w:t xml:space="preserve">  </w:t>
      </w:r>
      <w:r w:rsidRPr="000C0C94">
        <w:t xml:space="preserve">To ensure the Clearinghouse’s costs are reasonable, the Clearinghouse shall provide to the Office of the Managing Director and the Wireless Telecommunications Bureau, by </w:t>
      </w:r>
      <w:r>
        <w:t>April</w:t>
      </w:r>
      <w:r w:rsidRPr="000C0C94">
        <w:t> 1 of each year</w:t>
      </w:r>
      <w:r>
        <w:t xml:space="preserve"> beginning in 2024</w:t>
      </w:r>
      <w:r w:rsidRPr="000C0C94">
        <w:t>, an audited statement of funds expended to date, including salaries and expenses of the Clearinghouse.</w:t>
      </w:r>
      <w:r>
        <w:rPr>
          <w:rStyle w:val="FootnoteReference"/>
        </w:rPr>
        <w:footnoteReference w:id="77"/>
      </w:r>
      <w:r>
        <w:t xml:space="preserve">  It shall also provide additional financial information as requested by the Office or Bureau to satisfy the Commission’s oversight responsibilities and/or agency-specific and government-wide reporting obligations.</w:t>
      </w:r>
    </w:p>
    <w:p w:rsidR="00AA0F86" w:rsidP="00AA0F86" w14:paraId="766A2532" w14:textId="77777777">
      <w:pPr>
        <w:pStyle w:val="ParaNum"/>
        <w:numPr>
          <w:ilvl w:val="0"/>
          <w:numId w:val="21"/>
        </w:numPr>
        <w:tabs>
          <w:tab w:val="clear" w:pos="1080"/>
          <w:tab w:val="num" w:pos="1440"/>
        </w:tabs>
      </w:pPr>
      <w:r>
        <w:rPr>
          <w:i/>
          <w:iCs/>
        </w:rPr>
        <w:t xml:space="preserve">Dispute Resolution.  </w:t>
      </w:r>
      <w:r>
        <w:t>As in the 3.7 GHz transition and consistent with our rules,</w:t>
      </w:r>
      <w:r>
        <w:rPr>
          <w:rStyle w:val="FootnoteReference"/>
        </w:rPr>
        <w:footnoteReference w:id="78"/>
      </w:r>
      <w:r>
        <w:t xml:space="preserve"> the Clearinghouse here will serve in </w:t>
      </w:r>
      <w:r w:rsidRPr="00895827">
        <w:t>an administrative role and in a function similar to a special master in a judicial proceeding.</w:t>
      </w:r>
      <w:r>
        <w:rPr>
          <w:vertAlign w:val="superscript"/>
        </w:rPr>
        <w:footnoteReference w:id="79"/>
      </w:r>
      <w:r>
        <w:t xml:space="preserve">  In contrast with the </w:t>
      </w:r>
      <w:r w:rsidRPr="00586EA6">
        <w:rPr>
          <w:i/>
        </w:rPr>
        <w:t>3.</w:t>
      </w:r>
      <w:r w:rsidRPr="00507EFE">
        <w:rPr>
          <w:i/>
        </w:rPr>
        <w:t xml:space="preserve">7 GHz </w:t>
      </w:r>
      <w:r w:rsidRPr="00507EFE">
        <w:rPr>
          <w:i/>
          <w:iCs/>
        </w:rPr>
        <w:t>Band R&amp;O</w:t>
      </w:r>
      <w:r>
        <w:t xml:space="preserve"> which enabled the Clearinghouse to mediate any cost disputes or refer the parties to alternative dispute resolution fora, here the Commission directed that any disputes arising from Clearinghouse decisions shall be decided by the Bureau.</w:t>
      </w:r>
      <w:r>
        <w:rPr>
          <w:rStyle w:val="FootnoteReference"/>
        </w:rPr>
        <w:footnoteReference w:id="80"/>
      </w:r>
      <w:r>
        <w:t xml:space="preserve">  We reiterate that to the extent that either a claimant or a 3.45 Service licensee wishes to dispute a final Clearinghouse decision, it may do so by providing written notice to the Bureau in the above-captioned docket within 30 days of invoice issuance.</w:t>
      </w:r>
      <w:r>
        <w:rPr>
          <w:rStyle w:val="FootnoteReference"/>
        </w:rPr>
        <w:footnoteReference w:id="81"/>
      </w:r>
      <w:r>
        <w:t xml:space="preserve">  To the extent that a 3.45 Service licensee wishes to dispute the calculation of its </w:t>
      </w:r>
      <w:r w:rsidRPr="0070563A">
        <w:rPr>
          <w:i/>
        </w:rPr>
        <w:t>pro rata</w:t>
      </w:r>
      <w:r>
        <w:t xml:space="preserve"> contributions to the reimbursement fund, or any transition-related payment obligation other than a reimbursement claim invoice, it may do so by providing written notice to the Bureau in the above-captioned docket within 30 days of invoice issuance or other written notification of its payment obligation.  To the extent necessary, the Bureau may establish supplemental procedures for the resolution of any disputes that may arise during the transition.  </w:t>
      </w:r>
    </w:p>
    <w:p w:rsidR="00AA0F86" w:rsidP="00AA0F86" w14:paraId="6121DCDB" w14:textId="77777777">
      <w:pPr>
        <w:pStyle w:val="ParaNum"/>
        <w:numPr>
          <w:ilvl w:val="0"/>
          <w:numId w:val="21"/>
        </w:numPr>
        <w:tabs>
          <w:tab w:val="clear" w:pos="1080"/>
          <w:tab w:val="num" w:pos="1440"/>
        </w:tabs>
      </w:pPr>
      <w:r>
        <w:rPr>
          <w:i/>
          <w:iCs/>
        </w:rPr>
        <w:t>Reports to the Bureau.</w:t>
      </w:r>
      <w:r>
        <w:t xml:space="preserve">  The Clearinghouse shall provide certain </w:t>
      </w:r>
      <w:r w:rsidRPr="00043454">
        <w:t>information and reports to the Commission to facilitate our oversight of the transition.</w:t>
      </w:r>
      <w:r>
        <w:rPr>
          <w:rStyle w:val="FootnoteReference"/>
        </w:rPr>
        <w:footnoteReference w:id="82"/>
      </w:r>
      <w:r w:rsidRPr="00043454">
        <w:t xml:space="preserve">  Each</w:t>
      </w:r>
      <w:r>
        <w:t xml:space="preserve"> quarter, the Clearinghouse shall submit</w:t>
      </w:r>
      <w:r w:rsidRPr="00CC239D">
        <w:t xml:space="preserve"> progress reports </w:t>
      </w:r>
      <w:r>
        <w:t xml:space="preserve">to </w:t>
      </w:r>
      <w:r>
        <w:rPr>
          <w:color w:val="000000"/>
        </w:rPr>
        <w:t xml:space="preserve">the </w:t>
      </w:r>
      <w:r w:rsidRPr="00D701C3">
        <w:t>Bureau</w:t>
      </w:r>
      <w:r>
        <w:rPr>
          <w:color w:val="000000"/>
        </w:rPr>
        <w:t xml:space="preserve"> that detail the status of reimbursement funds available, the payments issued, and the amounts collected from licensees.  The first such report must be filed no later than April 1, 2024.  The reports must account for all funds spent, including the Clearinghouse’s own expenses </w:t>
      </w:r>
      <w:r>
        <w:t>(including salaries and fees paid to law firms, accounting firms, and other consultants)</w:t>
      </w:r>
      <w:r>
        <w:rPr>
          <w:color w:val="000000"/>
        </w:rPr>
        <w:t xml:space="preserve">.  </w:t>
      </w:r>
      <w:r>
        <w:t xml:space="preserve">The Clearinghouse shall provide to the Wireless Telecommunications Bureau and the Office of the Managing Director additional information upon request.  </w:t>
      </w:r>
    </w:p>
    <w:p w:rsidR="00AA0F86" w:rsidP="00AA0F86" w14:paraId="6B22BAC3" w14:textId="77777777">
      <w:pPr>
        <w:pStyle w:val="ParaNum"/>
        <w:numPr>
          <w:ilvl w:val="0"/>
          <w:numId w:val="21"/>
        </w:numPr>
        <w:tabs>
          <w:tab w:val="clear" w:pos="1080"/>
          <w:tab w:val="num" w:pos="1440"/>
        </w:tabs>
      </w:pPr>
      <w:r>
        <w:t xml:space="preserve">No later than 18 months after the release of this Order, the Clearinghouse must issue a special, audited report identifying any issues that have not already been referred to the Commission as well as what actions, if any, need to be taken for the Clearinghouse to complete its obligations (including the estimated costs and time frame for completing that work).  </w:t>
      </w:r>
    </w:p>
    <w:p w:rsidR="00AA0F86" w:rsidP="00AA0F86" w14:paraId="2E63B8B0" w14:textId="77777777">
      <w:pPr>
        <w:pStyle w:val="ParaNum"/>
        <w:numPr>
          <w:ilvl w:val="0"/>
          <w:numId w:val="21"/>
        </w:numPr>
        <w:tabs>
          <w:tab w:val="clear" w:pos="1080"/>
          <w:tab w:val="num" w:pos="1440"/>
        </w:tabs>
      </w:pPr>
      <w:r w:rsidRPr="00886B92">
        <w:rPr>
          <w:i/>
          <w:iCs/>
        </w:rPr>
        <w:t>Bureau Oversight</w:t>
      </w:r>
      <w:r>
        <w:t xml:space="preserve">.  To ensure the timely and efficient transition of the band, the Bureau will provide the Clearinghouse with any needed clarifications or interpretations of the Commission’s rules </w:t>
      </w:r>
      <w:r>
        <w:t xml:space="preserve">or orders issued by the Commission or Bureau.  As noted above, the Bureau and the Office of the Managing Director may request any documentation from the Clearinghouse necessary to provide guidance or carry out oversight.  </w:t>
      </w:r>
    </w:p>
    <w:p w:rsidR="00AA0F86" w:rsidP="00AA0F86" w14:paraId="42B0F681" w14:textId="77777777">
      <w:pPr>
        <w:pStyle w:val="ParaNum"/>
        <w:widowControl/>
        <w:numPr>
          <w:ilvl w:val="0"/>
          <w:numId w:val="21"/>
        </w:numPr>
        <w:tabs>
          <w:tab w:val="clear" w:pos="1080"/>
          <w:tab w:val="num" w:pos="1440"/>
        </w:tabs>
      </w:pPr>
      <w:r>
        <w:t>The Bureau will issue a Public Notice upon receipt of a request of the Clearinghouse to wind down and suspend operations.  If no material issues are raised within 15 days of the release of said Public Notice, the Bureau may grant the Clearinghouse’s request to suspend operations on a specific date.  3.45 GHz Service licensees must pay all transition costs incurred and invoiced prior to the date set forth in the Public Notice.</w:t>
      </w:r>
    </w:p>
    <w:p w:rsidR="00AA0F86" w:rsidP="00276002" w14:paraId="19ED800B" w14:textId="77777777">
      <w:pPr>
        <w:pStyle w:val="Heading2"/>
      </w:pPr>
      <w:bookmarkStart w:id="39" w:name="_Toc108151717"/>
      <w:bookmarkStart w:id="40" w:name="_Toc108152436"/>
      <w:bookmarkStart w:id="41" w:name="_Toc109307220"/>
      <w:bookmarkStart w:id="42" w:name="_Toc118724035"/>
      <w:r w:rsidRPr="00DF4521">
        <w:t>Safeguards for Clearinghouse Operation</w:t>
      </w:r>
      <w:bookmarkEnd w:id="39"/>
      <w:bookmarkEnd w:id="40"/>
      <w:bookmarkEnd w:id="41"/>
      <w:bookmarkEnd w:id="42"/>
    </w:p>
    <w:p w:rsidR="00AA0F86" w:rsidP="00AA0F86" w14:paraId="4755DCEB" w14:textId="77777777">
      <w:pPr>
        <w:pStyle w:val="ParaNum"/>
        <w:numPr>
          <w:ilvl w:val="0"/>
          <w:numId w:val="21"/>
        </w:numPr>
        <w:tabs>
          <w:tab w:val="clear" w:pos="1080"/>
          <w:tab w:val="num" w:pos="1440"/>
        </w:tabs>
      </w:pPr>
      <w:r>
        <w:t xml:space="preserve">In the </w:t>
      </w:r>
      <w:r w:rsidRPr="00586EA6">
        <w:rPr>
          <w:i/>
          <w:iCs/>
        </w:rPr>
        <w:t>3.</w:t>
      </w:r>
      <w:r w:rsidRPr="00507EFE">
        <w:rPr>
          <w:i/>
          <w:iCs/>
        </w:rPr>
        <w:t>7 GHz Band R&amp;O</w:t>
      </w:r>
      <w:r>
        <w:t>, the Commission stated that the Clearinghouse should operate “pursuant to Commission rules and oversight, to mitigate financial disputes among stakeholders, and to distribute payments in a timely manner.”</w:t>
      </w:r>
      <w:r>
        <w:rPr>
          <w:rStyle w:val="FootnoteReference"/>
        </w:rPr>
        <w:footnoteReference w:id="83"/>
      </w:r>
      <w:r>
        <w:t xml:space="preserve">  In addition, the Commission concluded that it needed to “establish measures to prevent waste, fraud, and abuse with respect to reimbursement disbursements”</w:t>
      </w:r>
      <w:r>
        <w:rPr>
          <w:rStyle w:val="FootnoteReference"/>
        </w:rPr>
        <w:footnoteReference w:id="84"/>
      </w:r>
      <w:r>
        <w:t xml:space="preserve"> and that the Clearinghouse should adopt “robust privacy and data security best practices in its operations.”</w:t>
      </w:r>
      <w:r>
        <w:rPr>
          <w:rStyle w:val="FootnoteReference"/>
        </w:rPr>
        <w:footnoteReference w:id="85"/>
      </w:r>
      <w:r>
        <w:t xml:space="preserve">  We agree that such measures are likewise appropriate as part of the 3.45 GHz transition. </w:t>
      </w:r>
    </w:p>
    <w:p w:rsidR="00AA0F86" w:rsidP="00AA0F86" w14:paraId="440902AE" w14:textId="77777777">
      <w:pPr>
        <w:pStyle w:val="ParaNum"/>
        <w:numPr>
          <w:ilvl w:val="0"/>
          <w:numId w:val="21"/>
        </w:numPr>
        <w:tabs>
          <w:tab w:val="clear" w:pos="1080"/>
          <w:tab w:val="num" w:pos="1440"/>
        </w:tabs>
      </w:pPr>
      <w:r>
        <w:t>CTIA proposes a series of “appropriate safeguards” to protect all involved stakeholders and “ensure the integrity of the process.”</w:t>
      </w:r>
      <w:r>
        <w:rPr>
          <w:rStyle w:val="FootnoteReference"/>
        </w:rPr>
        <w:footnoteReference w:id="86"/>
      </w:r>
      <w:r>
        <w:t xml:space="preserve">  Given the Commission’s directive in this proceeding to develop and implement a </w:t>
      </w:r>
      <w:r w:rsidRPr="009406BD">
        <w:t>Clearinghouse</w:t>
      </w:r>
      <w:r>
        <w:t xml:space="preserve"> selection process similar to the process used in the 3.7 GHz proceeding, we conclude those safeguards proposed by CTIA, which are consistent with the processes articulated in the </w:t>
      </w:r>
      <w:r w:rsidRPr="00586EA6">
        <w:rPr>
          <w:i/>
          <w:iCs/>
        </w:rPr>
        <w:t>3.</w:t>
      </w:r>
      <w:r w:rsidRPr="00507EFE">
        <w:rPr>
          <w:i/>
          <w:iCs/>
        </w:rPr>
        <w:t>7 GHz Band R&amp;O</w:t>
      </w:r>
      <w:r>
        <w:t>, should be adopted here.</w:t>
      </w:r>
      <w:r>
        <w:rPr>
          <w:rStyle w:val="FootnoteReference"/>
        </w:rPr>
        <w:footnoteReference w:id="87"/>
      </w:r>
      <w:r>
        <w:t xml:space="preserve">  Thus, the Clearinghouse here must: </w:t>
      </w:r>
    </w:p>
    <w:p w:rsidR="00AA0F86" w:rsidP="00AA0F86" w14:paraId="28B8A8DA" w14:textId="77777777">
      <w:pPr>
        <w:pStyle w:val="ParaNum"/>
        <w:numPr>
          <w:ilvl w:val="0"/>
          <w:numId w:val="7"/>
        </w:numPr>
      </w:pPr>
      <w:r>
        <w:t xml:space="preserve">Process claims consistent with the </w:t>
      </w:r>
      <w:r w:rsidRPr="008D688B">
        <w:rPr>
          <w:i/>
          <w:iCs/>
        </w:rPr>
        <w:t xml:space="preserve">3.45 GHz Band </w:t>
      </w:r>
      <w:r>
        <w:rPr>
          <w:i/>
          <w:iCs/>
        </w:rPr>
        <w:t>Second R&amp;O</w:t>
      </w:r>
      <w:r>
        <w:t>, and any clarifications issued by the Commission or the Bureau;</w:t>
      </w:r>
      <w:r>
        <w:rPr>
          <w:rStyle w:val="FootnoteReference"/>
        </w:rPr>
        <w:footnoteReference w:id="88"/>
      </w:r>
      <w:r>
        <w:t xml:space="preserve">  </w:t>
      </w:r>
    </w:p>
    <w:p w:rsidR="00AA0F86" w:rsidP="00AA0F86" w14:paraId="4F326C4A" w14:textId="77777777">
      <w:pPr>
        <w:pStyle w:val="ParaNum"/>
        <w:numPr>
          <w:ilvl w:val="0"/>
          <w:numId w:val="7"/>
        </w:numPr>
      </w:pPr>
      <w:r>
        <w:t>Operate in a fair and transparent manner;</w:t>
      </w:r>
      <w:r>
        <w:rPr>
          <w:rStyle w:val="FootnoteReference"/>
        </w:rPr>
        <w:footnoteReference w:id="89"/>
      </w:r>
    </w:p>
    <w:p w:rsidR="00AA0F86" w:rsidP="00AA0F86" w14:paraId="5C713C75" w14:textId="77777777">
      <w:pPr>
        <w:pStyle w:val="ParaNum"/>
        <w:numPr>
          <w:ilvl w:val="0"/>
          <w:numId w:val="7"/>
        </w:numPr>
      </w:pPr>
      <w:r>
        <w:t>Adopt a process for protecting confidential information;</w:t>
      </w:r>
      <w:r>
        <w:rPr>
          <w:rStyle w:val="FootnoteReference"/>
        </w:rPr>
        <w:footnoteReference w:id="90"/>
      </w:r>
    </w:p>
    <w:p w:rsidR="00AA0F86" w:rsidP="00AA0F86" w14:paraId="7F292BB8" w14:textId="77777777">
      <w:pPr>
        <w:pStyle w:val="ParaNum"/>
        <w:numPr>
          <w:ilvl w:val="0"/>
          <w:numId w:val="7"/>
        </w:numPr>
      </w:pPr>
      <w:r>
        <w:t>Hold deposits to minimize the risk of loss, (e.g., all funds collected for reimbursement must be placed in a reputable financial institution and may only be invested in U.S. Treasury bonds);</w:t>
      </w:r>
      <w:r>
        <w:rPr>
          <w:rStyle w:val="FootnoteReference"/>
        </w:rPr>
        <w:footnoteReference w:id="91"/>
      </w:r>
      <w:r>
        <w:t xml:space="preserve"> and </w:t>
      </w:r>
    </w:p>
    <w:p w:rsidR="00AA0F86" w:rsidP="00AA0F86" w14:paraId="697F1C2A" w14:textId="77777777">
      <w:pPr>
        <w:pStyle w:val="ParaNum"/>
        <w:numPr>
          <w:ilvl w:val="0"/>
          <w:numId w:val="7"/>
        </w:numPr>
      </w:pPr>
      <w:r>
        <w:t>Specify timing for the reimbursement process.</w:t>
      </w:r>
      <w:r>
        <w:rPr>
          <w:rStyle w:val="FootnoteReference"/>
        </w:rPr>
        <w:footnoteReference w:id="92"/>
      </w:r>
    </w:p>
    <w:p w:rsidR="00AA0F86" w:rsidP="00AA0F86" w14:paraId="4C686DDE" w14:textId="77777777">
      <w:pPr>
        <w:pStyle w:val="ParaNum"/>
        <w:numPr>
          <w:ilvl w:val="0"/>
          <w:numId w:val="0"/>
        </w:numPr>
      </w:pPr>
      <w:r>
        <w:t xml:space="preserve">In addition, consistent with the need to prevent waste, fraud, and abuse in its handling of reimbursement funds, all </w:t>
      </w:r>
      <w:r w:rsidRPr="003401B7">
        <w:t>Clearinghouse</w:t>
      </w:r>
      <w:r>
        <w:t xml:space="preserve"> accounting related to such funds is subject to an annual audit to be performed by an independent third party selected by the Clearinghouse.</w:t>
      </w:r>
      <w:r>
        <w:rPr>
          <w:rStyle w:val="FootnoteReference"/>
        </w:rPr>
        <w:footnoteReference w:id="93"/>
      </w:r>
      <w:r>
        <w:t xml:space="preserve">  The Clearinghouse shall </w:t>
      </w:r>
      <w:r w:rsidRPr="00904141">
        <w:t xml:space="preserve">report to the FCC all </w:t>
      </w:r>
      <w:r w:rsidRPr="00904141">
        <w:t xml:space="preserve">evidence and/or allegations of suspected fraud, waste, or abuse related to the </w:t>
      </w:r>
      <w:r>
        <w:t>3.45 GHz</w:t>
      </w:r>
      <w:r w:rsidRPr="00904141">
        <w:t xml:space="preserve"> relocation program</w:t>
      </w:r>
      <w:r>
        <w:t>,</w:t>
      </w:r>
      <w:r w:rsidRPr="00904141">
        <w:t xml:space="preserve"> along with an initial assessment of their credibility and substantiality</w:t>
      </w:r>
      <w:r>
        <w:t>.  Further, the Clearinghouse shall establish procedures enabling outside parties to report allegations of fraud, waste, or abuse to the RPC, and maintain a log of all such allegations that it receives.  Parties seeking to report claims of fraud, waste, and abuse directly to the FCC may do so either by phone (202-418-</w:t>
      </w:r>
      <w:r w:rsidRPr="00861F88">
        <w:t>1940</w:t>
      </w:r>
      <w:r>
        <w:t>) or electronically (</w:t>
      </w:r>
      <w:r w:rsidRPr="00766299">
        <w:t>345clearinghouse@fcc.gov</w:t>
      </w:r>
      <w:r>
        <w:t>).</w:t>
      </w:r>
    </w:p>
    <w:p w:rsidR="00AA0F86" w:rsidP="00AA0F86" w14:paraId="5D4BCC17" w14:textId="77777777">
      <w:pPr>
        <w:pStyle w:val="ParaNum"/>
        <w:numPr>
          <w:ilvl w:val="0"/>
          <w:numId w:val="21"/>
        </w:numPr>
        <w:tabs>
          <w:tab w:val="clear" w:pos="1080"/>
          <w:tab w:val="num" w:pos="1440"/>
        </w:tabs>
      </w:pPr>
      <w:r>
        <w:t>To the extent that any adjustments to the Clearinghouse process or administration are necessary going forward, the Commission delegated authority to the Bureau to make such necessary modifications.</w:t>
      </w:r>
      <w:r>
        <w:rPr>
          <w:rStyle w:val="FootnoteReference"/>
        </w:rPr>
        <w:footnoteReference w:id="94"/>
      </w:r>
      <w:r>
        <w:t xml:space="preserve">  Should the Clearinghouse violate or otherwise fail to comply with the Commission’s rules, the Clearinghouse’s authority to operate may be terminated and, subject to the delegated authority discussed above, the selection of a new clearinghouse may be initiated.</w:t>
      </w:r>
      <w:r>
        <w:rPr>
          <w:rStyle w:val="FootnoteReference"/>
        </w:rPr>
        <w:footnoteReference w:id="95"/>
      </w:r>
    </w:p>
    <w:p w:rsidR="00AA0F86" w:rsidP="00276002" w14:paraId="3FE18485" w14:textId="77777777">
      <w:pPr>
        <w:pStyle w:val="Heading2"/>
      </w:pPr>
      <w:bookmarkStart w:id="43" w:name="_Toc108151718"/>
      <w:bookmarkStart w:id="44" w:name="_Toc108152437"/>
      <w:bookmarkStart w:id="45" w:name="_Toc109307221"/>
      <w:bookmarkStart w:id="46" w:name="_Toc118724036"/>
      <w:r w:rsidRPr="00DF4521">
        <w:t>CTIA Waiver Requests</w:t>
      </w:r>
      <w:bookmarkEnd w:id="43"/>
      <w:bookmarkEnd w:id="44"/>
      <w:bookmarkEnd w:id="45"/>
      <w:bookmarkEnd w:id="46"/>
    </w:p>
    <w:p w:rsidR="00AA0F86" w:rsidP="00AA0F86" w14:paraId="49A5A6F3" w14:textId="77777777">
      <w:pPr>
        <w:pStyle w:val="ParaNum"/>
        <w:numPr>
          <w:ilvl w:val="0"/>
          <w:numId w:val="21"/>
        </w:numPr>
        <w:tabs>
          <w:tab w:val="clear" w:pos="1080"/>
          <w:tab w:val="num" w:pos="1440"/>
        </w:tabs>
      </w:pPr>
      <w:r>
        <w:t>CTIA requests that certain rules relating to the operation of the Clearinghouse be waived in order to allow reimbursement payments directly from 3.45 GHz Service licensees to incumbent radiolocation service operators</w:t>
      </w:r>
      <w:r>
        <w:rPr>
          <w:rStyle w:val="FootnoteReference"/>
        </w:rPr>
        <w:footnoteReference w:id="96"/>
      </w:r>
      <w:r>
        <w:t xml:space="preserve"> and to permit the Bureau to determine allowable costs for reimbursement as an initial matter.</w:t>
      </w:r>
      <w:r>
        <w:rPr>
          <w:rStyle w:val="FootnoteReference"/>
        </w:rPr>
        <w:footnoteReference w:id="97"/>
      </w:r>
      <w:r>
        <w:t xml:space="preserve">  If granted, CTIA’s requests would strip the Clearinghouse of its core functions—determining reasonable reimbursement costs, billing and collecting reimbursement funds from new entrants, and disbursing payments to incumbents—and would reduce the Clearinghouse’s role to essentially an accounting function.  We find that CTIA’s requests are not for waivers but rather appear to seek rule changes.  As such, they are essentially untimely requests to reconsider decisions made by the Commission in the </w:t>
      </w:r>
      <w:r w:rsidRPr="008D688B">
        <w:rPr>
          <w:i/>
          <w:iCs/>
        </w:rPr>
        <w:t xml:space="preserve">3.45 GHz Band </w:t>
      </w:r>
      <w:r>
        <w:rPr>
          <w:i/>
          <w:iCs/>
        </w:rPr>
        <w:t>Second R&amp;O</w:t>
      </w:r>
      <w:r>
        <w:t xml:space="preserve"> and are beyond the scope of the authority delegated to the Bureau in establishing procedures to select and administer a Clearinghouse.  We therefore dismiss CTIA’s requests.</w:t>
      </w:r>
    </w:p>
    <w:p w:rsidR="00AA0F86" w:rsidP="00AA0F86" w14:paraId="7302A0CD" w14:textId="77777777">
      <w:pPr>
        <w:pStyle w:val="Heading1"/>
      </w:pPr>
      <w:bookmarkStart w:id="47" w:name="_Toc108151719"/>
      <w:bookmarkStart w:id="48" w:name="_Toc108152438"/>
      <w:bookmarkStart w:id="49" w:name="_Toc109307222"/>
      <w:bookmarkStart w:id="50" w:name="_Toc118724037"/>
      <w:r>
        <w:t>procedural matters</w:t>
      </w:r>
      <w:bookmarkEnd w:id="47"/>
      <w:bookmarkEnd w:id="48"/>
      <w:bookmarkEnd w:id="49"/>
      <w:bookmarkEnd w:id="50"/>
      <w:r>
        <w:t xml:space="preserve"> </w:t>
      </w:r>
    </w:p>
    <w:p w:rsidR="00AA0F86" w:rsidP="00AA0F86" w14:paraId="46DFC139" w14:textId="77777777">
      <w:pPr>
        <w:pStyle w:val="ParaNum"/>
        <w:numPr>
          <w:ilvl w:val="0"/>
          <w:numId w:val="21"/>
        </w:numPr>
        <w:tabs>
          <w:tab w:val="clear" w:pos="1080"/>
          <w:tab w:val="num" w:pos="1440"/>
        </w:tabs>
      </w:pPr>
      <w:r w:rsidRPr="00ED43CD">
        <w:rPr>
          <w:i/>
          <w:iCs/>
        </w:rPr>
        <w:t>Regulatory Flexibility Act</w:t>
      </w:r>
      <w:r>
        <w:t xml:space="preserve">.  </w:t>
      </w:r>
      <w:r w:rsidRPr="00484C5A">
        <w:t>The Regulatory Flexibility Act of 1980, as amended (RFA),</w:t>
      </w:r>
      <w:r>
        <w:rPr>
          <w:sz w:val="20"/>
          <w:vertAlign w:val="superscript"/>
        </w:rPr>
        <w:footnoteReference w:id="98"/>
      </w:r>
      <w:r w:rsidRPr="00484C5A">
        <w:t xml:space="preserve"> requires that an agency prepare a regulatory flexibility analysis for notice and comment rulemakings, unless the agency certifies that “the rule will not, if promulgated, have a significant economic impact on a substantial number of small entities.”</w:t>
      </w:r>
      <w:r>
        <w:rPr>
          <w:sz w:val="20"/>
          <w:vertAlign w:val="superscript"/>
        </w:rPr>
        <w:footnoteReference w:id="99"/>
      </w:r>
      <w:r w:rsidRPr="00484C5A">
        <w:t xml:space="preserve">  Accordingly, </w:t>
      </w:r>
      <w:r>
        <w:t>the Bureau has</w:t>
      </w:r>
      <w:r w:rsidRPr="00484C5A">
        <w:t xml:space="preserve"> prepared a </w:t>
      </w:r>
      <w:r w:rsidRPr="0009786D">
        <w:t>Supplemental</w:t>
      </w:r>
      <w:r>
        <w:t xml:space="preserve"> </w:t>
      </w:r>
      <w:r w:rsidRPr="00484C5A">
        <w:t>Final Regulatory Flexibility Analysis (</w:t>
      </w:r>
      <w:r>
        <w:t xml:space="preserve">Supplemental </w:t>
      </w:r>
      <w:r w:rsidRPr="00484C5A">
        <w:t xml:space="preserve">FRFA) concerning the possible impact of the rule changes contained in this </w:t>
      </w:r>
      <w:r w:rsidRPr="007C57E7">
        <w:t>Order</w:t>
      </w:r>
      <w:r w:rsidRPr="00484C5A">
        <w:t xml:space="preserve"> on small entities.  The </w:t>
      </w:r>
      <w:r>
        <w:t xml:space="preserve">Supplemental </w:t>
      </w:r>
      <w:r w:rsidRPr="00484C5A">
        <w:t xml:space="preserve">FRFA is set forth in Appendix </w:t>
      </w:r>
      <w:r>
        <w:t>A</w:t>
      </w:r>
      <w:r w:rsidRPr="00484C5A">
        <w:t>.</w:t>
      </w:r>
    </w:p>
    <w:p w:rsidR="00AA0F86" w:rsidP="00AA0F86" w14:paraId="11047F27" w14:textId="77777777">
      <w:pPr>
        <w:pStyle w:val="ParaNum"/>
        <w:numPr>
          <w:ilvl w:val="0"/>
          <w:numId w:val="21"/>
        </w:numPr>
        <w:tabs>
          <w:tab w:val="clear" w:pos="1080"/>
          <w:tab w:val="num" w:pos="1440"/>
        </w:tabs>
      </w:pPr>
      <w:r>
        <w:rPr>
          <w:i/>
          <w:iCs/>
        </w:rPr>
        <w:t>Congressional Review Act</w:t>
      </w:r>
      <w:r>
        <w:t xml:space="preserve">.  The Commission has determined, and the Administrator of the Office of Information and Regulatory Affairs, Office of Management and Budget, concurs, that this rule is “non-major” under the Congressional Review Act, 5 U.S.C. § 804(2).  The Commission will send a copy of this </w:t>
      </w:r>
      <w:r w:rsidRPr="007C57E7">
        <w:t>Order</w:t>
      </w:r>
      <w:r>
        <w:rPr>
          <w:i/>
          <w:iCs/>
        </w:rPr>
        <w:t xml:space="preserve"> </w:t>
      </w:r>
      <w:r>
        <w:t>to Congress and the Government Accountability Office pursuant to 5 U.S.C. § 801(a)(1)(A).</w:t>
      </w:r>
    </w:p>
    <w:p w:rsidR="00AA0F86" w:rsidRPr="00712C90" w:rsidP="00276002" w14:paraId="748EADAB" w14:textId="77777777">
      <w:pPr>
        <w:pStyle w:val="ParaNum"/>
        <w:widowControl/>
        <w:numPr>
          <w:ilvl w:val="0"/>
          <w:numId w:val="21"/>
        </w:numPr>
        <w:tabs>
          <w:tab w:val="clear" w:pos="1080"/>
        </w:tabs>
      </w:pPr>
      <w:r w:rsidRPr="0058446E">
        <w:rPr>
          <w:i/>
          <w:iCs/>
        </w:rPr>
        <w:t>Paperwork Reduction Act Analysis</w:t>
      </w:r>
      <w:r w:rsidRPr="00540C84">
        <w:t>.</w:t>
      </w:r>
      <w:r w:rsidRPr="007C57E7">
        <w:t xml:space="preserve">  </w:t>
      </w:r>
      <w:r w:rsidRPr="00BD480E">
        <w:t xml:space="preserve">This document contains new or modified information collection requirements subject to the Paperwork Reduction Act of 1995 (PRA), Public Law 104-13. </w:t>
      </w:r>
      <w:r>
        <w:t xml:space="preserve"> </w:t>
      </w:r>
      <w:r w:rsidRPr="00BD480E">
        <w:t xml:space="preserve">It has been submitted to the Office of Management and Budget (OMB) for review under Section 3507(d) of the PRA. </w:t>
      </w:r>
      <w:r>
        <w:t xml:space="preserve"> </w:t>
      </w:r>
      <w:r w:rsidRPr="00BD480E">
        <w:t xml:space="preserve">OMB, the general public, and other Federal agencies </w:t>
      </w:r>
      <w:r>
        <w:t>were</w:t>
      </w:r>
      <w:r w:rsidRPr="00BD480E">
        <w:t xml:space="preserve"> invited to comment on the new or modified information collection requirements contained in this proceeding. </w:t>
      </w:r>
      <w:r>
        <w:t xml:space="preserve"> No such comments were received and the information collection was approved on October 19, 2021.  </w:t>
      </w:r>
      <w:r w:rsidRPr="00BD480E">
        <w:t>In addition, we note that pursuant to the Small Business Paperwork Relief Act of 2002, Public Law 107-198, </w:t>
      </w:r>
      <w:r w:rsidRPr="0058446E">
        <w:rPr>
          <w:i/>
          <w:iCs/>
        </w:rPr>
        <w:t>see</w:t>
      </w:r>
      <w:r w:rsidRPr="00BD480E">
        <w:t> 44 U.S.C. 3506(c)(4), we previously sought specific comment on how the Commission might further reduce the information collection burden for small business concerns with fewer than 25 employees.</w:t>
      </w:r>
      <w:r>
        <w:t xml:space="preserve">  </w:t>
      </w:r>
      <w:r w:rsidRPr="00E54BD5">
        <w:t>In this present document, we have assessed the effects of</w:t>
      </w:r>
      <w:r>
        <w:t xml:space="preserve"> the Clearinghouse search process and find that it will not have any disproportional impact on businesses with fewer than 25 employees. </w:t>
      </w:r>
    </w:p>
    <w:p w:rsidR="00AA0F86" w:rsidP="00AA0F86" w14:paraId="20A9634C" w14:textId="77777777">
      <w:pPr>
        <w:pStyle w:val="Heading1"/>
      </w:pPr>
      <w:bookmarkStart w:id="51" w:name="_Toc108151720"/>
      <w:bookmarkStart w:id="52" w:name="_Toc108152439"/>
      <w:bookmarkStart w:id="53" w:name="_Toc109307223"/>
      <w:bookmarkStart w:id="54" w:name="_Toc118724038"/>
      <w:r>
        <w:t>ordering clauses</w:t>
      </w:r>
      <w:bookmarkEnd w:id="51"/>
      <w:bookmarkEnd w:id="52"/>
      <w:bookmarkEnd w:id="53"/>
      <w:bookmarkEnd w:id="54"/>
    </w:p>
    <w:p w:rsidR="00AA0F86" w:rsidP="00AA0F86" w14:paraId="1D531CEC" w14:textId="77777777">
      <w:pPr>
        <w:pStyle w:val="ParaNum"/>
        <w:numPr>
          <w:ilvl w:val="0"/>
          <w:numId w:val="21"/>
        </w:numPr>
        <w:tabs>
          <w:tab w:val="clear" w:pos="1080"/>
          <w:tab w:val="num" w:pos="1440"/>
        </w:tabs>
      </w:pPr>
      <w:r>
        <w:t xml:space="preserve">Accordingly, IT IS ORDERED that, pursuant to sections 2, 4(i), 5(c), 157, 301, 303, 307, 308, 309, </w:t>
      </w:r>
      <w:r>
        <w:t xml:space="preserve">of the </w:t>
      </w:r>
      <w:r>
        <w:t xml:space="preserve">Communications Act of 1934, as amended, as well as the Commercial Spectrum Enhancement Act, Pub. L. 108-494, 118 Stat. 3986 (Dec. 23, 2004) as amended, and the MOBILE NOW Act, Pub. L. 115-141, 132 Stat. 1098, Div. P, Title VI, § 603 (Mar. 23, 2018), 47 U.S.C. §§ 152,  154(i), 155(c), 157, 301, 303, 307, 308, 309, 309(j)(3)(B), 309(j)(4)(D), 923(g), 928, 1502,  by the Beat China by Harnessing Important, National Airwaves for 5G Act of 2020, Pub. L. 116-260, Division FF, Title IX, Sec. 905, and by the authority delegated in paragraph 163 of the </w:t>
      </w:r>
      <w:r w:rsidRPr="003401B7">
        <w:rPr>
          <w:i/>
          <w:iCs/>
        </w:rPr>
        <w:t>3</w:t>
      </w:r>
      <w:r>
        <w:rPr>
          <w:i/>
          <w:iCs/>
        </w:rPr>
        <w:t>.</w:t>
      </w:r>
      <w:r w:rsidRPr="003401B7">
        <w:rPr>
          <w:i/>
          <w:iCs/>
        </w:rPr>
        <w:t>45 GHz Second R&amp;O</w:t>
      </w:r>
      <w:r>
        <w:t xml:space="preserve">, this Order IS HEREBY ADOPTED. </w:t>
      </w:r>
    </w:p>
    <w:p w:rsidR="00AA0F86" w:rsidP="00AA0F86" w14:paraId="18895A0F" w14:textId="77777777">
      <w:pPr>
        <w:pStyle w:val="ParaNum"/>
        <w:numPr>
          <w:ilvl w:val="0"/>
          <w:numId w:val="21"/>
        </w:numPr>
        <w:tabs>
          <w:tab w:val="clear" w:pos="1080"/>
          <w:tab w:val="num" w:pos="1440"/>
        </w:tabs>
      </w:pPr>
      <w:r>
        <w:t xml:space="preserve">IT IS FURTHER ORDERED, that, pursuant to the authority delegated in sections 0.131 and 0.331 of the Commission’s rules, 47 CFR §§ 0.131, 0.331, CTIA’s Waiver Requests are DENIED. </w:t>
      </w:r>
    </w:p>
    <w:p w:rsidR="00AA0F86" w:rsidP="00AA0F86" w14:paraId="6850C07F" w14:textId="77777777">
      <w:pPr>
        <w:pStyle w:val="ParaNum"/>
        <w:numPr>
          <w:ilvl w:val="0"/>
          <w:numId w:val="21"/>
        </w:numPr>
        <w:tabs>
          <w:tab w:val="clear" w:pos="1080"/>
          <w:tab w:val="num" w:pos="1440"/>
        </w:tabs>
      </w:pPr>
      <w:r w:rsidRPr="00AD6FCC">
        <w:t xml:space="preserve">IT IS FURTHER ORDERED that the Commission’s Consumer and Governmental Affairs Bureau, Reference Information Center, SHALL SEND a copy of this </w:t>
      </w:r>
      <w:r w:rsidRPr="007C57E7">
        <w:t>Order</w:t>
      </w:r>
      <w:r w:rsidRPr="00AD6FCC">
        <w:t xml:space="preserve">, including the </w:t>
      </w:r>
      <w:r>
        <w:t xml:space="preserve">Supplemental </w:t>
      </w:r>
      <w:r w:rsidRPr="00AD6FCC">
        <w:t>Final Regulatory Flexibility Analysis, to the Chief Counsel for Advocacy of</w:t>
      </w:r>
      <w:r>
        <w:t xml:space="preserve"> </w:t>
      </w:r>
      <w:r w:rsidRPr="00AD6FCC">
        <w:t>the Small Business Administration.</w:t>
      </w:r>
    </w:p>
    <w:p w:rsidR="00AA0F86" w:rsidP="00AA0F86" w14:paraId="7CF5BA2D" w14:textId="77777777">
      <w:pPr>
        <w:pStyle w:val="ParaNum"/>
        <w:numPr>
          <w:ilvl w:val="0"/>
          <w:numId w:val="21"/>
        </w:numPr>
        <w:tabs>
          <w:tab w:val="clear" w:pos="1080"/>
          <w:tab w:val="num" w:pos="1440"/>
        </w:tabs>
      </w:pPr>
      <w:r>
        <w:t xml:space="preserve">IT IS FURTHER ORDERED that this Order shall be effective 30 days after publication in the </w:t>
      </w:r>
      <w:r>
        <w:rPr>
          <w:i/>
          <w:iCs/>
        </w:rPr>
        <w:t>Federal Register</w:t>
      </w:r>
      <w:r>
        <w:t>.</w:t>
      </w:r>
    </w:p>
    <w:p w:rsidR="00AA0F86" w:rsidP="00AA0F86" w14:paraId="79F43BB7" w14:textId="77777777">
      <w:pPr>
        <w:pStyle w:val="ParaNum"/>
        <w:numPr>
          <w:ilvl w:val="0"/>
          <w:numId w:val="0"/>
        </w:numPr>
        <w:ind w:firstLine="720"/>
      </w:pPr>
    </w:p>
    <w:p w:rsidR="00AA0F86" w:rsidP="00AA0F86" w14:paraId="29A3E6EC" w14:textId="77777777">
      <w:pPr>
        <w:pStyle w:val="ParaNum"/>
        <w:numPr>
          <w:ilvl w:val="0"/>
          <w:numId w:val="0"/>
        </w:numPr>
        <w:spacing w:after="0"/>
        <w:ind w:left="4320"/>
      </w:pPr>
      <w:r>
        <w:t>FEDERAL COMMUNICATIONS COMMISSION</w:t>
      </w:r>
    </w:p>
    <w:p w:rsidR="00AA0F86" w:rsidP="00AA0F86" w14:paraId="0FDEC6ED" w14:textId="77777777">
      <w:pPr>
        <w:pStyle w:val="ParaNum"/>
        <w:numPr>
          <w:ilvl w:val="0"/>
          <w:numId w:val="0"/>
        </w:numPr>
        <w:spacing w:after="0"/>
        <w:ind w:left="4320"/>
      </w:pPr>
    </w:p>
    <w:p w:rsidR="00AA0F86" w:rsidP="00AA0F86" w14:paraId="708227BE" w14:textId="77777777">
      <w:pPr>
        <w:pStyle w:val="ParaNum"/>
        <w:numPr>
          <w:ilvl w:val="0"/>
          <w:numId w:val="0"/>
        </w:numPr>
        <w:spacing w:after="0"/>
        <w:ind w:left="4320"/>
      </w:pPr>
    </w:p>
    <w:p w:rsidR="00AA0F86" w:rsidP="00AA0F86" w14:paraId="4C3BA653" w14:textId="77777777">
      <w:pPr>
        <w:pStyle w:val="ParaNum"/>
        <w:numPr>
          <w:ilvl w:val="0"/>
          <w:numId w:val="0"/>
        </w:numPr>
        <w:spacing w:after="0"/>
        <w:ind w:left="4320"/>
      </w:pPr>
    </w:p>
    <w:p w:rsidR="00AA0F86" w:rsidP="00AA0F86" w14:paraId="27689333" w14:textId="77777777">
      <w:pPr>
        <w:pStyle w:val="ParaNum"/>
        <w:numPr>
          <w:ilvl w:val="0"/>
          <w:numId w:val="0"/>
        </w:numPr>
        <w:spacing w:after="0"/>
        <w:ind w:left="4320"/>
        <w:jc w:val="both"/>
      </w:pPr>
      <w:r>
        <w:t>Joel Taubenblatt, Acting Chief</w:t>
      </w:r>
    </w:p>
    <w:p w:rsidR="00AA0F86" w:rsidP="00AA0F86" w14:paraId="71E3C538" w14:textId="77777777">
      <w:pPr>
        <w:pStyle w:val="ParaNum"/>
        <w:numPr>
          <w:ilvl w:val="0"/>
          <w:numId w:val="0"/>
        </w:numPr>
        <w:spacing w:after="0"/>
        <w:ind w:left="4320"/>
      </w:pPr>
      <w:r>
        <w:t>Wireless Telecommunications Bureau</w:t>
      </w:r>
    </w:p>
    <w:p w:rsidR="00AA0F86" w:rsidP="00AA0F86" w14:paraId="2BFE78C5" w14:textId="77777777">
      <w:pPr>
        <w:widowControl/>
        <w:rPr>
          <w:spacing w:val="-2"/>
        </w:rPr>
      </w:pPr>
    </w:p>
    <w:p w:rsidR="00AA0F86" w:rsidP="00AA0F86" w14:paraId="4A28E308" w14:textId="04FE548E">
      <w:pPr>
        <w:widowControl/>
        <w:rPr>
          <w:spacing w:val="-2"/>
        </w:rPr>
        <w:sectPr w:rsidSect="00AA0F86">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p>
    <w:p w:rsidR="00AA0F86" w:rsidP="00AA0F86" w14:paraId="1D9A865F" w14:textId="77777777">
      <w:pPr>
        <w:jc w:val="center"/>
        <w:rPr>
          <w:b/>
          <w:bCs/>
          <w:spacing w:val="-2"/>
        </w:rPr>
      </w:pPr>
      <w:r w:rsidRPr="005F2A5D">
        <w:rPr>
          <w:b/>
          <w:bCs/>
          <w:spacing w:val="-2"/>
        </w:rPr>
        <w:t>APPENDIX A</w:t>
      </w:r>
    </w:p>
    <w:p w:rsidR="00AA0F86" w:rsidP="00AA0F86" w14:paraId="4C21A388" w14:textId="77777777">
      <w:pPr>
        <w:jc w:val="center"/>
        <w:rPr>
          <w:b/>
          <w:bCs/>
          <w:spacing w:val="-2"/>
        </w:rPr>
      </w:pPr>
    </w:p>
    <w:p w:rsidR="00AA0F86" w:rsidRPr="006A635A" w:rsidP="00AA0F86" w14:paraId="418B7B03" w14:textId="77777777">
      <w:pPr>
        <w:jc w:val="center"/>
        <w:rPr>
          <w:b/>
          <w:bCs/>
          <w:spacing w:val="-2"/>
        </w:rPr>
      </w:pPr>
      <w:r>
        <w:rPr>
          <w:b/>
          <w:bCs/>
          <w:spacing w:val="-2"/>
        </w:rPr>
        <w:t xml:space="preserve">Supplemental Final Regulatory Flexibility Analysis </w:t>
      </w:r>
    </w:p>
    <w:p w:rsidR="00AA0F86" w:rsidRPr="006A635A" w:rsidP="00AA0F86" w14:paraId="1EFAFD6E" w14:textId="77777777">
      <w:pPr>
        <w:jc w:val="center"/>
        <w:rPr>
          <w:b/>
          <w:spacing w:val="-2"/>
        </w:rPr>
      </w:pPr>
    </w:p>
    <w:p w:rsidR="00AA0F86" w:rsidP="00AA0F86" w14:paraId="1DD9288C" w14:textId="77777777">
      <w:pPr>
        <w:pStyle w:val="ParaNum"/>
        <w:numPr>
          <w:ilvl w:val="0"/>
          <w:numId w:val="22"/>
        </w:numPr>
        <w:tabs>
          <w:tab w:val="clear" w:pos="1080"/>
        </w:tabs>
      </w:pPr>
      <w:r w:rsidRPr="00D650CB">
        <w:t>As required by the Regulatory Flexibility Act of 1980, as amended (RFA)</w:t>
      </w:r>
      <w:r>
        <w:rPr>
          <w:rStyle w:val="FootnoteReference"/>
        </w:rPr>
        <w:footnoteReference w:id="100"/>
      </w:r>
      <w:r w:rsidRPr="00D650CB">
        <w:t xml:space="preserve">, a </w:t>
      </w:r>
      <w:r>
        <w:t xml:space="preserve">Supplemental </w:t>
      </w:r>
      <w:r w:rsidRPr="00D650CB">
        <w:t>Initial Regulatory Flexibility Analysis (</w:t>
      </w:r>
      <w:r>
        <w:t xml:space="preserve">Supplemental </w:t>
      </w:r>
      <w:r w:rsidRPr="00D650CB">
        <w:t>IRFA) was incorporated in the</w:t>
      </w:r>
      <w:r>
        <w:t xml:space="preserve"> </w:t>
      </w:r>
      <w:r w:rsidRPr="00911206">
        <w:rPr>
          <w:i/>
          <w:iCs/>
        </w:rPr>
        <w:t xml:space="preserve">Search Committee Public Notice </w:t>
      </w:r>
      <w:r>
        <w:t>released in August 2021</w:t>
      </w:r>
      <w:r w:rsidRPr="00D650CB">
        <w:t>.</w:t>
      </w:r>
      <w:r>
        <w:rPr>
          <w:rStyle w:val="FootnoteReference"/>
        </w:rPr>
        <w:footnoteReference w:id="101"/>
      </w:r>
      <w:r>
        <w:t xml:space="preserve"> </w:t>
      </w:r>
      <w:r w:rsidRPr="00D650CB">
        <w:t xml:space="preserve"> The Commission sought written public comment on the proposals in the </w:t>
      </w:r>
      <w:r w:rsidRPr="00911206">
        <w:rPr>
          <w:i/>
          <w:iCs/>
        </w:rPr>
        <w:t>Search Committee Public Notice</w:t>
      </w:r>
      <w:r w:rsidRPr="00D650CB">
        <w:t xml:space="preserve">, including comment on the </w:t>
      </w:r>
      <w:r>
        <w:t xml:space="preserve">Supplemental </w:t>
      </w:r>
      <w:r w:rsidRPr="00D650CB">
        <w:t>IRFA.</w:t>
      </w:r>
      <w:r>
        <w:t xml:space="preserve">  The Supplemental IRFA incorporated by reference the Regulatory Flexibility Analyses prepared in the </w:t>
      </w:r>
      <w:r w:rsidRPr="00911206">
        <w:rPr>
          <w:i/>
          <w:iCs/>
        </w:rPr>
        <w:t>3.45 GHz R&amp;O</w:t>
      </w:r>
      <w:r>
        <w:t xml:space="preserve"> </w:t>
      </w:r>
      <w:r w:rsidRPr="00911206">
        <w:rPr>
          <w:i/>
          <w:iCs/>
        </w:rPr>
        <w:t>and FNPRM</w:t>
      </w:r>
      <w:r>
        <w:rPr>
          <w:rStyle w:val="FootnoteReference"/>
        </w:rPr>
        <w:footnoteReference w:id="102"/>
      </w:r>
      <w:r>
        <w:t xml:space="preserve"> and </w:t>
      </w:r>
      <w:r w:rsidRPr="007B6B86">
        <w:t>the</w:t>
      </w:r>
      <w:r w:rsidRPr="00911206">
        <w:rPr>
          <w:i/>
          <w:iCs/>
        </w:rPr>
        <w:t xml:space="preserve"> 3.45 GHz Second R&amp;O</w:t>
      </w:r>
      <w:r>
        <w:rPr>
          <w:rStyle w:val="FootnoteReference"/>
        </w:rPr>
        <w:footnoteReference w:id="103"/>
      </w:r>
      <w:r w:rsidRPr="00911206">
        <w:rPr>
          <w:i/>
          <w:iCs/>
        </w:rPr>
        <w:t>,</w:t>
      </w:r>
      <w:r w:rsidRPr="00C51EC3">
        <w:t xml:space="preserve"> </w:t>
      </w:r>
      <w:r>
        <w:t xml:space="preserve">relating to rules making mid-band spectrum available for flexible-use, and relocation of secondary, non-federal radiolocation licensees from the 3.45 GHz band.  No comments were filed addressing the Supplemental IRFA.  </w:t>
      </w:r>
      <w:r w:rsidRPr="00D650CB">
        <w:t xml:space="preserve">This </w:t>
      </w:r>
      <w:r>
        <w:t xml:space="preserve">Supplemental </w:t>
      </w:r>
      <w:r w:rsidRPr="00D650CB">
        <w:t>Final Regulatory Flexibility Analysis (</w:t>
      </w:r>
      <w:r>
        <w:t xml:space="preserve">Supplemental </w:t>
      </w:r>
      <w:r w:rsidRPr="00D650CB">
        <w:t>FRFA)</w:t>
      </w:r>
      <w:r>
        <w:t xml:space="preserve"> supplements the FRFAs in the </w:t>
      </w:r>
      <w:r w:rsidRPr="00911206">
        <w:rPr>
          <w:i/>
          <w:iCs/>
        </w:rPr>
        <w:t>3.45 GHz R&amp;O</w:t>
      </w:r>
      <w:r>
        <w:t xml:space="preserve"> </w:t>
      </w:r>
      <w:r w:rsidRPr="00911206">
        <w:rPr>
          <w:i/>
          <w:iCs/>
        </w:rPr>
        <w:t>and FNPRM</w:t>
      </w:r>
      <w:r>
        <w:t xml:space="preserve"> and </w:t>
      </w:r>
      <w:r w:rsidRPr="007B6B86">
        <w:t>the</w:t>
      </w:r>
      <w:r w:rsidRPr="00911206">
        <w:rPr>
          <w:i/>
          <w:iCs/>
        </w:rPr>
        <w:t xml:space="preserve"> 3.45 GHz Second R&amp;O</w:t>
      </w:r>
      <w:r w:rsidRPr="00D650CB">
        <w:t xml:space="preserve"> </w:t>
      </w:r>
      <w:r>
        <w:t xml:space="preserve">to </w:t>
      </w:r>
      <w:r w:rsidRPr="00983258">
        <w:t xml:space="preserve">reflect actions taken in the </w:t>
      </w:r>
      <w:r w:rsidRPr="00911206">
        <w:rPr>
          <w:i/>
          <w:iCs/>
        </w:rPr>
        <w:t>Clearinghouse Search Committee Order</w:t>
      </w:r>
      <w:r w:rsidRPr="00983258">
        <w:t xml:space="preserve"> </w:t>
      </w:r>
      <w:r>
        <w:t>and</w:t>
      </w:r>
      <w:r w:rsidRPr="00D650CB">
        <w:t xml:space="preserve"> conforms to the RFA.</w:t>
      </w:r>
      <w:r>
        <w:rPr>
          <w:rStyle w:val="FootnoteReference"/>
        </w:rPr>
        <w:footnoteReference w:id="104"/>
      </w:r>
    </w:p>
    <w:p w:rsidR="00AA0F86" w:rsidP="00276002" w14:paraId="2EF5568E" w14:textId="77777777">
      <w:pPr>
        <w:pStyle w:val="Heading2"/>
      </w:pPr>
      <w:bookmarkStart w:id="55" w:name="_Toc108151721"/>
      <w:bookmarkStart w:id="56" w:name="_Toc108152440"/>
      <w:bookmarkStart w:id="57" w:name="_Toc109307224"/>
      <w:bookmarkStart w:id="58" w:name="_Toc118724039"/>
      <w:r w:rsidRPr="00FD416A">
        <w:t>Need for, and Objective of, the</w:t>
      </w:r>
      <w:r>
        <w:t xml:space="preserve"> </w:t>
      </w:r>
      <w:r w:rsidRPr="00427726">
        <w:t>Order</w:t>
      </w:r>
      <w:bookmarkEnd w:id="55"/>
      <w:bookmarkEnd w:id="56"/>
      <w:bookmarkEnd w:id="57"/>
      <w:bookmarkEnd w:id="58"/>
    </w:p>
    <w:p w:rsidR="00AA0F86" w:rsidRPr="00427726" w:rsidP="00AA0F86" w14:paraId="15065B4F" w14:textId="77777777">
      <w:pPr>
        <w:pStyle w:val="ParaNum"/>
        <w:numPr>
          <w:ilvl w:val="0"/>
          <w:numId w:val="22"/>
        </w:numPr>
        <w:tabs>
          <w:tab w:val="clear" w:pos="1080"/>
          <w:tab w:val="num" w:pos="1440"/>
        </w:tabs>
      </w:pPr>
      <w:r w:rsidRPr="004E06A4">
        <w:t>The</w:t>
      </w:r>
      <w:r>
        <w:t xml:space="preserve"> Wireless Telecommunications </w:t>
      </w:r>
      <w:r w:rsidRPr="004E06A4">
        <w:t xml:space="preserve"> Bureau’s</w:t>
      </w:r>
      <w:r>
        <w:t xml:space="preserve"> (Bureau)</w:t>
      </w:r>
      <w:r w:rsidRPr="004E06A4">
        <w:t xml:space="preserve"> </w:t>
      </w:r>
      <w:r w:rsidRPr="004E06A4">
        <w:rPr>
          <w:i/>
          <w:iCs/>
        </w:rPr>
        <w:t xml:space="preserve">Clearinghouse </w:t>
      </w:r>
      <w:r>
        <w:rPr>
          <w:i/>
          <w:iCs/>
        </w:rPr>
        <w:t>Search</w:t>
      </w:r>
      <w:r w:rsidRPr="004E06A4">
        <w:rPr>
          <w:i/>
          <w:iCs/>
        </w:rPr>
        <w:t xml:space="preserve"> Committee Order</w:t>
      </w:r>
      <w:r w:rsidRPr="004E06A4">
        <w:t xml:space="preserve"> </w:t>
      </w:r>
      <w:r>
        <w:t>identifies</w:t>
      </w:r>
      <w:r w:rsidRPr="004E06A4">
        <w:t xml:space="preserve"> four entities, NBCUniversal, Nexstar Broadcasting</w:t>
      </w:r>
      <w:r>
        <w:t xml:space="preserve"> (Nexstar)</w:t>
      </w:r>
      <w:r w:rsidRPr="004E06A4">
        <w:t>, CTIA, and</w:t>
      </w:r>
      <w:r>
        <w:t xml:space="preserve"> Competitive Carriers Association</w:t>
      </w:r>
      <w:r w:rsidRPr="004E06A4">
        <w:t xml:space="preserve"> </w:t>
      </w:r>
      <w:r>
        <w:t>(</w:t>
      </w:r>
      <w:r w:rsidRPr="004E06A4">
        <w:t>C</w:t>
      </w:r>
      <w:r>
        <w:t>C</w:t>
      </w:r>
      <w:r w:rsidRPr="004E06A4">
        <w:t>A</w:t>
      </w:r>
      <w:r>
        <w:t>)</w:t>
      </w:r>
      <w:r w:rsidRPr="004E06A4">
        <w:t xml:space="preserve">, that will form a search committee to select a Reimbursement Clearinghouse </w:t>
      </w:r>
      <w:r>
        <w:t xml:space="preserve">(Clearinghouse) </w:t>
      </w:r>
      <w:r w:rsidRPr="004E06A4">
        <w:t>to oversee the reimbursement of relocation expenses for certain secondary, non-federal radiolocation licensees relocating from the 3.45-3.55 GHz band (3.45 GHz band).  In addition, the Bureau adopts certain requirements regarding the search committee process and the Clearinghouse</w:t>
      </w:r>
      <w:r>
        <w:t xml:space="preserve">, including </w:t>
      </w:r>
      <w:r w:rsidRPr="0077783D">
        <w:t>the number of search committee seats and membership, the search committee</w:t>
      </w:r>
      <w:r>
        <w:t xml:space="preserve"> </w:t>
      </w:r>
      <w:r w:rsidRPr="0077783D">
        <w:t xml:space="preserve">voting process, the solicitation requirements and deadlines for selection of the </w:t>
      </w:r>
      <w:r>
        <w:t>C</w:t>
      </w:r>
      <w:r w:rsidRPr="0077783D">
        <w:t>learinghouse, the duties of the Clearinghouse</w:t>
      </w:r>
      <w:r>
        <w:t xml:space="preserve">, </w:t>
      </w:r>
      <w:r w:rsidRPr="0077783D">
        <w:t>and safeguards for operation of the Clearinghouse</w:t>
      </w:r>
      <w:r w:rsidRPr="004E06A4">
        <w:t>.</w:t>
      </w:r>
    </w:p>
    <w:p w:rsidR="00AA0F86" w:rsidRPr="004E06A4" w:rsidP="00276002" w14:paraId="2FE99162" w14:textId="77777777">
      <w:pPr>
        <w:pStyle w:val="Heading2"/>
      </w:pPr>
      <w:bookmarkStart w:id="59" w:name="_Toc108151722"/>
      <w:bookmarkStart w:id="60" w:name="_Toc108152441"/>
      <w:bookmarkStart w:id="61" w:name="_Toc109307225"/>
      <w:bookmarkStart w:id="62" w:name="_Toc118724040"/>
      <w:r w:rsidRPr="00FB796E">
        <w:t>Summary of Significant Issues Raised by Public Comments in Response to the IRFA</w:t>
      </w:r>
      <w:bookmarkEnd w:id="59"/>
      <w:bookmarkEnd w:id="60"/>
      <w:bookmarkEnd w:id="61"/>
      <w:bookmarkEnd w:id="62"/>
    </w:p>
    <w:p w:rsidR="00AA0F86" w:rsidRPr="00DE197A" w:rsidP="00AA0F86" w14:paraId="2E7B3279" w14:textId="77777777">
      <w:pPr>
        <w:pStyle w:val="ParaNum"/>
        <w:numPr>
          <w:ilvl w:val="0"/>
          <w:numId w:val="22"/>
        </w:numPr>
        <w:tabs>
          <w:tab w:val="clear" w:pos="1080"/>
          <w:tab w:val="num" w:pos="1440"/>
        </w:tabs>
      </w:pPr>
      <w:r w:rsidRPr="004E06A4">
        <w:t>There were no comments filed in response to the</w:t>
      </w:r>
      <w:r>
        <w:t xml:space="preserve"> proposed rules and policies presented in the</w:t>
      </w:r>
      <w:r w:rsidRPr="004E06A4">
        <w:t xml:space="preserve"> Supplementa</w:t>
      </w:r>
      <w:r>
        <w:t>l</w:t>
      </w:r>
      <w:r w:rsidRPr="004E06A4">
        <w:t xml:space="preserve"> IRFA. </w:t>
      </w:r>
    </w:p>
    <w:p w:rsidR="00AA0F86" w:rsidP="00276002" w14:paraId="474C0594" w14:textId="77777777">
      <w:pPr>
        <w:pStyle w:val="Heading2"/>
      </w:pPr>
      <w:bookmarkStart w:id="63" w:name="_Toc108151723"/>
      <w:bookmarkStart w:id="64" w:name="_Toc108152442"/>
      <w:bookmarkStart w:id="65" w:name="_Toc109307226"/>
      <w:bookmarkStart w:id="66" w:name="_Toc118724041"/>
      <w:r w:rsidRPr="00DE197A">
        <w:t>Response to Comments by the Chief Counsel for Advocacy of the Small Business Administration</w:t>
      </w:r>
      <w:bookmarkEnd w:id="63"/>
      <w:bookmarkEnd w:id="64"/>
      <w:bookmarkEnd w:id="65"/>
      <w:bookmarkEnd w:id="66"/>
    </w:p>
    <w:p w:rsidR="00AA0F86" w:rsidP="00AA0F86" w14:paraId="4A7ECC64" w14:textId="77777777">
      <w:pPr>
        <w:pStyle w:val="ParaNum"/>
        <w:numPr>
          <w:ilvl w:val="0"/>
          <w:numId w:val="22"/>
        </w:numPr>
        <w:tabs>
          <w:tab w:val="clear" w:pos="1080"/>
          <w:tab w:val="num" w:pos="1440"/>
        </w:tabs>
      </w:pPr>
      <w:r w:rsidRPr="001247B1">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t>.</w:t>
      </w:r>
      <w:r>
        <w:rPr>
          <w:rStyle w:val="FootnoteReference"/>
        </w:rPr>
        <w:footnoteReference w:id="105"/>
      </w:r>
    </w:p>
    <w:p w:rsidR="00AA0F86" w:rsidRPr="002F3758" w:rsidP="00276002" w14:paraId="7D73F90F" w14:textId="77777777">
      <w:pPr>
        <w:pStyle w:val="ParaNum"/>
        <w:widowControl/>
        <w:numPr>
          <w:ilvl w:val="0"/>
          <w:numId w:val="22"/>
        </w:numPr>
        <w:tabs>
          <w:tab w:val="clear" w:pos="1080"/>
          <w:tab w:val="num" w:pos="1440"/>
        </w:tabs>
      </w:pPr>
      <w:r>
        <w:t>The Chief Counsel did not file any comments in response to the proposed rules in this proceeding.</w:t>
      </w:r>
    </w:p>
    <w:p w:rsidR="00AA0F86" w:rsidRPr="00856873" w:rsidP="00276002" w14:paraId="6526A165" w14:textId="77777777">
      <w:pPr>
        <w:pStyle w:val="Heading2"/>
      </w:pPr>
      <w:bookmarkStart w:id="67" w:name="_Toc108151724"/>
      <w:bookmarkStart w:id="68" w:name="_Toc108152443"/>
      <w:bookmarkStart w:id="69" w:name="_Toc109307227"/>
      <w:bookmarkStart w:id="70" w:name="_Toc118724042"/>
      <w:r w:rsidRPr="00FB796E">
        <w:t>Description and Estimate of the Number of Small Entities to Which</w:t>
      </w:r>
      <w:r>
        <w:t xml:space="preserve"> the</w:t>
      </w:r>
      <w:r w:rsidRPr="00FB796E">
        <w:t xml:space="preserve"> Rules Will Apply</w:t>
      </w:r>
      <w:bookmarkEnd w:id="67"/>
      <w:bookmarkEnd w:id="68"/>
      <w:bookmarkEnd w:id="69"/>
      <w:bookmarkEnd w:id="70"/>
    </w:p>
    <w:p w:rsidR="00AA0F86" w:rsidP="00AA0F86" w14:paraId="160A7DBB" w14:textId="77777777">
      <w:pPr>
        <w:pStyle w:val="ParaNum"/>
        <w:numPr>
          <w:ilvl w:val="0"/>
          <w:numId w:val="22"/>
        </w:numPr>
        <w:tabs>
          <w:tab w:val="clear" w:pos="1080"/>
          <w:tab w:val="num" w:pos="1440"/>
        </w:tabs>
      </w:pPr>
      <w:r w:rsidRPr="00354D03">
        <w:t>The RFA directs agencies to provide a description of, and, where feasible, an estimate of the number of small entities that may be affected by the  rules, adopted</w:t>
      </w:r>
      <w:r>
        <w:t xml:space="preserve"> herein</w:t>
      </w:r>
      <w:r w:rsidRPr="00354D03">
        <w:t>.</w:t>
      </w:r>
      <w:r>
        <w:rPr>
          <w:rStyle w:val="FootnoteReference"/>
        </w:rPr>
        <w:footnoteReference w:id="106"/>
      </w:r>
      <w:r w:rsidRPr="00354D03">
        <w:t xml:space="preserve"> </w:t>
      </w:r>
      <w:r>
        <w:t xml:space="preserve"> </w:t>
      </w:r>
      <w:r w:rsidRPr="00354D03">
        <w:t>The RFA generally defines the term “small entity” as having the same meaning as the terms “small business,” “small organization,” and “small governmental jurisdiction.”</w:t>
      </w:r>
      <w:r>
        <w:rPr>
          <w:rStyle w:val="FootnoteReference"/>
        </w:rPr>
        <w:footnoteReference w:id="107"/>
      </w:r>
      <w:r w:rsidRPr="00354D03">
        <w:t xml:space="preserve"> </w:t>
      </w:r>
      <w:r>
        <w:t xml:space="preserve"> </w:t>
      </w:r>
      <w:r w:rsidRPr="00354D03">
        <w:t>In addition, the term “small business” has the same meaning as the term “small business concern” under the</w:t>
      </w:r>
      <w:r>
        <w:t xml:space="preserve"> </w:t>
      </w:r>
      <w:r w:rsidRPr="00354D03">
        <w:t>Small Business Act.</w:t>
      </w:r>
      <w:r>
        <w:rPr>
          <w:rStyle w:val="FootnoteReference"/>
        </w:rPr>
        <w:footnoteReference w:id="108"/>
      </w:r>
      <w:r>
        <w:t xml:space="preserve">  A “small </w:t>
      </w:r>
      <w:r w:rsidRPr="00B71FC9">
        <w:t>business concern” is one which: (1) is independently owned and operated; (2) is not dominant in its field of operation; and (3) satisfies any additional criteria established by the SBA.</w:t>
      </w:r>
      <w:r>
        <w:rPr>
          <w:rStyle w:val="FootnoteReference"/>
        </w:rPr>
        <w:footnoteReference w:id="109"/>
      </w:r>
    </w:p>
    <w:p w:rsidR="00AA0F86" w:rsidP="00AA0F86" w14:paraId="2B8620D6" w14:textId="77777777">
      <w:pPr>
        <w:pStyle w:val="ParaNum"/>
        <w:numPr>
          <w:ilvl w:val="0"/>
          <w:numId w:val="22"/>
        </w:numPr>
        <w:tabs>
          <w:tab w:val="clear" w:pos="1080"/>
          <w:tab w:val="num" w:pos="1440"/>
        </w:tabs>
      </w:pPr>
      <w:r w:rsidRPr="00963A05">
        <w:t xml:space="preserve">Regulatory Flexibility Analyses were incorporated in the </w:t>
      </w:r>
      <w:r w:rsidRPr="009F32B3">
        <w:rPr>
          <w:i/>
          <w:iCs/>
        </w:rPr>
        <w:t>3.45 GHz R&amp;O and FNPRM</w:t>
      </w:r>
      <w:r w:rsidRPr="00963A05">
        <w:t xml:space="preserve"> and the </w:t>
      </w:r>
      <w:r w:rsidRPr="009F32B3">
        <w:rPr>
          <w:i/>
          <w:iCs/>
        </w:rPr>
        <w:t>3.45 GHz Second R&amp;O</w:t>
      </w:r>
      <w:r w:rsidRPr="00963A05">
        <w:t xml:space="preserve">.  In those analyses, the Commission described in detail the small entities that might be significantly affected.  Accordingly, in </w:t>
      </w:r>
      <w:r>
        <w:t xml:space="preserve">this </w:t>
      </w:r>
      <w:r w:rsidRPr="00963A05">
        <w:t xml:space="preserve">Supplemental </w:t>
      </w:r>
      <w:r>
        <w:t>F</w:t>
      </w:r>
      <w:r w:rsidRPr="00963A05">
        <w:t>RFA, we hereby incorporate by reference the descriptions and estimates of the number of small entities</w:t>
      </w:r>
      <w:r>
        <w:t xml:space="preserve"> that might be</w:t>
      </w:r>
      <w:r w:rsidRPr="005B7DE0">
        <w:t xml:space="preserve"> </w:t>
      </w:r>
      <w:r>
        <w:t xml:space="preserve">significantly </w:t>
      </w:r>
      <w:r w:rsidRPr="005B7DE0">
        <w:t>affected</w:t>
      </w:r>
      <w:r w:rsidRPr="00963A05">
        <w:t xml:space="preserve"> </w:t>
      </w:r>
      <w:r>
        <w:t xml:space="preserve">by the </w:t>
      </w:r>
      <w:r w:rsidRPr="004E06A4">
        <w:rPr>
          <w:i/>
          <w:iCs/>
        </w:rPr>
        <w:t xml:space="preserve">Clearinghouse </w:t>
      </w:r>
      <w:r>
        <w:rPr>
          <w:i/>
          <w:iCs/>
        </w:rPr>
        <w:t>Search</w:t>
      </w:r>
      <w:r w:rsidRPr="004E06A4">
        <w:rPr>
          <w:i/>
          <w:iCs/>
        </w:rPr>
        <w:t xml:space="preserve"> Committee Order</w:t>
      </w:r>
      <w:r w:rsidRPr="00963A05">
        <w:t xml:space="preserve"> from the Regulatory Flexibility Analyses</w:t>
      </w:r>
      <w:r>
        <w:t xml:space="preserve"> in the </w:t>
      </w:r>
      <w:r w:rsidRPr="009F32B3">
        <w:rPr>
          <w:i/>
          <w:iCs/>
        </w:rPr>
        <w:t>3.45 GHz R&amp;O and FNPRM</w:t>
      </w:r>
      <w:r w:rsidRPr="00963A05">
        <w:t xml:space="preserve"> and the </w:t>
      </w:r>
      <w:r w:rsidRPr="009F32B3">
        <w:rPr>
          <w:i/>
          <w:iCs/>
        </w:rPr>
        <w:t>3.45 GHz Second R&amp;O</w:t>
      </w:r>
      <w:r>
        <w:t xml:space="preserve">.  </w:t>
      </w:r>
    </w:p>
    <w:p w:rsidR="00AA0F86" w:rsidRPr="00017019" w:rsidP="00276002" w14:paraId="53A68A88" w14:textId="77777777">
      <w:pPr>
        <w:pStyle w:val="Heading2"/>
      </w:pPr>
      <w:bookmarkStart w:id="71" w:name="_Toc108151725"/>
      <w:bookmarkStart w:id="72" w:name="_Toc108152444"/>
      <w:bookmarkStart w:id="73" w:name="_Toc109307228"/>
      <w:bookmarkStart w:id="74" w:name="_Toc118724043"/>
      <w:r w:rsidRPr="00FB796E">
        <w:t>Description of Projected Reporting, Recordkeeping</w:t>
      </w:r>
      <w:r>
        <w:t>,</w:t>
      </w:r>
      <w:r w:rsidRPr="00FB796E">
        <w:t xml:space="preserve"> and Other Compliance Requirements for Small Entitie</w:t>
      </w:r>
      <w:r>
        <w:t>s</w:t>
      </w:r>
      <w:bookmarkEnd w:id="71"/>
      <w:bookmarkEnd w:id="72"/>
      <w:bookmarkEnd w:id="73"/>
      <w:bookmarkEnd w:id="74"/>
      <w:r>
        <w:t xml:space="preserve"> </w:t>
      </w:r>
    </w:p>
    <w:p w:rsidR="00AA0F86" w:rsidRPr="00E50778" w:rsidP="00AA0F86" w14:paraId="371D669D" w14:textId="77777777">
      <w:pPr>
        <w:pStyle w:val="ParaNum"/>
        <w:numPr>
          <w:ilvl w:val="0"/>
          <w:numId w:val="22"/>
        </w:numPr>
        <w:tabs>
          <w:tab w:val="clear" w:pos="1080"/>
          <w:tab w:val="num" w:pos="1440"/>
        </w:tabs>
      </w:pPr>
      <w:r>
        <w:t xml:space="preserve">The </w:t>
      </w:r>
      <w:r w:rsidRPr="002853B1">
        <w:rPr>
          <w:i/>
          <w:iCs/>
        </w:rPr>
        <w:t xml:space="preserve">Clearinghouse Search Committee Order </w:t>
      </w:r>
      <w:r>
        <w:t>identifying</w:t>
      </w:r>
      <w:r w:rsidRPr="00ED43CD">
        <w:t xml:space="preserve"> the four entities that will form the</w:t>
      </w:r>
      <w:r w:rsidRPr="002853B1">
        <w:rPr>
          <w:i/>
          <w:iCs/>
        </w:rPr>
        <w:t xml:space="preserve"> </w:t>
      </w:r>
      <w:r w:rsidRPr="004E06A4">
        <w:t xml:space="preserve">search committee to select a Clearinghouse to oversee the reimbursement of relocation expenses for certain secondary, non-federal radiolocation licensees relocating from the 3.45-3.55 GHz band (3.45 GHz band) </w:t>
      </w:r>
      <w:r>
        <w:t xml:space="preserve">and the </w:t>
      </w:r>
      <w:r w:rsidRPr="004E06A4">
        <w:t xml:space="preserve">requirements </w:t>
      </w:r>
      <w:r>
        <w:t xml:space="preserve">adopted involving </w:t>
      </w:r>
      <w:r w:rsidRPr="004E06A4">
        <w:t xml:space="preserve">the search committee process </w:t>
      </w:r>
      <w:r>
        <w:t xml:space="preserve">and </w:t>
      </w:r>
      <w:r w:rsidRPr="004E06A4">
        <w:t>the Clearinghouse</w:t>
      </w:r>
      <w:r w:rsidRPr="008E19F4">
        <w:t xml:space="preserve"> </w:t>
      </w:r>
      <w:r>
        <w:t>will not impose any new reporting or recordkeeping obligations on small entities.  Further, w</w:t>
      </w:r>
      <w:r w:rsidRPr="008E19F4">
        <w:t xml:space="preserve">e do not expect that </w:t>
      </w:r>
      <w:r>
        <w:t xml:space="preserve">the </w:t>
      </w:r>
      <w:r w:rsidRPr="002853B1">
        <w:rPr>
          <w:i/>
          <w:iCs/>
        </w:rPr>
        <w:t>Clearinghouse Search Committee Order</w:t>
      </w:r>
      <w:r>
        <w:t xml:space="preserve"> w</w:t>
      </w:r>
      <w:r w:rsidRPr="008E19F4">
        <w:t xml:space="preserve">ill </w:t>
      </w:r>
      <w:r>
        <w:t xml:space="preserve">result in small entities having to hire </w:t>
      </w:r>
      <w:r w:rsidRPr="008E19F4">
        <w:t>professionals</w:t>
      </w:r>
      <w:r>
        <w:t xml:space="preserve">.  The reporting, recordkeeping, and/or other compliances requirements that may impact any small entity serving on the Clearinghouse selection committee relates to their work as a member of the search committee not as a licensee in the 3.45 GHz band.  Further, the contracts that the Clearinghouse selectee must enter into with incumbent and new entrant licensees are required to be submitted by the Clearinghouse selectee.  Similarly, the reports and other information discussed in the </w:t>
      </w:r>
      <w:r w:rsidRPr="002853B1">
        <w:rPr>
          <w:i/>
          <w:iCs/>
        </w:rPr>
        <w:t xml:space="preserve">Clearinghouse Search Committee Order </w:t>
      </w:r>
      <w:r>
        <w:t xml:space="preserve">that must be submitted to the Bureau are required to be submitted by the Clearinghouse. </w:t>
      </w:r>
    </w:p>
    <w:p w:rsidR="00AA0F86" w:rsidRPr="00017019" w:rsidP="00276002" w14:paraId="7DF65B64" w14:textId="77777777">
      <w:pPr>
        <w:pStyle w:val="Heading2"/>
      </w:pPr>
      <w:bookmarkStart w:id="75" w:name="_Toc108151726"/>
      <w:bookmarkStart w:id="76" w:name="_Toc108152445"/>
      <w:bookmarkStart w:id="77" w:name="_Toc109307229"/>
      <w:bookmarkStart w:id="78" w:name="_Toc118724044"/>
      <w:r>
        <w:t>Steps Taken to Minimize the Significant Economic Impact on Small Entities, and Significant Alternatives Considered</w:t>
      </w:r>
      <w:bookmarkEnd w:id="75"/>
      <w:bookmarkEnd w:id="76"/>
      <w:bookmarkEnd w:id="77"/>
      <w:bookmarkEnd w:id="78"/>
      <w:r>
        <w:t xml:space="preserve"> </w:t>
      </w:r>
    </w:p>
    <w:p w:rsidR="00AA0F86" w:rsidP="00276002" w14:paraId="6F1CFAAB" w14:textId="77777777">
      <w:pPr>
        <w:pStyle w:val="ParaNum"/>
        <w:widowControl/>
        <w:numPr>
          <w:ilvl w:val="0"/>
          <w:numId w:val="22"/>
        </w:numPr>
        <w:tabs>
          <w:tab w:val="clear" w:pos="1080"/>
          <w:tab w:val="num" w:pos="1440"/>
        </w:tabs>
      </w:pPr>
      <w:r w:rsidRPr="003A4C3E">
        <w:t>The RFA requires an agency to</w:t>
      </w:r>
      <w:r>
        <w:t xml:space="preserve"> provide, </w:t>
      </w:r>
      <w:r w:rsidRPr="007C5D63">
        <w:t xml:space="preserve">“a description of the steps the agency has taken to minimize the significant economic impact on small entities…including a statement of the factual, policy, and legal reasons for selecting the alternative adopted in the final rule and why each one of the </w:t>
      </w:r>
      <w:r w:rsidRPr="007C5D63">
        <w:t>other significant alternatives to the rule considered by the agency which affect the impact on small entities was rejected</w:t>
      </w:r>
      <w:r w:rsidRPr="003A4C3E">
        <w:t>.”</w:t>
      </w:r>
      <w:r>
        <w:rPr>
          <w:rStyle w:val="FootnoteReference"/>
        </w:rPr>
        <w:footnoteReference w:id="110"/>
      </w:r>
    </w:p>
    <w:p w:rsidR="00AA0F86" w:rsidP="00AA0F86" w14:paraId="45C96F54" w14:textId="77777777">
      <w:pPr>
        <w:pStyle w:val="ParaNum"/>
        <w:numPr>
          <w:ilvl w:val="0"/>
          <w:numId w:val="22"/>
        </w:numPr>
        <w:tabs>
          <w:tab w:val="clear" w:pos="1080"/>
          <w:tab w:val="num" w:pos="1440"/>
        </w:tabs>
      </w:pPr>
      <w:r w:rsidRPr="005A3D28">
        <w:t xml:space="preserve">The </w:t>
      </w:r>
      <w:r>
        <w:t>Bureau</w:t>
      </w:r>
      <w:r w:rsidRPr="005A3D28">
        <w:t xml:space="preserve"> has taken </w:t>
      </w:r>
      <w:r>
        <w:t xml:space="preserve">several </w:t>
      </w:r>
      <w:r w:rsidRPr="005A3D28">
        <w:t xml:space="preserve">steps </w:t>
      </w:r>
      <w:r>
        <w:t>to</w:t>
      </w:r>
      <w:r w:rsidRPr="005A3D28">
        <w:t xml:space="preserve"> </w:t>
      </w:r>
      <w:r>
        <w:t xml:space="preserve">help </w:t>
      </w:r>
      <w:r w:rsidRPr="005A3D28">
        <w:t xml:space="preserve">minimize any economic impact on small entities. </w:t>
      </w:r>
      <w:r>
        <w:t xml:space="preserve"> I</w:t>
      </w:r>
      <w:r w:rsidRPr="005A3D28">
        <w:t xml:space="preserve">n the </w:t>
      </w:r>
      <w:r w:rsidRPr="009F32B3">
        <w:rPr>
          <w:i/>
          <w:iCs/>
        </w:rPr>
        <w:t>Clearinghouse S</w:t>
      </w:r>
      <w:r>
        <w:rPr>
          <w:i/>
          <w:iCs/>
        </w:rPr>
        <w:t>earch Committee</w:t>
      </w:r>
      <w:r w:rsidRPr="009F32B3">
        <w:rPr>
          <w:i/>
          <w:iCs/>
        </w:rPr>
        <w:t xml:space="preserve"> Public Notice</w:t>
      </w:r>
      <w:r>
        <w:t>,</w:t>
      </w:r>
      <w:r w:rsidRPr="005A3D28">
        <w:t xml:space="preserve"> the Bureau specifically s</w:t>
      </w:r>
      <w:r>
        <w:t>ought</w:t>
      </w:r>
      <w:r w:rsidRPr="005A3D28">
        <w:t xml:space="preserve"> comment on whether or how small entities’ interests </w:t>
      </w:r>
      <w:r w:rsidRPr="007B6B86">
        <w:t>could</w:t>
      </w:r>
      <w:r w:rsidRPr="005A3D28">
        <w:t xml:space="preserve"> best be represented on the selection committee, given that all new flexible-use licensees, regardless of size, will have to pay a pro-rata share of non-federal </w:t>
      </w:r>
      <w:r>
        <w:t xml:space="preserve">radiolocation </w:t>
      </w:r>
      <w:r w:rsidRPr="005A3D28">
        <w:t xml:space="preserve">incumbents’ reasonable relocation expenses. </w:t>
      </w:r>
      <w:r>
        <w:t xml:space="preserve"> As a result, in the </w:t>
      </w:r>
      <w:r>
        <w:rPr>
          <w:i/>
          <w:iCs/>
        </w:rPr>
        <w:t xml:space="preserve">Clearinghouse Search Committee </w:t>
      </w:r>
      <w:r w:rsidRPr="007D673C">
        <w:rPr>
          <w:i/>
          <w:iCs/>
        </w:rPr>
        <w:t>Order</w:t>
      </w:r>
      <w:r>
        <w:t xml:space="preserve">, the Bureau included CCA on the selection committee in response to commenters’ suggestions that a seat on the committee be held by an entity that could represent the interests of small and rural entities in the 3.45 GHz band and CCA’s indication of interest to serve on the committee.  All members of the search committee, including CCA, have an equal vote on the committee.  To the extent that specific issues arise in the Clearinghouse selection process that have a significant economic on impact small entity licensees, the </w:t>
      </w:r>
      <w:r w:rsidRPr="007B6B86">
        <w:rPr>
          <w:i/>
          <w:iCs/>
        </w:rPr>
        <w:t>Clearinghouse Search Committee</w:t>
      </w:r>
      <w:r>
        <w:t xml:space="preserve"> </w:t>
      </w:r>
      <w:r>
        <w:rPr>
          <w:i/>
          <w:iCs/>
        </w:rPr>
        <w:t xml:space="preserve">Order </w:t>
      </w:r>
      <w:r>
        <w:t>finds that CCA will be best positioned to advocate on their behalf.</w:t>
      </w:r>
    </w:p>
    <w:p w:rsidR="00AA0F86" w:rsidP="00AA0F86" w14:paraId="5BC0B112" w14:textId="77777777">
      <w:pPr>
        <w:pStyle w:val="ParaNum"/>
        <w:numPr>
          <w:ilvl w:val="0"/>
          <w:numId w:val="22"/>
        </w:numPr>
        <w:tabs>
          <w:tab w:val="clear" w:pos="1080"/>
          <w:tab w:val="num" w:pos="1440"/>
        </w:tabs>
      </w:pPr>
      <w:r w:rsidRPr="00A348C1">
        <w:t xml:space="preserve">The payment schedule </w:t>
      </w:r>
      <w:r>
        <w:t>for</w:t>
      </w:r>
      <w:r w:rsidRPr="00A348C1">
        <w:t xml:space="preserve"> 3.45</w:t>
      </w:r>
      <w:r>
        <w:t xml:space="preserve"> GHz</w:t>
      </w:r>
      <w:r w:rsidRPr="00A348C1">
        <w:t xml:space="preserve"> Service licensees </w:t>
      </w:r>
      <w:r>
        <w:t xml:space="preserve">to </w:t>
      </w:r>
      <w:r w:rsidRPr="00A348C1">
        <w:t>reimburse</w:t>
      </w:r>
      <w:r>
        <w:t xml:space="preserve"> the costs</w:t>
      </w:r>
      <w:r w:rsidRPr="00A348C1">
        <w:t xml:space="preserve"> of relocation of non-federal radiolocation incumbents adopted by the Bureau should also minimize the economic </w:t>
      </w:r>
      <w:r>
        <w:t xml:space="preserve">impact </w:t>
      </w:r>
      <w:r w:rsidRPr="00A348C1">
        <w:t>for small entity licensees.  Pursuant to the schedule adopted in the</w:t>
      </w:r>
      <w:r>
        <w:t xml:space="preserve"> </w:t>
      </w:r>
      <w:r w:rsidRPr="00E161B2">
        <w:rPr>
          <w:i/>
          <w:iCs/>
        </w:rPr>
        <w:t>Clearinghouse Search Committee</w:t>
      </w:r>
      <w:r>
        <w:t xml:space="preserve"> </w:t>
      </w:r>
      <w:r w:rsidRPr="00E161B2">
        <w:rPr>
          <w:i/>
          <w:iCs/>
        </w:rPr>
        <w:t xml:space="preserve">Order, </w:t>
      </w:r>
      <w:r w:rsidRPr="00ED43CD">
        <w:t xml:space="preserve">small entities and other </w:t>
      </w:r>
      <w:r w:rsidRPr="000C50D1">
        <w:t>3.4</w:t>
      </w:r>
      <w:r w:rsidRPr="00A348C1">
        <w:t>5</w:t>
      </w:r>
      <w:r>
        <w:t xml:space="preserve"> GHz</w:t>
      </w:r>
      <w:r w:rsidRPr="00A348C1">
        <w:t xml:space="preserve"> Service licensees</w:t>
      </w:r>
      <w:r>
        <w:t xml:space="preserve"> </w:t>
      </w:r>
      <w:r w:rsidRPr="00CD2CA2">
        <w:t xml:space="preserve">will not be required to make the initial pro-rata payment into the reimbursement fund until </w:t>
      </w:r>
      <w:r>
        <w:t xml:space="preserve">at least mid-October 2023.  </w:t>
      </w:r>
      <w:r w:rsidRPr="00790C68">
        <w:t xml:space="preserve">The Clearinghouse is required to calculate the share of each flexible-use licensee </w:t>
      </w:r>
      <w:r>
        <w:t>45 days after it has entered into the relevant contracts with incumbents and new entrants</w:t>
      </w:r>
      <w:r w:rsidRPr="00790C68">
        <w:t xml:space="preserve">, and 3.45 GHz Service licensees have 30 days after receiving the calculation of their initial share to submit the initial relocation payment to the reimbursement fund administered by the Clearinghouse.  </w:t>
      </w:r>
      <w:r>
        <w:t xml:space="preserve">Thereafter, the pro-rata payments by </w:t>
      </w:r>
      <w:r w:rsidRPr="00790C68">
        <w:t>3.45 GHz Service licensees</w:t>
      </w:r>
      <w:r>
        <w:t xml:space="preserve"> will be calculated at least </w:t>
      </w:r>
      <w:r w:rsidRPr="00DB6F99">
        <w:t>every six months</w:t>
      </w:r>
      <w:r>
        <w:t xml:space="preserve">, and licensees will </w:t>
      </w:r>
      <w:r w:rsidRPr="00790C68">
        <w:t xml:space="preserve">have 30 days after receiving the calculation </w:t>
      </w:r>
      <w:r>
        <w:t xml:space="preserve">to make payment.  While there are alternative payment approaches the Bureau could have adopted, the Bureau believes the adopted approach serves the best interest of relocated incumbents and </w:t>
      </w:r>
      <w:r w:rsidRPr="00790C68">
        <w:t>flexible-use licensee</w:t>
      </w:r>
      <w:r>
        <w:t>s.</w:t>
      </w:r>
    </w:p>
    <w:p w:rsidR="00AA0F86" w:rsidRPr="00B54EDE" w:rsidP="00AA0F86" w14:paraId="0A55EB4A" w14:textId="77777777">
      <w:pPr>
        <w:pStyle w:val="ParaNum"/>
        <w:numPr>
          <w:ilvl w:val="0"/>
          <w:numId w:val="22"/>
        </w:numPr>
        <w:tabs>
          <w:tab w:val="clear" w:pos="1080"/>
        </w:tabs>
      </w:pPr>
      <w:r w:rsidRPr="00C35ADF">
        <w:t>Finally, to ensure that the Clearinghouse’s costs which are included</w:t>
      </w:r>
      <w:r>
        <w:t xml:space="preserve"> in</w:t>
      </w:r>
      <w:r w:rsidRPr="00C35ADF">
        <w:t xml:space="preserve"> the pro-rata relocation reimbursement payment calculation for small entities and other 3.45 GHz Service licensees are reasonable, the </w:t>
      </w:r>
      <w:r w:rsidRPr="00ED43CD">
        <w:rPr>
          <w:i/>
          <w:iCs/>
        </w:rPr>
        <w:t>Clearinghouse Search Committee Order</w:t>
      </w:r>
      <w:r w:rsidRPr="00C35ADF">
        <w:t xml:space="preserve"> requires the Clearinghouse to provide the Office of the Managing Director (OMD) and the Bureau an audited statement of funds expended to date, including salaries and expenses of the Clearinghouse, of each year.  The Clearinghouse is also required to provide OMD or the Bureau any additional requested information deemed necessary to satisfy the Commission’s oversight responsibilities and reporting obligations</w:t>
      </w:r>
      <w:r>
        <w:t xml:space="preserve">. </w:t>
      </w:r>
    </w:p>
    <w:p w:rsidR="00AA0F86" w:rsidP="00276002" w14:paraId="1D303101" w14:textId="77777777">
      <w:pPr>
        <w:pStyle w:val="Heading2"/>
      </w:pPr>
      <w:bookmarkStart w:id="79" w:name="_Toc108151727"/>
      <w:bookmarkStart w:id="80" w:name="_Toc108152446"/>
      <w:bookmarkStart w:id="81" w:name="_Toc109307230"/>
      <w:bookmarkStart w:id="82" w:name="_Toc118724045"/>
      <w:bookmarkStart w:id="83" w:name="start_from_here"/>
      <w:r>
        <w:t>Report to Congress</w:t>
      </w:r>
      <w:bookmarkEnd w:id="79"/>
      <w:bookmarkEnd w:id="80"/>
      <w:bookmarkEnd w:id="81"/>
      <w:bookmarkEnd w:id="82"/>
      <w:bookmarkEnd w:id="83"/>
      <w:r>
        <w:t xml:space="preserve"> </w:t>
      </w:r>
    </w:p>
    <w:p w:rsidR="00412FC5" w:rsidRPr="00AA0F86" w:rsidP="00AA0F86" w14:paraId="6A32328D" w14:textId="7E673836">
      <w:pPr>
        <w:pStyle w:val="ParaNum"/>
        <w:numPr>
          <w:ilvl w:val="0"/>
          <w:numId w:val="0"/>
        </w:numPr>
        <w:ind w:firstLine="720"/>
      </w:pPr>
      <w:r w:rsidRPr="003236DB">
        <w:t>The Commission will send a copy of</w:t>
      </w:r>
      <w:r>
        <w:t xml:space="preserve"> </w:t>
      </w:r>
      <w:r w:rsidRPr="003236DB">
        <w:t xml:space="preserve">the </w:t>
      </w:r>
      <w:r w:rsidRPr="001F3813">
        <w:rPr>
          <w:i/>
          <w:iCs/>
        </w:rPr>
        <w:t>Clearinghouse Se</w:t>
      </w:r>
      <w:r>
        <w:rPr>
          <w:i/>
          <w:iCs/>
        </w:rPr>
        <w:t>arch</w:t>
      </w:r>
      <w:r w:rsidRPr="001F3813">
        <w:rPr>
          <w:i/>
          <w:iCs/>
        </w:rPr>
        <w:t xml:space="preserve"> Committee Order</w:t>
      </w:r>
      <w:r w:rsidRPr="003236DB">
        <w:t xml:space="preserve">, including this </w:t>
      </w:r>
      <w:r>
        <w:t xml:space="preserve">Supplemental </w:t>
      </w:r>
      <w:r w:rsidRPr="003236DB">
        <w:t>FRFA, in a report to Congress pursuant to the Congressional Review Act.</w:t>
      </w:r>
      <w:r>
        <w:rPr>
          <w:rStyle w:val="FootnoteReference"/>
        </w:rPr>
        <w:footnoteReference w:id="111"/>
      </w:r>
      <w:r>
        <w:t xml:space="preserve">  </w:t>
      </w:r>
      <w:r w:rsidRPr="003236DB">
        <w:t>In addition, the Commission will send a copy of</w:t>
      </w:r>
      <w:r>
        <w:t xml:space="preserve"> </w:t>
      </w:r>
      <w:r w:rsidRPr="003236DB">
        <w:t xml:space="preserve">the </w:t>
      </w:r>
      <w:r w:rsidRPr="001F3813">
        <w:rPr>
          <w:i/>
          <w:iCs/>
        </w:rPr>
        <w:t>Clearinghouse S</w:t>
      </w:r>
      <w:r>
        <w:rPr>
          <w:i/>
          <w:iCs/>
        </w:rPr>
        <w:t>earch</w:t>
      </w:r>
      <w:r w:rsidRPr="001F3813">
        <w:rPr>
          <w:i/>
          <w:iCs/>
        </w:rPr>
        <w:t xml:space="preserve"> Committee Order</w:t>
      </w:r>
      <w:r w:rsidRPr="003236DB">
        <w:t xml:space="preserve">, including this </w:t>
      </w:r>
      <w:r>
        <w:t xml:space="preserve">Supplemental </w:t>
      </w:r>
      <w:r w:rsidRPr="003236DB">
        <w:t>FRFA, to the Chief Counsel for Advocacy of</w:t>
      </w:r>
      <w:r>
        <w:t xml:space="preserve"> </w:t>
      </w:r>
      <w:r w:rsidRPr="003236DB">
        <w:t xml:space="preserve">the SBA. </w:t>
      </w:r>
      <w:r>
        <w:t xml:space="preserve"> </w:t>
      </w:r>
      <w:r w:rsidRPr="003236DB">
        <w:t>A copy of</w:t>
      </w:r>
      <w:r>
        <w:t xml:space="preserve"> </w:t>
      </w:r>
      <w:r w:rsidRPr="003236DB">
        <w:t xml:space="preserve">the </w:t>
      </w:r>
      <w:r w:rsidRPr="001F3813">
        <w:rPr>
          <w:i/>
          <w:iCs/>
        </w:rPr>
        <w:t>Clearinghouse Se</w:t>
      </w:r>
      <w:r>
        <w:rPr>
          <w:i/>
          <w:iCs/>
        </w:rPr>
        <w:t>arch</w:t>
      </w:r>
      <w:r w:rsidRPr="001F3813">
        <w:rPr>
          <w:i/>
          <w:iCs/>
        </w:rPr>
        <w:t xml:space="preserve"> Committee Order</w:t>
      </w:r>
      <w:r w:rsidRPr="003236DB">
        <w:t xml:space="preserve"> and </w:t>
      </w:r>
      <w:r>
        <w:t xml:space="preserve">Supplemental </w:t>
      </w:r>
      <w:r w:rsidRPr="003236DB">
        <w:t>FRFA (or summaries thereof) will also be published in the Federal Register.</w:t>
      </w:r>
      <w:r>
        <w:rPr>
          <w:rStyle w:val="FootnoteReference"/>
        </w:rPr>
        <w:footnoteReference w:id="112"/>
      </w:r>
      <w:r>
        <w:t xml:space="preserve"> </w:t>
      </w:r>
    </w:p>
    <w:sectPr w:rsidSect="00AA0F86">
      <w:headerReference w:type="default" r:id="rId10"/>
      <w:footerReference w:type="even" r:id="rId11"/>
      <w:footerReference w:type="default" r:id="rId12"/>
      <w:head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F86" w:rsidP="0055614C" w14:paraId="274FAF51" w14:textId="77777777">
    <w:pPr>
      <w:pStyle w:val="Footer"/>
      <w:framePr w:wrap="around" w:vAnchor="text" w:hAnchor="margin" w:xAlign="center" w:y="1"/>
    </w:pPr>
    <w:r>
      <w:fldChar w:fldCharType="begin"/>
    </w:r>
    <w:r>
      <w:instrText xml:space="preserve">PAGE  </w:instrText>
    </w:r>
    <w:r>
      <w:fldChar w:fldCharType="separate"/>
    </w:r>
    <w:r>
      <w:fldChar w:fldCharType="end"/>
    </w:r>
  </w:p>
  <w:p w:rsidR="00AA0F86" w14:paraId="37056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F86" w:rsidP="00AA0F86" w14:paraId="59202E70" w14:textId="75D6521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F86" w:rsidP="00AA0F86" w14:paraId="786138E4" w14:textId="1EBDE36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8F9C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78773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0F86" w14:paraId="51C1DF7B" w14:textId="29E2D73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0F86" w14:paraId="22CA36F9" w14:textId="77777777">
      <w:r>
        <w:separator/>
      </w:r>
    </w:p>
  </w:footnote>
  <w:footnote w:type="continuationSeparator" w:id="1">
    <w:p w:rsidR="00AA0F86" w:rsidP="00C721AC" w14:paraId="4E95524E" w14:textId="77777777">
      <w:pPr>
        <w:spacing w:before="120"/>
        <w:rPr>
          <w:sz w:val="20"/>
        </w:rPr>
      </w:pPr>
      <w:r>
        <w:rPr>
          <w:sz w:val="20"/>
        </w:rPr>
        <w:t xml:space="preserve">(Continued from previous page)  </w:t>
      </w:r>
      <w:r>
        <w:rPr>
          <w:sz w:val="20"/>
        </w:rPr>
        <w:separator/>
      </w:r>
    </w:p>
  </w:footnote>
  <w:footnote w:type="continuationNotice" w:id="2">
    <w:p w:rsidR="00AA0F86" w:rsidP="00C721AC" w14:paraId="366F11F4" w14:textId="77777777">
      <w:pPr>
        <w:jc w:val="right"/>
        <w:rPr>
          <w:sz w:val="20"/>
        </w:rPr>
      </w:pPr>
      <w:r>
        <w:rPr>
          <w:sz w:val="20"/>
        </w:rPr>
        <w:t>(continued….)</w:t>
      </w:r>
    </w:p>
  </w:footnote>
  <w:footnote w:id="3">
    <w:p w:rsidR="00AA0F86" w:rsidRPr="00B95F55" w:rsidP="00AA0F86" w14:paraId="66E022F4" w14:textId="77777777">
      <w:pPr>
        <w:pStyle w:val="FootnoteText"/>
      </w:pPr>
      <w:r>
        <w:rPr>
          <w:rStyle w:val="FootnoteReference"/>
        </w:rPr>
        <w:footnoteRef/>
      </w:r>
      <w:r>
        <w:t xml:space="preserve"> </w:t>
      </w:r>
      <w:r w:rsidRPr="008D688B">
        <w:rPr>
          <w:i/>
          <w:iCs/>
        </w:rPr>
        <w:t xml:space="preserve">Facilitating Shared Use in the 3100-3550 MHz Band, </w:t>
      </w:r>
      <w:r w:rsidRPr="008D688B">
        <w:t xml:space="preserve">WT Docket No. 19-348, Second Report and Order, Order on Reconsideration, and Order of Proposed Modification, </w:t>
      </w:r>
      <w:r>
        <w:t xml:space="preserve">36 FCC </w:t>
      </w:r>
      <w:r>
        <w:t>Rcd</w:t>
      </w:r>
      <w:r>
        <w:t xml:space="preserve"> 5987</w:t>
      </w:r>
      <w:r w:rsidRPr="008D688B">
        <w:t xml:space="preserve"> (2021) (</w:t>
      </w:r>
      <w:r w:rsidRPr="008D688B">
        <w:rPr>
          <w:i/>
          <w:iCs/>
        </w:rPr>
        <w:t xml:space="preserve">3.45 GHz Band </w:t>
      </w:r>
      <w:r>
        <w:rPr>
          <w:i/>
          <w:iCs/>
        </w:rPr>
        <w:t>Second R&amp;O</w:t>
      </w:r>
      <w:r>
        <w:t>).</w:t>
      </w:r>
    </w:p>
  </w:footnote>
  <w:footnote w:id="4">
    <w:p w:rsidR="00AA0F86" w:rsidP="00AA0F86" w14:paraId="3FA9DF14" w14:textId="77777777">
      <w:pPr>
        <w:pStyle w:val="FootnoteText"/>
      </w:pPr>
      <w:r>
        <w:rPr>
          <w:rStyle w:val="FootnoteReference"/>
        </w:rPr>
        <w:footnoteRef/>
      </w:r>
      <w:r>
        <w:t xml:space="preserve"> </w:t>
      </w:r>
      <w:r w:rsidRPr="008D688B">
        <w:rPr>
          <w:i/>
          <w:iCs/>
        </w:rPr>
        <w:t xml:space="preserve">Facilitating Shared Use in the 3100-3550 MHz Band, </w:t>
      </w:r>
      <w:r w:rsidRPr="008D688B">
        <w:t>WT Docket No. 19-348, Report and Order</w:t>
      </w:r>
      <w:r>
        <w:t xml:space="preserve"> and Further Notice of Proposed Rulemaking</w:t>
      </w:r>
      <w:r w:rsidRPr="008D688B">
        <w:t xml:space="preserve">, </w:t>
      </w:r>
      <w:r w:rsidRPr="00FD6A4A">
        <w:t xml:space="preserve">35 FCC </w:t>
      </w:r>
      <w:r w:rsidRPr="00FD6A4A">
        <w:t>Rcd</w:t>
      </w:r>
      <w:r w:rsidRPr="00FD6A4A">
        <w:t xml:space="preserve"> </w:t>
      </w:r>
      <w:r>
        <w:t>11078,</w:t>
      </w:r>
      <w:r w:rsidRPr="00FD6A4A">
        <w:t xml:space="preserve"> 110</w:t>
      </w:r>
      <w:r>
        <w:t>86</w:t>
      </w:r>
      <w:r w:rsidRPr="00FD6A4A">
        <w:t xml:space="preserve">, para. </w:t>
      </w:r>
      <w:r>
        <w:t>20</w:t>
      </w:r>
      <w:r w:rsidRPr="00FD6A4A">
        <w:t xml:space="preserve"> </w:t>
      </w:r>
      <w:r w:rsidRPr="008D688B">
        <w:t>(202</w:t>
      </w:r>
      <w:r>
        <w:t>0</w:t>
      </w:r>
      <w:r w:rsidRPr="008D688B">
        <w:t>) (</w:t>
      </w:r>
      <w:r w:rsidRPr="008D688B">
        <w:rPr>
          <w:i/>
          <w:iCs/>
        </w:rPr>
        <w:t xml:space="preserve">3.45 GHz Band </w:t>
      </w:r>
      <w:r>
        <w:rPr>
          <w:i/>
          <w:iCs/>
        </w:rPr>
        <w:t>R&amp;O and FNPRM</w:t>
      </w:r>
      <w:r>
        <w:t xml:space="preserve">). </w:t>
      </w:r>
    </w:p>
  </w:footnote>
  <w:footnote w:id="5">
    <w:p w:rsidR="00AA0F86" w:rsidRPr="009E4271" w:rsidP="00AA0F86" w14:paraId="72DFE671"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 xml:space="preserve">at 6041, para. 152; </w:t>
      </w:r>
      <w:r>
        <w:rPr>
          <w:i/>
          <w:iCs/>
        </w:rPr>
        <w:t xml:space="preserve">see also </w:t>
      </w:r>
      <w:r>
        <w:t>47 CFR § 2.106 n.US103.</w:t>
      </w:r>
    </w:p>
  </w:footnote>
  <w:footnote w:id="6">
    <w:p w:rsidR="00AA0F86" w:rsidP="00AA0F86" w14:paraId="129877A3" w14:textId="77777777">
      <w:pPr>
        <w:pStyle w:val="FootnoteText"/>
      </w:pPr>
      <w:r>
        <w:rPr>
          <w:rStyle w:val="FootnoteReference"/>
        </w:rPr>
        <w:footnoteRef/>
      </w:r>
      <w:r>
        <w:t xml:space="preserve"> </w:t>
      </w:r>
      <w:r w:rsidRPr="007A764B">
        <w:rPr>
          <w:i/>
          <w:iCs/>
        </w:rPr>
        <w:t xml:space="preserve">Wireless </w:t>
      </w:r>
      <w:r>
        <w:rPr>
          <w:i/>
          <w:iCs/>
        </w:rPr>
        <w:t>Telec</w:t>
      </w:r>
      <w:r w:rsidRPr="007A764B">
        <w:rPr>
          <w:i/>
          <w:iCs/>
        </w:rPr>
        <w:t>ommunications Bureau Grants Auction 110 Licenses</w:t>
      </w:r>
      <w:r>
        <w:t>, Public Notice, DA 22-462 (WTB May 4, 2022) (</w:t>
      </w:r>
      <w:r w:rsidRPr="007A764B">
        <w:rPr>
          <w:i/>
          <w:iCs/>
        </w:rPr>
        <w:t>3.45 GHz Band Grant PN</w:t>
      </w:r>
      <w:r>
        <w:t>).</w:t>
      </w:r>
    </w:p>
  </w:footnote>
  <w:footnote w:id="7">
    <w:p w:rsidR="00AA0F86" w:rsidRPr="009E6752" w:rsidP="00AA0F86" w14:paraId="7E3261FB" w14:textId="51F811A7">
      <w:pPr>
        <w:pStyle w:val="FootnoteText"/>
      </w:pPr>
      <w:r>
        <w:rPr>
          <w:rStyle w:val="FootnoteReference"/>
        </w:rPr>
        <w:footnoteRef/>
      </w:r>
      <w:r>
        <w:t xml:space="preserve"> </w:t>
      </w:r>
      <w:r w:rsidRPr="00C2145B">
        <w:t>T</w:t>
      </w:r>
      <w:r w:rsidRPr="00FD1F65">
        <w:t xml:space="preserve">he Bureau granted conditional STAs to Nexstar and NBCUniversal to </w:t>
      </w:r>
      <w:r w:rsidR="009E6752">
        <w:t xml:space="preserve">conduct reduced operations on a non-interference basis for a limited period of time beyond October 31, 2022.  </w:t>
      </w:r>
      <w:r w:rsidR="009E6752">
        <w:rPr>
          <w:i/>
          <w:iCs/>
        </w:rPr>
        <w:t xml:space="preserve">See </w:t>
      </w:r>
      <w:r w:rsidR="009E6752">
        <w:t xml:space="preserve">ULS File Nos. 0010238879 and </w:t>
      </w:r>
      <w:r w:rsidR="009E6752">
        <w:t>0010256744.</w:t>
      </w:r>
    </w:p>
  </w:footnote>
  <w:footnote w:id="8">
    <w:p w:rsidR="00AA0F86" w:rsidP="00AA0F86" w14:paraId="6DE5DC1B"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 xml:space="preserve">at 6042, para. 155.  The Commission “anticipate[d] clearinghouse costs to be </w:t>
      </w:r>
      <w:r w:rsidRPr="003A7CC6">
        <w:t>minimal, given the limited number of licensees being relocated and relatively small estimated cost of their transition.  The radiolocation service incumbents will initially fund the clearinghouse and can request reimbursement from new</w:t>
      </w:r>
      <w:r>
        <w:t xml:space="preserve"> </w:t>
      </w:r>
      <w:r w:rsidRPr="003A7CC6">
        <w:t>flexible</w:t>
      </w:r>
      <w:r>
        <w:t>-</w:t>
      </w:r>
      <w:r w:rsidRPr="003A7CC6">
        <w:t>use licensees for the clearinghouse costs.</w:t>
      </w:r>
      <w:r>
        <w:t xml:space="preserve">”  </w:t>
      </w:r>
      <w:r w:rsidRPr="009F0B84">
        <w:rPr>
          <w:i/>
          <w:iCs/>
        </w:rPr>
        <w:t>Id.</w:t>
      </w:r>
      <w:r>
        <w:t xml:space="preserve"> at 6042, para. 155, n.386.</w:t>
      </w:r>
    </w:p>
  </w:footnote>
  <w:footnote w:id="9">
    <w:p w:rsidR="00AA0F86" w:rsidRPr="002A6322" w:rsidP="00AA0F86" w14:paraId="2639F6D0" w14:textId="77777777">
      <w:pPr>
        <w:pStyle w:val="FootnoteText"/>
      </w:pPr>
      <w:r>
        <w:rPr>
          <w:rStyle w:val="FootnoteReference"/>
        </w:rPr>
        <w:footnoteRef/>
      </w:r>
      <w:r>
        <w:t xml:space="preserve"> </w:t>
      </w:r>
      <w:r w:rsidRPr="00DB6F99">
        <w:rPr>
          <w:i/>
          <w:iCs/>
        </w:rPr>
        <w:t>Id.</w:t>
      </w:r>
      <w:r>
        <w:t xml:space="preserve">, </w:t>
      </w:r>
      <w:r w:rsidRPr="00FD6A4A">
        <w:t>3</w:t>
      </w:r>
      <w:r>
        <w:t>6</w:t>
      </w:r>
      <w:r w:rsidRPr="00FD6A4A">
        <w:t xml:space="preserve"> FCC </w:t>
      </w:r>
      <w:r w:rsidRPr="00FD6A4A">
        <w:t>Rcd</w:t>
      </w:r>
      <w:r w:rsidRPr="00FD6A4A">
        <w:t xml:space="preserve"> </w:t>
      </w:r>
      <w:r>
        <w:t>at 6044, para. 161.  As the Commission explained, “</w:t>
      </w:r>
      <w:r w:rsidRPr="00CF2CA9">
        <w:t>the total relocation costs will be divided by the number of 3.45 GHz Service licenses and each licensee will be required to pay their share based on the number of licenses they hold</w:t>
      </w:r>
      <w:r>
        <w:t xml:space="preserve">.”  </w:t>
      </w:r>
      <w:r>
        <w:rPr>
          <w:i/>
          <w:iCs/>
        </w:rPr>
        <w:t>Id.</w:t>
      </w:r>
      <w:r>
        <w:t xml:space="preserve">; </w:t>
      </w:r>
      <w:r>
        <w:rPr>
          <w:i/>
          <w:iCs/>
        </w:rPr>
        <w:t xml:space="preserve">see also </w:t>
      </w:r>
      <w:r>
        <w:t>47 CFR § 27.1604.</w:t>
      </w:r>
    </w:p>
  </w:footnote>
  <w:footnote w:id="10">
    <w:p w:rsidR="00AA0F86" w:rsidRPr="00BA6D41" w:rsidP="00AA0F86" w14:paraId="18BE5EE9" w14:textId="77777777">
      <w:pPr>
        <w:pStyle w:val="FootnoteText"/>
        <w:rPr>
          <w:i/>
          <w:iCs/>
        </w:rPr>
      </w:pPr>
      <w:r>
        <w:rPr>
          <w:rStyle w:val="FootnoteReference"/>
        </w:rPr>
        <w:footnoteRef/>
      </w:r>
      <w:r>
        <w:t xml:space="preserve"> </w:t>
      </w:r>
      <w:r w:rsidRPr="008D688B">
        <w:rPr>
          <w:i/>
          <w:iCs/>
        </w:rPr>
        <w:t xml:space="preserve">3.45 GHz Band </w:t>
      </w:r>
      <w:r>
        <w:rPr>
          <w:i/>
          <w:iCs/>
        </w:rPr>
        <w:t>Second R&amp;O</w:t>
      </w:r>
      <w:r>
        <w:t xml:space="preserve">, 36 FCC </w:t>
      </w:r>
      <w:r>
        <w:t>Rcd</w:t>
      </w:r>
      <w:r>
        <w:t xml:space="preserve"> at 6045, para. 163.</w:t>
      </w:r>
    </w:p>
  </w:footnote>
  <w:footnote w:id="11">
    <w:p w:rsidR="00AA0F86" w:rsidP="00AA0F86" w14:paraId="5A4BBFD9" w14:textId="77777777">
      <w:pPr>
        <w:pStyle w:val="FootnoteText"/>
      </w:pPr>
      <w:r>
        <w:rPr>
          <w:rStyle w:val="FootnoteReference"/>
        </w:rPr>
        <w:footnoteRef/>
      </w:r>
      <w:r>
        <w:t xml:space="preserve"> </w:t>
      </w:r>
      <w:r>
        <w:rPr>
          <w:i/>
          <w:iCs/>
        </w:rPr>
        <w:t>Id.</w:t>
      </w:r>
    </w:p>
  </w:footnote>
  <w:footnote w:id="12">
    <w:p w:rsidR="00AA0F86" w:rsidRPr="0036324F" w:rsidP="00AA0F86" w14:paraId="270BD24F" w14:textId="77777777">
      <w:pPr>
        <w:pStyle w:val="FootnoteText"/>
      </w:pPr>
      <w:r>
        <w:rPr>
          <w:rStyle w:val="FootnoteReference"/>
        </w:rPr>
        <w:footnoteRef/>
      </w:r>
      <w:r>
        <w:t xml:space="preserve"> </w:t>
      </w:r>
      <w:r>
        <w:rPr>
          <w:i/>
          <w:iCs/>
        </w:rPr>
        <w:t xml:space="preserve">Compare Expanding Flexible Use in the 3.7-4.2 GHz </w:t>
      </w:r>
      <w:r w:rsidRPr="00940955">
        <w:t>Band</w:t>
      </w:r>
      <w:r>
        <w:t xml:space="preserve">, GN Docket No. 18-122, Report and Order and Order of Proposed Modification, 35 FCC </w:t>
      </w:r>
      <w:r>
        <w:t>Rcd</w:t>
      </w:r>
      <w:r>
        <w:t xml:space="preserve"> 2343, 2446, para. 255 (2020) (</w:t>
      </w:r>
      <w:r w:rsidRPr="00586EA6">
        <w:rPr>
          <w:i/>
          <w:iCs/>
        </w:rPr>
        <w:t>3.</w:t>
      </w:r>
      <w:r w:rsidRPr="00507EFE">
        <w:rPr>
          <w:i/>
          <w:iCs/>
        </w:rPr>
        <w:t>7 GHz Band R&amp;O</w:t>
      </w:r>
      <w:r>
        <w:t xml:space="preserve">) </w:t>
      </w:r>
      <w:r w:rsidRPr="00021917">
        <w:rPr>
          <w:i/>
          <w:iCs/>
        </w:rPr>
        <w:t>and</w:t>
      </w:r>
      <w:r>
        <w:t xml:space="preserve"> 47 CFR § 27.1414 </w:t>
      </w:r>
      <w:r w:rsidRPr="00EF4095">
        <w:rPr>
          <w:i/>
          <w:iCs/>
        </w:rPr>
        <w:t>with</w:t>
      </w:r>
      <w:r>
        <w:t xml:space="preserve"> </w:t>
      </w:r>
      <w:r w:rsidRPr="008D688B">
        <w:rPr>
          <w:i/>
          <w:iCs/>
        </w:rPr>
        <w:t xml:space="preserve">3.45 GHz Band </w:t>
      </w:r>
      <w:r>
        <w:rPr>
          <w:i/>
          <w:iCs/>
        </w:rPr>
        <w:t>Second R&amp;O</w:t>
      </w:r>
      <w:r>
        <w:t xml:space="preserve">, 36 FCC </w:t>
      </w:r>
      <w:r>
        <w:t>Rcd</w:t>
      </w:r>
      <w:r>
        <w:t xml:space="preserve"> at 6045, para. 163 </w:t>
      </w:r>
      <w:r w:rsidRPr="00021917">
        <w:rPr>
          <w:i/>
          <w:iCs/>
        </w:rPr>
        <w:t>and</w:t>
      </w:r>
      <w:r>
        <w:t xml:space="preserve"> 47 CFR § 27.1605.</w:t>
      </w:r>
    </w:p>
  </w:footnote>
  <w:footnote w:id="13">
    <w:p w:rsidR="00AA0F86" w:rsidP="00AA0F86" w14:paraId="0B8FD873" w14:textId="77777777">
      <w:pPr>
        <w:pStyle w:val="FootnoteText"/>
      </w:pPr>
      <w:r>
        <w:rPr>
          <w:rStyle w:val="FootnoteReference"/>
        </w:rPr>
        <w:footnoteRef/>
      </w:r>
      <w:r>
        <w:t xml:space="preserve"> </w:t>
      </w:r>
      <w:r>
        <w:rPr>
          <w:i/>
          <w:iCs/>
        </w:rPr>
        <w:t>See</w:t>
      </w:r>
      <w:r>
        <w:t xml:space="preserve"> </w:t>
      </w:r>
      <w:r w:rsidRPr="00507EFE">
        <w:rPr>
          <w:i/>
          <w:iCs/>
        </w:rPr>
        <w:t>3.7 GHz Band R&amp;O</w:t>
      </w:r>
      <w:r>
        <w:t>,</w:t>
      </w:r>
      <w:r w:rsidRPr="00A324AF">
        <w:t xml:space="preserve"> </w:t>
      </w:r>
      <w:r>
        <w:t xml:space="preserve">35 FCC </w:t>
      </w:r>
      <w:r>
        <w:t>Rcd</w:t>
      </w:r>
      <w:r>
        <w:t xml:space="preserve"> at 2450-51, paras. 273-75.</w:t>
      </w:r>
    </w:p>
  </w:footnote>
  <w:footnote w:id="14">
    <w:p w:rsidR="00AA0F86" w:rsidP="00AA0F86" w14:paraId="286F6CA6" w14:textId="77777777">
      <w:pPr>
        <w:pStyle w:val="FootnoteText"/>
      </w:pPr>
      <w:r>
        <w:rPr>
          <w:rStyle w:val="FootnoteReference"/>
        </w:rPr>
        <w:footnoteRef/>
      </w:r>
      <w:r>
        <w:t xml:space="preserve"> </w:t>
      </w:r>
      <w:r w:rsidRPr="00DC3FCD">
        <w:rPr>
          <w:rStyle w:val="item-value"/>
          <w:i/>
          <w:iCs/>
        </w:rPr>
        <w:t>Wireless Telecommunications Bureau Seeks Comment on the Selection Process for and Operation of the Reimbursement Clearinghouse for the 3.45 GHz Band</w:t>
      </w:r>
      <w:r>
        <w:rPr>
          <w:rStyle w:val="item-value"/>
        </w:rPr>
        <w:t xml:space="preserve">, Public Notice, 36 FCC </w:t>
      </w:r>
      <w:r>
        <w:rPr>
          <w:rStyle w:val="item-value"/>
        </w:rPr>
        <w:t>Rcd</w:t>
      </w:r>
      <w:r>
        <w:rPr>
          <w:rStyle w:val="item-value"/>
        </w:rPr>
        <w:t xml:space="preserve"> 12698 (WTB Aug. 20, 2021) (</w:t>
      </w:r>
      <w:r>
        <w:rPr>
          <w:rStyle w:val="item-value"/>
          <w:i/>
          <w:iCs/>
        </w:rPr>
        <w:t>Search</w:t>
      </w:r>
      <w:r w:rsidRPr="00E329CB">
        <w:rPr>
          <w:rStyle w:val="item-value"/>
          <w:i/>
          <w:iCs/>
        </w:rPr>
        <w:t xml:space="preserve"> Committee P</w:t>
      </w:r>
      <w:r>
        <w:rPr>
          <w:rStyle w:val="item-value"/>
          <w:i/>
          <w:iCs/>
        </w:rPr>
        <w:t xml:space="preserve">ublic </w:t>
      </w:r>
      <w:r w:rsidRPr="00E329CB">
        <w:rPr>
          <w:rStyle w:val="item-value"/>
          <w:i/>
          <w:iCs/>
        </w:rPr>
        <w:t>N</w:t>
      </w:r>
      <w:r>
        <w:rPr>
          <w:rStyle w:val="item-value"/>
          <w:i/>
          <w:iCs/>
        </w:rPr>
        <w:t>otice</w:t>
      </w:r>
      <w:r>
        <w:rPr>
          <w:rStyle w:val="item-value"/>
        </w:rPr>
        <w:t>).</w:t>
      </w:r>
    </w:p>
  </w:footnote>
  <w:footnote w:id="15">
    <w:p w:rsidR="00AA0F86" w:rsidP="00AA0F86" w14:paraId="55A7F0F9" w14:textId="77777777">
      <w:pPr>
        <w:pStyle w:val="FootnoteText"/>
      </w:pPr>
      <w:r>
        <w:rPr>
          <w:rStyle w:val="FootnoteReference"/>
        </w:rPr>
        <w:footnoteRef/>
      </w:r>
      <w:r>
        <w:t xml:space="preserve"> </w:t>
      </w:r>
      <w:r w:rsidRPr="003B06DB">
        <w:rPr>
          <w:i/>
          <w:iCs/>
        </w:rPr>
        <w:t>See</w:t>
      </w:r>
      <w:r>
        <w:t xml:space="preserve"> </w:t>
      </w:r>
      <w:r w:rsidRPr="00F97B58">
        <w:rPr>
          <w:i/>
          <w:iCs/>
        </w:rPr>
        <w:t>3.45 GHz Band Second R&amp;O</w:t>
      </w:r>
      <w:r>
        <w:t xml:space="preserve">, 36 FCC </w:t>
      </w:r>
      <w:r>
        <w:t>Rcd</w:t>
      </w:r>
      <w:r>
        <w:t xml:space="preserve"> 5987. </w:t>
      </w:r>
    </w:p>
  </w:footnote>
  <w:footnote w:id="16">
    <w:p w:rsidR="00AA0F86" w:rsidP="00AA0F86" w14:paraId="26D4640A" w14:textId="77777777">
      <w:pPr>
        <w:pStyle w:val="FootnoteText"/>
      </w:pPr>
      <w:r>
        <w:rPr>
          <w:rStyle w:val="FootnoteReference"/>
        </w:rPr>
        <w:footnoteRef/>
      </w:r>
      <w:r>
        <w:t xml:space="preserve"> </w:t>
      </w:r>
      <w:r w:rsidRPr="00507EFE">
        <w:rPr>
          <w:i/>
          <w:iCs/>
        </w:rPr>
        <w:t>3.7 GHz Band R&amp;O</w:t>
      </w:r>
      <w:r>
        <w:t>,</w:t>
      </w:r>
      <w:r w:rsidRPr="00A324AF">
        <w:t xml:space="preserve"> </w:t>
      </w:r>
      <w:r>
        <w:t xml:space="preserve">35 FCC </w:t>
      </w:r>
      <w:r>
        <w:t>Rcd</w:t>
      </w:r>
      <w:r>
        <w:t xml:space="preserve"> at 2450-51, para. 274; 27 CFR § 27.1414(a)(1).</w:t>
      </w:r>
    </w:p>
  </w:footnote>
  <w:footnote w:id="17">
    <w:p w:rsidR="00AA0F86" w:rsidP="00AA0F86" w14:paraId="3D0E9678" w14:textId="77777777">
      <w:pPr>
        <w:pStyle w:val="FootnoteText"/>
      </w:pPr>
      <w:r>
        <w:rPr>
          <w:rStyle w:val="FootnoteReference"/>
        </w:rPr>
        <w:footnoteRef/>
      </w:r>
      <w:r>
        <w:t xml:space="preserve"> </w:t>
      </w:r>
      <w:r w:rsidRPr="00FA7303">
        <w:rPr>
          <w:i/>
          <w:iCs/>
        </w:rPr>
        <w:t>Id</w:t>
      </w:r>
      <w:r>
        <w:t>. at 2450-51, para. 274.</w:t>
      </w:r>
    </w:p>
  </w:footnote>
  <w:footnote w:id="18">
    <w:p w:rsidR="00AA0F86" w:rsidP="00AA0F86" w14:paraId="73AF5454" w14:textId="77777777">
      <w:pPr>
        <w:pStyle w:val="FootnoteText"/>
      </w:pPr>
      <w:r>
        <w:rPr>
          <w:rStyle w:val="FootnoteReference"/>
        </w:rPr>
        <w:footnoteRef/>
      </w:r>
      <w:r>
        <w:t xml:space="preserve"> </w:t>
      </w:r>
      <w:r>
        <w:rPr>
          <w:i/>
          <w:iCs/>
        </w:rPr>
        <w:t>Id.</w:t>
      </w:r>
    </w:p>
  </w:footnote>
  <w:footnote w:id="19">
    <w:p w:rsidR="00AA0F86" w:rsidP="00AA0F86" w14:paraId="28431972" w14:textId="77777777">
      <w:pPr>
        <w:pStyle w:val="FootnoteText"/>
      </w:pPr>
      <w:r>
        <w:rPr>
          <w:rStyle w:val="FootnoteReference"/>
        </w:rPr>
        <w:footnoteRef/>
      </w:r>
      <w:r>
        <w:t xml:space="preserve"> </w:t>
      </w:r>
      <w:r>
        <w:rPr>
          <w:i/>
          <w:iCs/>
        </w:rPr>
        <w:t>Search</w:t>
      </w:r>
      <w:r w:rsidRPr="00B9784A">
        <w:rPr>
          <w:i/>
          <w:iCs/>
        </w:rPr>
        <w:t xml:space="preserve"> Committee P</w:t>
      </w:r>
      <w:r>
        <w:rPr>
          <w:i/>
          <w:iCs/>
        </w:rPr>
        <w:t xml:space="preserve">ublic </w:t>
      </w:r>
      <w:r w:rsidRPr="00B9784A">
        <w:rPr>
          <w:i/>
          <w:iCs/>
        </w:rPr>
        <w:t>N</w:t>
      </w:r>
      <w:r>
        <w:rPr>
          <w:i/>
          <w:iCs/>
        </w:rPr>
        <w:t>otice</w:t>
      </w:r>
      <w:r>
        <w:t xml:space="preserve">, </w:t>
      </w:r>
      <w:r>
        <w:rPr>
          <w:rStyle w:val="item-value"/>
        </w:rPr>
        <w:t xml:space="preserve">36 FCC </w:t>
      </w:r>
      <w:r>
        <w:rPr>
          <w:rStyle w:val="item-value"/>
        </w:rPr>
        <w:t>Rcd</w:t>
      </w:r>
      <w:r>
        <w:rPr>
          <w:rStyle w:val="item-value"/>
        </w:rPr>
        <w:t xml:space="preserve"> at 12699-70</w:t>
      </w:r>
      <w:r>
        <w:t>.</w:t>
      </w:r>
    </w:p>
  </w:footnote>
  <w:footnote w:id="20">
    <w:p w:rsidR="00AA0F86" w:rsidP="00AA0F86" w14:paraId="3133F8DD" w14:textId="77777777">
      <w:pPr>
        <w:pStyle w:val="FootnoteText"/>
      </w:pPr>
      <w:r>
        <w:rPr>
          <w:rStyle w:val="FootnoteReference"/>
        </w:rPr>
        <w:footnoteRef/>
      </w:r>
      <w:r>
        <w:t xml:space="preserve"> NBCUniversal Comments at 1; Nexstar Comments at 2-3.</w:t>
      </w:r>
    </w:p>
  </w:footnote>
  <w:footnote w:id="21">
    <w:p w:rsidR="00AA0F86" w:rsidP="00AA0F86" w14:paraId="31DF16F2" w14:textId="77777777">
      <w:pPr>
        <w:pStyle w:val="FootnoteText"/>
      </w:pPr>
      <w:r>
        <w:rPr>
          <w:rStyle w:val="FootnoteReference"/>
        </w:rPr>
        <w:footnoteRef/>
      </w:r>
      <w:r>
        <w:rPr>
          <w:i/>
        </w:rPr>
        <w:t xml:space="preserve"> </w:t>
      </w:r>
      <w:r>
        <w:t>NBCUniversal Comments at 1; Nexstar Comments at 2- 3.</w:t>
      </w:r>
    </w:p>
  </w:footnote>
  <w:footnote w:id="22">
    <w:p w:rsidR="00AA0F86" w:rsidP="00AA0F86" w14:paraId="56800187" w14:textId="77777777">
      <w:pPr>
        <w:pStyle w:val="FootnoteText"/>
      </w:pPr>
      <w:r>
        <w:rPr>
          <w:rStyle w:val="FootnoteReference"/>
        </w:rPr>
        <w:footnoteRef/>
      </w:r>
      <w:r>
        <w:t xml:space="preserve"> CTIA Comments at 7. </w:t>
      </w:r>
    </w:p>
  </w:footnote>
  <w:footnote w:id="23">
    <w:p w:rsidR="00AA0F86" w:rsidP="00AA0F86" w14:paraId="07C77A0E" w14:textId="77777777">
      <w:pPr>
        <w:pStyle w:val="FootnoteText"/>
      </w:pPr>
      <w:r>
        <w:rPr>
          <w:rStyle w:val="FootnoteReference"/>
        </w:rPr>
        <w:footnoteRef/>
      </w:r>
      <w:r>
        <w:t xml:space="preserve"> </w:t>
      </w:r>
      <w:r>
        <w:rPr>
          <w:i/>
          <w:iCs/>
        </w:rPr>
        <w:t>Id.</w:t>
      </w:r>
    </w:p>
  </w:footnote>
  <w:footnote w:id="24">
    <w:p w:rsidR="00AA0F86" w:rsidP="00AA0F86" w14:paraId="0AA20EAE" w14:textId="77777777">
      <w:pPr>
        <w:pStyle w:val="FootnoteText"/>
      </w:pPr>
      <w:r>
        <w:rPr>
          <w:rStyle w:val="FootnoteReference"/>
        </w:rPr>
        <w:footnoteRef/>
      </w:r>
      <w:r>
        <w:t xml:space="preserve"> Wireless Infrastructure Association Reply at 1 (WIA Reply).</w:t>
      </w:r>
    </w:p>
  </w:footnote>
  <w:footnote w:id="25">
    <w:p w:rsidR="00AA0F86" w:rsidP="00AA0F86" w14:paraId="0619E768" w14:textId="77777777">
      <w:pPr>
        <w:pStyle w:val="FootnoteText"/>
      </w:pPr>
      <w:r>
        <w:rPr>
          <w:rStyle w:val="FootnoteReference"/>
        </w:rPr>
        <w:footnoteRef/>
      </w:r>
      <w:r>
        <w:t xml:space="preserve"> </w:t>
      </w:r>
      <w:r>
        <w:rPr>
          <w:i/>
          <w:iCs/>
        </w:rPr>
        <w:t xml:space="preserve">See </w:t>
      </w:r>
      <w:r>
        <w:t xml:space="preserve">Letter from Angela Simpson, General Counsel &amp; SVP, Competitive Carriers Association, to Marlene H. Dortch, Secretary, FCC, WT Docket No. 19-348 (filed June 8, 2020) (CCA </w:t>
      </w:r>
      <w:r>
        <w:rPr>
          <w:i/>
          <w:iCs/>
        </w:rPr>
        <w:t xml:space="preserve">Ex </w:t>
      </w:r>
      <w:r>
        <w:rPr>
          <w:i/>
          <w:iCs/>
        </w:rPr>
        <w:t>Parte</w:t>
      </w:r>
      <w:r>
        <w:t xml:space="preserve"> Letter).</w:t>
      </w:r>
    </w:p>
  </w:footnote>
  <w:footnote w:id="26">
    <w:p w:rsidR="00AA0F86" w:rsidP="00AA0F86" w14:paraId="2ACF2B1E" w14:textId="77777777">
      <w:pPr>
        <w:pStyle w:val="FootnoteText"/>
      </w:pPr>
      <w:r>
        <w:rPr>
          <w:rStyle w:val="FootnoteReference"/>
        </w:rPr>
        <w:footnoteRef/>
      </w:r>
      <w:r>
        <w:t xml:space="preserve"> </w:t>
      </w:r>
      <w:r w:rsidRPr="00402665">
        <w:rPr>
          <w:i/>
        </w:rPr>
        <w:t xml:space="preserve">3.7 GHz </w:t>
      </w:r>
      <w:r w:rsidRPr="00507EFE">
        <w:rPr>
          <w:i/>
          <w:iCs/>
        </w:rPr>
        <w:t>Band R&amp;O</w:t>
      </w:r>
      <w:r>
        <w:rPr>
          <w:iCs/>
        </w:rPr>
        <w:t>,</w:t>
      </w:r>
      <w:r>
        <w:t xml:space="preserve"> 35 FCC </w:t>
      </w:r>
      <w:r>
        <w:t>Rcd</w:t>
      </w:r>
      <w:r>
        <w:t xml:space="preserve"> at 2450, para. 274. </w:t>
      </w:r>
    </w:p>
  </w:footnote>
  <w:footnote w:id="27">
    <w:p w:rsidR="00AA0F86" w:rsidP="00AA0F86" w14:paraId="68B5E96D" w14:textId="77777777">
      <w:pPr>
        <w:pStyle w:val="FootnoteText"/>
      </w:pPr>
      <w:r>
        <w:rPr>
          <w:rStyle w:val="FootnoteReference"/>
        </w:rPr>
        <w:footnoteRef/>
      </w:r>
      <w:r w:rsidRPr="00402665">
        <w:rPr>
          <w:i/>
        </w:rPr>
        <w:t xml:space="preserve"> </w:t>
      </w:r>
      <w:r>
        <w:rPr>
          <w:i/>
          <w:iCs/>
        </w:rPr>
        <w:t>Id.</w:t>
      </w:r>
    </w:p>
  </w:footnote>
  <w:footnote w:id="28">
    <w:p w:rsidR="00AA0F86" w:rsidP="00AA0F86" w14:paraId="25C8D809" w14:textId="77777777">
      <w:pPr>
        <w:pStyle w:val="FootnoteText"/>
      </w:pPr>
      <w:r>
        <w:rPr>
          <w:rStyle w:val="FootnoteReference"/>
        </w:rPr>
        <w:footnoteRef/>
      </w:r>
      <w:r>
        <w:t xml:space="preserve"> WIA Reply at 2.</w:t>
      </w:r>
    </w:p>
  </w:footnote>
  <w:footnote w:id="29">
    <w:p w:rsidR="00AA0F86" w:rsidP="00AA0F86" w14:paraId="25149827" w14:textId="77777777">
      <w:pPr>
        <w:pStyle w:val="FootnoteText"/>
      </w:pPr>
      <w:r>
        <w:rPr>
          <w:rStyle w:val="FootnoteReference"/>
        </w:rPr>
        <w:footnoteRef/>
      </w:r>
      <w:r>
        <w:t xml:space="preserve"> </w:t>
      </w:r>
      <w:r>
        <w:rPr>
          <w:i/>
          <w:iCs/>
        </w:rPr>
        <w:t>Id.</w:t>
      </w:r>
      <w:r>
        <w:t xml:space="preserve"> </w:t>
      </w:r>
    </w:p>
  </w:footnote>
  <w:footnote w:id="30">
    <w:p w:rsidR="00AA0F86" w:rsidP="00AA0F86" w14:paraId="221DE391" w14:textId="77777777">
      <w:pPr>
        <w:pStyle w:val="FootnoteText"/>
      </w:pPr>
      <w:r>
        <w:rPr>
          <w:rStyle w:val="FootnoteReference"/>
        </w:rPr>
        <w:footnoteRef/>
      </w:r>
      <w:r>
        <w:t xml:space="preserve"> </w:t>
      </w:r>
      <w:r>
        <w:rPr>
          <w:i/>
          <w:iCs/>
        </w:rPr>
        <w:t>Search</w:t>
      </w:r>
      <w:r w:rsidRPr="00F0463E">
        <w:rPr>
          <w:i/>
          <w:iCs/>
        </w:rPr>
        <w:t xml:space="preserve"> Committee P</w:t>
      </w:r>
      <w:r>
        <w:rPr>
          <w:i/>
          <w:iCs/>
        </w:rPr>
        <w:t xml:space="preserve">ublic </w:t>
      </w:r>
      <w:r w:rsidRPr="00F0463E">
        <w:rPr>
          <w:i/>
          <w:iCs/>
        </w:rPr>
        <w:t>N</w:t>
      </w:r>
      <w:r>
        <w:rPr>
          <w:i/>
          <w:iCs/>
        </w:rPr>
        <w:t xml:space="preserve">otice, </w:t>
      </w:r>
      <w:r>
        <w:rPr>
          <w:rStyle w:val="item-value"/>
        </w:rPr>
        <w:t xml:space="preserve">36 FCC </w:t>
      </w:r>
      <w:r>
        <w:rPr>
          <w:rStyle w:val="item-value"/>
        </w:rPr>
        <w:t>Rcd</w:t>
      </w:r>
      <w:r>
        <w:rPr>
          <w:rStyle w:val="item-value"/>
        </w:rPr>
        <w:t xml:space="preserve"> at 12700 </w:t>
      </w:r>
      <w:r>
        <w:t>(noting that the 3.7 GHz band search committee was comprised of an odd number of members).</w:t>
      </w:r>
    </w:p>
  </w:footnote>
  <w:footnote w:id="31">
    <w:p w:rsidR="00AA0F86" w:rsidP="00AA0F86" w14:paraId="6FAFEB85" w14:textId="77777777">
      <w:pPr>
        <w:pStyle w:val="FootnoteText"/>
      </w:pPr>
      <w:r>
        <w:rPr>
          <w:rStyle w:val="FootnoteReference"/>
        </w:rPr>
        <w:footnoteRef/>
      </w:r>
      <w:r>
        <w:t xml:space="preserve"> </w:t>
      </w:r>
      <w:r>
        <w:rPr>
          <w:i/>
          <w:iCs/>
        </w:rPr>
        <w:t>Id</w:t>
      </w:r>
      <w:r>
        <w:t>.</w:t>
      </w:r>
    </w:p>
  </w:footnote>
  <w:footnote w:id="32">
    <w:p w:rsidR="00AA0F86" w:rsidRPr="007D3045" w:rsidP="00AA0F86" w14:paraId="4AEB2FD9" w14:textId="77777777">
      <w:pPr>
        <w:pStyle w:val="FootnoteText"/>
      </w:pPr>
      <w:r>
        <w:rPr>
          <w:rStyle w:val="FootnoteReference"/>
        </w:rPr>
        <w:footnoteRef/>
      </w:r>
      <w:r>
        <w:t xml:space="preserve"> </w:t>
      </w:r>
      <w:r>
        <w:rPr>
          <w:i/>
          <w:iCs/>
        </w:rPr>
        <w:t xml:space="preserve">See infra </w:t>
      </w:r>
      <w:r>
        <w:t xml:space="preserve">para. </w:t>
      </w:r>
      <w:r w:rsidRPr="00163D10">
        <w:t>15</w:t>
      </w:r>
      <w:r>
        <w:t>.</w:t>
      </w:r>
    </w:p>
  </w:footnote>
  <w:footnote w:id="33">
    <w:p w:rsidR="00AA0F86" w:rsidP="00AA0F86" w14:paraId="3B976C47" w14:textId="77777777">
      <w:pPr>
        <w:pStyle w:val="FootnoteText"/>
      </w:pPr>
      <w:r>
        <w:rPr>
          <w:rStyle w:val="FootnoteReference"/>
        </w:rPr>
        <w:footnoteRef/>
      </w:r>
      <w:r>
        <w:t xml:space="preserve"> Nexstar Comments at 2.</w:t>
      </w:r>
    </w:p>
  </w:footnote>
  <w:footnote w:id="34">
    <w:p w:rsidR="00AA0F86" w:rsidP="00AA0F86" w14:paraId="3B21AE78" w14:textId="77777777">
      <w:pPr>
        <w:pStyle w:val="FootnoteText"/>
      </w:pPr>
      <w:r>
        <w:rPr>
          <w:rStyle w:val="FootnoteReference"/>
        </w:rPr>
        <w:footnoteRef/>
      </w:r>
      <w:r>
        <w:t xml:space="preserve"> </w:t>
      </w:r>
      <w:r w:rsidRPr="00E10B7F">
        <w:rPr>
          <w:i/>
          <w:iCs/>
        </w:rPr>
        <w:t xml:space="preserve">3.7 GHz </w:t>
      </w:r>
      <w:r w:rsidRPr="00507EFE">
        <w:rPr>
          <w:i/>
          <w:iCs/>
        </w:rPr>
        <w:t>Band R&amp;</w:t>
      </w:r>
      <w:r w:rsidRPr="00CD3BA0">
        <w:rPr>
          <w:i/>
        </w:rPr>
        <w:t>O</w:t>
      </w:r>
      <w:r>
        <w:t>,</w:t>
      </w:r>
      <w:r w:rsidRPr="00473A65">
        <w:t xml:space="preserve"> </w:t>
      </w:r>
      <w:r>
        <w:t xml:space="preserve">35 FCC </w:t>
      </w:r>
      <w:r>
        <w:t>Rcd</w:t>
      </w:r>
      <w:r>
        <w:t xml:space="preserve"> at 2450, para. 8.</w:t>
      </w:r>
    </w:p>
  </w:footnote>
  <w:footnote w:id="35">
    <w:p w:rsidR="00AA0F86" w:rsidP="00AA0F86" w14:paraId="162F00CC" w14:textId="77777777">
      <w:pPr>
        <w:pStyle w:val="FootnoteText"/>
      </w:pPr>
      <w:r>
        <w:rPr>
          <w:rStyle w:val="FootnoteReference"/>
        </w:rPr>
        <w:footnoteRef/>
      </w:r>
      <w:r>
        <w:t xml:space="preserve"> </w:t>
      </w:r>
      <w:r>
        <w:rPr>
          <w:i/>
          <w:iCs/>
        </w:rPr>
        <w:t>Id.</w:t>
      </w:r>
    </w:p>
  </w:footnote>
  <w:footnote w:id="36">
    <w:p w:rsidR="00AA0F86" w:rsidP="00AA0F86" w14:paraId="243E455D" w14:textId="77777777">
      <w:pPr>
        <w:pStyle w:val="FootnoteText"/>
      </w:pPr>
      <w:r>
        <w:rPr>
          <w:rStyle w:val="FootnoteReference"/>
        </w:rPr>
        <w:footnoteRef/>
      </w:r>
      <w:r>
        <w:t xml:space="preserve"> </w:t>
      </w:r>
      <w:r>
        <w:rPr>
          <w:i/>
          <w:iCs/>
        </w:rPr>
        <w:t>Id.</w:t>
      </w:r>
      <w:r>
        <w:t xml:space="preserve"> at 2450, para. 274.</w:t>
      </w:r>
    </w:p>
  </w:footnote>
  <w:footnote w:id="37">
    <w:p w:rsidR="00AA0F86" w:rsidRPr="00A2799B" w:rsidP="00AA0F86" w14:paraId="03F7BD8E" w14:textId="77777777">
      <w:pPr>
        <w:pStyle w:val="FootnoteText"/>
      </w:pPr>
      <w:r>
        <w:rPr>
          <w:rStyle w:val="FootnoteReference"/>
        </w:rPr>
        <w:footnoteRef/>
      </w:r>
      <w:r>
        <w:t xml:space="preserve"> </w:t>
      </w:r>
      <w:r>
        <w:rPr>
          <w:i/>
          <w:iCs/>
        </w:rPr>
        <w:t>Search Committee Public Notice</w:t>
      </w:r>
      <w:r>
        <w:t xml:space="preserve">, </w:t>
      </w:r>
      <w:r>
        <w:rPr>
          <w:rStyle w:val="item-value"/>
        </w:rPr>
        <w:t xml:space="preserve">36 FCC </w:t>
      </w:r>
      <w:r>
        <w:rPr>
          <w:rStyle w:val="item-value"/>
        </w:rPr>
        <w:t>Rcd</w:t>
      </w:r>
      <w:r>
        <w:rPr>
          <w:rStyle w:val="item-value"/>
        </w:rPr>
        <w:t xml:space="preserve"> at 12700</w:t>
      </w:r>
      <w:r>
        <w:t>.</w:t>
      </w:r>
    </w:p>
  </w:footnote>
  <w:footnote w:id="38">
    <w:p w:rsidR="00AA0F86" w:rsidP="00AA0F86" w14:paraId="522FAFF9" w14:textId="77777777">
      <w:pPr>
        <w:pStyle w:val="FootnoteText"/>
      </w:pPr>
      <w:r>
        <w:rPr>
          <w:rStyle w:val="FootnoteReference"/>
        </w:rPr>
        <w:footnoteRef/>
      </w:r>
      <w:r>
        <w:t xml:space="preserve"> WIA Reply at 2. </w:t>
      </w:r>
    </w:p>
  </w:footnote>
  <w:footnote w:id="39">
    <w:p w:rsidR="00AA0F86" w:rsidP="00AA0F86" w14:paraId="0A7ED6ED" w14:textId="77777777">
      <w:pPr>
        <w:pStyle w:val="FootnoteText"/>
      </w:pPr>
      <w:r>
        <w:rPr>
          <w:rStyle w:val="FootnoteReference"/>
        </w:rPr>
        <w:footnoteRef/>
      </w:r>
      <w:r>
        <w:t xml:space="preserve"> CCA </w:t>
      </w:r>
      <w:r>
        <w:rPr>
          <w:i/>
          <w:iCs/>
        </w:rPr>
        <w:t xml:space="preserve">Ex </w:t>
      </w:r>
      <w:r>
        <w:rPr>
          <w:i/>
          <w:iCs/>
        </w:rPr>
        <w:t>Parte</w:t>
      </w:r>
      <w:r>
        <w:t xml:space="preserve"> Letter at 1.</w:t>
      </w:r>
    </w:p>
  </w:footnote>
  <w:footnote w:id="40">
    <w:p w:rsidR="00AA0F86" w:rsidP="00AA0F86" w14:paraId="3F07F20D" w14:textId="77777777">
      <w:pPr>
        <w:pStyle w:val="FootnoteText"/>
      </w:pPr>
      <w:r>
        <w:rPr>
          <w:rStyle w:val="FootnoteReference"/>
        </w:rPr>
        <w:footnoteRef/>
      </w:r>
      <w:r>
        <w:t xml:space="preserve"> The majority of winning bidders fell into the three categories—rural entities, small businesses, and regional carriers. Thirty percent of winning bidders used a rural bidding credit and 26 percent used a small business bidding credit.  </w:t>
      </w:r>
      <w:r w:rsidRPr="0041629C">
        <w:rPr>
          <w:i/>
          <w:iCs/>
        </w:rPr>
        <w:t xml:space="preserve">Auction 110 Licenses Accepted </w:t>
      </w:r>
      <w:r>
        <w:rPr>
          <w:i/>
          <w:iCs/>
        </w:rPr>
        <w:t>f</w:t>
      </w:r>
      <w:r w:rsidRPr="0041629C">
        <w:rPr>
          <w:i/>
          <w:iCs/>
        </w:rPr>
        <w:t>or Filing</w:t>
      </w:r>
      <w:r>
        <w:rPr>
          <w:i/>
          <w:iCs/>
        </w:rPr>
        <w:t xml:space="preserve"> PN</w:t>
      </w:r>
      <w:r>
        <w:t>.</w:t>
      </w:r>
    </w:p>
  </w:footnote>
  <w:footnote w:id="41">
    <w:p w:rsidR="00AA0F86" w:rsidP="00AA0F86" w14:paraId="2EDDC027" w14:textId="77777777">
      <w:pPr>
        <w:pStyle w:val="FootnoteText"/>
      </w:pPr>
      <w:r>
        <w:rPr>
          <w:rStyle w:val="FootnoteReference"/>
        </w:rPr>
        <w:footnoteRef/>
      </w:r>
      <w:r>
        <w:t xml:space="preserve"> </w:t>
      </w:r>
      <w:r>
        <w:rPr>
          <w:i/>
          <w:iCs/>
        </w:rPr>
        <w:t>Id.</w:t>
      </w:r>
      <w:r>
        <w:t xml:space="preserve">; </w:t>
      </w:r>
      <w:r>
        <w:rPr>
          <w:i/>
          <w:iCs/>
        </w:rPr>
        <w:t xml:space="preserve">see also </w:t>
      </w:r>
      <w:r>
        <w:t>27 CFR § 27.1414(a)(1).</w:t>
      </w:r>
    </w:p>
  </w:footnote>
  <w:footnote w:id="42">
    <w:p w:rsidR="00AA0F86" w:rsidP="00AA0F86" w14:paraId="0C21736F" w14:textId="77777777">
      <w:pPr>
        <w:pStyle w:val="FootnoteText"/>
      </w:pPr>
      <w:r>
        <w:rPr>
          <w:rStyle w:val="FootnoteReference"/>
        </w:rPr>
        <w:footnoteRef/>
      </w:r>
      <w:r>
        <w:t xml:space="preserve"> </w:t>
      </w:r>
      <w:r>
        <w:rPr>
          <w:i/>
          <w:iCs/>
        </w:rPr>
        <w:t>Search Committee Public Notice</w:t>
      </w:r>
      <w:r>
        <w:t xml:space="preserve">, </w:t>
      </w:r>
      <w:r>
        <w:rPr>
          <w:rStyle w:val="item-value"/>
        </w:rPr>
        <w:t xml:space="preserve">36 FCC </w:t>
      </w:r>
      <w:r>
        <w:rPr>
          <w:rStyle w:val="item-value"/>
        </w:rPr>
        <w:t>Rcd</w:t>
      </w:r>
      <w:r>
        <w:rPr>
          <w:rStyle w:val="item-value"/>
        </w:rPr>
        <w:t xml:space="preserve"> at 12700</w:t>
      </w:r>
      <w:r>
        <w:t>.</w:t>
      </w:r>
    </w:p>
  </w:footnote>
  <w:footnote w:id="43">
    <w:p w:rsidR="00AA0F86" w:rsidRPr="00F80374" w:rsidP="00AA0F86" w14:paraId="7A5625F0" w14:textId="77777777">
      <w:pPr>
        <w:pStyle w:val="FootnoteText"/>
      </w:pPr>
      <w:r>
        <w:rPr>
          <w:rStyle w:val="FootnoteReference"/>
        </w:rPr>
        <w:footnoteRef/>
      </w:r>
      <w:r>
        <w:t xml:space="preserve"> </w:t>
      </w:r>
      <w:r w:rsidRPr="00294F95">
        <w:rPr>
          <w:i/>
          <w:iCs/>
        </w:rPr>
        <w:t>See</w:t>
      </w:r>
      <w:r>
        <w:t xml:space="preserve"> 47 CFR § 27.1605(a)(1)-(2).  RFP responses will be binding on the applicant and, as discussed below, such responses must be incorporated into contracts with the relevant stakeholders.  </w:t>
      </w:r>
      <w:r>
        <w:rPr>
          <w:i/>
          <w:iCs/>
        </w:rPr>
        <w:t>See infra</w:t>
      </w:r>
      <w:r>
        <w:t xml:space="preserve"> para. </w:t>
      </w:r>
      <w:r w:rsidRPr="00BA0E45">
        <w:t>21</w:t>
      </w:r>
      <w:r>
        <w:t>.</w:t>
      </w:r>
    </w:p>
  </w:footnote>
  <w:footnote w:id="44">
    <w:p w:rsidR="00AA0F86" w:rsidP="00AA0F86" w14:paraId="55FA665E" w14:textId="77777777">
      <w:pPr>
        <w:pStyle w:val="FootnoteText"/>
      </w:pPr>
      <w:r>
        <w:rPr>
          <w:rStyle w:val="FootnoteReference"/>
        </w:rPr>
        <w:footnoteRef/>
      </w:r>
      <w:r>
        <w:t xml:space="preserve"> GAO, The Green Book: </w:t>
      </w:r>
      <w:r>
        <w:rPr>
          <w:i/>
        </w:rPr>
        <w:t>Standards for Internal Control in the Federal Government</w:t>
      </w:r>
      <w:r>
        <w:t xml:space="preserve">, GAO-14-704G, (rel. Sep 10, 2014).  Available at </w:t>
      </w:r>
      <w:hyperlink r:id="rId1" w:history="1">
        <w:r>
          <w:rPr>
            <w:rStyle w:val="Hyperlink"/>
          </w:rPr>
          <w:t>http://www.gao.gov/greenbook/overview</w:t>
        </w:r>
      </w:hyperlink>
      <w:r>
        <w:t>.</w:t>
      </w:r>
    </w:p>
  </w:footnote>
  <w:footnote w:id="45">
    <w:p w:rsidR="00AA0F86" w:rsidRPr="00C51E82" w:rsidP="00AA0F86" w14:paraId="0235F97F" w14:textId="77777777">
      <w:pPr>
        <w:pStyle w:val="FootnoteText"/>
      </w:pPr>
      <w:r>
        <w:rPr>
          <w:rStyle w:val="FootnoteReference"/>
        </w:rPr>
        <w:footnoteRef/>
      </w:r>
      <w:r>
        <w:t xml:space="preserve"> CTIA Comments at 8.</w:t>
      </w:r>
    </w:p>
  </w:footnote>
  <w:footnote w:id="46">
    <w:p w:rsidR="00AA0F86" w:rsidP="00AA0F86" w14:paraId="6BB12C57" w14:textId="77777777">
      <w:pPr>
        <w:pStyle w:val="FootnoteText"/>
        <w:jc w:val="both"/>
      </w:pPr>
      <w:r>
        <w:rPr>
          <w:rStyle w:val="FootnoteReference"/>
        </w:rPr>
        <w:footnoteRef/>
      </w:r>
      <w:r>
        <w:t xml:space="preserve"> Letter from Kara Graves, Vice President, Regulatory Affairs, CTIA, to Marlene H. Dortch, Secretary, Federal Communications Commission, at 1 (filed May 6, 2022) (</w:t>
      </w:r>
      <w:r w:rsidRPr="0070660E">
        <w:rPr>
          <w:i/>
          <w:iCs/>
        </w:rPr>
        <w:t xml:space="preserve">CTIA May 6, 2022 Ex </w:t>
      </w:r>
      <w:r w:rsidRPr="0070660E">
        <w:rPr>
          <w:i/>
          <w:iCs/>
        </w:rPr>
        <w:t>Parte</w:t>
      </w:r>
      <w:r>
        <w:t>).</w:t>
      </w:r>
    </w:p>
  </w:footnote>
  <w:footnote w:id="47">
    <w:p w:rsidR="00AA0F86" w:rsidRPr="00F23AB7" w:rsidP="00AA0F86" w14:paraId="06FEF016" w14:textId="77777777">
      <w:pPr>
        <w:pStyle w:val="FootnoteText"/>
      </w:pPr>
      <w:r>
        <w:rPr>
          <w:rStyle w:val="FootnoteReference"/>
        </w:rPr>
        <w:footnoteRef/>
      </w:r>
      <w:r>
        <w:t xml:space="preserve"> </w:t>
      </w:r>
      <w:r>
        <w:rPr>
          <w:i/>
          <w:iCs/>
        </w:rPr>
        <w:t xml:space="preserve">Id. </w:t>
      </w:r>
      <w:r>
        <w:t xml:space="preserve">at 2.  CTIA estimates that a 3.45 GHZ Service licensee which holds a single license would have an estimated reimbursement liability of $800.  </w:t>
      </w:r>
      <w:r>
        <w:rPr>
          <w:i/>
          <w:iCs/>
        </w:rPr>
        <w:t>Id</w:t>
      </w:r>
      <w:r>
        <w:t>. at 2, n.3.</w:t>
      </w:r>
    </w:p>
  </w:footnote>
  <w:footnote w:id="48">
    <w:p w:rsidR="00AA0F86" w:rsidRPr="00542186" w:rsidP="00AA0F86" w14:paraId="7D4D2460" w14:textId="77777777">
      <w:pPr>
        <w:pStyle w:val="FootnoteText"/>
      </w:pPr>
      <w:r>
        <w:rPr>
          <w:rStyle w:val="FootnoteReference"/>
        </w:rPr>
        <w:footnoteRef/>
      </w:r>
      <w:r>
        <w:t xml:space="preserve"> </w:t>
      </w:r>
      <w:r>
        <w:rPr>
          <w:i/>
          <w:iCs/>
        </w:rPr>
        <w:t>Id.</w:t>
      </w:r>
      <w:r>
        <w:t xml:space="preserve"> at 3.  CTIA explains that the top three winning bidders in the band will be responsible for more than 80 percent of transition costs, and the top five winning bidders will be responsible for more that 90 percent of transition costs.  </w:t>
      </w:r>
      <w:r>
        <w:rPr>
          <w:i/>
          <w:iCs/>
        </w:rPr>
        <w:t>Id</w:t>
      </w:r>
      <w:r>
        <w:t>.</w:t>
      </w:r>
    </w:p>
  </w:footnote>
  <w:footnote w:id="49">
    <w:p w:rsidR="00AA0F86" w:rsidP="00AA0F86" w14:paraId="13797369" w14:textId="77777777">
      <w:pPr>
        <w:pStyle w:val="FootnoteText"/>
      </w:pPr>
      <w:r>
        <w:rPr>
          <w:rStyle w:val="FootnoteReference"/>
        </w:rPr>
        <w:footnoteRef/>
      </w:r>
      <w:r>
        <w:t xml:space="preserve"> </w:t>
      </w:r>
      <w:r>
        <w:rPr>
          <w:i/>
          <w:iCs/>
        </w:rPr>
        <w:t>Id.</w:t>
      </w:r>
      <w:r>
        <w:t xml:space="preserve"> at 3.</w:t>
      </w:r>
    </w:p>
  </w:footnote>
  <w:footnote w:id="50">
    <w:p w:rsidR="00AA0F86" w:rsidP="00AA0F86" w14:paraId="354D326D" w14:textId="77777777">
      <w:pPr>
        <w:pStyle w:val="FootnoteText"/>
      </w:pPr>
      <w:r>
        <w:rPr>
          <w:rStyle w:val="FootnoteReference"/>
        </w:rPr>
        <w:footnoteRef/>
      </w:r>
      <w:r>
        <w:t xml:space="preserve"> Such contracts </w:t>
      </w:r>
      <w:r w:rsidRPr="007C29E9">
        <w:t>memorialize and make enforceable by a court, the parties to the contract, and/or the Commission (in the case of a violation of a Commission requirement) the obligations on which the Clearinghouse selection was made.</w:t>
      </w:r>
    </w:p>
  </w:footnote>
  <w:footnote w:id="51">
    <w:p w:rsidR="00AA0F86" w:rsidP="00AA0F86" w14:paraId="6D944AAC" w14:textId="77777777">
      <w:pPr>
        <w:pStyle w:val="FootnoteText"/>
      </w:pPr>
      <w:r>
        <w:rPr>
          <w:rStyle w:val="FootnoteReference"/>
        </w:rPr>
        <w:footnoteRef/>
      </w:r>
      <w:r>
        <w:t xml:space="preserve"> </w:t>
      </w:r>
      <w:r w:rsidRPr="00A84A74">
        <w:rPr>
          <w:i/>
        </w:rPr>
        <w:t>3.7 GHz Band R&amp;O</w:t>
      </w:r>
      <w:r w:rsidRPr="00A84A74">
        <w:t xml:space="preserve">, 35 FCC </w:t>
      </w:r>
      <w:r w:rsidRPr="00A84A74">
        <w:t>Rcd</w:t>
      </w:r>
      <w:r w:rsidRPr="00A84A74">
        <w:t xml:space="preserve"> at 2460, para. 312.</w:t>
      </w:r>
    </w:p>
  </w:footnote>
  <w:footnote w:id="52">
    <w:p w:rsidR="00AA0F86" w:rsidP="00AA0F86" w14:paraId="6D01A8D6" w14:textId="77777777">
      <w:pPr>
        <w:pStyle w:val="FootnoteText"/>
      </w:pPr>
      <w:r>
        <w:rPr>
          <w:rStyle w:val="FootnoteReference"/>
        </w:rPr>
        <w:footnoteRef/>
      </w:r>
      <w:r>
        <w:t xml:space="preserve"> T</w:t>
      </w:r>
      <w:r w:rsidRPr="006A5249">
        <w:t>he Commission has previously imposed requirements that contracts be entered by regulated entities and a clearinghouse set up to administer reimbursement of incumbent licensees’ relocation expenses by new, incoming licensees (as part of repurposing spectrum)</w:t>
      </w:r>
      <w:r>
        <w:t xml:space="preserve"> in the 800 MHz band </w:t>
      </w:r>
      <w:r>
        <w:t>rebanding</w:t>
      </w:r>
      <w:r w:rsidRPr="006A5249">
        <w:t>.</w:t>
      </w:r>
      <w:r>
        <w:t xml:space="preserve">  </w:t>
      </w:r>
      <w:r w:rsidRPr="005C436F">
        <w:rPr>
          <w:i/>
          <w:iCs/>
        </w:rPr>
        <w:t>Improving Public Safety Communications in the 800 MHz Band, et al.</w:t>
      </w:r>
      <w:r>
        <w:t xml:space="preserve">, Report and Order, Fifth Report and Order, Fourth Memorandum Opinion and Order, and Order, 19 FCC </w:t>
      </w:r>
      <w:r>
        <w:t>Rcd</w:t>
      </w:r>
      <w:r>
        <w:t xml:space="preserve"> 14969, 15074-75, para. 199 (2004) (</w:t>
      </w:r>
      <w:r>
        <w:rPr>
          <w:i/>
        </w:rPr>
        <w:t>800 MHz Order</w:t>
      </w:r>
      <w:r>
        <w:rPr>
          <w:iCs/>
        </w:rPr>
        <w:t>)</w:t>
      </w:r>
      <w:r>
        <w:t>.</w:t>
      </w:r>
    </w:p>
  </w:footnote>
  <w:footnote w:id="53">
    <w:p w:rsidR="00AA0F86" w:rsidP="00AA0F86" w14:paraId="73B6F96C" w14:textId="77777777">
      <w:pPr>
        <w:pStyle w:val="FootnoteText"/>
      </w:pPr>
      <w:r>
        <w:rPr>
          <w:rStyle w:val="FootnoteReference"/>
        </w:rPr>
        <w:footnoteRef/>
      </w:r>
      <w:r>
        <w:t xml:space="preserve"> </w:t>
      </w:r>
      <w:r w:rsidRPr="00437711">
        <w:t>Accordingly, the Clearinghouse may not enter into any contractual provision that would prevent or hinder its compliance with this requirement, for example, a strict non-disclosure provision.</w:t>
      </w:r>
    </w:p>
  </w:footnote>
  <w:footnote w:id="54">
    <w:p w:rsidR="00AA0F86" w:rsidP="00AA0F86" w14:paraId="4D8BA2CA" w14:textId="77777777">
      <w:pPr>
        <w:pStyle w:val="FootnoteText"/>
      </w:pPr>
      <w:r>
        <w:rPr>
          <w:rStyle w:val="FootnoteReference"/>
        </w:rPr>
        <w:footnoteRef/>
      </w:r>
      <w:r>
        <w:t xml:space="preserve"> CTIA Comments at 8.</w:t>
      </w:r>
    </w:p>
  </w:footnote>
  <w:footnote w:id="55">
    <w:p w:rsidR="00AA0F86" w:rsidP="00AA0F86" w14:paraId="00F0F149" w14:textId="77777777">
      <w:pPr>
        <w:pStyle w:val="FootnoteText"/>
      </w:pPr>
      <w:r>
        <w:rPr>
          <w:rStyle w:val="FootnoteReference"/>
        </w:rPr>
        <w:footnoteRef/>
      </w:r>
      <w:r>
        <w:t xml:space="preserve"> </w:t>
      </w:r>
      <w:r w:rsidRPr="00463BEF">
        <w:rPr>
          <w:i/>
          <w:iCs/>
        </w:rPr>
        <w:t>Id</w:t>
      </w:r>
      <w:r>
        <w:t>. at 4.</w:t>
      </w:r>
    </w:p>
  </w:footnote>
  <w:footnote w:id="56">
    <w:p w:rsidR="00AA0F86" w:rsidP="00AA0F86" w14:paraId="36651F17" w14:textId="77777777">
      <w:pPr>
        <w:pStyle w:val="FootnoteText"/>
      </w:pPr>
      <w:r>
        <w:rPr>
          <w:rStyle w:val="FootnoteReference"/>
        </w:rPr>
        <w:footnoteRef/>
      </w:r>
      <w:r>
        <w:t xml:space="preserve"> Federal Information Security Management Act of 2002 (FISMA 2002), enacted as Title III, E-Government Act of 2002, Pub. L. No. 107-347, 116 Stat. 2899, 2946 (Dec. 17, 2002) was subsequently modified by the Federal Information Security Modernization Act of 2014 (Pub. L. No. 113-283, Dec. 18, 2014).  As modified, FISMA is codified at 44 U.S.C. § 3551 </w:t>
      </w:r>
      <w:r>
        <w:rPr>
          <w:i/>
        </w:rPr>
        <w:t>et seq</w:t>
      </w:r>
      <w:r>
        <w:t>.</w:t>
      </w:r>
    </w:p>
  </w:footnote>
  <w:footnote w:id="57">
    <w:p w:rsidR="00AA0F86" w:rsidP="00AA0F86" w14:paraId="60667738" w14:textId="77777777">
      <w:pPr>
        <w:pStyle w:val="FootnoteText"/>
      </w:pPr>
      <w:r>
        <w:rPr>
          <w:rStyle w:val="FootnoteReference"/>
        </w:rPr>
        <w:footnoteRef/>
      </w:r>
      <w:r>
        <w:t xml:space="preserve"> The Bureau will consider any request for an extension of this deadline and may grant a brief extension for good cause shown.</w:t>
      </w:r>
    </w:p>
  </w:footnote>
  <w:footnote w:id="58">
    <w:p w:rsidR="00AA0F86" w:rsidP="00AA0F86" w14:paraId="55F877AF" w14:textId="77777777">
      <w:pPr>
        <w:pStyle w:val="FootnoteText"/>
      </w:pPr>
      <w:r>
        <w:rPr>
          <w:rStyle w:val="FootnoteReference"/>
        </w:rPr>
        <w:footnoteRef/>
      </w:r>
      <w:r>
        <w:t xml:space="preserve"> Regarding limitations on</w:t>
      </w:r>
      <w:r w:rsidRPr="00D0742B">
        <w:t xml:space="preserve"> liability, we </w:t>
      </w:r>
      <w:r>
        <w:t>expect</w:t>
      </w:r>
      <w:r w:rsidRPr="00D0742B">
        <w:t xml:space="preserve"> the Clearinghouse </w:t>
      </w:r>
      <w:r>
        <w:t xml:space="preserve">to </w:t>
      </w:r>
      <w:r w:rsidRPr="00D0742B">
        <w:t>accept full liability for the performance of its responsibilities</w:t>
      </w:r>
      <w:r>
        <w:t xml:space="preserve">, including </w:t>
      </w:r>
      <w:r w:rsidRPr="00D0742B">
        <w:t>liability for negligence or intentional misconduct</w:t>
      </w:r>
      <w:r>
        <w:t xml:space="preserve"> in any contracts it enters into with incumbent and new, flexible-use licensee stakeholders.  Further, the Clearinghouse cannot obviate its liability through use of a limited liability corporation or other structural mechanism.  Should</w:t>
      </w:r>
      <w:r w:rsidRPr="00D0742B">
        <w:t xml:space="preserve"> the parties </w:t>
      </w:r>
      <w:r>
        <w:t>choose, however,</w:t>
      </w:r>
      <w:r w:rsidRPr="00D0742B">
        <w:t xml:space="preserve"> </w:t>
      </w:r>
      <w:r>
        <w:t>they</w:t>
      </w:r>
      <w:r w:rsidRPr="00D0742B">
        <w:t xml:space="preserve"> could</w:t>
      </w:r>
      <w:r>
        <w:t>, for example,</w:t>
      </w:r>
      <w:r w:rsidRPr="00D0742B">
        <w:t xml:space="preserve"> include </w:t>
      </w:r>
      <w:r>
        <w:t xml:space="preserve">a </w:t>
      </w:r>
      <w:r w:rsidRPr="00D0742B">
        <w:t>limitation on consequential damages.</w:t>
      </w:r>
    </w:p>
  </w:footnote>
  <w:footnote w:id="59">
    <w:p w:rsidR="00AA0F86" w:rsidP="00AA0F86" w14:paraId="38145455" w14:textId="77777777">
      <w:pPr>
        <w:pStyle w:val="FootnoteText"/>
      </w:pPr>
      <w:r>
        <w:rPr>
          <w:rStyle w:val="FootnoteReference"/>
        </w:rPr>
        <w:footnoteRef/>
      </w:r>
      <w:r>
        <w:t xml:space="preserve"> We agree with CTIA that only the submissions of the selectee should be filed publicly with the Commission as such filings would be “highly relevant” to the selection process.  CTIA Comments at 9.  Although CTIA requests that such public filings be minimally redacted, we note that</w:t>
      </w:r>
      <w:r w:rsidRPr="006A77B2">
        <w:t xml:space="preserve"> </w:t>
      </w:r>
      <w:r>
        <w:t>c</w:t>
      </w:r>
      <w:r w:rsidRPr="006A77B2">
        <w:t>ommercially</w:t>
      </w:r>
      <w:r>
        <w:t xml:space="preserve"> </w:t>
      </w:r>
      <w:r w:rsidRPr="006A77B2">
        <w:t>sensitive terms in the agreements could be submitted to the Commission</w:t>
      </w:r>
      <w:r>
        <w:t xml:space="preserve"> with a request for confidential treatment.</w:t>
      </w:r>
    </w:p>
  </w:footnote>
  <w:footnote w:id="60">
    <w:p w:rsidR="00AA0F86" w:rsidP="00AA0F86" w14:paraId="7EF41FF6" w14:textId="77777777">
      <w:pPr>
        <w:pStyle w:val="FootnoteText"/>
      </w:pPr>
      <w:r>
        <w:rPr>
          <w:rStyle w:val="FootnoteReference"/>
        </w:rPr>
        <w:footnoteRef/>
      </w:r>
      <w:r>
        <w:t xml:space="preserve"> </w:t>
      </w:r>
      <w:r>
        <w:rPr>
          <w:i/>
          <w:iCs/>
        </w:rPr>
        <w:t xml:space="preserve">See </w:t>
      </w:r>
      <w:r w:rsidRPr="008D688B">
        <w:rPr>
          <w:i/>
          <w:iCs/>
        </w:rPr>
        <w:t xml:space="preserve">3.45 GHz Band </w:t>
      </w:r>
      <w:r>
        <w:rPr>
          <w:i/>
          <w:iCs/>
        </w:rPr>
        <w:t>Second R&amp;O</w:t>
      </w:r>
      <w:r>
        <w:t xml:space="preserve">, 36 FCC </w:t>
      </w:r>
      <w:r>
        <w:t>Rcd</w:t>
      </w:r>
      <w:r>
        <w:t xml:space="preserve"> at 6045, para. 163.</w:t>
      </w:r>
    </w:p>
  </w:footnote>
  <w:footnote w:id="61">
    <w:p w:rsidR="00AA0F86" w:rsidRPr="002C6632" w:rsidP="00AA0F86" w14:paraId="767B0D76" w14:textId="77777777">
      <w:pPr>
        <w:pStyle w:val="FootnoteText"/>
      </w:pPr>
      <w:r>
        <w:rPr>
          <w:rStyle w:val="FootnoteReference"/>
        </w:rPr>
        <w:footnoteRef/>
      </w:r>
      <w:r>
        <w:t xml:space="preserve"> </w:t>
      </w:r>
      <w:r w:rsidRPr="00586EA6">
        <w:rPr>
          <w:i/>
          <w:iCs/>
        </w:rPr>
        <w:t>3.</w:t>
      </w:r>
      <w:r w:rsidRPr="00507EFE">
        <w:rPr>
          <w:i/>
          <w:iCs/>
        </w:rPr>
        <w:t>7 GHz Band R&amp;O</w:t>
      </w:r>
      <w:r>
        <w:t xml:space="preserve">, 35 FCC </w:t>
      </w:r>
      <w:r>
        <w:t>Rcd</w:t>
      </w:r>
      <w:r>
        <w:t xml:space="preserve"> at 2446, para. 255.</w:t>
      </w:r>
    </w:p>
  </w:footnote>
  <w:footnote w:id="62">
    <w:p w:rsidR="00AA0F86" w:rsidP="00AA0F86" w14:paraId="69C053B0" w14:textId="77777777">
      <w:pPr>
        <w:pStyle w:val="FootnoteText"/>
      </w:pPr>
      <w:r>
        <w:rPr>
          <w:rStyle w:val="FootnoteReference"/>
        </w:rPr>
        <w:footnoteRef/>
      </w:r>
      <w:r>
        <w:t xml:space="preserve"> </w:t>
      </w:r>
      <w:r>
        <w:rPr>
          <w:i/>
          <w:iCs/>
        </w:rPr>
        <w:t>Id.</w:t>
      </w:r>
      <w:r>
        <w:t xml:space="preserve"> at 2447, para. 259; </w:t>
      </w:r>
      <w:r>
        <w:rPr>
          <w:i/>
        </w:rPr>
        <w:t>800 MHz Order</w:t>
      </w:r>
      <w:r w:rsidRPr="003937A2">
        <w:t>,</w:t>
      </w:r>
      <w:r>
        <w:rPr>
          <w:i/>
        </w:rPr>
        <w:t xml:space="preserve"> </w:t>
      </w:r>
      <w:r>
        <w:t xml:space="preserve">19 FCC </w:t>
      </w:r>
      <w:r>
        <w:t>Rcd</w:t>
      </w:r>
      <w:r>
        <w:t xml:space="preserve"> at 15075, para. 200. </w:t>
      </w:r>
    </w:p>
  </w:footnote>
  <w:footnote w:id="63">
    <w:p w:rsidR="00AA0F86" w:rsidP="00AA0F86" w14:paraId="12576F77" w14:textId="77777777">
      <w:pPr>
        <w:pStyle w:val="FootnoteText"/>
      </w:pPr>
      <w:r>
        <w:rPr>
          <w:rStyle w:val="FootnoteReference"/>
        </w:rPr>
        <w:footnoteRef/>
      </w:r>
      <w:r>
        <w:t xml:space="preserve"> 47 CFR § 27.1605.</w:t>
      </w:r>
    </w:p>
  </w:footnote>
  <w:footnote w:id="64">
    <w:p w:rsidR="00AA0F86" w:rsidP="00AA0F86" w14:paraId="3F5BEA9E" w14:textId="77777777">
      <w:pPr>
        <w:pStyle w:val="FootnoteText"/>
      </w:pPr>
      <w:r>
        <w:rPr>
          <w:rStyle w:val="FootnoteReference"/>
        </w:rPr>
        <w:footnoteRef/>
      </w:r>
      <w:r>
        <w:t xml:space="preserve"> </w:t>
      </w:r>
      <w:r>
        <w:rPr>
          <w:i/>
          <w:iCs/>
        </w:rPr>
        <w:t>Id.</w:t>
      </w:r>
      <w:r>
        <w:t xml:space="preserve"> § 27.1605(c).</w:t>
      </w:r>
    </w:p>
  </w:footnote>
  <w:footnote w:id="65">
    <w:p w:rsidR="00AA0F86" w:rsidP="00AA0F86" w14:paraId="444486B1" w14:textId="77777777">
      <w:pPr>
        <w:pStyle w:val="FootnoteText"/>
      </w:pPr>
      <w:r>
        <w:rPr>
          <w:rStyle w:val="FootnoteReference"/>
        </w:rPr>
        <w:footnoteRef/>
      </w:r>
      <w:r>
        <w:t xml:space="preserve"> </w:t>
      </w:r>
      <w:r>
        <w:rPr>
          <w:i/>
          <w:iCs/>
        </w:rPr>
        <w:t>Id.</w:t>
      </w:r>
      <w:r>
        <w:t xml:space="preserve"> § 27.1605(b).</w:t>
      </w:r>
    </w:p>
  </w:footnote>
  <w:footnote w:id="66">
    <w:p w:rsidR="00AA0F86" w:rsidP="00AA0F86" w14:paraId="13EFFF3B" w14:textId="77777777">
      <w:pPr>
        <w:pStyle w:val="FootnoteText"/>
      </w:pPr>
      <w:r>
        <w:rPr>
          <w:rStyle w:val="FootnoteReference"/>
        </w:rPr>
        <w:footnoteRef/>
      </w:r>
      <w:r>
        <w:t xml:space="preserve"> </w:t>
      </w:r>
      <w:r>
        <w:rPr>
          <w:i/>
          <w:iCs/>
        </w:rPr>
        <w:t>Id.</w:t>
      </w:r>
      <w:r>
        <w:t xml:space="preserve"> § 27.1605(c).</w:t>
      </w:r>
    </w:p>
  </w:footnote>
  <w:footnote w:id="67">
    <w:p w:rsidR="00AA0F86" w:rsidP="00AA0F86" w14:paraId="791F467C" w14:textId="77777777">
      <w:pPr>
        <w:pStyle w:val="FootnoteText"/>
      </w:pPr>
      <w:r>
        <w:rPr>
          <w:rStyle w:val="FootnoteReference"/>
        </w:rPr>
        <w:footnoteRef/>
      </w:r>
      <w:r>
        <w:t xml:space="preserve"> </w:t>
      </w:r>
      <w:r>
        <w:rPr>
          <w:i/>
          <w:iCs/>
        </w:rPr>
        <w:t>Id.</w:t>
      </w:r>
      <w:r>
        <w:t xml:space="preserve"> § 27.1605(b).</w:t>
      </w:r>
    </w:p>
  </w:footnote>
  <w:footnote w:id="68">
    <w:p w:rsidR="00AA0F86" w:rsidRPr="006C16AD" w:rsidP="00AA0F86" w14:paraId="3FDFEAE6" w14:textId="77777777">
      <w:pPr>
        <w:pStyle w:val="FootnoteText"/>
        <w:rPr>
          <w:i/>
        </w:rPr>
      </w:pPr>
      <w:r>
        <w:rPr>
          <w:rStyle w:val="FootnoteReference"/>
        </w:rPr>
        <w:footnoteRef/>
      </w:r>
      <w:r>
        <w:t xml:space="preserve"> </w:t>
      </w:r>
      <w:r>
        <w:rPr>
          <w:i/>
        </w:rPr>
        <w:t xml:space="preserve">See </w:t>
      </w:r>
      <w:r w:rsidRPr="009F7B9E">
        <w:rPr>
          <w:i/>
        </w:rPr>
        <w:t>Incentive Auction Report and Order</w:t>
      </w:r>
      <w:r>
        <w:t xml:space="preserve">, 29 FCC </w:t>
      </w:r>
      <w:r>
        <w:t>Rcd</w:t>
      </w:r>
      <w:r>
        <w:t xml:space="preserve"> at 6826, para. 636 (adopting a mechanism for the Commission or a third-party to audit entities that received reimbursements for the repacking process).</w:t>
      </w:r>
    </w:p>
  </w:footnote>
  <w:footnote w:id="69">
    <w:p w:rsidR="00AA0F86" w:rsidP="00AA0F86" w14:paraId="0C434A1B" w14:textId="77777777">
      <w:pPr>
        <w:pStyle w:val="FootnoteText"/>
      </w:pPr>
      <w:r>
        <w:rPr>
          <w:rStyle w:val="FootnoteReference"/>
        </w:rPr>
        <w:footnoteRef/>
      </w:r>
      <w:r>
        <w:t xml:space="preserve"> Subsection 1.4(j) of the Commission’s rules shall apply where the deadline for providing written notice to the Bureau of a dispute with respect to a specific invoice falls on a holiday.  47 CFR § 1.4(j).</w:t>
      </w:r>
    </w:p>
  </w:footnote>
  <w:footnote w:id="70">
    <w:p w:rsidR="00AA0F86" w:rsidP="00AA0F86" w14:paraId="0C7EAB67" w14:textId="77777777">
      <w:pPr>
        <w:pStyle w:val="FootnoteText"/>
      </w:pPr>
      <w:r>
        <w:rPr>
          <w:rStyle w:val="FootnoteReference"/>
        </w:rPr>
        <w:footnoteRef/>
      </w:r>
      <w:r>
        <w:t xml:space="preserve"> </w:t>
      </w:r>
      <w:r>
        <w:rPr>
          <w:i/>
          <w:iCs/>
        </w:rPr>
        <w:t>Id.</w:t>
      </w:r>
      <w:r>
        <w:t xml:space="preserve"> § 27.1605(d).</w:t>
      </w:r>
    </w:p>
  </w:footnote>
  <w:footnote w:id="71">
    <w:p w:rsidR="00AA0F86" w:rsidP="00AA0F86" w14:paraId="72824DBB"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at 6044, para. 161; 47 CFR § 27.1604.</w:t>
      </w:r>
    </w:p>
  </w:footnote>
  <w:footnote w:id="72">
    <w:p w:rsidR="00AA0F86" w:rsidP="00AA0F86" w14:paraId="0BECEB6F" w14:textId="77777777">
      <w:pPr>
        <w:pStyle w:val="FootnoteText"/>
      </w:pPr>
      <w:r>
        <w:rPr>
          <w:rStyle w:val="FootnoteReference"/>
        </w:rPr>
        <w:footnoteRef/>
      </w:r>
      <w:r>
        <w:t xml:space="preserve"> 47 CFR § 27.1604(a).</w:t>
      </w:r>
    </w:p>
  </w:footnote>
  <w:footnote w:id="73">
    <w:p w:rsidR="00AA0F86" w:rsidP="00AA0F86" w14:paraId="1B10B567" w14:textId="77777777">
      <w:pPr>
        <w:pStyle w:val="FootnoteText"/>
      </w:pPr>
      <w:r>
        <w:rPr>
          <w:rStyle w:val="FootnoteReference"/>
        </w:rPr>
        <w:footnoteRef/>
      </w:r>
      <w:r>
        <w:t xml:space="preserve"> </w:t>
      </w:r>
      <w:r>
        <w:rPr>
          <w:i/>
          <w:iCs/>
        </w:rPr>
        <w:t>Id.</w:t>
      </w:r>
    </w:p>
  </w:footnote>
  <w:footnote w:id="74">
    <w:p w:rsidR="00AA0F86" w:rsidP="00AA0F86" w14:paraId="6B0BED1C" w14:textId="77777777">
      <w:pPr>
        <w:pStyle w:val="FootnoteText"/>
      </w:pPr>
      <w:r>
        <w:rPr>
          <w:rStyle w:val="FootnoteReference"/>
        </w:rPr>
        <w:footnoteRef/>
      </w:r>
      <w:r>
        <w:t xml:space="preserve"> </w:t>
      </w:r>
      <w:r>
        <w:rPr>
          <w:i/>
          <w:iCs/>
        </w:rPr>
        <w:t>Id.</w:t>
      </w:r>
      <w:r>
        <w:t xml:space="preserve"> § 27.1604(b).</w:t>
      </w:r>
    </w:p>
  </w:footnote>
  <w:footnote w:id="75">
    <w:p w:rsidR="00AA0F86" w:rsidP="00AA0F86" w14:paraId="439429F5" w14:textId="77777777">
      <w:pPr>
        <w:pStyle w:val="FootnoteText"/>
      </w:pPr>
      <w:r>
        <w:rPr>
          <w:rStyle w:val="FootnoteReference"/>
        </w:rPr>
        <w:footnoteRef/>
      </w:r>
      <w:r>
        <w:t xml:space="preserve"> 47 CFR § 27.1604(a).</w:t>
      </w:r>
    </w:p>
  </w:footnote>
  <w:footnote w:id="76">
    <w:p w:rsidR="00AA0F86" w:rsidP="00AA0F86" w14:paraId="261A6D4E" w14:textId="77777777">
      <w:pPr>
        <w:pStyle w:val="FootnoteText"/>
      </w:pPr>
      <w:r>
        <w:rPr>
          <w:rStyle w:val="FootnoteReference"/>
        </w:rPr>
        <w:footnoteRef/>
      </w:r>
      <w:r>
        <w:t xml:space="preserve"> </w:t>
      </w:r>
      <w:r>
        <w:rPr>
          <w:i/>
          <w:iCs/>
        </w:rPr>
        <w:t>Id.</w:t>
      </w:r>
      <w:r>
        <w:t xml:space="preserve"> § 27.1605(a).</w:t>
      </w:r>
    </w:p>
  </w:footnote>
  <w:footnote w:id="77">
    <w:p w:rsidR="00AA0F86" w:rsidP="00AA0F86" w14:paraId="5EDFFFE2" w14:textId="77777777">
      <w:pPr>
        <w:pStyle w:val="FootnoteText"/>
      </w:pPr>
      <w:r>
        <w:rPr>
          <w:rStyle w:val="FootnoteReference"/>
        </w:rPr>
        <w:footnoteRef/>
      </w:r>
      <w:r>
        <w:t xml:space="preserve"> The audited statement should follow generally accepted accounting procedures (GAAP) or generally accepted government auditing standards (GAGAS).</w:t>
      </w:r>
    </w:p>
  </w:footnote>
  <w:footnote w:id="78">
    <w:p w:rsidR="00AA0F86" w:rsidP="00AA0F86" w14:paraId="526863EE" w14:textId="77777777">
      <w:pPr>
        <w:pStyle w:val="FootnoteText"/>
      </w:pPr>
      <w:r>
        <w:rPr>
          <w:rStyle w:val="FootnoteReference"/>
        </w:rPr>
        <w:footnoteRef/>
      </w:r>
      <w:r>
        <w:t xml:space="preserve"> 47 CFR § 27.1605(a)</w:t>
      </w:r>
    </w:p>
  </w:footnote>
  <w:footnote w:id="79">
    <w:p w:rsidR="00AA0F86" w:rsidP="00AA0F86" w14:paraId="09CE91B5" w14:textId="77777777">
      <w:pPr>
        <w:pStyle w:val="FootnoteText"/>
      </w:pPr>
      <w:r>
        <w:rPr>
          <w:rStyle w:val="FootnoteReference"/>
        </w:rPr>
        <w:footnoteRef/>
      </w:r>
      <w:r>
        <w:t xml:space="preserve"> </w:t>
      </w:r>
      <w:r>
        <w:rPr>
          <w:i/>
        </w:rPr>
        <w:t xml:space="preserve">See </w:t>
      </w:r>
      <w:r w:rsidRPr="00586EA6">
        <w:rPr>
          <w:i/>
          <w:iCs/>
        </w:rPr>
        <w:t>3.</w:t>
      </w:r>
      <w:r w:rsidRPr="00507EFE">
        <w:rPr>
          <w:i/>
          <w:iCs/>
        </w:rPr>
        <w:t>7 GHz Band R&amp;O</w:t>
      </w:r>
      <w:r>
        <w:t xml:space="preserve">, 35 FCC </w:t>
      </w:r>
      <w:r>
        <w:t>Rcd</w:t>
      </w:r>
      <w:r>
        <w:t xml:space="preserve"> at 2449, para. 268; 47 CFR 27.1421(b).  </w:t>
      </w:r>
      <w:r w:rsidRPr="00D928FB">
        <w:rPr>
          <w:i/>
        </w:rPr>
        <w:t>Compare</w:t>
      </w:r>
      <w:r>
        <w:t xml:space="preserve"> 47 CFR § 27.1605(d).  Section 27.1605(a)(2) provides that one of the duties of the Clearinghouse include mitigating cost disputes among parties, and while the Clearinghouse is encouraged to informally seek resolution of potential disputes, we clarify that formal disputes arising from Clearinghouse decisions must be decided by the Bureau.</w:t>
      </w:r>
    </w:p>
  </w:footnote>
  <w:footnote w:id="80">
    <w:p w:rsidR="00AA0F86" w:rsidP="00AA0F86" w14:paraId="54B883FA" w14:textId="77777777">
      <w:pPr>
        <w:pStyle w:val="FootnoteText"/>
      </w:pPr>
      <w:r>
        <w:rPr>
          <w:rStyle w:val="FootnoteReference"/>
        </w:rPr>
        <w:footnoteRef/>
      </w:r>
      <w:r>
        <w:t xml:space="preserve"> 47 CFR § 27.1605(d);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at 6045, para. 165.</w:t>
      </w:r>
    </w:p>
  </w:footnote>
  <w:footnote w:id="81">
    <w:p w:rsidR="00AA0F86" w:rsidP="00AA0F86" w14:paraId="45ABE2A4" w14:textId="77777777">
      <w:pPr>
        <w:pStyle w:val="FootnoteText"/>
      </w:pPr>
      <w:r>
        <w:rPr>
          <w:rStyle w:val="FootnoteReference"/>
        </w:rPr>
        <w:footnoteRef/>
      </w:r>
      <w:r>
        <w:t xml:space="preserve"> Subsection 1.4(j) of the Commission’s rules shall apply where the deadline for providing written notice to the Bureau of a dispute with respect to a specific invoice falls on a holiday.  47 CFR §1.4(j).</w:t>
      </w:r>
    </w:p>
  </w:footnote>
  <w:footnote w:id="82">
    <w:p w:rsidR="00AA0F86" w:rsidP="00AA0F86" w14:paraId="6E2278BB" w14:textId="77777777">
      <w:pPr>
        <w:pStyle w:val="FootnoteText"/>
      </w:pPr>
      <w:r>
        <w:rPr>
          <w:rStyle w:val="FootnoteReference"/>
        </w:rPr>
        <w:footnoteRef/>
      </w:r>
      <w:r>
        <w:t xml:space="preserve"> </w:t>
      </w:r>
      <w:r>
        <w:rPr>
          <w:i/>
          <w:iCs/>
        </w:rPr>
        <w:t>See Id.</w:t>
      </w:r>
      <w:r>
        <w:t xml:space="preserve"> § 27.1605(a)(4).</w:t>
      </w:r>
    </w:p>
  </w:footnote>
  <w:footnote w:id="83">
    <w:p w:rsidR="00AA0F86" w:rsidP="00AA0F86" w14:paraId="3B7E7EE4" w14:textId="77777777">
      <w:pPr>
        <w:pStyle w:val="FootnoteText"/>
      </w:pPr>
      <w:r>
        <w:rPr>
          <w:rStyle w:val="FootnoteReference"/>
        </w:rPr>
        <w:footnoteRef/>
      </w:r>
      <w:r>
        <w:t xml:space="preserve"> </w:t>
      </w:r>
      <w:r w:rsidRPr="00586EA6">
        <w:rPr>
          <w:i/>
          <w:iCs/>
        </w:rPr>
        <w:t>3.</w:t>
      </w:r>
      <w:r w:rsidRPr="00507EFE">
        <w:rPr>
          <w:i/>
          <w:iCs/>
        </w:rPr>
        <w:t>7 GHz Band R&amp;O</w:t>
      </w:r>
      <w:r>
        <w:t xml:space="preserve">, 35 FCC </w:t>
      </w:r>
      <w:r>
        <w:t>Rcd</w:t>
      </w:r>
      <w:r>
        <w:t xml:space="preserve"> at 2446, para. 255.</w:t>
      </w:r>
    </w:p>
  </w:footnote>
  <w:footnote w:id="84">
    <w:p w:rsidR="00AA0F86" w:rsidP="00AA0F86" w14:paraId="7ED6CC76" w14:textId="77777777">
      <w:pPr>
        <w:pStyle w:val="FootnoteText"/>
      </w:pPr>
      <w:r>
        <w:rPr>
          <w:rStyle w:val="FootnoteReference"/>
        </w:rPr>
        <w:footnoteRef/>
      </w:r>
      <w:r>
        <w:t xml:space="preserve"> </w:t>
      </w:r>
      <w:r>
        <w:rPr>
          <w:i/>
          <w:iCs/>
        </w:rPr>
        <w:t>Id.</w:t>
      </w:r>
      <w:r>
        <w:t xml:space="preserve"> at 2447, para. 259.</w:t>
      </w:r>
    </w:p>
  </w:footnote>
  <w:footnote w:id="85">
    <w:p w:rsidR="00AA0F86" w:rsidP="00AA0F86" w14:paraId="116ED0B1" w14:textId="77777777">
      <w:pPr>
        <w:pStyle w:val="FootnoteText"/>
      </w:pPr>
      <w:r>
        <w:rPr>
          <w:rStyle w:val="FootnoteReference"/>
        </w:rPr>
        <w:footnoteRef/>
      </w:r>
      <w:r>
        <w:t xml:space="preserve"> </w:t>
      </w:r>
      <w:r>
        <w:rPr>
          <w:i/>
          <w:iCs/>
        </w:rPr>
        <w:t xml:space="preserve">Id. </w:t>
      </w:r>
      <w:r>
        <w:t>at 2451, para. 277.</w:t>
      </w:r>
    </w:p>
  </w:footnote>
  <w:footnote w:id="86">
    <w:p w:rsidR="00AA0F86" w:rsidP="00AA0F86" w14:paraId="6348D9A9" w14:textId="77777777">
      <w:pPr>
        <w:pStyle w:val="FootnoteText"/>
      </w:pPr>
      <w:r>
        <w:rPr>
          <w:rStyle w:val="FootnoteReference"/>
        </w:rPr>
        <w:footnoteRef/>
      </w:r>
      <w:r>
        <w:t xml:space="preserve"> CTIA Comments at 3, 4.</w:t>
      </w:r>
    </w:p>
  </w:footnote>
  <w:footnote w:id="87">
    <w:p w:rsidR="00AA0F86" w:rsidRPr="008B3DC8" w:rsidP="00AA0F86" w14:paraId="7CD30D8B" w14:textId="77777777">
      <w:pPr>
        <w:pStyle w:val="FootnoteText"/>
      </w:pPr>
      <w:r>
        <w:rPr>
          <w:rStyle w:val="FootnoteReference"/>
        </w:rPr>
        <w:footnoteRef/>
      </w:r>
      <w:r>
        <w:t xml:space="preserve"> </w:t>
      </w:r>
      <w:r>
        <w:rPr>
          <w:i/>
          <w:iCs/>
        </w:rPr>
        <w:t>See</w:t>
      </w:r>
      <w:r>
        <w:t xml:space="preserve"> </w:t>
      </w:r>
      <w:r w:rsidRPr="008D688B">
        <w:rPr>
          <w:i/>
          <w:iCs/>
        </w:rPr>
        <w:t xml:space="preserve">3.45 GHz Band </w:t>
      </w:r>
      <w:r>
        <w:rPr>
          <w:i/>
          <w:iCs/>
        </w:rPr>
        <w:t>Second R&amp;O</w:t>
      </w:r>
      <w:r>
        <w:t xml:space="preserve">, 36 FCC </w:t>
      </w:r>
      <w:r>
        <w:t>Rcd</w:t>
      </w:r>
      <w:r>
        <w:t xml:space="preserve"> at 6045, para. 163.  </w:t>
      </w:r>
    </w:p>
  </w:footnote>
  <w:footnote w:id="88">
    <w:p w:rsidR="00AA0F86" w:rsidP="00AA0F86" w14:paraId="47BB95F1" w14:textId="77777777">
      <w:pPr>
        <w:pStyle w:val="FootnoteText"/>
      </w:pPr>
      <w:r>
        <w:rPr>
          <w:rStyle w:val="FootnoteReference"/>
        </w:rPr>
        <w:footnoteRef/>
      </w:r>
      <w:r>
        <w:t xml:space="preserve"> </w:t>
      </w:r>
      <w:r>
        <w:rPr>
          <w:i/>
          <w:iCs/>
        </w:rPr>
        <w:t xml:space="preserve">See </w:t>
      </w:r>
      <w:r w:rsidRPr="00586EA6">
        <w:rPr>
          <w:i/>
          <w:iCs/>
        </w:rPr>
        <w:t>3.</w:t>
      </w:r>
      <w:r w:rsidRPr="00507EFE">
        <w:rPr>
          <w:i/>
          <w:iCs/>
        </w:rPr>
        <w:t>7 GHz Band R&amp;O</w:t>
      </w:r>
      <w:r>
        <w:t xml:space="preserve">, 35 FCC </w:t>
      </w:r>
      <w:r>
        <w:t>Rcd</w:t>
      </w:r>
      <w:r>
        <w:t xml:space="preserve"> at 2447, para. 259; CTIA Comments at 4.</w:t>
      </w:r>
    </w:p>
  </w:footnote>
  <w:footnote w:id="89">
    <w:p w:rsidR="00AA0F86" w:rsidP="00AA0F86" w14:paraId="02740F8D" w14:textId="77777777">
      <w:pPr>
        <w:pStyle w:val="FootnoteText"/>
      </w:pPr>
      <w:r>
        <w:rPr>
          <w:rStyle w:val="FootnoteReference"/>
        </w:rPr>
        <w:footnoteRef/>
      </w:r>
      <w:r>
        <w:t xml:space="preserve"> </w:t>
      </w:r>
      <w:r>
        <w:rPr>
          <w:i/>
          <w:iCs/>
        </w:rPr>
        <w:t xml:space="preserve">See </w:t>
      </w:r>
      <w:r w:rsidRPr="00586EA6">
        <w:rPr>
          <w:i/>
          <w:iCs/>
        </w:rPr>
        <w:t>3.</w:t>
      </w:r>
      <w:r w:rsidRPr="00507EFE">
        <w:rPr>
          <w:i/>
          <w:iCs/>
        </w:rPr>
        <w:t>7 GHz Band R&amp;O</w:t>
      </w:r>
      <w:r>
        <w:t xml:space="preserve">, 35 FCC </w:t>
      </w:r>
      <w:r>
        <w:t>Rcd</w:t>
      </w:r>
      <w:r>
        <w:t xml:space="preserve"> at 2447, para. 259; CTIA Comments at 4, 9.</w:t>
      </w:r>
    </w:p>
  </w:footnote>
  <w:footnote w:id="90">
    <w:p w:rsidR="00AA0F86" w:rsidP="00AA0F86" w14:paraId="39855543" w14:textId="77777777">
      <w:pPr>
        <w:pStyle w:val="FootnoteText"/>
      </w:pPr>
      <w:r>
        <w:rPr>
          <w:rStyle w:val="FootnoteReference"/>
        </w:rPr>
        <w:footnoteRef/>
      </w:r>
      <w:r>
        <w:t xml:space="preserve"> </w:t>
      </w:r>
      <w:r>
        <w:rPr>
          <w:i/>
          <w:iCs/>
        </w:rPr>
        <w:t xml:space="preserve">See </w:t>
      </w:r>
      <w:r w:rsidRPr="00586EA6">
        <w:rPr>
          <w:i/>
          <w:iCs/>
        </w:rPr>
        <w:t>3.</w:t>
      </w:r>
      <w:r w:rsidRPr="00507EFE">
        <w:rPr>
          <w:i/>
          <w:iCs/>
        </w:rPr>
        <w:t>7 GHz Band R&amp;O</w:t>
      </w:r>
      <w:r>
        <w:t xml:space="preserve">, 35 FCC </w:t>
      </w:r>
      <w:r>
        <w:t>Rcd</w:t>
      </w:r>
      <w:r>
        <w:t xml:space="preserve"> at 2451, para. 277; CTIA Comments at 4.</w:t>
      </w:r>
    </w:p>
  </w:footnote>
  <w:footnote w:id="91">
    <w:p w:rsidR="00AA0F86" w:rsidP="00AA0F86" w14:paraId="4B24B84B" w14:textId="77777777">
      <w:pPr>
        <w:pStyle w:val="FootnoteText"/>
      </w:pPr>
      <w:r>
        <w:rPr>
          <w:rStyle w:val="FootnoteReference"/>
        </w:rPr>
        <w:footnoteRef/>
      </w:r>
      <w:r>
        <w:t xml:space="preserve"> </w:t>
      </w:r>
      <w:r>
        <w:rPr>
          <w:i/>
          <w:iCs/>
        </w:rPr>
        <w:t xml:space="preserve">See </w:t>
      </w:r>
      <w:r w:rsidRPr="00586EA6">
        <w:rPr>
          <w:i/>
          <w:iCs/>
        </w:rPr>
        <w:t>3.</w:t>
      </w:r>
      <w:r w:rsidRPr="00507EFE">
        <w:rPr>
          <w:i/>
          <w:iCs/>
        </w:rPr>
        <w:t>7 GHz Band R&amp;O</w:t>
      </w:r>
      <w:r>
        <w:t xml:space="preserve">, 35 FCC </w:t>
      </w:r>
      <w:r>
        <w:t>Rcd</w:t>
      </w:r>
      <w:r>
        <w:t xml:space="preserve"> at 2451, para. 276; CTIA Comments at 8.</w:t>
      </w:r>
    </w:p>
  </w:footnote>
  <w:footnote w:id="92">
    <w:p w:rsidR="00AA0F86" w:rsidP="00AA0F86" w14:paraId="5ABEF4A1" w14:textId="77777777">
      <w:pPr>
        <w:pStyle w:val="FootnoteText"/>
      </w:pPr>
      <w:r>
        <w:rPr>
          <w:rStyle w:val="FootnoteReference"/>
        </w:rPr>
        <w:footnoteRef/>
      </w:r>
      <w:r>
        <w:t xml:space="preserve"> </w:t>
      </w:r>
      <w:r w:rsidRPr="007C57E7">
        <w:rPr>
          <w:i/>
          <w:iCs/>
        </w:rPr>
        <w:t>Id.</w:t>
      </w:r>
      <w:r>
        <w:t xml:space="preserve"> at 2448, para. 264; CTIA Comments at 8.</w:t>
      </w:r>
    </w:p>
  </w:footnote>
  <w:footnote w:id="93">
    <w:p w:rsidR="00AA0F86" w:rsidRPr="002B0CEA" w:rsidP="00AA0F86" w14:paraId="6ABBA717" w14:textId="77777777">
      <w:pPr>
        <w:pStyle w:val="FootnoteText"/>
      </w:pPr>
      <w:r>
        <w:rPr>
          <w:rStyle w:val="FootnoteReference"/>
        </w:rPr>
        <w:footnoteRef/>
      </w:r>
      <w:r>
        <w:t xml:space="preserve"> </w:t>
      </w:r>
      <w:r>
        <w:rPr>
          <w:i/>
          <w:iCs/>
        </w:rPr>
        <w:t>See</w:t>
      </w:r>
      <w:r>
        <w:t xml:space="preserve"> </w:t>
      </w:r>
      <w:r w:rsidRPr="00586EA6">
        <w:rPr>
          <w:i/>
          <w:iCs/>
        </w:rPr>
        <w:t>3.</w:t>
      </w:r>
      <w:r w:rsidRPr="00507EFE">
        <w:rPr>
          <w:i/>
          <w:iCs/>
        </w:rPr>
        <w:t>7 GHz Band R&amp;O</w:t>
      </w:r>
      <w:r>
        <w:t xml:space="preserve">, 35 FCC </w:t>
      </w:r>
      <w:r>
        <w:t>Rcd</w:t>
      </w:r>
      <w:r>
        <w:t xml:space="preserve"> at 2447, para. 259; CTIA Comments at 4.</w:t>
      </w:r>
    </w:p>
  </w:footnote>
  <w:footnote w:id="94">
    <w:p w:rsidR="00AA0F86" w:rsidP="00AA0F86" w14:paraId="3C061F0F"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at 6045, para. 163.</w:t>
      </w:r>
    </w:p>
  </w:footnote>
  <w:footnote w:id="95">
    <w:p w:rsidR="00AA0F86" w:rsidRPr="00BE581A" w:rsidP="00AA0F86" w14:paraId="51E24609" w14:textId="77777777">
      <w:pPr>
        <w:pStyle w:val="FootnoteText"/>
      </w:pPr>
      <w:r>
        <w:rPr>
          <w:rStyle w:val="FootnoteReference"/>
        </w:rPr>
        <w:footnoteRef/>
      </w:r>
      <w:r>
        <w:t xml:space="preserve"> </w:t>
      </w:r>
      <w:r>
        <w:rPr>
          <w:i/>
          <w:iCs/>
        </w:rPr>
        <w:t>See</w:t>
      </w:r>
      <w:r>
        <w:t xml:space="preserve"> 47 CFR § 27.1605(d);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at 6045, para. 163.</w:t>
      </w:r>
    </w:p>
  </w:footnote>
  <w:footnote w:id="96">
    <w:p w:rsidR="00AA0F86" w:rsidP="00AA0F86" w14:paraId="70A59AF6" w14:textId="77777777">
      <w:pPr>
        <w:pStyle w:val="FootnoteText"/>
      </w:pPr>
      <w:r>
        <w:rPr>
          <w:rStyle w:val="FootnoteReference"/>
        </w:rPr>
        <w:footnoteRef/>
      </w:r>
      <w:r>
        <w:t xml:space="preserve"> Section 27.1604(c) provides that a “[l]</w:t>
      </w:r>
      <w:r>
        <w:t>icensee's</w:t>
      </w:r>
      <w:r>
        <w:t xml:space="preserve"> relocation reimbursement contribution share must be paid to the clearinghouse by the date(s) and subject to procedures specified by public notice.”</w:t>
      </w:r>
    </w:p>
  </w:footnote>
  <w:footnote w:id="97">
    <w:p w:rsidR="00AA0F86" w:rsidP="00AA0F86" w14:paraId="1C36CB73" w14:textId="77777777">
      <w:pPr>
        <w:pStyle w:val="FootnoteText"/>
      </w:pPr>
      <w:r>
        <w:rPr>
          <w:rStyle w:val="FootnoteReference"/>
        </w:rPr>
        <w:footnoteRef/>
      </w:r>
      <w:r>
        <w:t xml:space="preserve"> </w:t>
      </w:r>
      <w:r w:rsidRPr="006E55D8">
        <w:t>Section 27.1605(c),</w:t>
      </w:r>
      <w:r>
        <w:t xml:space="preserve"> gives the Clearinghouse “the authority to determine whether particular expenses are eligible for reimbursement.”</w:t>
      </w:r>
    </w:p>
  </w:footnote>
  <w:footnote w:id="98">
    <w:p w:rsidR="00AA0F86" w:rsidP="00AA0F86" w14:paraId="7D27CCD2" w14:textId="77777777">
      <w:pPr>
        <w:pStyle w:val="FootnoteText"/>
      </w:pPr>
      <w:r>
        <w:rPr>
          <w:rStyle w:val="FootnoteReference"/>
        </w:rPr>
        <w:footnoteRef/>
      </w:r>
      <w:r>
        <w:t xml:space="preserve"> </w:t>
      </w:r>
      <w:r w:rsidRPr="00435605">
        <w:t>5 U.S.C. §§ 601–612. The RFA has been amended by the Small Business Regulatory Enforcement Fairness Act</w:t>
      </w:r>
      <w:r>
        <w:t xml:space="preserve"> </w:t>
      </w:r>
      <w:r w:rsidRPr="00435605">
        <w:t>of 1996 (SBREFA), Pub. L. No. 104-121, Title II, 110 Stat. 857 (1996).</w:t>
      </w:r>
    </w:p>
  </w:footnote>
  <w:footnote w:id="99">
    <w:p w:rsidR="00AA0F86" w:rsidP="00AA0F86" w14:paraId="7AE99084" w14:textId="77777777">
      <w:pPr>
        <w:pStyle w:val="FootnoteText"/>
      </w:pPr>
      <w:r>
        <w:rPr>
          <w:rStyle w:val="FootnoteReference"/>
        </w:rPr>
        <w:footnoteRef/>
      </w:r>
      <w:r>
        <w:t xml:space="preserve"> </w:t>
      </w:r>
      <w:r w:rsidRPr="00471E7B">
        <w:t>5 U.S.C. § 605(b).</w:t>
      </w:r>
    </w:p>
  </w:footnote>
  <w:footnote w:id="100">
    <w:p w:rsidR="00AA0F86" w:rsidRPr="00054386" w:rsidP="00AA0F86" w14:paraId="6D5A1E72" w14:textId="77777777">
      <w:pPr>
        <w:pStyle w:val="FootnoteText"/>
      </w:pPr>
      <w:r>
        <w:rPr>
          <w:rStyle w:val="FootnoteReference"/>
        </w:rPr>
        <w:footnoteRef/>
      </w:r>
      <w:r w:rsidRPr="00054386">
        <w:t xml:space="preserve"> </w:t>
      </w:r>
      <w:r w:rsidRPr="007B6B86">
        <w:rPr>
          <w:i/>
        </w:rPr>
        <w:t>See</w:t>
      </w:r>
      <w:r w:rsidRPr="00054386">
        <w:t xml:space="preserve"> 5 U.S.C. § 603. </w:t>
      </w:r>
      <w:r>
        <w:t xml:space="preserve"> </w:t>
      </w:r>
      <w:r w:rsidRPr="00054386">
        <w:t xml:space="preserve">The RFA, 5 </w:t>
      </w:r>
      <w:r>
        <w:t>U.S.C.</w:t>
      </w:r>
      <w:r w:rsidRPr="00054386">
        <w:t xml:space="preserve"> §§ 601—612, </w:t>
      </w:r>
      <w:r>
        <w:t xml:space="preserve">was </w:t>
      </w:r>
      <w:r w:rsidRPr="00054386">
        <w:t xml:space="preserve"> amended by the Small Business Regulatory Enforcement Fairness Act of 1996 (SBREFA), Pub. L. No. 104-121, Title II, 110 Stat. 857 (1996).</w:t>
      </w:r>
    </w:p>
  </w:footnote>
  <w:footnote w:id="101">
    <w:p w:rsidR="00AA0F86" w:rsidRPr="00054386" w:rsidP="00AA0F86" w14:paraId="354EFD6A" w14:textId="77777777">
      <w:pPr>
        <w:pStyle w:val="FootnoteText"/>
        <w:tabs>
          <w:tab w:val="left" w:pos="360"/>
        </w:tabs>
      </w:pPr>
      <w:r w:rsidRPr="00054386">
        <w:rPr>
          <w:rStyle w:val="FootnoteReference"/>
        </w:rPr>
        <w:footnoteRef/>
      </w:r>
      <w:r w:rsidRPr="00054386">
        <w:t xml:space="preserve"> </w:t>
      </w:r>
      <w:r w:rsidRPr="00054386">
        <w:rPr>
          <w:rStyle w:val="item-value"/>
          <w:i/>
          <w:iCs/>
        </w:rPr>
        <w:t>Wireless Telecommunications Bureau Seeks Comment on the Selection Process for and Operation of the Reimbursement Clearinghouse for the 3.45 GHz Band</w:t>
      </w:r>
      <w:r w:rsidRPr="00054386">
        <w:rPr>
          <w:rStyle w:val="item-value"/>
        </w:rPr>
        <w:t>, Public Notice, DA 21-</w:t>
      </w:r>
      <w:r>
        <w:rPr>
          <w:rStyle w:val="item-value"/>
        </w:rPr>
        <w:t xml:space="preserve">1024, 5 </w:t>
      </w:r>
      <w:r w:rsidRPr="00054386">
        <w:rPr>
          <w:rStyle w:val="item-value"/>
        </w:rPr>
        <w:t>(WTB Aug. 20, 2021) (</w:t>
      </w:r>
      <w:r>
        <w:rPr>
          <w:rStyle w:val="item-value"/>
          <w:i/>
          <w:iCs/>
        </w:rPr>
        <w:t xml:space="preserve">Search </w:t>
      </w:r>
      <w:r w:rsidRPr="00054386">
        <w:rPr>
          <w:rStyle w:val="item-value"/>
          <w:i/>
          <w:iCs/>
        </w:rPr>
        <w:t xml:space="preserve"> Committee P</w:t>
      </w:r>
      <w:r>
        <w:rPr>
          <w:rStyle w:val="item-value"/>
          <w:i/>
          <w:iCs/>
        </w:rPr>
        <w:t xml:space="preserve">ublic </w:t>
      </w:r>
      <w:r w:rsidRPr="00054386">
        <w:rPr>
          <w:rStyle w:val="item-value"/>
          <w:i/>
          <w:iCs/>
        </w:rPr>
        <w:t>N</w:t>
      </w:r>
      <w:r>
        <w:rPr>
          <w:rStyle w:val="item-value"/>
          <w:i/>
          <w:iCs/>
        </w:rPr>
        <w:t>otice</w:t>
      </w:r>
      <w:r w:rsidRPr="00054386">
        <w:rPr>
          <w:rStyle w:val="item-value"/>
        </w:rPr>
        <w:t>).</w:t>
      </w:r>
    </w:p>
  </w:footnote>
  <w:footnote w:id="102">
    <w:p w:rsidR="00AA0F86" w:rsidP="00AA0F86" w14:paraId="325CAB0B" w14:textId="77777777">
      <w:pPr>
        <w:pStyle w:val="FootnoteText"/>
      </w:pPr>
      <w:r>
        <w:rPr>
          <w:rStyle w:val="FootnoteReference"/>
        </w:rPr>
        <w:footnoteRef/>
      </w:r>
      <w:r>
        <w:t xml:space="preserve"> </w:t>
      </w:r>
      <w:r w:rsidRPr="008D688B">
        <w:rPr>
          <w:i/>
          <w:iCs/>
        </w:rPr>
        <w:t xml:space="preserve">Facilitating Shared Use in the 3100-3550 MHz Band, </w:t>
      </w:r>
      <w:r w:rsidRPr="008D688B">
        <w:t>WT Docket No. 19-348, Report and Order</w:t>
      </w:r>
      <w:r>
        <w:t xml:space="preserve"> and Further Notice of Proposed Rulemaking</w:t>
      </w:r>
      <w:r w:rsidRPr="008D688B">
        <w:t xml:space="preserve">, </w:t>
      </w:r>
      <w:r w:rsidRPr="00FD6A4A">
        <w:t xml:space="preserve">35 FCC </w:t>
      </w:r>
      <w:r w:rsidRPr="00FD6A4A">
        <w:t>Rcd</w:t>
      </w:r>
      <w:r w:rsidRPr="00FD6A4A">
        <w:t xml:space="preserve"> </w:t>
      </w:r>
      <w:r>
        <w:t>11078</w:t>
      </w:r>
      <w:r w:rsidRPr="00FD6A4A">
        <w:t xml:space="preserve"> </w:t>
      </w:r>
      <w:r w:rsidRPr="008D688B">
        <w:t>(202</w:t>
      </w:r>
      <w:r>
        <w:t>0</w:t>
      </w:r>
      <w:r w:rsidRPr="008D688B">
        <w:t>) (</w:t>
      </w:r>
      <w:r w:rsidRPr="008D688B">
        <w:rPr>
          <w:i/>
          <w:iCs/>
        </w:rPr>
        <w:t xml:space="preserve">3.45 GHz Band </w:t>
      </w:r>
      <w:r>
        <w:rPr>
          <w:i/>
          <w:iCs/>
        </w:rPr>
        <w:t>R&amp;O and FNPRM</w:t>
      </w:r>
      <w:r>
        <w:t>).</w:t>
      </w:r>
    </w:p>
  </w:footnote>
  <w:footnote w:id="103">
    <w:p w:rsidR="00AA0F86" w:rsidP="00AA0F86" w14:paraId="281A8F2D" w14:textId="77777777">
      <w:pPr>
        <w:pStyle w:val="FootnoteText"/>
      </w:pPr>
      <w:r>
        <w:rPr>
          <w:rStyle w:val="FootnoteReference"/>
        </w:rPr>
        <w:footnoteRef/>
      </w:r>
      <w:r>
        <w:t xml:space="preserve"> </w:t>
      </w:r>
      <w:r w:rsidRPr="008D688B">
        <w:rPr>
          <w:i/>
          <w:iCs/>
        </w:rPr>
        <w:t xml:space="preserve">Facilitating Shared Use in the 3100-3550 MHz Band, </w:t>
      </w:r>
      <w:r w:rsidRPr="008D688B">
        <w:t xml:space="preserve">WT Docket No. 19-348, Second Report and Order, Order on Reconsideration, and Order of Proposed Modification, </w:t>
      </w:r>
      <w:r>
        <w:t xml:space="preserve">36 FCC </w:t>
      </w:r>
      <w:r>
        <w:t>Rcd</w:t>
      </w:r>
      <w:r>
        <w:t xml:space="preserve"> 5987</w:t>
      </w:r>
      <w:r w:rsidRPr="008D688B">
        <w:t xml:space="preserve"> (2021) (</w:t>
      </w:r>
      <w:r w:rsidRPr="008D688B">
        <w:rPr>
          <w:i/>
          <w:iCs/>
        </w:rPr>
        <w:t xml:space="preserve">3.45 GHz Band </w:t>
      </w:r>
      <w:r>
        <w:rPr>
          <w:i/>
          <w:iCs/>
        </w:rPr>
        <w:t>Second R&amp;O</w:t>
      </w:r>
      <w:r>
        <w:t>).</w:t>
      </w:r>
    </w:p>
  </w:footnote>
  <w:footnote w:id="104">
    <w:p w:rsidR="00AA0F86" w:rsidRPr="00054386" w:rsidP="00AA0F86" w14:paraId="1DF38472" w14:textId="77777777">
      <w:pPr>
        <w:pStyle w:val="FootnoteText"/>
      </w:pPr>
      <w:r w:rsidRPr="00054386">
        <w:rPr>
          <w:rStyle w:val="FootnoteReference"/>
        </w:rPr>
        <w:footnoteRef/>
      </w:r>
      <w:r w:rsidRPr="00054386">
        <w:t xml:space="preserve"> </w:t>
      </w:r>
      <w:r w:rsidRPr="001117E9">
        <w:rPr>
          <w:i/>
          <w:iCs/>
        </w:rPr>
        <w:t>See</w:t>
      </w:r>
      <w:r w:rsidRPr="00054386">
        <w:t xml:space="preserve"> 5 </w:t>
      </w:r>
      <w:r>
        <w:t>U</w:t>
      </w:r>
      <w:r w:rsidRPr="00054386">
        <w:t>.</w:t>
      </w:r>
      <w:r>
        <w:t>S.C</w:t>
      </w:r>
      <w:r w:rsidRPr="00054386">
        <w:t xml:space="preserve"> § 604.</w:t>
      </w:r>
    </w:p>
  </w:footnote>
  <w:footnote w:id="105">
    <w:p w:rsidR="00AA0F86" w:rsidRPr="00054386" w:rsidP="00AA0F86" w14:paraId="222CCDC0" w14:textId="77777777">
      <w:pPr>
        <w:pStyle w:val="FootnoteText"/>
      </w:pPr>
      <w:r w:rsidRPr="00054386">
        <w:rPr>
          <w:rStyle w:val="FootnoteReference"/>
        </w:rPr>
        <w:footnoteRef/>
      </w:r>
      <w:r w:rsidRPr="00054386">
        <w:t xml:space="preserve"> 5 U.S.C. § 604 (a)(3). </w:t>
      </w:r>
    </w:p>
  </w:footnote>
  <w:footnote w:id="106">
    <w:p w:rsidR="00AA0F86" w:rsidP="00AA0F86" w14:paraId="2BDE0B67" w14:textId="77777777">
      <w:pPr>
        <w:pStyle w:val="FootnoteText"/>
      </w:pPr>
      <w:r>
        <w:rPr>
          <w:rStyle w:val="FootnoteReference"/>
        </w:rPr>
        <w:footnoteRef/>
      </w:r>
      <w:r>
        <w:t xml:space="preserve"> 5 </w:t>
      </w:r>
      <w:r w:rsidRPr="00314822">
        <w:t>U.S.C. § 604(a)(4).</w:t>
      </w:r>
    </w:p>
  </w:footnote>
  <w:footnote w:id="107">
    <w:p w:rsidR="00AA0F86" w:rsidRPr="00054386" w:rsidP="00AA0F86" w14:paraId="0068414B" w14:textId="77777777">
      <w:pPr>
        <w:pStyle w:val="FootnoteText"/>
      </w:pPr>
      <w:r w:rsidRPr="00054386">
        <w:rPr>
          <w:rStyle w:val="FootnoteReference"/>
        </w:rPr>
        <w:footnoteRef/>
      </w:r>
      <w:r w:rsidRPr="00054386">
        <w:t xml:space="preserve"> 5 U.S.C. § 601(6). </w:t>
      </w:r>
    </w:p>
  </w:footnote>
  <w:footnote w:id="108">
    <w:p w:rsidR="00AA0F86" w:rsidRPr="00E10B6C" w:rsidP="00AA0F86" w14:paraId="3A9D89AD" w14:textId="77777777">
      <w:pPr>
        <w:pStyle w:val="FootnoteText"/>
      </w:pPr>
      <w:r w:rsidRPr="00054386">
        <w:rPr>
          <w:rStyle w:val="FootnoteReference"/>
        </w:rPr>
        <w:footnoteRef/>
      </w:r>
      <w:r w:rsidRPr="00054386">
        <w:t xml:space="preserve"> </w:t>
      </w:r>
      <w:r>
        <w:rPr>
          <w:i/>
          <w:iCs/>
        </w:rPr>
        <w:t>See</w:t>
      </w:r>
      <w:r>
        <w:rPr>
          <w:i/>
        </w:rPr>
        <w:t xml:space="preserve"> </w:t>
      </w:r>
      <w:r w:rsidRPr="00054386">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t xml:space="preserve"> </w:t>
      </w:r>
      <w:r w:rsidRPr="00E10B6C">
        <w:t xml:space="preserve">for public comment, establishes one or more definitions of such term which are appropriate to the activities of the agency and publishes such definition(s) in the Federal Register.” </w:t>
      </w:r>
    </w:p>
  </w:footnote>
  <w:footnote w:id="109">
    <w:p w:rsidR="00AA0F86" w:rsidRPr="00E10B6C" w:rsidP="00AA0F86" w14:paraId="48B78ADD" w14:textId="77777777">
      <w:pPr>
        <w:pStyle w:val="FootnoteText"/>
      </w:pPr>
      <w:r w:rsidRPr="00E10B6C">
        <w:rPr>
          <w:rStyle w:val="FootnoteReference"/>
        </w:rPr>
        <w:footnoteRef/>
      </w:r>
      <w:r w:rsidRPr="00E10B6C">
        <w:t xml:space="preserve"> 15 U.S.C. § 632.</w:t>
      </w:r>
    </w:p>
  </w:footnote>
  <w:footnote w:id="110">
    <w:p w:rsidR="00AA0F86" w:rsidRPr="00E10B6C" w:rsidP="00AA0F86" w14:paraId="4457206B" w14:textId="58E46AA6">
      <w:pPr>
        <w:pStyle w:val="FootnoteText"/>
      </w:pPr>
      <w:r w:rsidRPr="00E10B6C">
        <w:rPr>
          <w:rStyle w:val="FootnoteReference"/>
        </w:rPr>
        <w:footnoteRef/>
      </w:r>
      <w:r>
        <w:t xml:space="preserve"> </w:t>
      </w:r>
      <w:r w:rsidRPr="00927EC0">
        <w:t>5 U.S.C. § 604(a)(6).</w:t>
      </w:r>
    </w:p>
  </w:footnote>
  <w:footnote w:id="111">
    <w:p w:rsidR="00AA0F86" w:rsidP="00AA0F86" w14:paraId="5D83846F" w14:textId="77777777"/>
  </w:footnote>
  <w:footnote w:id="112">
    <w:p w:rsidR="00AA0F86" w:rsidP="00AA0F86" w14:paraId="197C6ED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F86" w:rsidP="00810B6F" w14:paraId="55B40F42" w14:textId="1ED7DFA1">
    <w:pPr>
      <w:pStyle w:val="Header"/>
      <w:rPr>
        <w:b w:val="0"/>
      </w:rPr>
    </w:pPr>
    <w:r>
      <w:tab/>
      <w:t>Federal Communications Commission</w:t>
    </w:r>
    <w:r>
      <w:tab/>
    </w:r>
    <w:r>
      <w:rPr>
        <w:spacing w:val="-2"/>
      </w:rPr>
      <w:t>DA 22-1188</w:t>
    </w:r>
  </w:p>
  <w:p w:rsidR="00AA0F86" w14:paraId="77BA2DD1" w14:textId="5B5ACF6C">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AA0F86" w14:paraId="3C7C98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F86" w:rsidP="00810B6F" w14:paraId="6B86A98E" w14:textId="083C79CA">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22-1188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EB5825" w14:textId="6A5A15C6">
    <w:pPr>
      <w:pStyle w:val="Header"/>
      <w:rPr>
        <w:b w:val="0"/>
      </w:rPr>
    </w:pPr>
    <w:r>
      <w:tab/>
      <w:t>Federal Communications Commission</w:t>
    </w:r>
    <w:r>
      <w:tab/>
    </w:r>
    <w:r w:rsidR="00AA0F86">
      <w:t>DA 22-1188</w:t>
    </w:r>
  </w:p>
  <w:p w:rsidR="00D25FB5" w14:paraId="10A16899"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B36714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4AEB5B" w14:textId="3018255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A0F86">
      <w:rPr>
        <w:spacing w:val="-2"/>
      </w:rPr>
      <w:t>DA 22-1188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D0605"/>
    <w:multiLevelType w:val="hybridMultilevel"/>
    <w:tmpl w:val="4D761C1C"/>
    <w:lvl w:ilvl="0">
      <w:start w:val="1"/>
      <w:numFmt w:val="decimal"/>
      <w:lvlText w:val="%1."/>
      <w:lvlJc w:val="left"/>
      <w:pPr>
        <w:tabs>
          <w:tab w:val="num" w:pos="1080"/>
        </w:tabs>
        <w:ind w:left="0" w:firstLine="720"/>
      </w:pPr>
      <w:rPr>
        <w:rFonts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1B779B"/>
    <w:multiLevelType w:val="hybridMultilevel"/>
    <w:tmpl w:val="AEC0AB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1C788CB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BB7253"/>
    <w:multiLevelType w:val="hybridMultilevel"/>
    <w:tmpl w:val="4D761C1C"/>
    <w:lvl w:ilvl="0">
      <w:start w:val="1"/>
      <w:numFmt w:val="decimal"/>
      <w:lvlText w:val="%1."/>
      <w:lvlJc w:val="left"/>
      <w:pPr>
        <w:tabs>
          <w:tab w:val="num" w:pos="1080"/>
        </w:tabs>
        <w:ind w:left="0" w:firstLine="720"/>
      </w:pPr>
      <w:rPr>
        <w:rFonts w:hint="default"/>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93A6AC4"/>
    <w:multiLevelType w:val="hybridMultilevel"/>
    <w:tmpl w:val="BB9606F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9"/>
  </w:num>
  <w:num w:numId="8">
    <w:abstractNumId w:val="2"/>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86"/>
    <w:rsid w:val="00017019"/>
    <w:rsid w:val="00021917"/>
    <w:rsid w:val="00036039"/>
    <w:rsid w:val="00037F90"/>
    <w:rsid w:val="00043454"/>
    <w:rsid w:val="00046F39"/>
    <w:rsid w:val="00054386"/>
    <w:rsid w:val="000875BF"/>
    <w:rsid w:val="00096D8C"/>
    <w:rsid w:val="0009786D"/>
    <w:rsid w:val="000C0B65"/>
    <w:rsid w:val="000C0C94"/>
    <w:rsid w:val="000C50D1"/>
    <w:rsid w:val="000E05FE"/>
    <w:rsid w:val="000E3D42"/>
    <w:rsid w:val="001117E9"/>
    <w:rsid w:val="00111D29"/>
    <w:rsid w:val="00122BD5"/>
    <w:rsid w:val="001247B1"/>
    <w:rsid w:val="00133F79"/>
    <w:rsid w:val="00140B15"/>
    <w:rsid w:val="00163D10"/>
    <w:rsid w:val="00194A66"/>
    <w:rsid w:val="001A3A6F"/>
    <w:rsid w:val="001C5877"/>
    <w:rsid w:val="001D6BCF"/>
    <w:rsid w:val="001E01CA"/>
    <w:rsid w:val="001F3813"/>
    <w:rsid w:val="002237F7"/>
    <w:rsid w:val="00230A7F"/>
    <w:rsid w:val="00275CF5"/>
    <w:rsid w:val="00276002"/>
    <w:rsid w:val="0028301F"/>
    <w:rsid w:val="00285017"/>
    <w:rsid w:val="002853B1"/>
    <w:rsid w:val="00294F95"/>
    <w:rsid w:val="002A2D2E"/>
    <w:rsid w:val="002A6322"/>
    <w:rsid w:val="002B0CEA"/>
    <w:rsid w:val="002C00E8"/>
    <w:rsid w:val="002C6632"/>
    <w:rsid w:val="002F3758"/>
    <w:rsid w:val="00314822"/>
    <w:rsid w:val="003236DB"/>
    <w:rsid w:val="003401B7"/>
    <w:rsid w:val="00343749"/>
    <w:rsid w:val="00354D03"/>
    <w:rsid w:val="0036324F"/>
    <w:rsid w:val="003660ED"/>
    <w:rsid w:val="003937A2"/>
    <w:rsid w:val="003979F8"/>
    <w:rsid w:val="003A4C3E"/>
    <w:rsid w:val="003A7CC6"/>
    <w:rsid w:val="003B0550"/>
    <w:rsid w:val="003B06DB"/>
    <w:rsid w:val="003B694F"/>
    <w:rsid w:val="003D0157"/>
    <w:rsid w:val="003F171C"/>
    <w:rsid w:val="00402665"/>
    <w:rsid w:val="00412FC5"/>
    <w:rsid w:val="0041629C"/>
    <w:rsid w:val="004214BD"/>
    <w:rsid w:val="00422276"/>
    <w:rsid w:val="004242F1"/>
    <w:rsid w:val="00427726"/>
    <w:rsid w:val="00435605"/>
    <w:rsid w:val="00437711"/>
    <w:rsid w:val="00445A00"/>
    <w:rsid w:val="00451B0F"/>
    <w:rsid w:val="00463BEF"/>
    <w:rsid w:val="00471E7B"/>
    <w:rsid w:val="00473A65"/>
    <w:rsid w:val="0048326A"/>
    <w:rsid w:val="00484C5A"/>
    <w:rsid w:val="004C2EE3"/>
    <w:rsid w:val="004E06A4"/>
    <w:rsid w:val="004E4A22"/>
    <w:rsid w:val="004E74ED"/>
    <w:rsid w:val="00507EFE"/>
    <w:rsid w:val="00511968"/>
    <w:rsid w:val="005303E6"/>
    <w:rsid w:val="00540C84"/>
    <w:rsid w:val="00542186"/>
    <w:rsid w:val="0055614C"/>
    <w:rsid w:val="00566D06"/>
    <w:rsid w:val="0057399E"/>
    <w:rsid w:val="0058446E"/>
    <w:rsid w:val="00586EA6"/>
    <w:rsid w:val="005A3D28"/>
    <w:rsid w:val="005B7DE0"/>
    <w:rsid w:val="005C436F"/>
    <w:rsid w:val="005E14C2"/>
    <w:rsid w:val="005F2A5D"/>
    <w:rsid w:val="00607BA5"/>
    <w:rsid w:val="0061180A"/>
    <w:rsid w:val="006143FB"/>
    <w:rsid w:val="0062500C"/>
    <w:rsid w:val="00626EB6"/>
    <w:rsid w:val="006432A4"/>
    <w:rsid w:val="00655D03"/>
    <w:rsid w:val="0067273B"/>
    <w:rsid w:val="00683388"/>
    <w:rsid w:val="00683F84"/>
    <w:rsid w:val="00686EFB"/>
    <w:rsid w:val="006A5249"/>
    <w:rsid w:val="006A635A"/>
    <w:rsid w:val="006A6A81"/>
    <w:rsid w:val="006A71B3"/>
    <w:rsid w:val="006A77B2"/>
    <w:rsid w:val="006C16AD"/>
    <w:rsid w:val="006E55D8"/>
    <w:rsid w:val="006F43A1"/>
    <w:rsid w:val="006F7393"/>
    <w:rsid w:val="0070224F"/>
    <w:rsid w:val="0070563A"/>
    <w:rsid w:val="0070660E"/>
    <w:rsid w:val="007078BD"/>
    <w:rsid w:val="007115F7"/>
    <w:rsid w:val="00712C90"/>
    <w:rsid w:val="00766299"/>
    <w:rsid w:val="0077783D"/>
    <w:rsid w:val="00785689"/>
    <w:rsid w:val="00790C68"/>
    <w:rsid w:val="00793DF7"/>
    <w:rsid w:val="0079754B"/>
    <w:rsid w:val="007A1E6D"/>
    <w:rsid w:val="007A764B"/>
    <w:rsid w:val="007B0EB2"/>
    <w:rsid w:val="007B6B86"/>
    <w:rsid w:val="007C29E9"/>
    <w:rsid w:val="007C57E7"/>
    <w:rsid w:val="007C5D63"/>
    <w:rsid w:val="007D3045"/>
    <w:rsid w:val="007D673C"/>
    <w:rsid w:val="00803AE4"/>
    <w:rsid w:val="00810B6F"/>
    <w:rsid w:val="00813267"/>
    <w:rsid w:val="00822CE0"/>
    <w:rsid w:val="00841AB1"/>
    <w:rsid w:val="00856873"/>
    <w:rsid w:val="008612D9"/>
    <w:rsid w:val="00861F88"/>
    <w:rsid w:val="00886B92"/>
    <w:rsid w:val="00895827"/>
    <w:rsid w:val="008B3DC8"/>
    <w:rsid w:val="008C68F1"/>
    <w:rsid w:val="008D688B"/>
    <w:rsid w:val="008E19F4"/>
    <w:rsid w:val="008E7B8B"/>
    <w:rsid w:val="00904141"/>
    <w:rsid w:val="00911206"/>
    <w:rsid w:val="009175CA"/>
    <w:rsid w:val="00921803"/>
    <w:rsid w:val="00926503"/>
    <w:rsid w:val="00927EC0"/>
    <w:rsid w:val="009406BD"/>
    <w:rsid w:val="00940955"/>
    <w:rsid w:val="00963A05"/>
    <w:rsid w:val="009726D8"/>
    <w:rsid w:val="00983258"/>
    <w:rsid w:val="009A3EFA"/>
    <w:rsid w:val="009B14C8"/>
    <w:rsid w:val="009D6B7D"/>
    <w:rsid w:val="009D7308"/>
    <w:rsid w:val="009E4271"/>
    <w:rsid w:val="009E6752"/>
    <w:rsid w:val="009F0B84"/>
    <w:rsid w:val="009F32B3"/>
    <w:rsid w:val="009F76DB"/>
    <w:rsid w:val="009F7B9E"/>
    <w:rsid w:val="00A2799B"/>
    <w:rsid w:val="00A324AF"/>
    <w:rsid w:val="00A32C3B"/>
    <w:rsid w:val="00A348C1"/>
    <w:rsid w:val="00A37535"/>
    <w:rsid w:val="00A45F4F"/>
    <w:rsid w:val="00A600A9"/>
    <w:rsid w:val="00A84A74"/>
    <w:rsid w:val="00AA0F86"/>
    <w:rsid w:val="00AA55B7"/>
    <w:rsid w:val="00AA5B9E"/>
    <w:rsid w:val="00AB2407"/>
    <w:rsid w:val="00AB53DF"/>
    <w:rsid w:val="00AC7E85"/>
    <w:rsid w:val="00AD6FCC"/>
    <w:rsid w:val="00AE1B15"/>
    <w:rsid w:val="00B01D45"/>
    <w:rsid w:val="00B07E5C"/>
    <w:rsid w:val="00B24813"/>
    <w:rsid w:val="00B54EDE"/>
    <w:rsid w:val="00B71FC9"/>
    <w:rsid w:val="00B811F7"/>
    <w:rsid w:val="00B95F55"/>
    <w:rsid w:val="00B9784A"/>
    <w:rsid w:val="00BA0E45"/>
    <w:rsid w:val="00BA5DC6"/>
    <w:rsid w:val="00BA6196"/>
    <w:rsid w:val="00BA6D41"/>
    <w:rsid w:val="00BC6D8C"/>
    <w:rsid w:val="00BD480E"/>
    <w:rsid w:val="00BE581A"/>
    <w:rsid w:val="00BF366C"/>
    <w:rsid w:val="00C006F3"/>
    <w:rsid w:val="00C2145B"/>
    <w:rsid w:val="00C34006"/>
    <w:rsid w:val="00C35ADF"/>
    <w:rsid w:val="00C36B4C"/>
    <w:rsid w:val="00C426B1"/>
    <w:rsid w:val="00C51E82"/>
    <w:rsid w:val="00C51EC3"/>
    <w:rsid w:val="00C66160"/>
    <w:rsid w:val="00C721AC"/>
    <w:rsid w:val="00C90D6A"/>
    <w:rsid w:val="00CA247E"/>
    <w:rsid w:val="00CA6D21"/>
    <w:rsid w:val="00CC239D"/>
    <w:rsid w:val="00CC72B6"/>
    <w:rsid w:val="00CD2CA2"/>
    <w:rsid w:val="00CD3BA0"/>
    <w:rsid w:val="00CF2CA9"/>
    <w:rsid w:val="00D0218D"/>
    <w:rsid w:val="00D0742B"/>
    <w:rsid w:val="00D14C14"/>
    <w:rsid w:val="00D25FB5"/>
    <w:rsid w:val="00D44223"/>
    <w:rsid w:val="00D650CB"/>
    <w:rsid w:val="00D701C3"/>
    <w:rsid w:val="00D928FB"/>
    <w:rsid w:val="00DA2529"/>
    <w:rsid w:val="00DB130A"/>
    <w:rsid w:val="00DB2EBB"/>
    <w:rsid w:val="00DB6F99"/>
    <w:rsid w:val="00DC10A1"/>
    <w:rsid w:val="00DC3FCD"/>
    <w:rsid w:val="00DC4EDB"/>
    <w:rsid w:val="00DC655F"/>
    <w:rsid w:val="00DC6E3F"/>
    <w:rsid w:val="00DD0B59"/>
    <w:rsid w:val="00DD659F"/>
    <w:rsid w:val="00DD7EBD"/>
    <w:rsid w:val="00DE197A"/>
    <w:rsid w:val="00DE7E2F"/>
    <w:rsid w:val="00DF4521"/>
    <w:rsid w:val="00DF62B6"/>
    <w:rsid w:val="00E07225"/>
    <w:rsid w:val="00E10B6C"/>
    <w:rsid w:val="00E10B7F"/>
    <w:rsid w:val="00E161B2"/>
    <w:rsid w:val="00E329CB"/>
    <w:rsid w:val="00E50778"/>
    <w:rsid w:val="00E5409F"/>
    <w:rsid w:val="00E54BD5"/>
    <w:rsid w:val="00ED43CD"/>
    <w:rsid w:val="00EE6488"/>
    <w:rsid w:val="00EF4095"/>
    <w:rsid w:val="00F021FA"/>
    <w:rsid w:val="00F0463E"/>
    <w:rsid w:val="00F23AB7"/>
    <w:rsid w:val="00F62E97"/>
    <w:rsid w:val="00F64209"/>
    <w:rsid w:val="00F75795"/>
    <w:rsid w:val="00F80374"/>
    <w:rsid w:val="00F93BF5"/>
    <w:rsid w:val="00F97B58"/>
    <w:rsid w:val="00FA0B08"/>
    <w:rsid w:val="00FA43DE"/>
    <w:rsid w:val="00FA7303"/>
    <w:rsid w:val="00FB796E"/>
    <w:rsid w:val="00FD1F65"/>
    <w:rsid w:val="00FD416A"/>
    <w:rsid w:val="00FD6A4A"/>
    <w:rsid w:val="1419DE64"/>
    <w:rsid w:val="418458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082472"/>
  <w15:chartTrackingRefBased/>
  <w15:docId w15:val="{2C7269DC-7341-4D8B-A63C-DD9E9BAF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F8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76002"/>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rsid w:val="00AA0F86"/>
  </w:style>
  <w:style w:type="character" w:customStyle="1" w:styleId="item-value">
    <w:name w:val="item-value"/>
    <w:basedOn w:val="DefaultParagraphFont"/>
    <w:rsid w:val="00AA0F86"/>
  </w:style>
  <w:style w:type="character" w:customStyle="1" w:styleId="ParaNumChar1">
    <w:name w:val="ParaNum Char1"/>
    <w:link w:val="ParaNum"/>
    <w:rsid w:val="00AA0F86"/>
    <w:rPr>
      <w:snapToGrid w:val="0"/>
      <w:kern w:val="28"/>
      <w:sz w:val="22"/>
    </w:rPr>
  </w:style>
  <w:style w:type="character" w:customStyle="1" w:styleId="CharCharCharChar">
    <w:name w:val="Char Char Char Char"/>
    <w:aliases w:val="Footnote Text Char Char Char Char Char,Footnote Text Char1 Char Char1,Footnote Text Char1 Char1 Char Char Char Char Char,Footnote Text Char2 Char Char,Footnote Text Char2 Char1"/>
    <w:uiPriority w:val="99"/>
    <w:rsid w:val="00AA0F86"/>
  </w:style>
  <w:style w:type="character" w:styleId="CommentReference">
    <w:name w:val="annotation reference"/>
    <w:rsid w:val="00AA0F86"/>
    <w:rPr>
      <w:sz w:val="16"/>
      <w:szCs w:val="16"/>
    </w:rPr>
  </w:style>
  <w:style w:type="paragraph" w:styleId="CommentText">
    <w:name w:val="annotation text"/>
    <w:basedOn w:val="Normal"/>
    <w:link w:val="CommentTextChar"/>
    <w:rsid w:val="00AA0F86"/>
    <w:rPr>
      <w:sz w:val="20"/>
    </w:rPr>
  </w:style>
  <w:style w:type="character" w:customStyle="1" w:styleId="CommentTextChar">
    <w:name w:val="Comment Text Char"/>
    <w:link w:val="CommentText"/>
    <w:rsid w:val="00AA0F86"/>
    <w:rPr>
      <w:snapToGrid w:val="0"/>
      <w:kern w:val="28"/>
    </w:rPr>
  </w:style>
  <w:style w:type="paragraph" w:styleId="CommentSubject">
    <w:name w:val="annotation subject"/>
    <w:basedOn w:val="CommentText"/>
    <w:next w:val="CommentText"/>
    <w:link w:val="CommentSubjectChar"/>
    <w:rsid w:val="00AA0F86"/>
    <w:rPr>
      <w:b/>
      <w:bCs/>
    </w:rPr>
  </w:style>
  <w:style w:type="character" w:customStyle="1" w:styleId="CommentSubjectChar">
    <w:name w:val="Comment Subject Char"/>
    <w:link w:val="CommentSubject"/>
    <w:rsid w:val="00AA0F86"/>
    <w:rPr>
      <w:b/>
      <w:bCs/>
      <w:snapToGrid w:val="0"/>
      <w:kern w:val="28"/>
    </w:rPr>
  </w:style>
  <w:style w:type="character" w:styleId="UnresolvedMention">
    <w:name w:val="Unresolved Mention"/>
    <w:uiPriority w:val="99"/>
    <w:unhideWhenUsed/>
    <w:rsid w:val="00AA0F86"/>
    <w:rPr>
      <w:color w:val="605E5C"/>
      <w:shd w:val="clear" w:color="auto" w:fill="E1DFDD"/>
    </w:rPr>
  </w:style>
  <w:style w:type="character" w:styleId="Mention">
    <w:name w:val="Mention"/>
    <w:uiPriority w:val="99"/>
    <w:unhideWhenUsed/>
    <w:rsid w:val="00AA0F86"/>
    <w:rPr>
      <w:color w:val="2B579A"/>
      <w:shd w:val="clear" w:color="auto" w:fill="E1DFDD"/>
    </w:rPr>
  </w:style>
  <w:style w:type="paragraph" w:styleId="Revision">
    <w:name w:val="Revision"/>
    <w:hidden/>
    <w:uiPriority w:val="99"/>
    <w:semiHidden/>
    <w:rsid w:val="00AA0F86"/>
    <w:rPr>
      <w:snapToGrid w:val="0"/>
      <w:kern w:val="28"/>
      <w:sz w:val="22"/>
    </w:rPr>
  </w:style>
  <w:style w:type="character" w:customStyle="1" w:styleId="markedcontent">
    <w:name w:val="markedcontent"/>
    <w:basedOn w:val="DefaultParagraphFont"/>
    <w:rsid w:val="00AA0F86"/>
  </w:style>
  <w:style w:type="character" w:customStyle="1" w:styleId="highlight">
    <w:name w:val="highlight"/>
    <w:basedOn w:val="DefaultParagraphFont"/>
    <w:rsid w:val="00AA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gao.gov/greenbook/overview"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